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adjustRightInd w:val="0"/>
        <w:snapToGrid w:val="0"/>
        <w:jc w:val="center"/>
        <w:outlineLvl w:val="0"/>
        <w:rPr>
          <w:rFonts w:ascii="方正小标宋_GBK" w:eastAsia="方正小标宋_GBK"/>
          <w:bCs/>
          <w:color w:val="auto"/>
          <w:sz w:val="44"/>
          <w:szCs w:val="44"/>
        </w:rPr>
      </w:pPr>
      <w:r>
        <w:rPr>
          <w:rFonts w:hint="eastAsia" w:ascii="方正小标宋_GBK" w:eastAsia="方正小标宋_GBK"/>
          <w:bCs/>
          <w:color w:val="auto"/>
          <w:sz w:val="44"/>
          <w:szCs w:val="44"/>
        </w:rPr>
        <w:t>建设项目环境影响报告表</w:t>
      </w:r>
    </w:p>
    <w:p>
      <w:pPr>
        <w:adjustRightInd w:val="0"/>
        <w:snapToGrid w:val="0"/>
        <w:spacing w:before="192" w:beforeLines="80"/>
        <w:jc w:val="center"/>
        <w:rPr>
          <w:rFonts w:ascii="楷体_GB2312" w:eastAsia="楷体_GB2312"/>
          <w:bCs/>
          <w:color w:val="auto"/>
          <w:sz w:val="44"/>
          <w:szCs w:val="44"/>
        </w:rPr>
      </w:pPr>
      <w:r>
        <w:rPr>
          <w:rFonts w:hint="eastAsia" w:ascii="楷体_GB2312" w:eastAsia="楷体_GB2312"/>
          <w:bCs/>
          <w:color w:val="auto"/>
          <w:sz w:val="44"/>
          <w:szCs w:val="44"/>
        </w:rPr>
        <w:t>（污染影响类）</w:t>
      </w:r>
    </w:p>
    <w:p>
      <w:pPr>
        <w:jc w:val="center"/>
        <w:rPr>
          <w:rFonts w:eastAsia="仿宋"/>
          <w:color w:val="auto"/>
          <w:sz w:val="52"/>
          <w:szCs w:val="52"/>
        </w:rPr>
      </w:pPr>
      <w:bookmarkStart w:id="10" w:name="_GoBack"/>
      <w:bookmarkEnd w:id="10"/>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spacing w:line="360" w:lineRule="auto"/>
        <w:ind w:firstLine="1040"/>
        <w:rPr>
          <w:rFonts w:eastAsia="仿宋"/>
          <w:color w:val="auto"/>
          <w:sz w:val="44"/>
          <w:szCs w:val="44"/>
        </w:rPr>
      </w:pPr>
    </w:p>
    <w:p>
      <w:pPr>
        <w:adjustRightInd w:val="0"/>
        <w:snapToGrid w:val="0"/>
        <w:spacing w:line="360" w:lineRule="auto"/>
        <w:ind w:firstLine="640" w:firstLineChars="200"/>
        <w:rPr>
          <w:rFonts w:ascii="仿宋_GB2312" w:eastAsia="仿宋_GB2312"/>
          <w:color w:val="auto"/>
          <w:sz w:val="32"/>
          <w:szCs w:val="32"/>
          <w:u w:val="single"/>
        </w:rPr>
      </w:pPr>
      <w:r>
        <w:rPr>
          <w:rFonts w:hint="eastAsia" w:ascii="仿宋_GB2312" w:eastAsia="仿宋_GB2312"/>
          <w:color w:val="auto"/>
          <w:sz w:val="32"/>
          <w:szCs w:val="32"/>
        </w:rPr>
        <w:t>项目名称：</w:t>
      </w:r>
      <w:r>
        <w:rPr>
          <w:rFonts w:hint="eastAsia" w:ascii="仿宋_GB2312" w:eastAsia="仿宋_GB2312"/>
          <w:color w:val="auto"/>
          <w:sz w:val="32"/>
          <w:szCs w:val="32"/>
          <w:u w:val="single"/>
        </w:rPr>
        <w:t xml:space="preserve">现场混装多孔粒状铵油炸药生产系统扩能项目 </w:t>
      </w:r>
      <w:r>
        <w:rPr>
          <w:rFonts w:ascii="仿宋_GB2312" w:eastAsia="仿宋_GB2312"/>
          <w:color w:val="auto"/>
          <w:sz w:val="32"/>
          <w:szCs w:val="32"/>
          <w:u w:val="single"/>
        </w:rPr>
        <w:t xml:space="preserve">   </w:t>
      </w:r>
      <w:r>
        <w:rPr>
          <w:rFonts w:hint="eastAsia" w:ascii="仿宋_GB2312" w:eastAsia="仿宋_GB2312"/>
          <w:color w:val="auto"/>
          <w:sz w:val="32"/>
          <w:szCs w:val="32"/>
          <w:u w:val="single"/>
        </w:rPr>
        <w:t xml:space="preserve">          </w:t>
      </w:r>
    </w:p>
    <w:p>
      <w:pPr>
        <w:spacing w:line="360" w:lineRule="auto"/>
        <w:ind w:firstLine="640" w:firstLineChars="200"/>
        <w:rPr>
          <w:rFonts w:ascii="宋体" w:hAnsi="宋体" w:cs="楷体"/>
          <w:b/>
          <w:bCs/>
          <w:color w:val="auto"/>
          <w:sz w:val="32"/>
          <w:szCs w:val="32"/>
        </w:rPr>
      </w:pPr>
      <w:r>
        <w:rPr>
          <w:rFonts w:hint="eastAsia" w:ascii="仿宋_GB2312" w:eastAsia="仿宋_GB2312"/>
          <w:color w:val="auto"/>
          <w:sz w:val="32"/>
          <w:szCs w:val="32"/>
        </w:rPr>
        <w:t>建设单位（盖章）：</w:t>
      </w:r>
      <w:r>
        <w:rPr>
          <w:rFonts w:hint="eastAsia" w:ascii="仿宋_GB2312" w:eastAsia="仿宋_GB2312"/>
          <w:color w:val="auto"/>
          <w:sz w:val="32"/>
          <w:szCs w:val="32"/>
          <w:u w:val="single"/>
        </w:rPr>
        <w:t>昌吉天宝混装炸药制造有限公司</w:t>
      </w:r>
    </w:p>
    <w:p>
      <w:pPr>
        <w:adjustRightInd w:val="0"/>
        <w:snapToGrid w:val="0"/>
        <w:spacing w:line="360" w:lineRule="auto"/>
        <w:ind w:firstLine="1040"/>
        <w:rPr>
          <w:rFonts w:ascii="仿宋_GB2312" w:eastAsia="仿宋_GB2312"/>
          <w:color w:val="auto"/>
          <w:sz w:val="36"/>
          <w:szCs w:val="36"/>
          <w:u w:val="single"/>
        </w:rPr>
      </w:pPr>
      <w:r>
        <w:rPr>
          <w:rFonts w:hint="eastAsia" w:ascii="仿宋_GB2312" w:eastAsia="仿宋_GB2312"/>
          <w:color w:val="auto"/>
          <w:sz w:val="32"/>
          <w:szCs w:val="32"/>
        </w:rPr>
        <w:t>编制日期：</w:t>
      </w:r>
      <w:r>
        <w:rPr>
          <w:rFonts w:hint="eastAsia" w:ascii="仿宋_GB2312" w:eastAsia="仿宋_GB2312"/>
          <w:color w:val="auto"/>
          <w:sz w:val="32"/>
          <w:szCs w:val="32"/>
          <w:u w:val="single"/>
        </w:rPr>
        <w:t xml:space="preserve">          2024年</w:t>
      </w:r>
      <w:r>
        <w:rPr>
          <w:rFonts w:hint="eastAsia" w:ascii="仿宋_GB2312" w:eastAsia="仿宋_GB2312"/>
          <w:color w:val="auto"/>
          <w:sz w:val="32"/>
          <w:szCs w:val="32"/>
          <w:u w:val="single"/>
          <w:lang w:val="en-US" w:eastAsia="zh-CN"/>
        </w:rPr>
        <w:t>6</w:t>
      </w:r>
      <w:r>
        <w:rPr>
          <w:rFonts w:hint="eastAsia" w:ascii="仿宋_GB2312" w:eastAsia="仿宋_GB2312"/>
          <w:color w:val="auto"/>
          <w:sz w:val="32"/>
          <w:szCs w:val="32"/>
          <w:u w:val="single"/>
        </w:rPr>
        <w:t>月</w:t>
      </w:r>
      <w:r>
        <w:rPr>
          <w:rFonts w:ascii="仿宋_GB2312" w:eastAsia="仿宋_GB2312"/>
          <w:color w:val="auto"/>
          <w:sz w:val="32"/>
          <w:szCs w:val="32"/>
          <w:u w:val="single"/>
        </w:rPr>
        <w:t xml:space="preserve">                  </w:t>
      </w:r>
    </w:p>
    <w:p>
      <w:pPr>
        <w:adjustRightInd w:val="0"/>
        <w:snapToGrid w:val="0"/>
        <w:spacing w:line="288" w:lineRule="auto"/>
        <w:ind w:firstLine="1040"/>
        <w:rPr>
          <w:rFonts w:ascii="仿宋_GB2312" w:eastAsia="仿宋_GB2312"/>
          <w:color w:val="auto"/>
          <w:sz w:val="36"/>
          <w:szCs w:val="36"/>
          <w:u w:val="single"/>
        </w:rPr>
      </w:pPr>
      <w:bookmarkStart w:id="0" w:name="_Hlk57884087"/>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ind w:firstLine="1040"/>
        <w:rPr>
          <w:rFonts w:ascii="仿宋_GB2312" w:eastAsia="仿宋_GB2312"/>
          <w:color w:val="auto"/>
          <w:sz w:val="36"/>
          <w:szCs w:val="36"/>
        </w:rPr>
      </w:pPr>
    </w:p>
    <w:bookmarkEnd w:id="0"/>
    <w:p>
      <w:pPr>
        <w:adjustRightInd w:val="0"/>
        <w:snapToGrid w:val="0"/>
        <w:spacing w:line="288" w:lineRule="auto"/>
        <w:jc w:val="center"/>
        <w:rPr>
          <w:rFonts w:hint="eastAsia" w:ascii="楷体_GB2312" w:eastAsia="楷体_GB2312"/>
          <w:color w:val="auto"/>
          <w:sz w:val="36"/>
          <w:szCs w:val="36"/>
          <w:lang w:eastAsia="zh-CN"/>
        </w:rPr>
      </w:pPr>
      <w:r>
        <w:rPr>
          <w:rFonts w:hint="eastAsia" w:ascii="楷体_GB2312" w:eastAsia="楷体_GB2312"/>
          <w:color w:val="auto"/>
          <w:sz w:val="36"/>
          <w:szCs w:val="36"/>
        </w:rPr>
        <w:t>中华人民共和国生态环境部制</w:t>
      </w:r>
    </w:p>
    <w:p>
      <w:pPr>
        <w:adjustRightInd w:val="0"/>
        <w:snapToGrid w:val="0"/>
        <w:spacing w:line="288" w:lineRule="auto"/>
        <w:rPr>
          <w:rFonts w:hint="eastAsia" w:ascii="仿宋_GB2312" w:eastAsia="仿宋_GB2312"/>
          <w:color w:val="auto"/>
          <w:sz w:val="36"/>
          <w:szCs w:val="36"/>
          <w:lang w:eastAsia="zh-CN"/>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r>
        <w:rPr>
          <w:rFonts w:hint="eastAsia" w:ascii="仿宋_GB2312" w:eastAsia="仿宋_GB2312"/>
          <w:color w:val="auto"/>
          <w:sz w:val="36"/>
          <w:szCs w:val="36"/>
          <w:lang w:eastAsia="zh-CN"/>
        </w:rPr>
        <w:drawing>
          <wp:inline distT="0" distB="0" distL="114300" distR="114300">
            <wp:extent cx="5608320" cy="7895590"/>
            <wp:effectExtent l="0" t="0" r="11430" b="10160"/>
            <wp:docPr id="7" name="图片 7" descr="dfe07d7e023f8eee96e6c43e52a1e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fe07d7e023f8eee96e6c43e52a1e2c"/>
                    <pic:cNvPicPr>
                      <a:picLocks noChangeAspect="1"/>
                    </pic:cNvPicPr>
                  </pic:nvPicPr>
                  <pic:blipFill>
                    <a:blip r:embed="rId10"/>
                    <a:stretch>
                      <a:fillRect/>
                    </a:stretch>
                  </pic:blipFill>
                  <pic:spPr>
                    <a:xfrm>
                      <a:off x="0" y="0"/>
                      <a:ext cx="5608320" cy="7895590"/>
                    </a:xfrm>
                    <a:prstGeom prst="rect">
                      <a:avLst/>
                    </a:prstGeom>
                  </pic:spPr>
                </pic:pic>
              </a:graphicData>
            </a:graphic>
          </wp:inline>
        </w:drawing>
      </w:r>
    </w:p>
    <w:tbl>
      <w:tblPr>
        <w:tblStyle w:val="28"/>
        <w:tblW w:w="9070" w:type="dxa"/>
        <w:jc w:val="center"/>
        <w:tblLayout w:type="fixed"/>
        <w:tblCellMar>
          <w:top w:w="0" w:type="dxa"/>
          <w:left w:w="108" w:type="dxa"/>
          <w:bottom w:w="0" w:type="dxa"/>
          <w:right w:w="108" w:type="dxa"/>
        </w:tblCellMar>
      </w:tblPr>
      <w:tblGrid>
        <w:gridCol w:w="4535"/>
        <w:gridCol w:w="4535"/>
      </w:tblGrid>
      <w:tr>
        <w:trPr>
          <w:jc w:val="center"/>
        </w:trPr>
        <w:tc>
          <w:tcPr>
            <w:tcW w:w="4535" w:type="dxa"/>
          </w:tcPr>
          <w:p>
            <w:pPr>
              <w:rPr>
                <w:rFonts w:hint="eastAsia" w:eastAsia="宋体"/>
                <w:color w:val="auto"/>
                <w:highlight w:val="yellow"/>
                <w:lang w:eastAsia="zh-CN"/>
              </w:rPr>
            </w:pPr>
            <w:r>
              <w:rPr>
                <w:rFonts w:hint="eastAsia" w:eastAsia="宋体"/>
                <w:color w:val="auto"/>
                <w:highlight w:val="yellow"/>
                <w:lang w:eastAsia="zh-CN"/>
              </w:rPr>
              <w:drawing>
                <wp:inline distT="0" distB="0" distL="114300" distR="114300">
                  <wp:extent cx="2741295" cy="2544445"/>
                  <wp:effectExtent l="0" t="0" r="1905" b="8255"/>
                  <wp:docPr id="22" name="图片 22" descr="8a331e28f23f328b3eac6e5f42d97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a331e28f23f328b3eac6e5f42d977c"/>
                          <pic:cNvPicPr>
                            <a:picLocks noChangeAspect="1"/>
                          </pic:cNvPicPr>
                        </pic:nvPicPr>
                        <pic:blipFill>
                          <a:blip r:embed="rId11"/>
                          <a:stretch>
                            <a:fillRect/>
                          </a:stretch>
                        </pic:blipFill>
                        <pic:spPr>
                          <a:xfrm>
                            <a:off x="0" y="0"/>
                            <a:ext cx="2741295" cy="2544445"/>
                          </a:xfrm>
                          <a:prstGeom prst="rect">
                            <a:avLst/>
                          </a:prstGeom>
                        </pic:spPr>
                      </pic:pic>
                    </a:graphicData>
                  </a:graphic>
                </wp:inline>
              </w:drawing>
            </w:r>
          </w:p>
        </w:tc>
        <w:tc>
          <w:tcPr>
            <w:tcW w:w="4535" w:type="dxa"/>
          </w:tcPr>
          <w:p>
            <w:pPr>
              <w:rPr>
                <w:rFonts w:hint="eastAsia" w:eastAsia="宋体"/>
                <w:color w:val="auto"/>
                <w:highlight w:val="yellow"/>
                <w:lang w:eastAsia="zh-CN"/>
              </w:rPr>
            </w:pPr>
            <w:r>
              <w:rPr>
                <w:rFonts w:hint="eastAsia" w:eastAsia="宋体"/>
                <w:color w:val="auto"/>
                <w:highlight w:val="yellow"/>
                <w:lang w:eastAsia="zh-CN"/>
              </w:rPr>
              <w:drawing>
                <wp:inline distT="0" distB="0" distL="114300" distR="114300">
                  <wp:extent cx="2729865" cy="2493645"/>
                  <wp:effectExtent l="0" t="0" r="13335" b="1905"/>
                  <wp:docPr id="55" name="图片 55" descr="d2a2b23010e85ede233b41e6b4ed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d2a2b23010e85ede233b41e6b4ede58"/>
                          <pic:cNvPicPr>
                            <a:picLocks noChangeAspect="1"/>
                          </pic:cNvPicPr>
                        </pic:nvPicPr>
                        <pic:blipFill>
                          <a:blip r:embed="rId12"/>
                          <a:stretch>
                            <a:fillRect/>
                          </a:stretch>
                        </pic:blipFill>
                        <pic:spPr>
                          <a:xfrm>
                            <a:off x="0" y="0"/>
                            <a:ext cx="2729865" cy="2493645"/>
                          </a:xfrm>
                          <a:prstGeom prst="rect">
                            <a:avLst/>
                          </a:prstGeom>
                        </pic:spPr>
                      </pic:pic>
                    </a:graphicData>
                  </a:graphic>
                </wp:inline>
              </w:drawing>
            </w:r>
          </w:p>
        </w:tc>
      </w:tr>
      <w:tr>
        <w:tblPrEx>
          <w:tblCellMar>
            <w:top w:w="0" w:type="dxa"/>
            <w:left w:w="108" w:type="dxa"/>
            <w:bottom w:w="0" w:type="dxa"/>
            <w:right w:w="108" w:type="dxa"/>
          </w:tblCellMar>
        </w:tblPrEx>
        <w:trPr>
          <w:trHeight w:val="459" w:hRule="atLeast"/>
          <w:jc w:val="center"/>
        </w:trPr>
        <w:tc>
          <w:tcPr>
            <w:tcW w:w="4535" w:type="dxa"/>
          </w:tcPr>
          <w:p>
            <w:pPr>
              <w:jc w:val="center"/>
              <w:rPr>
                <w:color w:val="auto"/>
                <w:sz w:val="24"/>
              </w:rPr>
            </w:pPr>
            <w:r>
              <w:rPr>
                <w:rFonts w:hint="eastAsia"/>
                <w:color w:val="auto"/>
                <w:sz w:val="24"/>
              </w:rPr>
              <w:t>项目区东侧空地</w:t>
            </w:r>
          </w:p>
        </w:tc>
        <w:tc>
          <w:tcPr>
            <w:tcW w:w="4535" w:type="dxa"/>
          </w:tcPr>
          <w:p>
            <w:pPr>
              <w:jc w:val="center"/>
              <w:rPr>
                <w:rFonts w:hint="default" w:eastAsia="宋体"/>
                <w:color w:val="auto"/>
                <w:sz w:val="24"/>
                <w:lang w:val="en-US" w:eastAsia="zh-CN"/>
              </w:rPr>
            </w:pPr>
            <w:r>
              <w:rPr>
                <w:rFonts w:hint="eastAsia"/>
                <w:color w:val="auto"/>
                <w:sz w:val="24"/>
              </w:rPr>
              <w:t>项目区南侧</w:t>
            </w:r>
            <w:r>
              <w:rPr>
                <w:rFonts w:hint="eastAsia"/>
                <w:color w:val="auto"/>
                <w:sz w:val="24"/>
                <w:lang w:val="en-US" w:eastAsia="zh-CN"/>
              </w:rPr>
              <w:t>废弃房屋</w:t>
            </w:r>
          </w:p>
        </w:tc>
      </w:tr>
      <w:tr>
        <w:tblPrEx>
          <w:tblCellMar>
            <w:top w:w="0" w:type="dxa"/>
            <w:left w:w="108" w:type="dxa"/>
            <w:bottom w:w="0" w:type="dxa"/>
            <w:right w:w="108" w:type="dxa"/>
          </w:tblCellMar>
        </w:tblPrEx>
        <w:trPr>
          <w:jc w:val="center"/>
        </w:trPr>
        <w:tc>
          <w:tcPr>
            <w:tcW w:w="4535" w:type="dxa"/>
          </w:tcPr>
          <w:p>
            <w:pPr>
              <w:rPr>
                <w:rFonts w:hint="eastAsia" w:eastAsia="宋体"/>
                <w:color w:val="auto"/>
                <w:lang w:eastAsia="zh-CN"/>
              </w:rPr>
            </w:pPr>
            <w:r>
              <w:rPr>
                <w:rFonts w:hint="eastAsia" w:eastAsia="宋体"/>
                <w:color w:val="auto"/>
                <w:lang w:eastAsia="zh-CN"/>
              </w:rPr>
              <w:drawing>
                <wp:inline distT="0" distB="0" distL="114300" distR="114300">
                  <wp:extent cx="2729865" cy="2293620"/>
                  <wp:effectExtent l="0" t="0" r="13335" b="11430"/>
                  <wp:docPr id="54" name="图片 54" descr="acde0e606fd5476254393e3dbe33f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acde0e606fd5476254393e3dbe33f9c"/>
                          <pic:cNvPicPr>
                            <a:picLocks noChangeAspect="1"/>
                          </pic:cNvPicPr>
                        </pic:nvPicPr>
                        <pic:blipFill>
                          <a:blip r:embed="rId13"/>
                          <a:stretch>
                            <a:fillRect/>
                          </a:stretch>
                        </pic:blipFill>
                        <pic:spPr>
                          <a:xfrm>
                            <a:off x="0" y="0"/>
                            <a:ext cx="2729865" cy="2293620"/>
                          </a:xfrm>
                          <a:prstGeom prst="rect">
                            <a:avLst/>
                          </a:prstGeom>
                        </pic:spPr>
                      </pic:pic>
                    </a:graphicData>
                  </a:graphic>
                </wp:inline>
              </w:drawing>
            </w:r>
          </w:p>
        </w:tc>
        <w:tc>
          <w:tcPr>
            <w:tcW w:w="4535" w:type="dxa"/>
          </w:tcPr>
          <w:p>
            <w:pPr>
              <w:rPr>
                <w:rFonts w:hint="eastAsia" w:eastAsia="宋体"/>
                <w:color w:val="auto"/>
                <w:lang w:eastAsia="zh-CN"/>
              </w:rPr>
            </w:pPr>
            <w:r>
              <w:rPr>
                <w:rFonts w:hint="eastAsia" w:eastAsia="宋体"/>
                <w:color w:val="auto"/>
                <w:lang w:eastAsia="zh-CN"/>
              </w:rPr>
              <w:drawing>
                <wp:inline distT="0" distB="0" distL="114300" distR="114300">
                  <wp:extent cx="2729865" cy="2284095"/>
                  <wp:effectExtent l="0" t="0" r="13335" b="1905"/>
                  <wp:docPr id="53" name="图片 53" descr="ce6c250d8806a7971f279dbd81b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e6c250d8806a7971f279dbd81b3480"/>
                          <pic:cNvPicPr>
                            <a:picLocks noChangeAspect="1"/>
                          </pic:cNvPicPr>
                        </pic:nvPicPr>
                        <pic:blipFill>
                          <a:blip r:embed="rId14"/>
                          <a:stretch>
                            <a:fillRect/>
                          </a:stretch>
                        </pic:blipFill>
                        <pic:spPr>
                          <a:xfrm>
                            <a:off x="0" y="0"/>
                            <a:ext cx="2729865" cy="2284095"/>
                          </a:xfrm>
                          <a:prstGeom prst="rect">
                            <a:avLst/>
                          </a:prstGeom>
                        </pic:spPr>
                      </pic:pic>
                    </a:graphicData>
                  </a:graphic>
                </wp:inline>
              </w:drawing>
            </w:r>
          </w:p>
        </w:tc>
      </w:tr>
      <w:tr>
        <w:tblPrEx>
          <w:tblCellMar>
            <w:top w:w="0" w:type="dxa"/>
            <w:left w:w="108" w:type="dxa"/>
            <w:bottom w:w="0" w:type="dxa"/>
            <w:right w:w="108" w:type="dxa"/>
          </w:tblCellMar>
        </w:tblPrEx>
        <w:trPr>
          <w:trHeight w:val="455" w:hRule="atLeast"/>
          <w:jc w:val="center"/>
        </w:trPr>
        <w:tc>
          <w:tcPr>
            <w:tcW w:w="4535" w:type="dxa"/>
          </w:tcPr>
          <w:p>
            <w:pPr>
              <w:jc w:val="center"/>
              <w:rPr>
                <w:b/>
                <w:color w:val="auto"/>
                <w:sz w:val="24"/>
              </w:rPr>
            </w:pPr>
            <w:r>
              <w:rPr>
                <w:rFonts w:hint="eastAsia"/>
                <w:color w:val="auto"/>
                <w:sz w:val="24"/>
              </w:rPr>
              <w:t>项目区西侧</w:t>
            </w:r>
          </w:p>
        </w:tc>
        <w:tc>
          <w:tcPr>
            <w:tcW w:w="4535" w:type="dxa"/>
          </w:tcPr>
          <w:p>
            <w:pPr>
              <w:jc w:val="center"/>
              <w:rPr>
                <w:color w:val="auto"/>
                <w:sz w:val="24"/>
              </w:rPr>
            </w:pPr>
            <w:r>
              <w:rPr>
                <w:rFonts w:hint="eastAsia"/>
                <w:color w:val="auto"/>
                <w:sz w:val="24"/>
              </w:rPr>
              <w:t>项目区北侧</w:t>
            </w:r>
          </w:p>
        </w:tc>
      </w:tr>
      <w:tr>
        <w:tblPrEx>
          <w:tblCellMar>
            <w:top w:w="0" w:type="dxa"/>
            <w:left w:w="108" w:type="dxa"/>
            <w:bottom w:w="0" w:type="dxa"/>
            <w:right w:w="108" w:type="dxa"/>
          </w:tblCellMar>
        </w:tblPrEx>
        <w:trPr>
          <w:jc w:val="center"/>
        </w:trPr>
        <w:tc>
          <w:tcPr>
            <w:tcW w:w="4535" w:type="dxa"/>
          </w:tcPr>
          <w:p>
            <w:pPr>
              <w:rPr>
                <w:color w:val="auto"/>
                <w:highlight w:val="yellow"/>
              </w:rPr>
            </w:pPr>
            <w:r>
              <w:rPr>
                <w:rFonts w:hint="eastAsia"/>
                <w:color w:val="auto"/>
                <w:highlight w:val="yellow"/>
              </w:rPr>
              <w:drawing>
                <wp:inline distT="0" distB="0" distL="114300" distR="114300">
                  <wp:extent cx="2731770" cy="2357120"/>
                  <wp:effectExtent l="0" t="0" r="11430" b="5080"/>
                  <wp:docPr id="12" name="图片 12" descr="a278242d8d04c72b8839fcf2035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278242d8d04c72b8839fcf20352497"/>
                          <pic:cNvPicPr>
                            <a:picLocks noChangeAspect="1"/>
                          </pic:cNvPicPr>
                        </pic:nvPicPr>
                        <pic:blipFill>
                          <a:blip r:embed="rId15"/>
                          <a:stretch>
                            <a:fillRect/>
                          </a:stretch>
                        </pic:blipFill>
                        <pic:spPr>
                          <a:xfrm>
                            <a:off x="0" y="0"/>
                            <a:ext cx="2731770" cy="2357120"/>
                          </a:xfrm>
                          <a:prstGeom prst="rect">
                            <a:avLst/>
                          </a:prstGeom>
                        </pic:spPr>
                      </pic:pic>
                    </a:graphicData>
                  </a:graphic>
                </wp:inline>
              </w:drawing>
            </w:r>
          </w:p>
        </w:tc>
        <w:tc>
          <w:tcPr>
            <w:tcW w:w="4535" w:type="dxa"/>
          </w:tcPr>
          <w:p>
            <w:pPr>
              <w:rPr>
                <w:color w:val="auto"/>
                <w:highlight w:val="yellow"/>
              </w:rPr>
            </w:pPr>
            <w:r>
              <w:rPr>
                <w:rFonts w:hint="eastAsia"/>
                <w:color w:val="auto"/>
                <w:highlight w:val="yellow"/>
              </w:rPr>
              <w:drawing>
                <wp:inline distT="0" distB="0" distL="114300" distR="114300">
                  <wp:extent cx="2731770" cy="2322830"/>
                  <wp:effectExtent l="0" t="0" r="11430" b="1270"/>
                  <wp:docPr id="17" name="图片 17" descr="71d2982d6a7fc44e4bedc36103342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1d2982d6a7fc44e4bedc361033421d"/>
                          <pic:cNvPicPr>
                            <a:picLocks noChangeAspect="1"/>
                          </pic:cNvPicPr>
                        </pic:nvPicPr>
                        <pic:blipFill>
                          <a:blip r:embed="rId16"/>
                          <a:stretch>
                            <a:fillRect/>
                          </a:stretch>
                        </pic:blipFill>
                        <pic:spPr>
                          <a:xfrm>
                            <a:off x="0" y="0"/>
                            <a:ext cx="2731770" cy="2322830"/>
                          </a:xfrm>
                          <a:prstGeom prst="rect">
                            <a:avLst/>
                          </a:prstGeom>
                        </pic:spPr>
                      </pic:pic>
                    </a:graphicData>
                  </a:graphic>
                </wp:inline>
              </w:drawing>
            </w:r>
          </w:p>
        </w:tc>
      </w:tr>
      <w:tr>
        <w:tblPrEx>
          <w:tblCellMar>
            <w:top w:w="0" w:type="dxa"/>
            <w:left w:w="108" w:type="dxa"/>
            <w:bottom w:w="0" w:type="dxa"/>
            <w:right w:w="108" w:type="dxa"/>
          </w:tblCellMar>
        </w:tblPrEx>
        <w:trPr>
          <w:trHeight w:val="267" w:hRule="atLeast"/>
          <w:jc w:val="center"/>
        </w:trPr>
        <w:tc>
          <w:tcPr>
            <w:tcW w:w="4535" w:type="dxa"/>
          </w:tcPr>
          <w:p>
            <w:pPr>
              <w:jc w:val="center"/>
              <w:rPr>
                <w:color w:val="auto"/>
                <w:sz w:val="24"/>
              </w:rPr>
            </w:pPr>
            <w:r>
              <w:rPr>
                <w:rFonts w:hint="eastAsia"/>
                <w:color w:val="auto"/>
                <w:sz w:val="24"/>
              </w:rPr>
              <w:t>厂区现状</w:t>
            </w:r>
          </w:p>
        </w:tc>
        <w:tc>
          <w:tcPr>
            <w:tcW w:w="4535" w:type="dxa"/>
          </w:tcPr>
          <w:p>
            <w:pPr>
              <w:ind w:firstLine="1440" w:firstLineChars="600"/>
              <w:rPr>
                <w:b/>
                <w:color w:val="auto"/>
                <w:sz w:val="28"/>
                <w:szCs w:val="28"/>
              </w:rPr>
            </w:pPr>
            <w:r>
              <w:rPr>
                <w:rFonts w:hint="eastAsia"/>
                <w:color w:val="auto"/>
                <w:sz w:val="24"/>
              </w:rPr>
              <w:t>厂区已建变频电磁采暖炉</w:t>
            </w:r>
          </w:p>
        </w:tc>
      </w:tr>
    </w:tbl>
    <w:p>
      <w:pPr>
        <w:pStyle w:val="27"/>
        <w:ind w:firstLine="480"/>
        <w:rPr>
          <w:color w:val="auto"/>
        </w:rPr>
      </w:pPr>
    </w:p>
    <w:tbl>
      <w:tblPr>
        <w:tblStyle w:val="28"/>
        <w:tblW w:w="9070" w:type="dxa"/>
        <w:jc w:val="center"/>
        <w:tblLayout w:type="fixed"/>
        <w:tblCellMar>
          <w:top w:w="0" w:type="dxa"/>
          <w:left w:w="108" w:type="dxa"/>
          <w:bottom w:w="0" w:type="dxa"/>
          <w:right w:w="108" w:type="dxa"/>
        </w:tblCellMar>
      </w:tblPr>
      <w:tblGrid>
        <w:gridCol w:w="4535"/>
        <w:gridCol w:w="4535"/>
      </w:tblGrid>
      <w:tr>
        <w:tblPrEx>
          <w:tblCellMar>
            <w:top w:w="0" w:type="dxa"/>
            <w:left w:w="108" w:type="dxa"/>
            <w:bottom w:w="0" w:type="dxa"/>
            <w:right w:w="108" w:type="dxa"/>
          </w:tblCellMar>
        </w:tblPrEx>
        <w:trPr>
          <w:jc w:val="center"/>
        </w:trPr>
        <w:tc>
          <w:tcPr>
            <w:tcW w:w="4535" w:type="dxa"/>
          </w:tcPr>
          <w:p>
            <w:pPr>
              <w:rPr>
                <w:color w:val="auto"/>
                <w:highlight w:val="yellow"/>
              </w:rPr>
            </w:pPr>
            <w:r>
              <w:rPr>
                <w:rFonts w:hint="eastAsia"/>
                <w:color w:val="auto"/>
                <w:highlight w:val="yellow"/>
              </w:rPr>
              <w:drawing>
                <wp:inline distT="0" distB="0" distL="114300" distR="114300">
                  <wp:extent cx="2686050" cy="1858010"/>
                  <wp:effectExtent l="0" t="0" r="0" b="8890"/>
                  <wp:docPr id="39" name="图片 39" descr="9d36657a11d4eda9d94a3cce5b8ae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9d36657a11d4eda9d94a3cce5b8aec4"/>
                          <pic:cNvPicPr>
                            <a:picLocks noChangeAspect="1"/>
                          </pic:cNvPicPr>
                        </pic:nvPicPr>
                        <pic:blipFill>
                          <a:blip r:embed="rId17"/>
                          <a:stretch>
                            <a:fillRect/>
                          </a:stretch>
                        </pic:blipFill>
                        <pic:spPr>
                          <a:xfrm>
                            <a:off x="0" y="0"/>
                            <a:ext cx="2686050" cy="1858010"/>
                          </a:xfrm>
                          <a:prstGeom prst="rect">
                            <a:avLst/>
                          </a:prstGeom>
                        </pic:spPr>
                      </pic:pic>
                    </a:graphicData>
                  </a:graphic>
                </wp:inline>
              </w:drawing>
            </w:r>
          </w:p>
        </w:tc>
        <w:tc>
          <w:tcPr>
            <w:tcW w:w="4535" w:type="dxa"/>
          </w:tcPr>
          <w:p>
            <w:pPr>
              <w:rPr>
                <w:color w:val="auto"/>
                <w:highlight w:val="yellow"/>
              </w:rPr>
            </w:pPr>
            <w:r>
              <w:rPr>
                <w:rFonts w:hint="eastAsia" w:ascii="宋体" w:hAnsi="宋体" w:eastAsia="黑体"/>
                <w:color w:val="auto"/>
                <w:kern w:val="0"/>
              </w:rPr>
              <w:drawing>
                <wp:anchor distT="0" distB="0" distL="114300" distR="114300" simplePos="0" relativeHeight="251659264" behindDoc="0" locked="0" layoutInCell="1" allowOverlap="1">
                  <wp:simplePos x="0" y="0"/>
                  <wp:positionH relativeFrom="column">
                    <wp:posOffset>32385</wp:posOffset>
                  </wp:positionH>
                  <wp:positionV relativeFrom="paragraph">
                    <wp:posOffset>41910</wp:posOffset>
                  </wp:positionV>
                  <wp:extent cx="2711450" cy="1811655"/>
                  <wp:effectExtent l="0" t="0" r="12700" b="17145"/>
                  <wp:wrapNone/>
                  <wp:docPr id="61" name="图片 61" descr="c0032b097de6418917f53aa5dbac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0032b097de6418917f53aa5dbac676"/>
                          <pic:cNvPicPr>
                            <a:picLocks noChangeAspect="1"/>
                          </pic:cNvPicPr>
                        </pic:nvPicPr>
                        <pic:blipFill>
                          <a:blip r:embed="rId18"/>
                          <a:stretch>
                            <a:fillRect/>
                          </a:stretch>
                        </pic:blipFill>
                        <pic:spPr>
                          <a:xfrm>
                            <a:off x="0" y="0"/>
                            <a:ext cx="2711450" cy="1811655"/>
                          </a:xfrm>
                          <a:prstGeom prst="rect">
                            <a:avLst/>
                          </a:prstGeom>
                        </pic:spPr>
                      </pic:pic>
                    </a:graphicData>
                  </a:graphic>
                </wp:anchor>
              </w:drawing>
            </w:r>
          </w:p>
        </w:tc>
      </w:tr>
      <w:tr>
        <w:tblPrEx>
          <w:tblCellMar>
            <w:top w:w="0" w:type="dxa"/>
            <w:left w:w="108" w:type="dxa"/>
            <w:bottom w:w="0" w:type="dxa"/>
            <w:right w:w="108" w:type="dxa"/>
          </w:tblCellMar>
        </w:tblPrEx>
        <w:trPr>
          <w:trHeight w:val="204" w:hRule="atLeast"/>
          <w:jc w:val="center"/>
        </w:trPr>
        <w:tc>
          <w:tcPr>
            <w:tcW w:w="4535" w:type="dxa"/>
          </w:tcPr>
          <w:p>
            <w:pPr>
              <w:jc w:val="center"/>
              <w:rPr>
                <w:color w:val="auto"/>
                <w:sz w:val="24"/>
              </w:rPr>
            </w:pPr>
            <w:r>
              <w:rPr>
                <w:rFonts w:hint="eastAsia"/>
                <w:color w:val="auto"/>
                <w:sz w:val="24"/>
              </w:rPr>
              <w:t>消防水池和动力中心</w:t>
            </w:r>
          </w:p>
        </w:tc>
        <w:tc>
          <w:tcPr>
            <w:tcW w:w="4535" w:type="dxa"/>
          </w:tcPr>
          <w:p>
            <w:pPr>
              <w:jc w:val="center"/>
              <w:rPr>
                <w:color w:val="auto"/>
                <w:sz w:val="24"/>
              </w:rPr>
            </w:pPr>
            <w:r>
              <w:rPr>
                <w:rFonts w:hint="eastAsia"/>
                <w:color w:val="auto"/>
                <w:sz w:val="24"/>
              </w:rPr>
              <w:t>污水处理消毒设施</w:t>
            </w:r>
          </w:p>
        </w:tc>
      </w:tr>
      <w:tr>
        <w:tblPrEx>
          <w:tblCellMar>
            <w:top w:w="0" w:type="dxa"/>
            <w:left w:w="108" w:type="dxa"/>
            <w:bottom w:w="0" w:type="dxa"/>
            <w:right w:w="108" w:type="dxa"/>
          </w:tblCellMar>
        </w:tblPrEx>
        <w:trPr>
          <w:jc w:val="center"/>
        </w:trPr>
        <w:tc>
          <w:tcPr>
            <w:tcW w:w="4535" w:type="dxa"/>
          </w:tcPr>
          <w:p>
            <w:pPr>
              <w:rPr>
                <w:color w:val="auto"/>
              </w:rPr>
            </w:pPr>
            <w:r>
              <w:rPr>
                <w:rFonts w:hint="eastAsia" w:ascii="宋体" w:hAnsi="宋体" w:cs="宋体"/>
                <w:b/>
                <w:bCs/>
                <w:color w:val="auto"/>
              </w:rPr>
              <w:drawing>
                <wp:anchor distT="0" distB="0" distL="114300" distR="114300" simplePos="0" relativeHeight="251660288" behindDoc="0" locked="0" layoutInCell="1" allowOverlap="1">
                  <wp:simplePos x="0" y="0"/>
                  <wp:positionH relativeFrom="column">
                    <wp:posOffset>12700</wp:posOffset>
                  </wp:positionH>
                  <wp:positionV relativeFrom="paragraph">
                    <wp:posOffset>34290</wp:posOffset>
                  </wp:positionV>
                  <wp:extent cx="2700655" cy="1694180"/>
                  <wp:effectExtent l="0" t="0" r="4445" b="1270"/>
                  <wp:wrapNone/>
                  <wp:docPr id="46" name="图片 46" descr="83dd558813889fd11107f9ab261ec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83dd558813889fd11107f9ab261eca3"/>
                          <pic:cNvPicPr>
                            <a:picLocks noChangeAspect="1"/>
                          </pic:cNvPicPr>
                        </pic:nvPicPr>
                        <pic:blipFill>
                          <a:blip r:embed="rId19"/>
                          <a:stretch>
                            <a:fillRect/>
                          </a:stretch>
                        </pic:blipFill>
                        <pic:spPr>
                          <a:xfrm>
                            <a:off x="0" y="0"/>
                            <a:ext cx="2700655" cy="1694180"/>
                          </a:xfrm>
                          <a:prstGeom prst="rect">
                            <a:avLst/>
                          </a:prstGeom>
                        </pic:spPr>
                      </pic:pic>
                    </a:graphicData>
                  </a:graphic>
                </wp:anchor>
              </w:drawing>
            </w:r>
          </w:p>
        </w:tc>
        <w:tc>
          <w:tcPr>
            <w:tcW w:w="4535" w:type="dxa"/>
          </w:tcPr>
          <w:p>
            <w:pPr>
              <w:rPr>
                <w:color w:val="auto"/>
              </w:rPr>
            </w:pPr>
            <w:r>
              <w:rPr>
                <w:rFonts w:hint="eastAsia"/>
                <w:color w:val="auto"/>
              </w:rPr>
              <w:drawing>
                <wp:inline distT="0" distB="0" distL="114300" distR="114300">
                  <wp:extent cx="2731770" cy="1867535"/>
                  <wp:effectExtent l="0" t="0" r="11430" b="18415"/>
                  <wp:docPr id="47" name="图片 47" descr="892074113b0679ecb227df068366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892074113b0679ecb227df068366b01"/>
                          <pic:cNvPicPr>
                            <a:picLocks noChangeAspect="1"/>
                          </pic:cNvPicPr>
                        </pic:nvPicPr>
                        <pic:blipFill>
                          <a:blip r:embed="rId20"/>
                          <a:stretch>
                            <a:fillRect/>
                          </a:stretch>
                        </pic:blipFill>
                        <pic:spPr>
                          <a:xfrm>
                            <a:off x="0" y="0"/>
                            <a:ext cx="2731770" cy="1867535"/>
                          </a:xfrm>
                          <a:prstGeom prst="rect">
                            <a:avLst/>
                          </a:prstGeom>
                        </pic:spPr>
                      </pic:pic>
                    </a:graphicData>
                  </a:graphic>
                </wp:inline>
              </w:drawing>
            </w:r>
          </w:p>
        </w:tc>
      </w:tr>
      <w:tr>
        <w:tblPrEx>
          <w:tblCellMar>
            <w:top w:w="0" w:type="dxa"/>
            <w:left w:w="108" w:type="dxa"/>
            <w:bottom w:w="0" w:type="dxa"/>
            <w:right w:w="108" w:type="dxa"/>
          </w:tblCellMar>
        </w:tblPrEx>
        <w:trPr>
          <w:trHeight w:val="290" w:hRule="atLeast"/>
          <w:jc w:val="center"/>
        </w:trPr>
        <w:tc>
          <w:tcPr>
            <w:tcW w:w="4535" w:type="dxa"/>
          </w:tcPr>
          <w:p>
            <w:pPr>
              <w:jc w:val="center"/>
              <w:rPr>
                <w:b/>
                <w:color w:val="auto"/>
                <w:sz w:val="24"/>
              </w:rPr>
            </w:pPr>
            <w:r>
              <w:rPr>
                <w:rFonts w:hint="eastAsia"/>
                <w:color w:val="auto"/>
                <w:sz w:val="24"/>
              </w:rPr>
              <w:t>洗车废水隔油池</w:t>
            </w:r>
          </w:p>
        </w:tc>
        <w:tc>
          <w:tcPr>
            <w:tcW w:w="4535" w:type="dxa"/>
          </w:tcPr>
          <w:p>
            <w:pPr>
              <w:jc w:val="center"/>
              <w:rPr>
                <w:color w:val="auto"/>
                <w:sz w:val="24"/>
              </w:rPr>
            </w:pPr>
            <w:r>
              <w:rPr>
                <w:rFonts w:hint="eastAsia"/>
                <w:color w:val="auto"/>
                <w:sz w:val="24"/>
              </w:rPr>
              <w:t>厂区监控系统</w:t>
            </w:r>
          </w:p>
        </w:tc>
      </w:tr>
      <w:tr>
        <w:tblPrEx>
          <w:tblCellMar>
            <w:top w:w="0" w:type="dxa"/>
            <w:left w:w="108" w:type="dxa"/>
            <w:bottom w:w="0" w:type="dxa"/>
            <w:right w:w="108" w:type="dxa"/>
          </w:tblCellMar>
        </w:tblPrEx>
        <w:trPr>
          <w:jc w:val="center"/>
        </w:trPr>
        <w:tc>
          <w:tcPr>
            <w:tcW w:w="4535" w:type="dxa"/>
          </w:tcPr>
          <w:p>
            <w:pPr>
              <w:rPr>
                <w:color w:val="auto"/>
                <w:highlight w:val="yellow"/>
              </w:rPr>
            </w:pPr>
            <w:r>
              <w:rPr>
                <w:rFonts w:hint="eastAsia" w:eastAsia="黑体"/>
                <w:color w:val="auto"/>
              </w:rPr>
              <w:drawing>
                <wp:anchor distT="0" distB="0" distL="114300" distR="114300" simplePos="0" relativeHeight="251661312" behindDoc="0" locked="0" layoutInCell="1" allowOverlap="1">
                  <wp:simplePos x="0" y="0"/>
                  <wp:positionH relativeFrom="column">
                    <wp:posOffset>50800</wp:posOffset>
                  </wp:positionH>
                  <wp:positionV relativeFrom="paragraph">
                    <wp:posOffset>61595</wp:posOffset>
                  </wp:positionV>
                  <wp:extent cx="2654300" cy="1637030"/>
                  <wp:effectExtent l="0" t="0" r="12700" b="1270"/>
                  <wp:wrapNone/>
                  <wp:docPr id="48" name="图片 48" descr="9adae4b74b6713b101208875b5e9b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9adae4b74b6713b101208875b5e9bfa"/>
                          <pic:cNvPicPr>
                            <a:picLocks noChangeAspect="1"/>
                          </pic:cNvPicPr>
                        </pic:nvPicPr>
                        <pic:blipFill>
                          <a:blip r:embed="rId21"/>
                          <a:stretch>
                            <a:fillRect/>
                          </a:stretch>
                        </pic:blipFill>
                        <pic:spPr>
                          <a:xfrm>
                            <a:off x="0" y="0"/>
                            <a:ext cx="2654300" cy="1637030"/>
                          </a:xfrm>
                          <a:prstGeom prst="rect">
                            <a:avLst/>
                          </a:prstGeom>
                        </pic:spPr>
                      </pic:pic>
                    </a:graphicData>
                  </a:graphic>
                </wp:anchor>
              </w:drawing>
            </w:r>
          </w:p>
        </w:tc>
        <w:tc>
          <w:tcPr>
            <w:tcW w:w="4535" w:type="dxa"/>
          </w:tcPr>
          <w:p>
            <w:pPr>
              <w:rPr>
                <w:color w:val="auto"/>
                <w:highlight w:val="yellow"/>
              </w:rPr>
            </w:pPr>
            <w:r>
              <w:rPr>
                <w:rFonts w:hint="eastAsia"/>
                <w:color w:val="auto"/>
                <w:highlight w:val="yellow"/>
              </w:rPr>
              <w:drawing>
                <wp:inline distT="0" distB="0" distL="114300" distR="114300">
                  <wp:extent cx="2740660" cy="1733550"/>
                  <wp:effectExtent l="0" t="0" r="2540" b="0"/>
                  <wp:docPr id="49" name="图片 49" descr="ecc8d28e0a975bcff85019463a1b8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ecc8d28e0a975bcff85019463a1b88a"/>
                          <pic:cNvPicPr>
                            <a:picLocks noChangeAspect="1"/>
                          </pic:cNvPicPr>
                        </pic:nvPicPr>
                        <pic:blipFill>
                          <a:blip r:embed="rId22"/>
                          <a:stretch>
                            <a:fillRect/>
                          </a:stretch>
                        </pic:blipFill>
                        <pic:spPr>
                          <a:xfrm>
                            <a:off x="0" y="0"/>
                            <a:ext cx="2740660" cy="1733550"/>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4535" w:type="dxa"/>
          </w:tcPr>
          <w:p>
            <w:pPr>
              <w:jc w:val="center"/>
              <w:rPr>
                <w:color w:val="auto"/>
                <w:sz w:val="24"/>
              </w:rPr>
            </w:pPr>
            <w:r>
              <w:rPr>
                <w:rFonts w:hint="eastAsia"/>
                <w:color w:val="auto"/>
                <w:sz w:val="24"/>
              </w:rPr>
              <w:t>已建危废暂存间</w:t>
            </w:r>
          </w:p>
        </w:tc>
        <w:tc>
          <w:tcPr>
            <w:tcW w:w="4535" w:type="dxa"/>
          </w:tcPr>
          <w:p>
            <w:pPr>
              <w:ind w:firstLine="1440" w:firstLineChars="600"/>
              <w:rPr>
                <w:b/>
                <w:color w:val="auto"/>
                <w:sz w:val="28"/>
                <w:szCs w:val="28"/>
                <w:highlight w:val="yellow"/>
              </w:rPr>
            </w:pPr>
            <w:r>
              <w:rPr>
                <w:rFonts w:hint="eastAsia"/>
                <w:color w:val="auto"/>
                <w:sz w:val="24"/>
              </w:rPr>
              <w:t>上料工房</w:t>
            </w:r>
          </w:p>
        </w:tc>
      </w:tr>
      <w:tr>
        <w:tblPrEx>
          <w:tblCellMar>
            <w:top w:w="0" w:type="dxa"/>
            <w:left w:w="108" w:type="dxa"/>
            <w:bottom w:w="0" w:type="dxa"/>
            <w:right w:w="108" w:type="dxa"/>
          </w:tblCellMar>
        </w:tblPrEx>
        <w:trPr>
          <w:trHeight w:val="267" w:hRule="atLeast"/>
          <w:jc w:val="center"/>
        </w:trPr>
        <w:tc>
          <w:tcPr>
            <w:tcW w:w="4535" w:type="dxa"/>
          </w:tcPr>
          <w:p>
            <w:pPr>
              <w:jc w:val="center"/>
              <w:rPr>
                <w:color w:val="auto"/>
                <w:sz w:val="24"/>
              </w:rPr>
            </w:pPr>
            <w:r>
              <w:rPr>
                <w:color w:val="auto"/>
                <w:sz w:val="24"/>
              </w:rPr>
              <w:drawing>
                <wp:inline distT="0" distB="0" distL="114300" distR="114300">
                  <wp:extent cx="2720975" cy="1800225"/>
                  <wp:effectExtent l="0" t="0" r="3175" b="9525"/>
                  <wp:docPr id="51" name="图片 51" descr="5e7552c072a2b12051e8873b2d05f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5e7552c072a2b12051e8873b2d05f1e"/>
                          <pic:cNvPicPr>
                            <a:picLocks noChangeAspect="1"/>
                          </pic:cNvPicPr>
                        </pic:nvPicPr>
                        <pic:blipFill>
                          <a:blip r:embed="rId23"/>
                          <a:stretch>
                            <a:fillRect/>
                          </a:stretch>
                        </pic:blipFill>
                        <pic:spPr>
                          <a:xfrm>
                            <a:off x="0" y="0"/>
                            <a:ext cx="2720975" cy="1800225"/>
                          </a:xfrm>
                          <a:prstGeom prst="rect">
                            <a:avLst/>
                          </a:prstGeom>
                        </pic:spPr>
                      </pic:pic>
                    </a:graphicData>
                  </a:graphic>
                </wp:inline>
              </w:drawing>
            </w:r>
          </w:p>
        </w:tc>
        <w:tc>
          <w:tcPr>
            <w:tcW w:w="4535" w:type="dxa"/>
          </w:tcPr>
          <w:p>
            <w:pPr>
              <w:rPr>
                <w:b/>
                <w:color w:val="auto"/>
                <w:sz w:val="28"/>
                <w:szCs w:val="28"/>
                <w:highlight w:val="yellow"/>
              </w:rPr>
            </w:pPr>
            <w:r>
              <w:rPr>
                <w:b/>
                <w:color w:val="auto"/>
                <w:sz w:val="28"/>
                <w:szCs w:val="28"/>
                <w:highlight w:val="yellow"/>
              </w:rPr>
              <w:drawing>
                <wp:inline distT="0" distB="0" distL="114300" distR="114300">
                  <wp:extent cx="2731770" cy="1762760"/>
                  <wp:effectExtent l="0" t="0" r="11430" b="8890"/>
                  <wp:docPr id="25" name="图片 25" descr="c1347a11deb39054ea2be1fa6b46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1347a11deb39054ea2be1fa6b46218"/>
                          <pic:cNvPicPr>
                            <a:picLocks noChangeAspect="1"/>
                          </pic:cNvPicPr>
                        </pic:nvPicPr>
                        <pic:blipFill>
                          <a:blip r:embed="rId24"/>
                          <a:stretch>
                            <a:fillRect/>
                          </a:stretch>
                        </pic:blipFill>
                        <pic:spPr>
                          <a:xfrm>
                            <a:off x="0" y="0"/>
                            <a:ext cx="2731770" cy="1762760"/>
                          </a:xfrm>
                          <a:prstGeom prst="rect">
                            <a:avLst/>
                          </a:prstGeom>
                        </pic:spPr>
                      </pic:pic>
                    </a:graphicData>
                  </a:graphic>
                </wp:inline>
              </w:drawing>
            </w:r>
          </w:p>
        </w:tc>
      </w:tr>
      <w:tr>
        <w:tblPrEx>
          <w:tblCellMar>
            <w:top w:w="0" w:type="dxa"/>
            <w:left w:w="108" w:type="dxa"/>
            <w:bottom w:w="0" w:type="dxa"/>
            <w:right w:w="108" w:type="dxa"/>
          </w:tblCellMar>
        </w:tblPrEx>
        <w:trPr>
          <w:trHeight w:val="105" w:hRule="atLeast"/>
          <w:jc w:val="center"/>
        </w:trPr>
        <w:tc>
          <w:tcPr>
            <w:tcW w:w="4535" w:type="dxa"/>
          </w:tcPr>
          <w:p>
            <w:pPr>
              <w:jc w:val="center"/>
              <w:rPr>
                <w:color w:val="auto"/>
                <w:sz w:val="24"/>
              </w:rPr>
            </w:pPr>
            <w:r>
              <w:rPr>
                <w:rFonts w:hint="eastAsia"/>
                <w:color w:val="auto"/>
                <w:sz w:val="24"/>
              </w:rPr>
              <w:t>柴油储罐区</w:t>
            </w:r>
          </w:p>
        </w:tc>
        <w:tc>
          <w:tcPr>
            <w:tcW w:w="4535" w:type="dxa"/>
          </w:tcPr>
          <w:p>
            <w:pPr>
              <w:ind w:firstLine="1440" w:firstLineChars="600"/>
              <w:rPr>
                <w:b/>
                <w:color w:val="auto"/>
                <w:sz w:val="28"/>
                <w:szCs w:val="28"/>
                <w:highlight w:val="yellow"/>
              </w:rPr>
            </w:pPr>
            <w:r>
              <w:rPr>
                <w:rFonts w:hint="eastAsia"/>
                <w:color w:val="auto"/>
                <w:sz w:val="24"/>
              </w:rPr>
              <w:t>污水处理站</w:t>
            </w:r>
          </w:p>
        </w:tc>
      </w:tr>
    </w:tbl>
    <w:p>
      <w:pPr>
        <w:pStyle w:val="84"/>
        <w:ind w:firstLine="562"/>
        <w:jc w:val="center"/>
        <w:rPr>
          <w:rFonts w:eastAsia="宋体"/>
          <w:b/>
          <w:bCs/>
          <w:color w:val="auto"/>
        </w:rPr>
      </w:pPr>
      <w:r>
        <w:rPr>
          <w:rFonts w:hint="eastAsia" w:eastAsia="宋体"/>
          <w:b/>
          <w:bCs/>
          <w:color w:val="auto"/>
        </w:rPr>
        <w:t>现场勘查照片</w:t>
      </w:r>
    </w:p>
    <w:p>
      <w:pPr>
        <w:rPr>
          <w:color w:val="auto"/>
        </w:rPr>
        <w:sectPr>
          <w:pgSz w:w="11906" w:h="16838"/>
          <w:pgMar w:top="1701" w:right="1531" w:bottom="1701" w:left="1531" w:header="851" w:footer="1077" w:gutter="0"/>
          <w:pgNumType w:start="3"/>
          <w:cols w:space="720" w:num="1"/>
          <w:docGrid w:linePitch="312" w:charSpace="0"/>
        </w:sectPr>
      </w:pPr>
    </w:p>
    <w:p>
      <w:pPr>
        <w:pStyle w:val="24"/>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28"/>
        <w:tblW w:w="899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281"/>
        <w:gridCol w:w="2139"/>
        <w:gridCol w:w="1811"/>
        <w:gridCol w:w="27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81" w:type="dxa"/>
            <w:tcMar>
              <w:top w:w="16" w:type="dxa"/>
              <w:left w:w="16" w:type="dxa"/>
              <w:right w:w="16" w:type="dxa"/>
            </w:tcMar>
            <w:vAlign w:val="center"/>
          </w:tcPr>
          <w:p>
            <w:pPr>
              <w:adjustRightInd w:val="0"/>
              <w:snapToGrid w:val="0"/>
              <w:jc w:val="center"/>
              <w:rPr>
                <w:color w:val="auto"/>
                <w:sz w:val="24"/>
              </w:rPr>
            </w:pPr>
            <w:r>
              <w:rPr>
                <w:color w:val="auto"/>
                <w:sz w:val="24"/>
              </w:rPr>
              <w:t>建设项目名称</w:t>
            </w:r>
          </w:p>
        </w:tc>
        <w:tc>
          <w:tcPr>
            <w:tcW w:w="6718" w:type="dxa"/>
            <w:gridSpan w:val="3"/>
            <w:vAlign w:val="center"/>
          </w:tcPr>
          <w:p>
            <w:pPr>
              <w:adjustRightInd w:val="0"/>
              <w:snapToGrid w:val="0"/>
              <w:jc w:val="center"/>
              <w:rPr>
                <w:color w:val="auto"/>
                <w:sz w:val="24"/>
              </w:rPr>
            </w:pPr>
            <w:r>
              <w:rPr>
                <w:rFonts w:hint="eastAsia"/>
                <w:color w:val="auto"/>
                <w:sz w:val="24"/>
              </w:rPr>
              <w:t>现场混装多孔粒状铵油炸药生产系统扩能项目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81" w:type="dxa"/>
            <w:tcMar>
              <w:top w:w="16" w:type="dxa"/>
              <w:left w:w="16" w:type="dxa"/>
              <w:right w:w="16" w:type="dxa"/>
            </w:tcMar>
            <w:vAlign w:val="center"/>
          </w:tcPr>
          <w:p>
            <w:pPr>
              <w:adjustRightInd w:val="0"/>
              <w:snapToGrid w:val="0"/>
              <w:jc w:val="center"/>
              <w:rPr>
                <w:color w:val="auto"/>
                <w:sz w:val="24"/>
              </w:rPr>
            </w:pPr>
            <w:r>
              <w:rPr>
                <w:color w:val="auto"/>
                <w:sz w:val="24"/>
              </w:rPr>
              <w:t>项目代码</w:t>
            </w:r>
          </w:p>
        </w:tc>
        <w:tc>
          <w:tcPr>
            <w:tcW w:w="6718" w:type="dxa"/>
            <w:gridSpan w:val="3"/>
            <w:vAlign w:val="center"/>
          </w:tcPr>
          <w:p>
            <w:pPr>
              <w:adjustRightInd w:val="0"/>
              <w:snapToGrid w:val="0"/>
              <w:jc w:val="center"/>
              <w:rPr>
                <w:color w:val="auto"/>
                <w:sz w:val="24"/>
              </w:rPr>
            </w:pPr>
            <w:r>
              <w:rPr>
                <w:rFonts w:hint="eastAsia"/>
                <w:color w:val="auto"/>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81" w:type="dxa"/>
            <w:tcMar>
              <w:top w:w="16" w:type="dxa"/>
              <w:left w:w="16" w:type="dxa"/>
              <w:right w:w="16" w:type="dxa"/>
            </w:tcMar>
            <w:vAlign w:val="center"/>
          </w:tcPr>
          <w:p>
            <w:pPr>
              <w:adjustRightInd w:val="0"/>
              <w:snapToGrid w:val="0"/>
              <w:jc w:val="center"/>
              <w:rPr>
                <w:color w:val="auto"/>
                <w:sz w:val="24"/>
              </w:rPr>
            </w:pPr>
            <w:r>
              <w:rPr>
                <w:color w:val="auto"/>
                <w:sz w:val="24"/>
              </w:rPr>
              <w:t>建设单位联系人</w:t>
            </w:r>
          </w:p>
        </w:tc>
        <w:tc>
          <w:tcPr>
            <w:tcW w:w="2139" w:type="dxa"/>
            <w:vAlign w:val="center"/>
          </w:tcPr>
          <w:p>
            <w:pPr>
              <w:adjustRightInd w:val="0"/>
              <w:snapToGrid w:val="0"/>
              <w:jc w:val="center"/>
              <w:rPr>
                <w:rFonts w:hint="default" w:eastAsia="宋体"/>
                <w:color w:val="auto"/>
                <w:sz w:val="24"/>
                <w:lang w:val="en-US" w:eastAsia="zh-CN"/>
              </w:rPr>
            </w:pPr>
          </w:p>
        </w:tc>
        <w:tc>
          <w:tcPr>
            <w:tcW w:w="1811" w:type="dxa"/>
            <w:vAlign w:val="center"/>
          </w:tcPr>
          <w:p>
            <w:pPr>
              <w:adjustRightInd w:val="0"/>
              <w:snapToGrid w:val="0"/>
              <w:jc w:val="center"/>
              <w:rPr>
                <w:color w:val="auto"/>
                <w:sz w:val="24"/>
              </w:rPr>
            </w:pPr>
            <w:r>
              <w:rPr>
                <w:color w:val="auto"/>
                <w:sz w:val="24"/>
              </w:rPr>
              <w:t>联系方式</w:t>
            </w:r>
          </w:p>
        </w:tc>
        <w:tc>
          <w:tcPr>
            <w:tcW w:w="2765" w:type="dxa"/>
            <w:vAlign w:val="center"/>
          </w:tcPr>
          <w:p>
            <w:pPr>
              <w:adjustRightInd w:val="0"/>
              <w:snapToGrid w:val="0"/>
              <w:jc w:val="center"/>
              <w:rPr>
                <w:color w:val="auto"/>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281" w:type="dxa"/>
            <w:tcMar>
              <w:top w:w="16" w:type="dxa"/>
              <w:left w:w="16" w:type="dxa"/>
              <w:right w:w="16" w:type="dxa"/>
            </w:tcMar>
            <w:vAlign w:val="center"/>
          </w:tcPr>
          <w:p>
            <w:pPr>
              <w:adjustRightInd w:val="0"/>
              <w:snapToGrid w:val="0"/>
              <w:jc w:val="center"/>
              <w:rPr>
                <w:color w:val="auto"/>
                <w:sz w:val="24"/>
              </w:rPr>
            </w:pPr>
            <w:r>
              <w:rPr>
                <w:color w:val="auto"/>
                <w:sz w:val="24"/>
              </w:rPr>
              <w:t>建设地点</w:t>
            </w:r>
          </w:p>
        </w:tc>
        <w:tc>
          <w:tcPr>
            <w:tcW w:w="6718" w:type="dxa"/>
            <w:gridSpan w:val="3"/>
            <w:vAlign w:val="center"/>
          </w:tcPr>
          <w:p>
            <w:pPr>
              <w:adjustRightInd w:val="0"/>
              <w:snapToGrid w:val="0"/>
              <w:jc w:val="center"/>
              <w:rPr>
                <w:color w:val="auto"/>
                <w:sz w:val="24"/>
              </w:rPr>
            </w:pPr>
            <w:r>
              <w:rPr>
                <w:rFonts w:hint="eastAsia"/>
                <w:color w:val="auto"/>
                <w:sz w:val="24"/>
              </w:rPr>
              <w:t>新疆维吾尔自治区昌吉回族自治州吉木萨尔县庆阳湖乡水溪沟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81" w:type="dxa"/>
            <w:tcMar>
              <w:top w:w="16" w:type="dxa"/>
              <w:left w:w="16" w:type="dxa"/>
              <w:right w:w="16" w:type="dxa"/>
            </w:tcMar>
            <w:vAlign w:val="center"/>
          </w:tcPr>
          <w:p>
            <w:pPr>
              <w:adjustRightInd w:val="0"/>
              <w:snapToGrid w:val="0"/>
              <w:jc w:val="center"/>
              <w:rPr>
                <w:color w:val="auto"/>
                <w:sz w:val="24"/>
              </w:rPr>
            </w:pPr>
            <w:r>
              <w:rPr>
                <w:color w:val="auto"/>
                <w:sz w:val="24"/>
              </w:rPr>
              <w:t>地理坐标</w:t>
            </w:r>
          </w:p>
        </w:tc>
        <w:tc>
          <w:tcPr>
            <w:tcW w:w="6718" w:type="dxa"/>
            <w:gridSpan w:val="3"/>
            <w:vAlign w:val="center"/>
          </w:tcPr>
          <w:p>
            <w:pPr>
              <w:jc w:val="center"/>
              <w:rPr>
                <w:color w:val="auto"/>
                <w:sz w:val="24"/>
              </w:rPr>
            </w:pPr>
            <w:r>
              <w:rPr>
                <w:color w:val="auto"/>
                <w:sz w:val="24"/>
              </w:rPr>
              <w:t>（</w:t>
            </w:r>
            <w:r>
              <w:rPr>
                <w:rFonts w:hint="eastAsia"/>
                <w:color w:val="auto"/>
                <w:sz w:val="24"/>
                <w:u w:val="single"/>
              </w:rPr>
              <w:t>88</w:t>
            </w:r>
            <w:r>
              <w:rPr>
                <w:color w:val="auto"/>
                <w:sz w:val="24"/>
              </w:rPr>
              <w:t>度</w:t>
            </w:r>
            <w:r>
              <w:rPr>
                <w:rFonts w:hint="eastAsia"/>
                <w:color w:val="auto"/>
                <w:sz w:val="24"/>
                <w:u w:val="single"/>
              </w:rPr>
              <w:t>58</w:t>
            </w:r>
            <w:r>
              <w:rPr>
                <w:color w:val="auto"/>
                <w:sz w:val="24"/>
              </w:rPr>
              <w:t>分</w:t>
            </w:r>
            <w:r>
              <w:rPr>
                <w:rFonts w:hint="eastAsia"/>
                <w:color w:val="auto"/>
                <w:sz w:val="24"/>
                <w:u w:val="single"/>
              </w:rPr>
              <w:t>22.783</w:t>
            </w:r>
            <w:r>
              <w:rPr>
                <w:color w:val="auto"/>
                <w:sz w:val="24"/>
              </w:rPr>
              <w:t>秒，</w:t>
            </w:r>
            <w:r>
              <w:rPr>
                <w:rFonts w:hint="eastAsia"/>
                <w:color w:val="auto"/>
                <w:sz w:val="24"/>
                <w:u w:val="single"/>
              </w:rPr>
              <w:t>43</w:t>
            </w:r>
            <w:r>
              <w:rPr>
                <w:color w:val="auto"/>
                <w:sz w:val="24"/>
              </w:rPr>
              <w:t>度</w:t>
            </w:r>
            <w:r>
              <w:rPr>
                <w:rFonts w:hint="eastAsia"/>
                <w:color w:val="auto"/>
                <w:sz w:val="24"/>
                <w:u w:val="single"/>
              </w:rPr>
              <w:t>59</w:t>
            </w:r>
            <w:r>
              <w:rPr>
                <w:color w:val="auto"/>
                <w:sz w:val="24"/>
              </w:rPr>
              <w:t>分</w:t>
            </w:r>
            <w:r>
              <w:rPr>
                <w:rFonts w:hint="eastAsia"/>
                <w:color w:val="auto"/>
                <w:sz w:val="24"/>
                <w:u w:val="single"/>
              </w:rPr>
              <w:t>14.042</w:t>
            </w:r>
            <w:r>
              <w:rPr>
                <w:color w:val="auto"/>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281" w:type="dxa"/>
            <w:tcMar>
              <w:top w:w="16" w:type="dxa"/>
              <w:left w:w="16" w:type="dxa"/>
              <w:right w:w="16" w:type="dxa"/>
            </w:tcMar>
            <w:vAlign w:val="center"/>
          </w:tcPr>
          <w:p>
            <w:pPr>
              <w:adjustRightInd w:val="0"/>
              <w:snapToGrid w:val="0"/>
              <w:jc w:val="center"/>
              <w:rPr>
                <w:color w:val="auto"/>
                <w:sz w:val="24"/>
              </w:rPr>
            </w:pPr>
            <w:r>
              <w:rPr>
                <w:color w:val="auto"/>
                <w:sz w:val="24"/>
              </w:rPr>
              <w:t>国民经济</w:t>
            </w:r>
          </w:p>
          <w:p>
            <w:pPr>
              <w:adjustRightInd w:val="0"/>
              <w:snapToGrid w:val="0"/>
              <w:jc w:val="center"/>
              <w:rPr>
                <w:color w:val="auto"/>
                <w:sz w:val="24"/>
              </w:rPr>
            </w:pPr>
            <w:r>
              <w:rPr>
                <w:color w:val="auto"/>
                <w:sz w:val="24"/>
              </w:rPr>
              <w:t>行业类别</w:t>
            </w:r>
          </w:p>
        </w:tc>
        <w:tc>
          <w:tcPr>
            <w:tcW w:w="2139" w:type="dxa"/>
            <w:vAlign w:val="center"/>
          </w:tcPr>
          <w:p>
            <w:pPr>
              <w:adjustRightInd w:val="0"/>
              <w:snapToGrid w:val="0"/>
              <w:jc w:val="center"/>
              <w:rPr>
                <w:color w:val="auto"/>
                <w:sz w:val="24"/>
              </w:rPr>
            </w:pPr>
            <w:r>
              <w:rPr>
                <w:color w:val="auto"/>
                <w:sz w:val="24"/>
              </w:rPr>
              <w:t>C</w:t>
            </w:r>
            <w:r>
              <w:rPr>
                <w:rFonts w:hint="eastAsia"/>
                <w:color w:val="auto"/>
                <w:sz w:val="24"/>
              </w:rPr>
              <w:t>2671炸药及火工产品制造</w:t>
            </w:r>
          </w:p>
        </w:tc>
        <w:tc>
          <w:tcPr>
            <w:tcW w:w="1811" w:type="dxa"/>
            <w:vAlign w:val="center"/>
          </w:tcPr>
          <w:p>
            <w:pPr>
              <w:adjustRightInd w:val="0"/>
              <w:snapToGrid w:val="0"/>
              <w:jc w:val="center"/>
              <w:rPr>
                <w:color w:val="auto"/>
                <w:sz w:val="24"/>
              </w:rPr>
            </w:pPr>
            <w:bookmarkStart w:id="1" w:name="_Hlk49843745"/>
            <w:r>
              <w:rPr>
                <w:color w:val="auto"/>
                <w:sz w:val="24"/>
              </w:rPr>
              <w:t>建设项目</w:t>
            </w:r>
          </w:p>
          <w:p>
            <w:pPr>
              <w:adjustRightInd w:val="0"/>
              <w:snapToGrid w:val="0"/>
              <w:jc w:val="center"/>
              <w:rPr>
                <w:color w:val="auto"/>
                <w:sz w:val="24"/>
              </w:rPr>
            </w:pPr>
            <w:r>
              <w:rPr>
                <w:color w:val="auto"/>
                <w:sz w:val="24"/>
              </w:rPr>
              <w:t>行业类别</w:t>
            </w:r>
            <w:bookmarkEnd w:id="1"/>
          </w:p>
        </w:tc>
        <w:tc>
          <w:tcPr>
            <w:tcW w:w="2765" w:type="dxa"/>
            <w:vAlign w:val="center"/>
          </w:tcPr>
          <w:p>
            <w:pPr>
              <w:adjustRightInd w:val="0"/>
              <w:snapToGrid w:val="0"/>
              <w:jc w:val="left"/>
              <w:rPr>
                <w:color w:val="auto"/>
                <w:sz w:val="24"/>
              </w:rPr>
            </w:pPr>
            <w:r>
              <w:rPr>
                <w:color w:val="auto"/>
                <w:sz w:val="24"/>
              </w:rPr>
              <w:t>二十</w:t>
            </w:r>
            <w:r>
              <w:rPr>
                <w:rFonts w:hint="eastAsia"/>
                <w:color w:val="auto"/>
                <w:sz w:val="24"/>
              </w:rPr>
              <w:t>三</w:t>
            </w:r>
            <w:r>
              <w:rPr>
                <w:color w:val="auto"/>
                <w:sz w:val="24"/>
              </w:rPr>
              <w:t>、</w:t>
            </w:r>
            <w:r>
              <w:rPr>
                <w:rFonts w:hint="eastAsia"/>
                <w:color w:val="auto"/>
                <w:sz w:val="24"/>
              </w:rPr>
              <w:t>化学原料和化学制品制造业26</w:t>
            </w:r>
            <w:r>
              <w:rPr>
                <w:color w:val="auto"/>
                <w:sz w:val="24"/>
              </w:rPr>
              <w:t>：</w:t>
            </w:r>
            <w:r>
              <w:rPr>
                <w:rFonts w:hint="eastAsia"/>
                <w:color w:val="auto"/>
                <w:sz w:val="24"/>
              </w:rPr>
              <w:t>44炸药</w:t>
            </w:r>
            <w:r>
              <w:rPr>
                <w:color w:val="auto"/>
                <w:sz w:val="24"/>
              </w:rPr>
              <w:t>、</w:t>
            </w:r>
            <w:r>
              <w:rPr>
                <w:rFonts w:hint="eastAsia"/>
                <w:color w:val="auto"/>
                <w:sz w:val="24"/>
              </w:rPr>
              <w:t>火工及焰火产品制造267  单纯物理分离、物理提纯、混合、分装的（不产生废水或挥发性有机物的除外）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281" w:type="dxa"/>
            <w:tcMar>
              <w:top w:w="16" w:type="dxa"/>
              <w:left w:w="16" w:type="dxa"/>
              <w:right w:w="16" w:type="dxa"/>
            </w:tcMar>
            <w:vAlign w:val="center"/>
          </w:tcPr>
          <w:p>
            <w:pPr>
              <w:adjustRightInd w:val="0"/>
              <w:snapToGrid w:val="0"/>
              <w:jc w:val="center"/>
              <w:rPr>
                <w:color w:val="auto"/>
                <w:sz w:val="24"/>
              </w:rPr>
            </w:pPr>
            <w:r>
              <w:rPr>
                <w:color w:val="auto"/>
                <w:sz w:val="24"/>
              </w:rPr>
              <w:t>建设性质</w:t>
            </w:r>
          </w:p>
        </w:tc>
        <w:tc>
          <w:tcPr>
            <w:tcW w:w="2139" w:type="dxa"/>
            <w:vAlign w:val="center"/>
          </w:tcPr>
          <w:p>
            <w:pPr>
              <w:jc w:val="left"/>
              <w:rPr>
                <w:color w:val="auto"/>
                <w:sz w:val="24"/>
              </w:rPr>
            </w:pPr>
            <w:r>
              <w:rPr>
                <w:color w:val="auto"/>
                <w:sz w:val="24"/>
              </w:rPr>
              <w:sym w:font="Wingdings 2" w:char="00A3"/>
            </w:r>
            <w:r>
              <w:rPr>
                <w:color w:val="auto"/>
                <w:sz w:val="24"/>
              </w:rPr>
              <w:t>新建（迁建）</w:t>
            </w:r>
          </w:p>
          <w:p>
            <w:pPr>
              <w:jc w:val="left"/>
              <w:rPr>
                <w:color w:val="auto"/>
                <w:sz w:val="24"/>
              </w:rPr>
            </w:pPr>
            <w:r>
              <w:rPr>
                <w:color w:val="auto"/>
                <w:sz w:val="24"/>
              </w:rPr>
              <w:sym w:font="Wingdings 2" w:char="00A3"/>
            </w:r>
            <w:r>
              <w:rPr>
                <w:color w:val="auto"/>
                <w:sz w:val="24"/>
              </w:rPr>
              <w:t>改建</w:t>
            </w:r>
          </w:p>
          <w:p>
            <w:pPr>
              <w:jc w:val="left"/>
              <w:rPr>
                <w:color w:val="auto"/>
                <w:sz w:val="24"/>
              </w:rPr>
            </w:pPr>
            <w:r>
              <w:rPr>
                <w:color w:val="auto"/>
                <w:sz w:val="24"/>
              </w:rPr>
              <w:sym w:font="Wingdings 2" w:char="0052"/>
            </w:r>
            <w:r>
              <w:rPr>
                <w:color w:val="auto"/>
                <w:sz w:val="24"/>
              </w:rPr>
              <w:t>扩建</w:t>
            </w:r>
          </w:p>
          <w:p>
            <w:pPr>
              <w:jc w:val="left"/>
              <w:rPr>
                <w:color w:val="auto"/>
                <w:sz w:val="24"/>
              </w:rPr>
            </w:pPr>
            <w:r>
              <w:rPr>
                <w:color w:val="auto"/>
                <w:sz w:val="24"/>
              </w:rPr>
              <w:sym w:font="Wingdings 2" w:char="00A3"/>
            </w:r>
            <w:r>
              <w:rPr>
                <w:color w:val="auto"/>
                <w:sz w:val="24"/>
              </w:rPr>
              <w:t>技术改造</w:t>
            </w:r>
          </w:p>
        </w:tc>
        <w:tc>
          <w:tcPr>
            <w:tcW w:w="1811" w:type="dxa"/>
            <w:vAlign w:val="center"/>
          </w:tcPr>
          <w:p>
            <w:pPr>
              <w:adjustRightInd w:val="0"/>
              <w:snapToGrid w:val="0"/>
              <w:jc w:val="center"/>
              <w:rPr>
                <w:color w:val="auto"/>
                <w:sz w:val="24"/>
              </w:rPr>
            </w:pPr>
            <w:r>
              <w:rPr>
                <w:color w:val="auto"/>
                <w:sz w:val="24"/>
              </w:rPr>
              <w:t>建设项目</w:t>
            </w:r>
          </w:p>
          <w:p>
            <w:pPr>
              <w:adjustRightInd w:val="0"/>
              <w:snapToGrid w:val="0"/>
              <w:jc w:val="center"/>
              <w:rPr>
                <w:color w:val="auto"/>
                <w:sz w:val="24"/>
              </w:rPr>
            </w:pPr>
            <w:r>
              <w:rPr>
                <w:color w:val="auto"/>
                <w:sz w:val="24"/>
              </w:rPr>
              <w:t>申报情形</w:t>
            </w:r>
          </w:p>
        </w:tc>
        <w:tc>
          <w:tcPr>
            <w:tcW w:w="2765" w:type="dxa"/>
            <w:vAlign w:val="center"/>
          </w:tcPr>
          <w:p>
            <w:pPr>
              <w:jc w:val="left"/>
              <w:rPr>
                <w:color w:val="auto"/>
                <w:sz w:val="24"/>
              </w:rPr>
            </w:pPr>
            <w:r>
              <w:rPr>
                <w:color w:val="auto"/>
                <w:sz w:val="24"/>
              </w:rPr>
              <w:sym w:font="Wingdings 2" w:char="0052"/>
            </w:r>
            <w:r>
              <w:rPr>
                <w:color w:val="auto"/>
                <w:sz w:val="24"/>
              </w:rPr>
              <w:t xml:space="preserve">首次申报项目             </w:t>
            </w:r>
          </w:p>
          <w:p>
            <w:pPr>
              <w:jc w:val="left"/>
              <w:rPr>
                <w:color w:val="auto"/>
                <w:sz w:val="24"/>
              </w:rPr>
            </w:pPr>
            <w:r>
              <w:rPr>
                <w:color w:val="auto"/>
                <w:sz w:val="24"/>
              </w:rPr>
              <w:sym w:font="Wingdings 2" w:char="00A3"/>
            </w:r>
            <w:r>
              <w:rPr>
                <w:color w:val="auto"/>
                <w:sz w:val="24"/>
              </w:rPr>
              <w:t>不予批准后再次申报项目</w:t>
            </w:r>
          </w:p>
          <w:p>
            <w:pPr>
              <w:jc w:val="left"/>
              <w:rPr>
                <w:color w:val="auto"/>
                <w:sz w:val="24"/>
              </w:rPr>
            </w:pPr>
            <w:r>
              <w:rPr>
                <w:color w:val="auto"/>
                <w:sz w:val="24"/>
              </w:rPr>
              <w:sym w:font="Wingdings 2" w:char="00A3"/>
            </w:r>
            <w:r>
              <w:rPr>
                <w:color w:val="auto"/>
                <w:sz w:val="24"/>
              </w:rPr>
              <w:t xml:space="preserve">超五年重新审核项目     </w:t>
            </w:r>
          </w:p>
          <w:p>
            <w:pPr>
              <w:jc w:val="left"/>
              <w:rPr>
                <w:color w:val="auto"/>
                <w:sz w:val="24"/>
              </w:rPr>
            </w:pPr>
            <w:r>
              <w:rPr>
                <w:color w:val="auto"/>
                <w:sz w:val="24"/>
              </w:rPr>
              <w:sym w:font="Wingdings 2" w:char="00A3"/>
            </w:r>
            <w:r>
              <w:rPr>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281" w:type="dxa"/>
            <w:tcMar>
              <w:top w:w="16" w:type="dxa"/>
              <w:left w:w="16" w:type="dxa"/>
              <w:right w:w="16" w:type="dxa"/>
            </w:tcMar>
            <w:vAlign w:val="center"/>
          </w:tcPr>
          <w:p>
            <w:pPr>
              <w:adjustRightInd w:val="0"/>
              <w:snapToGrid w:val="0"/>
              <w:jc w:val="center"/>
              <w:rPr>
                <w:color w:val="auto"/>
                <w:sz w:val="24"/>
              </w:rPr>
            </w:pPr>
            <w:r>
              <w:rPr>
                <w:color w:val="auto"/>
                <w:sz w:val="24"/>
              </w:rPr>
              <w:t>项目审批（核准/</w:t>
            </w:r>
          </w:p>
          <w:p>
            <w:pPr>
              <w:adjustRightInd w:val="0"/>
              <w:snapToGrid w:val="0"/>
              <w:jc w:val="center"/>
              <w:rPr>
                <w:color w:val="auto"/>
                <w:sz w:val="24"/>
              </w:rPr>
            </w:pPr>
            <w:r>
              <w:rPr>
                <w:color w:val="auto"/>
                <w:sz w:val="24"/>
              </w:rPr>
              <w:t>备案）部门（选填）</w:t>
            </w:r>
          </w:p>
        </w:tc>
        <w:tc>
          <w:tcPr>
            <w:tcW w:w="2139" w:type="dxa"/>
            <w:vAlign w:val="center"/>
          </w:tcPr>
          <w:p>
            <w:pPr>
              <w:adjustRightInd w:val="0"/>
              <w:snapToGrid w:val="0"/>
              <w:jc w:val="center"/>
              <w:rPr>
                <w:color w:val="auto"/>
                <w:sz w:val="24"/>
              </w:rPr>
            </w:pPr>
            <w:r>
              <w:rPr>
                <w:rFonts w:hint="eastAsia"/>
                <w:color w:val="auto"/>
                <w:sz w:val="24"/>
              </w:rPr>
              <w:t>/</w:t>
            </w:r>
          </w:p>
        </w:tc>
        <w:tc>
          <w:tcPr>
            <w:tcW w:w="1811" w:type="dxa"/>
            <w:vAlign w:val="center"/>
          </w:tcPr>
          <w:p>
            <w:pPr>
              <w:adjustRightInd w:val="0"/>
              <w:snapToGrid w:val="0"/>
              <w:jc w:val="center"/>
              <w:rPr>
                <w:color w:val="auto"/>
                <w:sz w:val="24"/>
              </w:rPr>
            </w:pPr>
            <w:r>
              <w:rPr>
                <w:color w:val="auto"/>
                <w:sz w:val="24"/>
              </w:rPr>
              <w:t>项目审批（核准/</w:t>
            </w:r>
          </w:p>
          <w:p>
            <w:pPr>
              <w:adjustRightInd w:val="0"/>
              <w:snapToGrid w:val="0"/>
              <w:jc w:val="center"/>
              <w:rPr>
                <w:color w:val="auto"/>
                <w:sz w:val="24"/>
              </w:rPr>
            </w:pPr>
            <w:r>
              <w:rPr>
                <w:color w:val="auto"/>
                <w:sz w:val="24"/>
              </w:rPr>
              <w:t>备案）文号（选填）</w:t>
            </w:r>
          </w:p>
        </w:tc>
        <w:tc>
          <w:tcPr>
            <w:tcW w:w="2765" w:type="dxa"/>
            <w:vAlign w:val="center"/>
          </w:tcPr>
          <w:p>
            <w:pPr>
              <w:adjustRightInd w:val="0"/>
              <w:snapToGrid w:val="0"/>
              <w:jc w:val="center"/>
              <w:rPr>
                <w:color w:val="auto"/>
                <w:sz w:val="24"/>
              </w:rPr>
            </w:pPr>
            <w:r>
              <w:rPr>
                <w:rFonts w:hint="eastAsia"/>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81" w:type="dxa"/>
            <w:tcMar>
              <w:top w:w="16" w:type="dxa"/>
              <w:left w:w="16" w:type="dxa"/>
              <w:right w:w="16" w:type="dxa"/>
            </w:tcMar>
            <w:vAlign w:val="center"/>
          </w:tcPr>
          <w:p>
            <w:pPr>
              <w:adjustRightInd w:val="0"/>
              <w:snapToGrid w:val="0"/>
              <w:jc w:val="center"/>
              <w:rPr>
                <w:color w:val="auto"/>
                <w:sz w:val="24"/>
              </w:rPr>
            </w:pPr>
            <w:r>
              <w:rPr>
                <w:color w:val="auto"/>
                <w:sz w:val="24"/>
              </w:rPr>
              <w:t>总投资（万元）</w:t>
            </w:r>
          </w:p>
        </w:tc>
        <w:tc>
          <w:tcPr>
            <w:tcW w:w="2139" w:type="dxa"/>
            <w:vAlign w:val="center"/>
          </w:tcPr>
          <w:p>
            <w:pPr>
              <w:adjustRightInd w:val="0"/>
              <w:snapToGrid w:val="0"/>
              <w:jc w:val="center"/>
              <w:rPr>
                <w:color w:val="auto"/>
                <w:sz w:val="24"/>
              </w:rPr>
            </w:pPr>
            <w:r>
              <w:rPr>
                <w:rFonts w:hint="eastAsia"/>
                <w:color w:val="auto"/>
                <w:sz w:val="24"/>
              </w:rPr>
              <w:t>1343</w:t>
            </w:r>
          </w:p>
        </w:tc>
        <w:tc>
          <w:tcPr>
            <w:tcW w:w="1811" w:type="dxa"/>
            <w:tcMar>
              <w:top w:w="16" w:type="dxa"/>
              <w:left w:w="16" w:type="dxa"/>
              <w:right w:w="16" w:type="dxa"/>
            </w:tcMar>
            <w:vAlign w:val="center"/>
          </w:tcPr>
          <w:p>
            <w:pPr>
              <w:adjustRightInd w:val="0"/>
              <w:snapToGrid w:val="0"/>
              <w:jc w:val="center"/>
              <w:rPr>
                <w:color w:val="auto"/>
                <w:sz w:val="24"/>
              </w:rPr>
            </w:pPr>
            <w:r>
              <w:rPr>
                <w:color w:val="auto"/>
                <w:sz w:val="24"/>
              </w:rPr>
              <w:t>环保投资（万元）</w:t>
            </w:r>
          </w:p>
        </w:tc>
        <w:tc>
          <w:tcPr>
            <w:tcW w:w="2765" w:type="dxa"/>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81" w:type="dxa"/>
            <w:tcMar>
              <w:top w:w="16" w:type="dxa"/>
              <w:left w:w="16" w:type="dxa"/>
              <w:right w:w="16" w:type="dxa"/>
            </w:tcMar>
            <w:vAlign w:val="center"/>
          </w:tcPr>
          <w:p>
            <w:pPr>
              <w:adjustRightInd w:val="0"/>
              <w:snapToGrid w:val="0"/>
              <w:jc w:val="center"/>
              <w:rPr>
                <w:color w:val="auto"/>
                <w:sz w:val="24"/>
              </w:rPr>
            </w:pPr>
            <w:r>
              <w:rPr>
                <w:color w:val="auto"/>
                <w:sz w:val="24"/>
              </w:rPr>
              <w:t>环保投资占比（%）</w:t>
            </w:r>
          </w:p>
        </w:tc>
        <w:tc>
          <w:tcPr>
            <w:tcW w:w="2139" w:type="dxa"/>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0.97</w:t>
            </w:r>
          </w:p>
        </w:tc>
        <w:tc>
          <w:tcPr>
            <w:tcW w:w="1811" w:type="dxa"/>
            <w:tcMar>
              <w:top w:w="16" w:type="dxa"/>
              <w:left w:w="16" w:type="dxa"/>
              <w:right w:w="16" w:type="dxa"/>
            </w:tcMar>
            <w:vAlign w:val="center"/>
          </w:tcPr>
          <w:p>
            <w:pPr>
              <w:adjustRightInd w:val="0"/>
              <w:snapToGrid w:val="0"/>
              <w:jc w:val="center"/>
              <w:rPr>
                <w:color w:val="auto"/>
                <w:sz w:val="24"/>
              </w:rPr>
            </w:pPr>
            <w:r>
              <w:rPr>
                <w:color w:val="auto"/>
                <w:sz w:val="24"/>
              </w:rPr>
              <w:t>施工工期</w:t>
            </w:r>
          </w:p>
        </w:tc>
        <w:tc>
          <w:tcPr>
            <w:tcW w:w="2765" w:type="dxa"/>
            <w:vAlign w:val="center"/>
          </w:tcPr>
          <w:p>
            <w:pPr>
              <w:adjustRightInd w:val="0"/>
              <w:snapToGrid w:val="0"/>
              <w:jc w:val="center"/>
              <w:rPr>
                <w:color w:val="auto"/>
                <w:sz w:val="24"/>
              </w:rPr>
            </w:pPr>
            <w:r>
              <w:rPr>
                <w:rFonts w:hint="eastAsia"/>
                <w:color w:val="auto"/>
                <w:sz w:val="24"/>
              </w:rPr>
              <w:t>2024年</w:t>
            </w:r>
            <w:r>
              <w:rPr>
                <w:rFonts w:hint="eastAsia"/>
                <w:color w:val="auto"/>
                <w:sz w:val="24"/>
                <w:lang w:val="en-US" w:eastAsia="zh-CN"/>
              </w:rPr>
              <w:t>6</w:t>
            </w:r>
            <w:r>
              <w:rPr>
                <w:rFonts w:hint="eastAsia"/>
                <w:color w:val="auto"/>
                <w:sz w:val="24"/>
              </w:rPr>
              <w:t>月</w:t>
            </w:r>
            <w:r>
              <w:rPr>
                <w:rFonts w:hint="eastAsia"/>
                <w:color w:val="auto"/>
                <w:sz w:val="24"/>
                <w:lang w:eastAsia="zh-CN"/>
              </w:rPr>
              <w:t>～</w:t>
            </w:r>
            <w:r>
              <w:rPr>
                <w:rFonts w:hint="eastAsia"/>
                <w:color w:val="auto"/>
                <w:sz w:val="24"/>
              </w:rPr>
              <w:t>2024年</w:t>
            </w:r>
            <w:r>
              <w:rPr>
                <w:rFonts w:hint="eastAsia"/>
                <w:color w:val="auto"/>
                <w:sz w:val="24"/>
                <w:lang w:val="en-US" w:eastAsia="zh-CN"/>
              </w:rPr>
              <w:t>8</w:t>
            </w:r>
            <w:r>
              <w:rPr>
                <w:rFonts w:hint="eastAsia"/>
                <w:color w:val="auto"/>
                <w:sz w:val="24"/>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81" w:type="dxa"/>
            <w:tcMar>
              <w:top w:w="16" w:type="dxa"/>
              <w:left w:w="16" w:type="dxa"/>
              <w:right w:w="16" w:type="dxa"/>
            </w:tcMar>
            <w:vAlign w:val="center"/>
          </w:tcPr>
          <w:p>
            <w:pPr>
              <w:adjustRightInd w:val="0"/>
              <w:snapToGrid w:val="0"/>
              <w:jc w:val="center"/>
              <w:rPr>
                <w:color w:val="auto"/>
                <w:sz w:val="24"/>
              </w:rPr>
            </w:pPr>
            <w:r>
              <w:rPr>
                <w:color w:val="auto"/>
                <w:sz w:val="24"/>
              </w:rPr>
              <w:t>是否开工建设</w:t>
            </w:r>
          </w:p>
        </w:tc>
        <w:tc>
          <w:tcPr>
            <w:tcW w:w="2139" w:type="dxa"/>
            <w:vAlign w:val="center"/>
          </w:tcPr>
          <w:p>
            <w:pPr>
              <w:adjustRightInd w:val="0"/>
              <w:snapToGrid w:val="0"/>
              <w:rPr>
                <w:color w:val="auto"/>
              </w:rPr>
            </w:pPr>
            <w:r>
              <w:rPr>
                <w:color w:val="auto"/>
                <w:sz w:val="24"/>
              </w:rPr>
              <w:sym w:font="Wingdings 2" w:char="0052"/>
            </w:r>
            <w:r>
              <w:rPr>
                <w:color w:val="auto"/>
                <w:sz w:val="24"/>
              </w:rPr>
              <w:t>否</w:t>
            </w:r>
          </w:p>
          <w:p>
            <w:pPr>
              <w:adjustRightInd w:val="0"/>
              <w:snapToGrid w:val="0"/>
              <w:rPr>
                <w:color w:val="auto"/>
                <w:sz w:val="24"/>
              </w:rPr>
            </w:pPr>
            <w:r>
              <w:rPr>
                <w:color w:val="auto"/>
                <w:sz w:val="24"/>
              </w:rPr>
              <w:sym w:font="Wingdings 2" w:char="00A3"/>
            </w:r>
            <w:r>
              <w:rPr>
                <w:color w:val="auto"/>
                <w:sz w:val="24"/>
              </w:rPr>
              <w:t>是</w:t>
            </w:r>
          </w:p>
        </w:tc>
        <w:tc>
          <w:tcPr>
            <w:tcW w:w="1811" w:type="dxa"/>
            <w:tcMar>
              <w:top w:w="16" w:type="dxa"/>
              <w:left w:w="16" w:type="dxa"/>
              <w:right w:w="16" w:type="dxa"/>
            </w:tcMar>
            <w:vAlign w:val="center"/>
          </w:tcPr>
          <w:p>
            <w:pPr>
              <w:adjustRightInd w:val="0"/>
              <w:snapToGrid w:val="0"/>
              <w:jc w:val="center"/>
              <w:rPr>
                <w:color w:val="auto"/>
                <w:spacing w:val="-6"/>
                <w:sz w:val="24"/>
              </w:rPr>
            </w:pPr>
            <w:r>
              <w:rPr>
                <w:color w:val="auto"/>
                <w:spacing w:val="-6"/>
                <w:sz w:val="24"/>
              </w:rPr>
              <w:t>用地（用海）</w:t>
            </w:r>
          </w:p>
          <w:p>
            <w:pPr>
              <w:adjustRightInd w:val="0"/>
              <w:snapToGrid w:val="0"/>
              <w:jc w:val="center"/>
              <w:rPr>
                <w:color w:val="auto"/>
                <w:sz w:val="24"/>
              </w:rPr>
            </w:pPr>
            <w:r>
              <w:rPr>
                <w:color w:val="auto"/>
                <w:spacing w:val="-6"/>
                <w:sz w:val="24"/>
              </w:rPr>
              <w:t>面积（m</w:t>
            </w:r>
            <w:r>
              <w:rPr>
                <w:color w:val="auto"/>
                <w:spacing w:val="-6"/>
                <w:sz w:val="24"/>
                <w:vertAlign w:val="superscript"/>
              </w:rPr>
              <w:t>2</w:t>
            </w:r>
            <w:r>
              <w:rPr>
                <w:color w:val="auto"/>
                <w:spacing w:val="-6"/>
                <w:sz w:val="24"/>
              </w:rPr>
              <w:t>）</w:t>
            </w:r>
          </w:p>
        </w:tc>
        <w:tc>
          <w:tcPr>
            <w:tcW w:w="2765" w:type="dxa"/>
            <w:vAlign w:val="center"/>
          </w:tcPr>
          <w:p>
            <w:pPr>
              <w:adjustRightInd w:val="0"/>
              <w:snapToGrid w:val="0"/>
              <w:ind w:firstLine="240" w:firstLineChars="100"/>
              <w:jc w:val="center"/>
              <w:rPr>
                <w:color w:val="auto"/>
                <w:sz w:val="24"/>
              </w:rPr>
            </w:pPr>
            <w:r>
              <w:rPr>
                <w:rFonts w:hint="eastAsia"/>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2281" w:type="dxa"/>
            <w:vAlign w:val="center"/>
          </w:tcPr>
          <w:p>
            <w:pPr>
              <w:autoSpaceDE w:val="0"/>
              <w:autoSpaceDN w:val="0"/>
              <w:adjustRightInd w:val="0"/>
              <w:snapToGrid w:val="0"/>
              <w:rPr>
                <w:color w:val="auto"/>
                <w:sz w:val="24"/>
              </w:rPr>
            </w:pPr>
            <w:r>
              <w:rPr>
                <w:color w:val="auto"/>
                <w:sz w:val="24"/>
              </w:rPr>
              <w:t>专项评价设置情况</w:t>
            </w:r>
          </w:p>
        </w:tc>
        <w:tc>
          <w:tcPr>
            <w:tcW w:w="6718" w:type="dxa"/>
            <w:gridSpan w:val="3"/>
            <w:vAlign w:val="center"/>
          </w:tcPr>
          <w:p>
            <w:pPr>
              <w:autoSpaceDE w:val="0"/>
              <w:autoSpaceDN w:val="0"/>
              <w:adjustRightInd w:val="0"/>
              <w:snapToGrid w:val="0"/>
              <w:spacing w:line="520" w:lineRule="exact"/>
              <w:ind w:firstLine="480" w:firstLineChars="200"/>
              <w:rPr>
                <w:color w:val="auto"/>
              </w:rPr>
            </w:pPr>
            <w:r>
              <w:rPr>
                <w:rFonts w:hint="eastAsia"/>
                <w:color w:val="auto"/>
                <w:sz w:val="24"/>
              </w:rPr>
              <w:t>环境风险专项评价：</w:t>
            </w:r>
            <w:r>
              <w:rPr>
                <w:color w:val="auto"/>
                <w:sz w:val="24"/>
              </w:rPr>
              <w:t>根据《建设项目环境风险评价技术导则》（HJ169-2018）</w:t>
            </w:r>
            <w:r>
              <w:rPr>
                <w:rFonts w:hint="eastAsia"/>
                <w:color w:val="auto"/>
                <w:sz w:val="24"/>
              </w:rPr>
              <w:t>，</w:t>
            </w:r>
            <w:r>
              <w:rPr>
                <w:color w:val="auto"/>
                <w:sz w:val="24"/>
              </w:rPr>
              <w:t>本项目</w:t>
            </w:r>
            <w:r>
              <w:rPr>
                <w:rFonts w:hint="eastAsia"/>
                <w:color w:val="auto"/>
                <w:sz w:val="24"/>
              </w:rPr>
              <w:t>涉及风险物质为硝酸铵、柴油，其中硝酸铵厂区最大存储量为600</w:t>
            </w:r>
            <w:r>
              <w:rPr>
                <w:color w:val="auto"/>
                <w:sz w:val="24"/>
              </w:rPr>
              <w:t>t</w:t>
            </w:r>
            <w:r>
              <w:rPr>
                <w:rFonts w:hint="eastAsia"/>
                <w:color w:val="auto"/>
                <w:sz w:val="24"/>
              </w:rPr>
              <w:t>，大于其临界量（50t），因此需编制环境风险专章。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2281" w:type="dxa"/>
            <w:vAlign w:val="center"/>
          </w:tcPr>
          <w:p>
            <w:pPr>
              <w:autoSpaceDE w:val="0"/>
              <w:autoSpaceDN w:val="0"/>
              <w:adjustRightInd w:val="0"/>
              <w:snapToGrid w:val="0"/>
              <w:jc w:val="center"/>
              <w:rPr>
                <w:color w:val="auto"/>
                <w:kern w:val="0"/>
                <w:sz w:val="24"/>
              </w:rPr>
            </w:pPr>
            <w:r>
              <w:rPr>
                <w:color w:val="auto"/>
                <w:sz w:val="24"/>
              </w:rPr>
              <w:t>规划情况</w:t>
            </w:r>
          </w:p>
        </w:tc>
        <w:tc>
          <w:tcPr>
            <w:tcW w:w="6718" w:type="dxa"/>
            <w:gridSpan w:val="3"/>
            <w:vAlign w:val="center"/>
          </w:tcPr>
          <w:p>
            <w:pPr>
              <w:autoSpaceDE w:val="0"/>
              <w:autoSpaceDN w:val="0"/>
              <w:adjustRightInd w:val="0"/>
              <w:snapToGrid w:val="0"/>
              <w:spacing w:line="520" w:lineRule="exact"/>
              <w:jc w:val="center"/>
              <w:rPr>
                <w:color w:val="auto"/>
                <w:kern w:val="0"/>
                <w:sz w:val="24"/>
              </w:rPr>
            </w:pPr>
            <w:r>
              <w:rPr>
                <w:rFonts w:hint="eastAsia"/>
                <w:color w:val="auto"/>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81" w:type="dxa"/>
            <w:vAlign w:val="center"/>
          </w:tcPr>
          <w:p>
            <w:pPr>
              <w:adjustRightInd w:val="0"/>
              <w:snapToGrid w:val="0"/>
              <w:jc w:val="center"/>
              <w:rPr>
                <w:color w:val="auto"/>
                <w:sz w:val="24"/>
              </w:rPr>
            </w:pPr>
            <w:r>
              <w:rPr>
                <w:color w:val="auto"/>
                <w:sz w:val="24"/>
              </w:rPr>
              <w:t>规划环境影响</w:t>
            </w:r>
          </w:p>
          <w:p>
            <w:pPr>
              <w:adjustRightInd w:val="0"/>
              <w:snapToGrid w:val="0"/>
              <w:jc w:val="center"/>
              <w:rPr>
                <w:color w:val="auto"/>
                <w:kern w:val="0"/>
                <w:sz w:val="24"/>
              </w:rPr>
            </w:pPr>
            <w:r>
              <w:rPr>
                <w:color w:val="auto"/>
                <w:sz w:val="24"/>
              </w:rPr>
              <w:t>评价情况</w:t>
            </w:r>
          </w:p>
        </w:tc>
        <w:tc>
          <w:tcPr>
            <w:tcW w:w="6718" w:type="dxa"/>
            <w:gridSpan w:val="3"/>
            <w:vAlign w:val="center"/>
          </w:tcPr>
          <w:p>
            <w:pPr>
              <w:autoSpaceDE w:val="0"/>
              <w:autoSpaceDN w:val="0"/>
              <w:adjustRightInd w:val="0"/>
              <w:snapToGrid w:val="0"/>
              <w:spacing w:line="520" w:lineRule="exact"/>
              <w:jc w:val="center"/>
              <w:rPr>
                <w:color w:val="auto"/>
                <w:kern w:val="0"/>
                <w:sz w:val="24"/>
              </w:rPr>
            </w:pPr>
            <w:r>
              <w:rPr>
                <w:rFonts w:hint="eastAsia"/>
                <w:color w:val="auto"/>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281" w:type="dxa"/>
            <w:vAlign w:val="center"/>
          </w:tcPr>
          <w:p>
            <w:pPr>
              <w:autoSpaceDE w:val="0"/>
              <w:autoSpaceDN w:val="0"/>
              <w:adjustRightInd w:val="0"/>
              <w:snapToGrid w:val="0"/>
              <w:jc w:val="center"/>
              <w:rPr>
                <w:color w:val="auto"/>
                <w:kern w:val="0"/>
                <w:sz w:val="24"/>
              </w:rPr>
            </w:pPr>
            <w:r>
              <w:rPr>
                <w:color w:val="auto"/>
                <w:kern w:val="0"/>
                <w:sz w:val="24"/>
              </w:rPr>
              <w:t>规划及规划环境</w:t>
            </w:r>
          </w:p>
          <w:p>
            <w:pPr>
              <w:autoSpaceDE w:val="0"/>
              <w:autoSpaceDN w:val="0"/>
              <w:adjustRightInd w:val="0"/>
              <w:snapToGrid w:val="0"/>
              <w:jc w:val="center"/>
              <w:rPr>
                <w:color w:val="auto"/>
                <w:kern w:val="0"/>
                <w:sz w:val="24"/>
              </w:rPr>
            </w:pPr>
            <w:r>
              <w:rPr>
                <w:color w:val="auto"/>
                <w:kern w:val="0"/>
                <w:sz w:val="24"/>
              </w:rPr>
              <w:t>影响评价符合性分析</w:t>
            </w:r>
          </w:p>
        </w:tc>
        <w:tc>
          <w:tcPr>
            <w:tcW w:w="6718" w:type="dxa"/>
            <w:gridSpan w:val="3"/>
            <w:vAlign w:val="center"/>
          </w:tcPr>
          <w:p>
            <w:pPr>
              <w:pStyle w:val="66"/>
              <w:spacing w:line="520" w:lineRule="atLeast"/>
              <w:ind w:firstLine="0" w:firstLineChars="0"/>
              <w:jc w:val="center"/>
              <w:rPr>
                <w:color w:val="auto"/>
              </w:rPr>
            </w:pPr>
            <w:r>
              <w:rPr>
                <w:rFonts w:hint="eastAsia"/>
                <w:color w:val="auto"/>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81" w:type="dxa"/>
            <w:vAlign w:val="center"/>
          </w:tcPr>
          <w:p>
            <w:pPr>
              <w:autoSpaceDE w:val="0"/>
              <w:autoSpaceDN w:val="0"/>
              <w:adjustRightInd w:val="0"/>
              <w:snapToGrid w:val="0"/>
              <w:jc w:val="center"/>
              <w:rPr>
                <w:color w:val="auto"/>
                <w:kern w:val="0"/>
                <w:sz w:val="24"/>
              </w:rPr>
            </w:pPr>
            <w:r>
              <w:rPr>
                <w:color w:val="auto"/>
                <w:kern w:val="0"/>
                <w:sz w:val="24"/>
              </w:rPr>
              <w:t>其他符合性分析</w:t>
            </w:r>
          </w:p>
        </w:tc>
        <w:tc>
          <w:tcPr>
            <w:tcW w:w="6718" w:type="dxa"/>
            <w:gridSpan w:val="3"/>
            <w:vAlign w:val="center"/>
          </w:tcPr>
          <w:p>
            <w:pPr>
              <w:numPr>
                <w:ilvl w:val="0"/>
                <w:numId w:val="2"/>
              </w:numPr>
              <w:autoSpaceDE w:val="0"/>
              <w:autoSpaceDN w:val="0"/>
              <w:adjustRightInd w:val="0"/>
              <w:snapToGrid w:val="0"/>
              <w:spacing w:line="520" w:lineRule="exact"/>
              <w:rPr>
                <w:b/>
                <w:bCs/>
                <w:color w:val="auto"/>
                <w:sz w:val="24"/>
              </w:rPr>
            </w:pPr>
            <w:r>
              <w:rPr>
                <w:b/>
                <w:bCs/>
                <w:color w:val="auto"/>
                <w:sz w:val="24"/>
              </w:rPr>
              <w:t>项目“三线一单”符合性分析</w:t>
            </w:r>
          </w:p>
          <w:p>
            <w:pPr>
              <w:autoSpaceDE w:val="0"/>
              <w:autoSpaceDN w:val="0"/>
              <w:adjustRightInd w:val="0"/>
              <w:snapToGrid w:val="0"/>
              <w:spacing w:line="520" w:lineRule="exact"/>
              <w:ind w:firstLine="480" w:firstLineChars="200"/>
              <w:rPr>
                <w:color w:val="auto"/>
                <w:sz w:val="24"/>
              </w:rPr>
            </w:pPr>
            <w:r>
              <w:rPr>
                <w:rFonts w:hint="eastAsia"/>
                <w:color w:val="auto"/>
                <w:sz w:val="24"/>
              </w:rPr>
              <w:t>根据《新疆维吾尔自治区“三线一单”生态环境分区管控方案》（新政发〔2021〕18号）、《新疆维吾尔自治区七大片区“三线一单”生态环境分区管控要求》（新环环评发〔2021〕162号）、《昌吉回族自治州“三线一单”生态环境分区管控方案及生态环境准入清单》、</w:t>
            </w:r>
            <w:r>
              <w:rPr>
                <w:color w:val="auto"/>
                <w:sz w:val="24"/>
              </w:rPr>
              <w:t>《关于以改善环境质量为核心加强环境影响评价管理的通知》（环环评〔2016〕150号）</w:t>
            </w:r>
            <w:r>
              <w:rPr>
                <w:rFonts w:hint="eastAsia"/>
                <w:color w:val="auto"/>
                <w:sz w:val="24"/>
              </w:rPr>
              <w:t>中“</w:t>
            </w:r>
            <w:r>
              <w:rPr>
                <w:color w:val="auto"/>
                <w:sz w:val="24"/>
              </w:rPr>
              <w:t>为适应以改善环境质量为核心的环境管理要求，切实加强环境影响评价管理，落实生态保护红线、环境质量底线、资源利用上线和</w:t>
            </w:r>
            <w:r>
              <w:rPr>
                <w:rFonts w:hint="eastAsia"/>
                <w:color w:val="auto"/>
                <w:sz w:val="24"/>
              </w:rPr>
              <w:t>生态环境准入清单</w:t>
            </w:r>
            <w:r>
              <w:rPr>
                <w:color w:val="auto"/>
                <w:sz w:val="24"/>
              </w:rPr>
              <w:t>约束</w:t>
            </w:r>
            <w:r>
              <w:rPr>
                <w:rFonts w:hint="eastAsia"/>
                <w:color w:val="auto"/>
                <w:sz w:val="24"/>
              </w:rPr>
              <w:t>”</w:t>
            </w:r>
            <w:r>
              <w:rPr>
                <w:color w:val="auto"/>
                <w:sz w:val="24"/>
              </w:rPr>
              <w:t>。</w:t>
            </w:r>
          </w:p>
          <w:p>
            <w:pPr>
              <w:autoSpaceDE w:val="0"/>
              <w:autoSpaceDN w:val="0"/>
              <w:adjustRightInd w:val="0"/>
              <w:snapToGrid w:val="0"/>
              <w:spacing w:line="520" w:lineRule="exact"/>
              <w:ind w:firstLine="480" w:firstLineChars="200"/>
              <w:rPr>
                <w:color w:val="auto"/>
                <w:sz w:val="24"/>
              </w:rPr>
            </w:pPr>
            <w:r>
              <w:rPr>
                <w:rFonts w:hint="eastAsia"/>
                <w:color w:val="auto"/>
                <w:sz w:val="24"/>
              </w:rPr>
              <w:t>根据以上文件要求，对本建设项目进行“三线一单”符合性分析，具体见表1-1、1-2、1-3。</w:t>
            </w:r>
          </w:p>
          <w:p>
            <w:pPr>
              <w:pStyle w:val="36"/>
              <w:rPr>
                <w:color w:val="auto"/>
              </w:rPr>
            </w:pPr>
            <w:r>
              <w:rPr>
                <w:rFonts w:hint="eastAsia"/>
                <w:color w:val="auto"/>
              </w:rPr>
              <w:t>表1-1  “三线一单”符合性分析表</w:t>
            </w:r>
          </w:p>
          <w:tbl>
            <w:tblPr>
              <w:tblStyle w:val="28"/>
              <w:tblW w:w="494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4480"/>
              <w:gridCol w:w="7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952" w:type="pct"/>
                  <w:vAlign w:val="center"/>
                </w:tcPr>
                <w:p>
                  <w:pPr>
                    <w:pStyle w:val="13"/>
                    <w:adjustRightInd w:val="0"/>
                    <w:snapToGrid w:val="0"/>
                    <w:jc w:val="center"/>
                    <w:rPr>
                      <w:color w:val="auto"/>
                      <w:sz w:val="21"/>
                      <w:szCs w:val="21"/>
                    </w:rPr>
                  </w:pPr>
                  <w:r>
                    <w:rPr>
                      <w:color w:val="auto"/>
                      <w:sz w:val="21"/>
                      <w:szCs w:val="21"/>
                    </w:rPr>
                    <w:t>内容</w:t>
                  </w:r>
                </w:p>
              </w:tc>
              <w:tc>
                <w:tcPr>
                  <w:tcW w:w="3483" w:type="pct"/>
                  <w:vAlign w:val="center"/>
                </w:tcPr>
                <w:p>
                  <w:pPr>
                    <w:pStyle w:val="13"/>
                    <w:adjustRightInd w:val="0"/>
                    <w:snapToGrid w:val="0"/>
                    <w:jc w:val="center"/>
                    <w:rPr>
                      <w:color w:val="auto"/>
                      <w:sz w:val="21"/>
                      <w:szCs w:val="21"/>
                    </w:rPr>
                  </w:pPr>
                  <w:r>
                    <w:rPr>
                      <w:color w:val="auto"/>
                      <w:sz w:val="21"/>
                      <w:szCs w:val="21"/>
                    </w:rPr>
                    <w:t>符合性分析</w:t>
                  </w:r>
                </w:p>
              </w:tc>
              <w:tc>
                <w:tcPr>
                  <w:tcW w:w="563" w:type="pct"/>
                  <w:vAlign w:val="center"/>
                </w:tcPr>
                <w:p>
                  <w:pPr>
                    <w:pStyle w:val="13"/>
                    <w:adjustRightInd w:val="0"/>
                    <w:snapToGrid w:val="0"/>
                    <w:jc w:val="center"/>
                    <w:rPr>
                      <w:color w:val="auto"/>
                      <w:sz w:val="21"/>
                      <w:szCs w:val="21"/>
                    </w:rPr>
                  </w:pPr>
                  <w:r>
                    <w:rPr>
                      <w:color w:val="auto"/>
                      <w:sz w:val="21"/>
                      <w:szCs w:val="21"/>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2" w:type="pct"/>
                  <w:vAlign w:val="center"/>
                </w:tcPr>
                <w:p>
                  <w:pPr>
                    <w:pStyle w:val="13"/>
                    <w:adjustRightInd w:val="0"/>
                    <w:snapToGrid w:val="0"/>
                    <w:jc w:val="center"/>
                    <w:rPr>
                      <w:color w:val="auto"/>
                      <w:sz w:val="21"/>
                      <w:szCs w:val="21"/>
                    </w:rPr>
                  </w:pPr>
                  <w:r>
                    <w:rPr>
                      <w:color w:val="auto"/>
                      <w:sz w:val="21"/>
                      <w:szCs w:val="21"/>
                    </w:rPr>
                    <w:t>生态保</w:t>
                  </w:r>
                </w:p>
                <w:p>
                  <w:pPr>
                    <w:pStyle w:val="13"/>
                    <w:adjustRightInd w:val="0"/>
                    <w:snapToGrid w:val="0"/>
                    <w:jc w:val="center"/>
                    <w:rPr>
                      <w:color w:val="auto"/>
                      <w:sz w:val="21"/>
                      <w:szCs w:val="21"/>
                    </w:rPr>
                  </w:pPr>
                  <w:r>
                    <w:rPr>
                      <w:color w:val="auto"/>
                      <w:sz w:val="21"/>
                      <w:szCs w:val="21"/>
                    </w:rPr>
                    <w:t>护红线</w:t>
                  </w:r>
                </w:p>
              </w:tc>
              <w:tc>
                <w:tcPr>
                  <w:tcW w:w="3483" w:type="pct"/>
                  <w:vAlign w:val="center"/>
                </w:tcPr>
                <w:p>
                  <w:pPr>
                    <w:pStyle w:val="13"/>
                    <w:adjustRightInd w:val="0"/>
                    <w:snapToGrid w:val="0"/>
                    <w:jc w:val="both"/>
                    <w:rPr>
                      <w:color w:val="auto"/>
                      <w:sz w:val="21"/>
                      <w:szCs w:val="21"/>
                    </w:rPr>
                  </w:pPr>
                  <w:r>
                    <w:rPr>
                      <w:bCs/>
                      <w:color w:val="auto"/>
                      <w:sz w:val="21"/>
                      <w:szCs w:val="21"/>
                    </w:rPr>
                    <w:t>本项目厂址位于</w:t>
                  </w:r>
                  <w:r>
                    <w:rPr>
                      <w:color w:val="auto"/>
                      <w:sz w:val="21"/>
                      <w:szCs w:val="21"/>
                    </w:rPr>
                    <w:t>新疆</w:t>
                  </w:r>
                  <w:r>
                    <w:rPr>
                      <w:rFonts w:hint="eastAsia"/>
                      <w:color w:val="auto"/>
                      <w:sz w:val="21"/>
                      <w:szCs w:val="21"/>
                    </w:rPr>
                    <w:t>昌吉回族自治州吉木萨尔县庆阳湖乡水溪沟</w:t>
                  </w:r>
                  <w:r>
                    <w:rPr>
                      <w:bCs/>
                      <w:color w:val="auto"/>
                      <w:sz w:val="21"/>
                      <w:szCs w:val="21"/>
                    </w:rPr>
                    <w:t>，项目建设区域不涉及自然保护区、风景名胜区、饮用水水源保护区等需要特别保护的区域，不属于禁止建设开发区和限制建设开发区，属于适宜建设开发区，符合生态保护红线的要求。</w:t>
                  </w:r>
                </w:p>
              </w:tc>
              <w:tc>
                <w:tcPr>
                  <w:tcW w:w="563" w:type="pct"/>
                  <w:vAlign w:val="center"/>
                </w:tcPr>
                <w:p>
                  <w:pPr>
                    <w:pStyle w:val="13"/>
                    <w:adjustRightInd w:val="0"/>
                    <w:snapToGrid w:val="0"/>
                    <w:jc w:val="center"/>
                    <w:rPr>
                      <w:color w:val="auto"/>
                      <w:sz w:val="21"/>
                      <w:szCs w:val="21"/>
                    </w:rPr>
                  </w:pPr>
                  <w:r>
                    <w:rPr>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2" w:type="pct"/>
                  <w:vAlign w:val="center"/>
                </w:tcPr>
                <w:p>
                  <w:pPr>
                    <w:pStyle w:val="13"/>
                    <w:adjustRightInd w:val="0"/>
                    <w:snapToGrid w:val="0"/>
                    <w:jc w:val="center"/>
                    <w:rPr>
                      <w:color w:val="auto"/>
                      <w:sz w:val="21"/>
                      <w:szCs w:val="21"/>
                    </w:rPr>
                  </w:pPr>
                  <w:r>
                    <w:rPr>
                      <w:color w:val="auto"/>
                      <w:sz w:val="21"/>
                      <w:szCs w:val="21"/>
                    </w:rPr>
                    <w:t>资源利</w:t>
                  </w:r>
                </w:p>
                <w:p>
                  <w:pPr>
                    <w:pStyle w:val="13"/>
                    <w:adjustRightInd w:val="0"/>
                    <w:snapToGrid w:val="0"/>
                    <w:jc w:val="center"/>
                    <w:rPr>
                      <w:color w:val="auto"/>
                      <w:sz w:val="21"/>
                      <w:szCs w:val="21"/>
                    </w:rPr>
                  </w:pPr>
                  <w:r>
                    <w:rPr>
                      <w:color w:val="auto"/>
                      <w:sz w:val="21"/>
                      <w:szCs w:val="21"/>
                    </w:rPr>
                    <w:t>用上线</w:t>
                  </w:r>
                </w:p>
              </w:tc>
              <w:tc>
                <w:tcPr>
                  <w:tcW w:w="3483" w:type="pct"/>
                  <w:vAlign w:val="center"/>
                </w:tcPr>
                <w:p>
                  <w:pPr>
                    <w:pStyle w:val="13"/>
                    <w:adjustRightInd w:val="0"/>
                    <w:snapToGrid w:val="0"/>
                    <w:jc w:val="both"/>
                    <w:rPr>
                      <w:color w:val="auto"/>
                      <w:sz w:val="21"/>
                      <w:szCs w:val="21"/>
                    </w:rPr>
                  </w:pPr>
                  <w:r>
                    <w:rPr>
                      <w:rFonts w:hint="eastAsia"/>
                      <w:color w:val="auto"/>
                      <w:sz w:val="21"/>
                      <w:szCs w:val="21"/>
                    </w:rPr>
                    <w:t>本项目新增10名劳动定员</w:t>
                  </w:r>
                  <w:r>
                    <w:rPr>
                      <w:rFonts w:hint="eastAsia"/>
                      <w:color w:val="auto"/>
                      <w:sz w:val="21"/>
                      <w:szCs w:val="21"/>
                      <w:lang w:eastAsia="zh-CN"/>
                    </w:rPr>
                    <w:t>，</w:t>
                  </w:r>
                  <w:r>
                    <w:rPr>
                      <w:rFonts w:hint="eastAsia"/>
                      <w:color w:val="auto"/>
                      <w:sz w:val="21"/>
                      <w:szCs w:val="21"/>
                    </w:rPr>
                    <w:t>运营期新增用水主要为</w:t>
                  </w:r>
                  <w:r>
                    <w:rPr>
                      <w:rFonts w:hint="eastAsia"/>
                      <w:color w:val="auto"/>
                      <w:sz w:val="21"/>
                      <w:szCs w:val="21"/>
                      <w:lang w:val="en-US" w:eastAsia="zh-CN"/>
                    </w:rPr>
                    <w:t>生活污水及</w:t>
                  </w:r>
                  <w:r>
                    <w:rPr>
                      <w:rFonts w:hint="eastAsia"/>
                      <w:color w:val="auto"/>
                      <w:sz w:val="21"/>
                      <w:szCs w:val="21"/>
                    </w:rPr>
                    <w:t>新增10台混装车洗车用水，用水依托原有供水设施，由市政管网供给；</w:t>
                  </w:r>
                  <w:r>
                    <w:rPr>
                      <w:color w:val="auto"/>
                      <w:sz w:val="21"/>
                      <w:szCs w:val="21"/>
                    </w:rPr>
                    <w:t>生活污水及洗车废水</w:t>
                  </w:r>
                  <w:r>
                    <w:rPr>
                      <w:rFonts w:hint="eastAsia"/>
                      <w:color w:val="auto"/>
                      <w:sz w:val="21"/>
                    </w:rPr>
                    <w:t>排入厂区现有工程已通过竣工环境保护验收的隔油沉淀池及地埋式一体化污水处理设施，经处理达标后，</w:t>
                  </w:r>
                  <w:r>
                    <w:rPr>
                      <w:rFonts w:hint="eastAsia"/>
                      <w:color w:val="auto"/>
                      <w:sz w:val="21"/>
                      <w:szCs w:val="21"/>
                    </w:rPr>
                    <w:t>用于厂区周围绿化，</w:t>
                  </w:r>
                  <w:r>
                    <w:rPr>
                      <w:color w:val="auto"/>
                      <w:sz w:val="21"/>
                      <w:szCs w:val="21"/>
                    </w:rPr>
                    <w:t>不会影响区域水环境质量。</w:t>
                  </w:r>
                  <w:r>
                    <w:rPr>
                      <w:rFonts w:hint="eastAsia"/>
                      <w:color w:val="auto"/>
                      <w:sz w:val="21"/>
                      <w:szCs w:val="21"/>
                    </w:rPr>
                    <w:t>符合资源利用上线要求，项目</w:t>
                  </w:r>
                  <w:r>
                    <w:rPr>
                      <w:color w:val="auto"/>
                      <w:sz w:val="21"/>
                      <w:szCs w:val="21"/>
                    </w:rPr>
                    <w:t>运营过程中消耗</w:t>
                  </w:r>
                  <w:r>
                    <w:rPr>
                      <w:rFonts w:hint="eastAsia"/>
                      <w:color w:val="auto"/>
                      <w:sz w:val="21"/>
                      <w:szCs w:val="21"/>
                    </w:rPr>
                    <w:t>少量</w:t>
                  </w:r>
                  <w:r>
                    <w:rPr>
                      <w:color w:val="auto"/>
                      <w:sz w:val="21"/>
                      <w:szCs w:val="21"/>
                    </w:rPr>
                    <w:t>的电、水等资源，</w:t>
                  </w:r>
                  <w:r>
                    <w:rPr>
                      <w:rFonts w:hint="eastAsia"/>
                      <w:color w:val="auto"/>
                      <w:sz w:val="21"/>
                      <w:szCs w:val="21"/>
                    </w:rPr>
                    <w:t>本项目不新增用地，不会突破区域的资源利用上限，则本项目的建设对能源、水、土地等资源影响不大</w:t>
                  </w:r>
                  <w:r>
                    <w:rPr>
                      <w:color w:val="auto"/>
                      <w:sz w:val="21"/>
                      <w:szCs w:val="21"/>
                    </w:rPr>
                    <w:t>。</w:t>
                  </w:r>
                </w:p>
              </w:tc>
              <w:tc>
                <w:tcPr>
                  <w:tcW w:w="563" w:type="pct"/>
                  <w:vAlign w:val="center"/>
                </w:tcPr>
                <w:p>
                  <w:pPr>
                    <w:pStyle w:val="13"/>
                    <w:adjustRightInd w:val="0"/>
                    <w:snapToGrid w:val="0"/>
                    <w:jc w:val="center"/>
                    <w:rPr>
                      <w:color w:val="auto"/>
                      <w:sz w:val="21"/>
                      <w:szCs w:val="21"/>
                    </w:rPr>
                  </w:pPr>
                  <w:r>
                    <w:rPr>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2" w:type="pct"/>
                  <w:vAlign w:val="center"/>
                </w:tcPr>
                <w:p>
                  <w:pPr>
                    <w:pStyle w:val="13"/>
                    <w:adjustRightInd w:val="0"/>
                    <w:snapToGrid w:val="0"/>
                    <w:jc w:val="center"/>
                    <w:rPr>
                      <w:color w:val="auto"/>
                      <w:sz w:val="21"/>
                      <w:szCs w:val="21"/>
                    </w:rPr>
                  </w:pPr>
                  <w:r>
                    <w:rPr>
                      <w:color w:val="auto"/>
                      <w:sz w:val="21"/>
                      <w:szCs w:val="21"/>
                    </w:rPr>
                    <w:t>环境质</w:t>
                  </w:r>
                </w:p>
                <w:p>
                  <w:pPr>
                    <w:pStyle w:val="13"/>
                    <w:adjustRightInd w:val="0"/>
                    <w:snapToGrid w:val="0"/>
                    <w:jc w:val="center"/>
                    <w:rPr>
                      <w:color w:val="auto"/>
                      <w:sz w:val="21"/>
                      <w:szCs w:val="21"/>
                    </w:rPr>
                  </w:pPr>
                  <w:r>
                    <w:rPr>
                      <w:color w:val="auto"/>
                      <w:sz w:val="21"/>
                      <w:szCs w:val="21"/>
                    </w:rPr>
                    <w:t>量底线</w:t>
                  </w:r>
                </w:p>
              </w:tc>
              <w:tc>
                <w:tcPr>
                  <w:tcW w:w="3483" w:type="pct"/>
                  <w:vAlign w:val="center"/>
                </w:tcPr>
                <w:p>
                  <w:pPr>
                    <w:adjustRightInd w:val="0"/>
                    <w:snapToGrid w:val="0"/>
                    <w:rPr>
                      <w:color w:val="auto"/>
                      <w:szCs w:val="21"/>
                    </w:rPr>
                  </w:pPr>
                  <w:r>
                    <w:rPr>
                      <w:color w:val="auto"/>
                      <w:szCs w:val="21"/>
                    </w:rPr>
                    <w:t>根据环境质量现状监测，环境空气质量</w:t>
                  </w:r>
                  <w:r>
                    <w:rPr>
                      <w:rFonts w:hint="eastAsia"/>
                      <w:color w:val="auto"/>
                      <w:szCs w:val="21"/>
                    </w:rPr>
                    <w:t>除PM</w:t>
                  </w:r>
                  <w:r>
                    <w:rPr>
                      <w:rFonts w:hint="eastAsia"/>
                      <w:color w:val="auto"/>
                      <w:szCs w:val="21"/>
                      <w:vertAlign w:val="subscript"/>
                    </w:rPr>
                    <w:t>10、</w:t>
                  </w:r>
                  <w:r>
                    <w:rPr>
                      <w:rFonts w:hint="eastAsia"/>
                      <w:color w:val="auto"/>
                      <w:szCs w:val="21"/>
                    </w:rPr>
                    <w:t>PM</w:t>
                  </w:r>
                  <w:r>
                    <w:rPr>
                      <w:rFonts w:hint="eastAsia"/>
                      <w:color w:val="auto"/>
                      <w:szCs w:val="21"/>
                      <w:vertAlign w:val="subscript"/>
                    </w:rPr>
                    <w:t>2.5</w:t>
                  </w:r>
                  <w:r>
                    <w:rPr>
                      <w:rFonts w:hint="eastAsia"/>
                      <w:color w:val="auto"/>
                      <w:szCs w:val="21"/>
                    </w:rPr>
                    <w:t>外其他因子均能满足</w:t>
                  </w:r>
                  <w:r>
                    <w:rPr>
                      <w:color w:val="auto"/>
                      <w:szCs w:val="21"/>
                    </w:rPr>
                    <w:t>《环境空气质量标准》（GB3095-2012）中二级标准</w:t>
                  </w:r>
                  <w:r>
                    <w:rPr>
                      <w:rFonts w:hint="eastAsia"/>
                      <w:color w:val="auto"/>
                      <w:szCs w:val="21"/>
                    </w:rPr>
                    <w:t>，该区域为不达标区</w:t>
                  </w:r>
                  <w:r>
                    <w:rPr>
                      <w:color w:val="auto"/>
                      <w:szCs w:val="21"/>
                    </w:rPr>
                    <w:t>。</w:t>
                  </w:r>
                  <w:r>
                    <w:rPr>
                      <w:rFonts w:hint="eastAsia"/>
                      <w:color w:val="auto"/>
                      <w:szCs w:val="21"/>
                    </w:rPr>
                    <w:t>本项目投料环节采用密闭投料设备，噪声经</w:t>
                  </w:r>
                  <w:r>
                    <w:rPr>
                      <w:rFonts w:hint="eastAsia"/>
                      <w:color w:val="auto"/>
                      <w:szCs w:val="21"/>
                      <w:lang w:eastAsia="zh-CN"/>
                    </w:rPr>
                    <w:t>减振</w:t>
                  </w:r>
                  <w:r>
                    <w:rPr>
                      <w:rFonts w:hint="eastAsia"/>
                      <w:color w:val="auto"/>
                      <w:szCs w:val="21"/>
                    </w:rPr>
                    <w:t>处理后达标排放。本项目不与地表水产生水力联系。项目区四周没有声环境敏感目标，综上所述，本项目运营后不会突破环境质量底线。</w:t>
                  </w:r>
                </w:p>
              </w:tc>
              <w:tc>
                <w:tcPr>
                  <w:tcW w:w="563" w:type="pct"/>
                  <w:vAlign w:val="center"/>
                </w:tcPr>
                <w:p>
                  <w:pPr>
                    <w:pStyle w:val="13"/>
                    <w:adjustRightInd w:val="0"/>
                    <w:snapToGrid w:val="0"/>
                    <w:jc w:val="center"/>
                    <w:rPr>
                      <w:color w:val="auto"/>
                      <w:sz w:val="21"/>
                      <w:szCs w:val="21"/>
                    </w:rPr>
                  </w:pPr>
                  <w:r>
                    <w:rPr>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2" w:type="pct"/>
                  <w:vAlign w:val="center"/>
                </w:tcPr>
                <w:p>
                  <w:pPr>
                    <w:pStyle w:val="13"/>
                    <w:adjustRightInd w:val="0"/>
                    <w:snapToGrid w:val="0"/>
                    <w:jc w:val="center"/>
                    <w:rPr>
                      <w:color w:val="auto"/>
                      <w:sz w:val="21"/>
                      <w:szCs w:val="21"/>
                    </w:rPr>
                  </w:pPr>
                  <w:r>
                    <w:rPr>
                      <w:rFonts w:hint="eastAsia"/>
                      <w:color w:val="auto"/>
                      <w:sz w:val="21"/>
                      <w:szCs w:val="21"/>
                    </w:rPr>
                    <w:t>生态环境</w:t>
                  </w:r>
                </w:p>
                <w:p>
                  <w:pPr>
                    <w:pStyle w:val="13"/>
                    <w:adjustRightInd w:val="0"/>
                    <w:snapToGrid w:val="0"/>
                    <w:jc w:val="center"/>
                    <w:rPr>
                      <w:color w:val="auto"/>
                      <w:sz w:val="21"/>
                      <w:szCs w:val="21"/>
                    </w:rPr>
                  </w:pPr>
                  <w:r>
                    <w:rPr>
                      <w:color w:val="auto"/>
                      <w:sz w:val="21"/>
                      <w:szCs w:val="21"/>
                    </w:rPr>
                    <w:t>准入清单</w:t>
                  </w:r>
                </w:p>
              </w:tc>
              <w:tc>
                <w:tcPr>
                  <w:tcW w:w="3483" w:type="pct"/>
                  <w:vAlign w:val="center"/>
                </w:tcPr>
                <w:p>
                  <w:pPr>
                    <w:pStyle w:val="13"/>
                    <w:adjustRightInd w:val="0"/>
                    <w:snapToGrid w:val="0"/>
                    <w:jc w:val="both"/>
                    <w:rPr>
                      <w:color w:val="auto"/>
                      <w:sz w:val="21"/>
                      <w:szCs w:val="21"/>
                    </w:rPr>
                  </w:pPr>
                  <w:r>
                    <w:rPr>
                      <w:bCs/>
                      <w:color w:val="auto"/>
                      <w:sz w:val="21"/>
                      <w:szCs w:val="21"/>
                    </w:rPr>
                    <w:t>根据</w:t>
                  </w:r>
                  <w:r>
                    <w:rPr>
                      <w:color w:val="auto"/>
                      <w:sz w:val="21"/>
                      <w:szCs w:val="21"/>
                    </w:rPr>
                    <w:t>《</w:t>
                  </w:r>
                  <w:r>
                    <w:rPr>
                      <w:rFonts w:hint="eastAsia"/>
                      <w:color w:val="auto"/>
                      <w:sz w:val="21"/>
                      <w:szCs w:val="21"/>
                    </w:rPr>
                    <w:t>昌吉回族自治州“三线一单”生态环境分区管控方案</w:t>
                  </w:r>
                  <w:r>
                    <w:rPr>
                      <w:color w:val="auto"/>
                      <w:sz w:val="21"/>
                      <w:szCs w:val="21"/>
                    </w:rPr>
                    <w:t>》，本项目位于</w:t>
                  </w:r>
                  <w:r>
                    <w:rPr>
                      <w:rFonts w:hint="eastAsia"/>
                      <w:color w:val="auto"/>
                      <w:sz w:val="21"/>
                      <w:szCs w:val="21"/>
                    </w:rPr>
                    <w:t>吉木萨尔县限采区重点管控单元</w:t>
                  </w:r>
                  <w:r>
                    <w:rPr>
                      <w:color w:val="auto"/>
                      <w:sz w:val="21"/>
                      <w:szCs w:val="21"/>
                    </w:rPr>
                    <w:t>（环境管控单元编码</w:t>
                  </w:r>
                  <w:r>
                    <w:rPr>
                      <w:rFonts w:hint="eastAsia"/>
                      <w:color w:val="auto"/>
                      <w:sz w:val="21"/>
                      <w:szCs w:val="21"/>
                    </w:rPr>
                    <w:t>ZH65232720005</w:t>
                  </w:r>
                  <w:r>
                    <w:rPr>
                      <w:color w:val="auto"/>
                      <w:sz w:val="21"/>
                      <w:szCs w:val="21"/>
                    </w:rPr>
                    <w:t>），项目符合</w:t>
                  </w:r>
                  <w:r>
                    <w:rPr>
                      <w:rFonts w:hint="eastAsia"/>
                      <w:color w:val="auto"/>
                      <w:sz w:val="21"/>
                      <w:szCs w:val="21"/>
                    </w:rPr>
                    <w:t>昌吉回族自治州</w:t>
                  </w:r>
                  <w:r>
                    <w:rPr>
                      <w:color w:val="auto"/>
                      <w:sz w:val="21"/>
                      <w:szCs w:val="21"/>
                    </w:rPr>
                    <w:t>环境管控单元生态环境准入清单（重点管控单元）相关准入要求，符合新疆维吾尔自治区</w:t>
                  </w:r>
                  <w:r>
                    <w:rPr>
                      <w:rFonts w:hint="eastAsia"/>
                      <w:color w:val="auto"/>
                      <w:sz w:val="21"/>
                      <w:szCs w:val="21"/>
                    </w:rPr>
                    <w:t>生态环境准入</w:t>
                  </w:r>
                  <w:r>
                    <w:rPr>
                      <w:color w:val="auto"/>
                      <w:sz w:val="21"/>
                      <w:szCs w:val="21"/>
                    </w:rPr>
                    <w:t>要求。因此，本项目符合生态保护红线管控要求。</w:t>
                  </w:r>
                </w:p>
              </w:tc>
              <w:tc>
                <w:tcPr>
                  <w:tcW w:w="563" w:type="pct"/>
                  <w:vAlign w:val="center"/>
                </w:tcPr>
                <w:p>
                  <w:pPr>
                    <w:pStyle w:val="13"/>
                    <w:adjustRightInd w:val="0"/>
                    <w:snapToGrid w:val="0"/>
                    <w:jc w:val="center"/>
                    <w:rPr>
                      <w:color w:val="auto"/>
                      <w:sz w:val="21"/>
                      <w:szCs w:val="21"/>
                    </w:rPr>
                  </w:pPr>
                  <w:r>
                    <w:rPr>
                      <w:color w:val="auto"/>
                      <w:sz w:val="21"/>
                      <w:szCs w:val="21"/>
                    </w:rPr>
                    <w:t>符合</w:t>
                  </w:r>
                </w:p>
              </w:tc>
            </w:tr>
          </w:tbl>
          <w:p>
            <w:pPr>
              <w:pStyle w:val="36"/>
              <w:rPr>
                <w:color w:val="auto"/>
              </w:rPr>
            </w:pPr>
            <w:r>
              <w:rPr>
                <w:rFonts w:hint="eastAsia"/>
                <w:color w:val="auto"/>
              </w:rPr>
              <w:t>表1-2  七大片区－乌昌石片区三线一单管控要求符合性分析</w:t>
            </w:r>
          </w:p>
          <w:tbl>
            <w:tblPr>
              <w:tblStyle w:val="28"/>
              <w:tblW w:w="494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74"/>
              <w:gridCol w:w="2028"/>
              <w:gridCol w:w="4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64" w:hRule="atLeast"/>
              </w:trPr>
              <w:tc>
                <w:tcPr>
                  <w:tcW w:w="3092" w:type="pct"/>
                  <w:vAlign w:val="center"/>
                </w:tcPr>
                <w:p>
                  <w:pPr>
                    <w:pStyle w:val="35"/>
                    <w:rPr>
                      <w:color w:val="auto"/>
                    </w:rPr>
                  </w:pPr>
                  <w:r>
                    <w:rPr>
                      <w:color w:val="auto"/>
                    </w:rPr>
                    <w:t>内容</w:t>
                  </w:r>
                </w:p>
              </w:tc>
              <w:tc>
                <w:tcPr>
                  <w:tcW w:w="1578" w:type="pct"/>
                  <w:vAlign w:val="center"/>
                </w:tcPr>
                <w:p>
                  <w:pPr>
                    <w:pStyle w:val="35"/>
                    <w:rPr>
                      <w:color w:val="auto"/>
                    </w:rPr>
                  </w:pPr>
                  <w:r>
                    <w:rPr>
                      <w:color w:val="auto"/>
                    </w:rPr>
                    <w:t>符合性分析</w:t>
                  </w:r>
                </w:p>
              </w:tc>
              <w:tc>
                <w:tcPr>
                  <w:tcW w:w="328" w:type="pct"/>
                  <w:vAlign w:val="center"/>
                </w:tcPr>
                <w:p>
                  <w:pPr>
                    <w:pStyle w:val="35"/>
                    <w:rPr>
                      <w:color w:val="auto"/>
                    </w:rPr>
                  </w:pPr>
                  <w:r>
                    <w:rPr>
                      <w:color w:val="auto"/>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3092" w:type="pct"/>
                  <w:vAlign w:val="center"/>
                </w:tcPr>
                <w:p>
                  <w:pPr>
                    <w:pStyle w:val="35"/>
                    <w:rPr>
                      <w:color w:val="auto"/>
                    </w:rPr>
                  </w:pPr>
                  <w:r>
                    <w:rPr>
                      <w:rFonts w:hint="eastAsia"/>
                      <w:color w:val="auto"/>
                    </w:rPr>
                    <w:t>除国家规划项目外，乌鲁木齐市七区一县、昌吉市、阜康市、玛纳斯县、呼图壁县、沙湾市建成区及周边敏感区域内不再布局建设煤化工、电解铝、燃煤纯发电机组、金属硅、碳化硅、聚氯乙烯（电石法）、焦炭（含半焦）等新增产能项目，具备风光电清洁供暖建设条件的区域原则上不新批热电联产项目。坚持属地负责与区域大气污染联防联控相结合，以明显降低细颗粒物浓度为重点，协同推进“乌－昌－石”区域大气环境治理，强化与生产建设兵团第六师、第八师、第十一师、第十二师的同防同治，确保区域环境空气质量持续改善。所有新建、改建、扩建工业项目执行最严格的大气污染物排放标准。强化氮氧化物深度治理。强化挥发性有机物污染防治措施。推广使用低挥发性有机物原辅料，推动有条件的园区（工业集聚区）建设集中喷涂工程中心，配备高效治污设施，替代企业独立喷涂工序。强化企业清洁生产改造，推进节水型企业、节水型工业园区建设，提高资源集约节约利用水平。积极推进地下水超采治理，逐步压减地下水超采量，实现地下水采补平衡。</w:t>
                  </w:r>
                </w:p>
                <w:p>
                  <w:pPr>
                    <w:pStyle w:val="35"/>
                    <w:rPr>
                      <w:color w:val="auto"/>
                    </w:rPr>
                  </w:pPr>
                  <w:r>
                    <w:rPr>
                      <w:rFonts w:hint="eastAsia"/>
                      <w:color w:val="auto"/>
                    </w:rPr>
                    <w:t>强化油（气）资源开发区土壤环境污染综合整治。加强涉重金属行业污染防控与工业废物处理处置。煤炭、石油、天然气开发单位应当制定生态保护和恢复治理方案，并予以实施。生态保护和恢复治理方案内容应当向社会公布，接受社会监督。</w:t>
                  </w:r>
                </w:p>
              </w:tc>
              <w:tc>
                <w:tcPr>
                  <w:tcW w:w="1578" w:type="pct"/>
                  <w:vAlign w:val="center"/>
                </w:tcPr>
                <w:p>
                  <w:pPr>
                    <w:pStyle w:val="35"/>
                    <w:rPr>
                      <w:color w:val="auto"/>
                    </w:rPr>
                  </w:pPr>
                  <w:r>
                    <w:rPr>
                      <w:rFonts w:hint="eastAsia"/>
                      <w:color w:val="auto"/>
                    </w:rPr>
                    <w:t>本项目不属于管控要求中提及的煤化工、电解铝、燃煤纯发电机组、金属硅、碳化硅、聚氯乙烯（电石法）、焦炭（含半焦）等项目，本项目颗粒物排放执行</w:t>
                  </w:r>
                  <w:r>
                    <w:rPr>
                      <w:color w:val="auto"/>
                    </w:rPr>
                    <w:t>《大气污染物综合排放标准》（GB16297-1996）中新污染源二级排放标准要求</w:t>
                  </w:r>
                  <w:r>
                    <w:rPr>
                      <w:rFonts w:hint="eastAsia"/>
                      <w:color w:val="auto"/>
                    </w:rPr>
                    <w:t>，本项目原料中涉及产生挥发性有机物的原材料为柴油，柴油储罐为双层</w:t>
                  </w:r>
                  <w:r>
                    <w:rPr>
                      <w:rFonts w:hint="eastAsia"/>
                      <w:color w:val="auto"/>
                      <w:lang w:val="en-US" w:eastAsia="zh-CN"/>
                    </w:rPr>
                    <w:t>储罐</w:t>
                  </w:r>
                  <w:r>
                    <w:rPr>
                      <w:rFonts w:hint="eastAsia"/>
                      <w:color w:val="auto"/>
                    </w:rPr>
                    <w:t>，符合乌昌石片区管控要求。</w:t>
                  </w:r>
                </w:p>
              </w:tc>
              <w:tc>
                <w:tcPr>
                  <w:tcW w:w="328" w:type="pct"/>
                  <w:vAlign w:val="center"/>
                </w:tcPr>
                <w:p>
                  <w:pPr>
                    <w:pStyle w:val="35"/>
                    <w:rPr>
                      <w:color w:val="auto"/>
                    </w:rPr>
                  </w:pPr>
                  <w:r>
                    <w:rPr>
                      <w:color w:val="auto"/>
                    </w:rPr>
                    <w:t>符合</w:t>
                  </w:r>
                </w:p>
              </w:tc>
            </w:tr>
          </w:tbl>
          <w:p>
            <w:pPr>
              <w:pStyle w:val="36"/>
              <w:rPr>
                <w:color w:val="auto"/>
              </w:rPr>
            </w:pPr>
            <w:r>
              <w:rPr>
                <w:color w:val="auto"/>
              </w:rPr>
              <w:t>表</w:t>
            </w:r>
            <w:r>
              <w:rPr>
                <w:rFonts w:hint="eastAsia"/>
                <w:color w:val="auto"/>
              </w:rPr>
              <w:t>1-3</w:t>
            </w:r>
            <w:r>
              <w:rPr>
                <w:color w:val="auto"/>
              </w:rPr>
              <w:t xml:space="preserve">  </w:t>
            </w:r>
            <w:r>
              <w:rPr>
                <w:rFonts w:hint="eastAsia"/>
                <w:color w:val="auto"/>
              </w:rPr>
              <w:t>“昌吉州</w:t>
            </w:r>
            <w:r>
              <w:rPr>
                <w:color w:val="auto"/>
              </w:rPr>
              <w:t>生态环境准入清单</w:t>
            </w:r>
            <w:r>
              <w:rPr>
                <w:rFonts w:hint="eastAsia"/>
                <w:color w:val="auto"/>
              </w:rPr>
              <w:t>”</w:t>
            </w:r>
            <w:r>
              <w:rPr>
                <w:color w:val="auto"/>
              </w:rPr>
              <w:t>符合性分析</w:t>
            </w:r>
          </w:p>
          <w:tbl>
            <w:tblPr>
              <w:tblStyle w:val="28"/>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651"/>
              <w:gridCol w:w="463"/>
              <w:gridCol w:w="426"/>
              <w:gridCol w:w="426"/>
              <w:gridCol w:w="2251"/>
              <w:gridCol w:w="128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17" w:hRule="atLeast"/>
                <w:jc w:val="center"/>
              </w:trPr>
              <w:tc>
                <w:tcPr>
                  <w:tcW w:w="863" w:type="pct"/>
                  <w:tcBorders>
                    <w:tl2br w:val="nil"/>
                    <w:tr2bl w:val="nil"/>
                  </w:tcBorders>
                  <w:vAlign w:val="center"/>
                </w:tcPr>
                <w:p>
                  <w:pPr>
                    <w:jc w:val="center"/>
                    <w:rPr>
                      <w:color w:val="auto"/>
                      <w:szCs w:val="21"/>
                    </w:rPr>
                  </w:pPr>
                  <w:r>
                    <w:rPr>
                      <w:color w:val="auto"/>
                      <w:szCs w:val="21"/>
                    </w:rPr>
                    <w:t>环境管控单元编码</w:t>
                  </w:r>
                </w:p>
              </w:tc>
              <w:tc>
                <w:tcPr>
                  <w:tcW w:w="438" w:type="pct"/>
                  <w:tcBorders>
                    <w:tl2br w:val="nil"/>
                    <w:tr2bl w:val="nil"/>
                  </w:tcBorders>
                  <w:vAlign w:val="center"/>
                </w:tcPr>
                <w:p>
                  <w:pPr>
                    <w:jc w:val="center"/>
                    <w:rPr>
                      <w:color w:val="auto"/>
                      <w:szCs w:val="21"/>
                    </w:rPr>
                  </w:pPr>
                  <w:r>
                    <w:rPr>
                      <w:color w:val="auto"/>
                      <w:szCs w:val="21"/>
                    </w:rPr>
                    <w:t>环境管控单元名称</w:t>
                  </w:r>
                </w:p>
              </w:tc>
              <w:tc>
                <w:tcPr>
                  <w:tcW w:w="346" w:type="pct"/>
                  <w:tcBorders>
                    <w:tl2br w:val="nil"/>
                    <w:tr2bl w:val="nil"/>
                  </w:tcBorders>
                  <w:vAlign w:val="center"/>
                </w:tcPr>
                <w:p>
                  <w:pPr>
                    <w:jc w:val="center"/>
                    <w:rPr>
                      <w:color w:val="auto"/>
                      <w:szCs w:val="21"/>
                    </w:rPr>
                  </w:pPr>
                  <w:r>
                    <w:rPr>
                      <w:color w:val="auto"/>
                      <w:szCs w:val="21"/>
                    </w:rPr>
                    <w:t>环境管控单元类别</w:t>
                  </w:r>
                </w:p>
              </w:tc>
              <w:tc>
                <w:tcPr>
                  <w:tcW w:w="2285" w:type="pct"/>
                  <w:gridSpan w:val="2"/>
                  <w:tcBorders>
                    <w:tl2br w:val="nil"/>
                    <w:tr2bl w:val="nil"/>
                  </w:tcBorders>
                  <w:vAlign w:val="center"/>
                </w:tcPr>
                <w:p>
                  <w:pPr>
                    <w:jc w:val="center"/>
                    <w:rPr>
                      <w:color w:val="auto"/>
                      <w:szCs w:val="21"/>
                    </w:rPr>
                  </w:pPr>
                  <w:r>
                    <w:rPr>
                      <w:color w:val="auto"/>
                      <w:szCs w:val="21"/>
                    </w:rPr>
                    <w:t>管控要求</w:t>
                  </w:r>
                </w:p>
              </w:tc>
              <w:tc>
                <w:tcPr>
                  <w:tcW w:w="1065" w:type="pct"/>
                  <w:tcBorders>
                    <w:tl2br w:val="nil"/>
                    <w:tr2bl w:val="nil"/>
                  </w:tcBorders>
                  <w:vAlign w:val="center"/>
                </w:tcPr>
                <w:p>
                  <w:pPr>
                    <w:jc w:val="center"/>
                    <w:rPr>
                      <w:color w:val="auto"/>
                      <w:szCs w:val="21"/>
                    </w:rPr>
                  </w:pPr>
                  <w:r>
                    <w:rPr>
                      <w:color w:val="auto"/>
                      <w:szCs w:val="21"/>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13" w:hRule="atLeast"/>
                <w:jc w:val="center"/>
              </w:trPr>
              <w:tc>
                <w:tcPr>
                  <w:tcW w:w="863" w:type="pct"/>
                  <w:vMerge w:val="restart"/>
                  <w:tcBorders>
                    <w:tl2br w:val="nil"/>
                    <w:tr2bl w:val="nil"/>
                  </w:tcBorders>
                  <w:vAlign w:val="center"/>
                </w:tcPr>
                <w:p>
                  <w:pPr>
                    <w:jc w:val="center"/>
                    <w:rPr>
                      <w:color w:val="auto"/>
                      <w:szCs w:val="21"/>
                    </w:rPr>
                  </w:pPr>
                  <w:r>
                    <w:rPr>
                      <w:rFonts w:hint="eastAsia"/>
                      <w:color w:val="auto"/>
                      <w:szCs w:val="21"/>
                    </w:rPr>
                    <w:t>ZH65232720005</w:t>
                  </w:r>
                </w:p>
              </w:tc>
              <w:tc>
                <w:tcPr>
                  <w:tcW w:w="438" w:type="pct"/>
                  <w:vMerge w:val="restart"/>
                  <w:tcBorders>
                    <w:tl2br w:val="nil"/>
                    <w:tr2bl w:val="nil"/>
                  </w:tcBorders>
                  <w:vAlign w:val="center"/>
                </w:tcPr>
                <w:p>
                  <w:pPr>
                    <w:jc w:val="center"/>
                    <w:rPr>
                      <w:color w:val="auto"/>
                      <w:szCs w:val="21"/>
                    </w:rPr>
                  </w:pPr>
                  <w:r>
                    <w:rPr>
                      <w:rFonts w:hint="eastAsia"/>
                      <w:color w:val="auto"/>
                      <w:szCs w:val="21"/>
                    </w:rPr>
                    <w:t>吉木萨尔县限采区</w:t>
                  </w:r>
                </w:p>
              </w:tc>
              <w:tc>
                <w:tcPr>
                  <w:tcW w:w="346" w:type="pct"/>
                  <w:vMerge w:val="restart"/>
                  <w:tcBorders>
                    <w:tl2br w:val="nil"/>
                    <w:tr2bl w:val="nil"/>
                  </w:tcBorders>
                  <w:vAlign w:val="center"/>
                </w:tcPr>
                <w:p>
                  <w:pPr>
                    <w:jc w:val="center"/>
                    <w:rPr>
                      <w:color w:val="auto"/>
                      <w:szCs w:val="21"/>
                    </w:rPr>
                  </w:pPr>
                  <w:r>
                    <w:rPr>
                      <w:color w:val="auto"/>
                      <w:szCs w:val="21"/>
                    </w:rPr>
                    <w:t>重点管控单元</w:t>
                  </w:r>
                </w:p>
              </w:tc>
              <w:tc>
                <w:tcPr>
                  <w:tcW w:w="334" w:type="pct"/>
                  <w:tcBorders>
                    <w:tl2br w:val="nil"/>
                    <w:tr2bl w:val="nil"/>
                  </w:tcBorders>
                  <w:vAlign w:val="center"/>
                </w:tcPr>
                <w:p>
                  <w:pPr>
                    <w:jc w:val="center"/>
                    <w:rPr>
                      <w:color w:val="auto"/>
                      <w:szCs w:val="21"/>
                    </w:rPr>
                  </w:pPr>
                  <w:r>
                    <w:rPr>
                      <w:color w:val="auto"/>
                      <w:szCs w:val="21"/>
                    </w:rPr>
                    <w:t>空间布局约束</w:t>
                  </w:r>
                </w:p>
              </w:tc>
              <w:tc>
                <w:tcPr>
                  <w:tcW w:w="1950" w:type="pct"/>
                  <w:tcBorders>
                    <w:tl2br w:val="nil"/>
                    <w:tr2bl w:val="nil"/>
                  </w:tcBorders>
                  <w:vAlign w:val="center"/>
                </w:tcPr>
                <w:p>
                  <w:pPr>
                    <w:pStyle w:val="103"/>
                    <w:numPr>
                      <w:ilvl w:val="0"/>
                      <w:numId w:val="3"/>
                    </w:numPr>
                    <w:ind w:firstLine="0"/>
                    <w:jc w:val="center"/>
                    <w:rPr>
                      <w:rFonts w:ascii="Times New Roman" w:hAnsi="Times New Roman"/>
                      <w:color w:val="auto"/>
                      <w:szCs w:val="21"/>
                    </w:rPr>
                  </w:pPr>
                  <w:r>
                    <w:rPr>
                      <w:rFonts w:ascii="Times New Roman" w:hAnsi="Times New Roman"/>
                      <w:color w:val="auto"/>
                      <w:szCs w:val="21"/>
                    </w:rPr>
                    <w:t>执行自治区总体准入要求中关于重点管控单元空间布局约束的准入要求（表2-3 A6.1）。</w:t>
                  </w:r>
                </w:p>
                <w:p>
                  <w:pPr>
                    <w:pStyle w:val="103"/>
                    <w:ind w:firstLine="0"/>
                    <w:rPr>
                      <w:rFonts w:ascii="Times New Roman" w:hAnsi="Times New Roman"/>
                      <w:color w:val="auto"/>
                      <w:szCs w:val="21"/>
                    </w:rPr>
                  </w:pPr>
                  <w:r>
                    <w:rPr>
                      <w:rFonts w:ascii="Times New Roman" w:hAnsi="Times New Roman"/>
                      <w:color w:val="auto"/>
                      <w:szCs w:val="21"/>
                    </w:rPr>
                    <w:t>【A6.1-1】根据产业集聚区块的功能定位，建立分区差别化的产业准入条件。严格控制重要水系源头地区和重要生态功能区“高污染、高环境风险产品”工业项目准入。优化完善区域产业布局，合理规划布局“高污染、高环境风险产品”工业项目，鼓励对“高污染、高环境风险产品”工业项目进行淘汰和提升改造。合理规划居住区与工业功能区，在居住区和工业区、工业企业之间设置防护绿化隔离带。</w:t>
                  </w:r>
                </w:p>
                <w:p>
                  <w:pPr>
                    <w:pStyle w:val="103"/>
                    <w:ind w:firstLine="0"/>
                    <w:rPr>
                      <w:rFonts w:ascii="Times New Roman" w:hAnsi="Times New Roman"/>
                      <w:color w:val="auto"/>
                      <w:szCs w:val="21"/>
                    </w:rPr>
                  </w:pPr>
                  <w:r>
                    <w:rPr>
                      <w:rFonts w:ascii="Times New Roman" w:hAnsi="Times New Roman"/>
                      <w:color w:val="auto"/>
                      <w:szCs w:val="21"/>
                    </w:rPr>
                    <w:t>【A6.1-2】大气环境重点管控区内：禁止引进国家和自治区明令禁止或淘汰的产业及工艺、园区规划的项目；引进符合国家产业政策和清洁生产要求的、采用先进生产工艺和设备的、自动化程度高的、具有可靠先进的污染治理技术的生产项目。</w:t>
                  </w:r>
                </w:p>
                <w:p>
                  <w:pPr>
                    <w:pStyle w:val="103"/>
                    <w:ind w:firstLine="0"/>
                    <w:rPr>
                      <w:rFonts w:ascii="Times New Roman" w:hAnsi="Times New Roman"/>
                      <w:color w:val="auto"/>
                      <w:szCs w:val="21"/>
                    </w:rPr>
                  </w:pPr>
                  <w:r>
                    <w:rPr>
                      <w:rFonts w:ascii="Times New Roman" w:hAnsi="Times New Roman"/>
                      <w:color w:val="auto"/>
                      <w:szCs w:val="21"/>
                    </w:rPr>
                    <w:t>【A6.1-3】水环境重点管控区内：制定产业准入对污染排放不达标的企业限期整改，确保水污染物达标排放；加快推进生态园区建设和循环化改造，完善污水集中处理设施及再生水回用系统，加强配套管网建设，并确保稳定运行，工业废水必须经预处理达到集中处理要求后，方可进入污水集中处理设施，不断提高污水集中处理中水回用率。加强城镇配套管网建设，提高城镇生活污水出水排放标准，推进城镇生活污水深度治理，提高污水厂脱氮除磷效率。对农业污染重点管控区，推进畜禽养殖禁养区、限养区的划定，限期依法关闭或搬迁禁养区内的畜禽养殖场，对现有规模化畜禽养殖配套建设粪便污水贮存、处理、利用设施，鼓励设施农业循环发展模式，推进养殖废弃物资源化利用。控制化肥农药使用量，推进农膜回收及加工再利用，农药化肥等包装废弃物的安全收集处置设施建设，降低农业污染负荷。</w:t>
                  </w:r>
                </w:p>
                <w:p>
                  <w:pPr>
                    <w:pStyle w:val="103"/>
                    <w:ind w:firstLine="0"/>
                    <w:rPr>
                      <w:rFonts w:ascii="Times New Roman" w:hAnsi="Times New Roman"/>
                      <w:color w:val="auto"/>
                      <w:szCs w:val="21"/>
                    </w:rPr>
                  </w:pPr>
                  <w:r>
                    <w:rPr>
                      <w:rFonts w:ascii="Times New Roman" w:hAnsi="Times New Roman"/>
                      <w:color w:val="auto"/>
                      <w:szCs w:val="21"/>
                    </w:rPr>
                    <w:t>【A6.1-4】土壤环境重点管控区内：引入新建产业或企业时，应结合产业发展规划，充分考虑企业类型、污染物排放特征以及外环境情况等因素，避免企业形成交叉污染；涉重金属、持久性有机物等有毒有害污染物工业企业退出用地，须经评估、治理，满足后续相应用地土壤环境质量要求。</w:t>
                  </w:r>
                </w:p>
              </w:tc>
              <w:tc>
                <w:tcPr>
                  <w:tcW w:w="1065" w:type="pct"/>
                  <w:tcBorders>
                    <w:tl2br w:val="nil"/>
                    <w:tr2bl w:val="nil"/>
                  </w:tcBorders>
                  <w:vAlign w:val="center"/>
                </w:tcPr>
                <w:p>
                  <w:pPr>
                    <w:pStyle w:val="103"/>
                    <w:ind w:firstLine="0"/>
                    <w:jc w:val="center"/>
                    <w:rPr>
                      <w:rFonts w:ascii="Times New Roman" w:hAnsi="Times New Roman"/>
                      <w:color w:val="auto"/>
                      <w:szCs w:val="21"/>
                    </w:rPr>
                  </w:pPr>
                  <w:r>
                    <w:rPr>
                      <w:rFonts w:hint="eastAsia" w:ascii="Times New Roman" w:hAnsi="Times New Roman"/>
                      <w:color w:val="auto"/>
                      <w:szCs w:val="21"/>
                    </w:rPr>
                    <w:t>本项目为炸药生产项目，不属于高污染项目，本项目主要风险为硝酸铵及柴油的储存，经分析，该项目不属于高环境风险项目。本项目废水依托现有工程已建的隔油沉淀池及地埋式一体化污水处理设施，经处理后达到绿化用水标准后用于厂区绿化，符合空间布局约束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08" w:hRule="atLeast"/>
                <w:jc w:val="center"/>
              </w:trPr>
              <w:tc>
                <w:tcPr>
                  <w:tcW w:w="863" w:type="pct"/>
                  <w:vMerge w:val="continue"/>
                  <w:tcBorders>
                    <w:tl2br w:val="nil"/>
                    <w:tr2bl w:val="nil"/>
                  </w:tcBorders>
                  <w:vAlign w:val="center"/>
                </w:tcPr>
                <w:p>
                  <w:pPr>
                    <w:jc w:val="center"/>
                    <w:rPr>
                      <w:color w:val="auto"/>
                      <w:szCs w:val="21"/>
                    </w:rPr>
                  </w:pPr>
                </w:p>
              </w:tc>
              <w:tc>
                <w:tcPr>
                  <w:tcW w:w="438" w:type="pct"/>
                  <w:vMerge w:val="continue"/>
                  <w:tcBorders>
                    <w:tl2br w:val="nil"/>
                    <w:tr2bl w:val="nil"/>
                  </w:tcBorders>
                  <w:vAlign w:val="center"/>
                </w:tcPr>
                <w:p>
                  <w:pPr>
                    <w:jc w:val="center"/>
                    <w:rPr>
                      <w:color w:val="auto"/>
                      <w:szCs w:val="21"/>
                    </w:rPr>
                  </w:pPr>
                </w:p>
              </w:tc>
              <w:tc>
                <w:tcPr>
                  <w:tcW w:w="346" w:type="pct"/>
                  <w:vMerge w:val="continue"/>
                  <w:tcBorders>
                    <w:tl2br w:val="nil"/>
                    <w:tr2bl w:val="nil"/>
                  </w:tcBorders>
                  <w:vAlign w:val="center"/>
                </w:tcPr>
                <w:p>
                  <w:pPr>
                    <w:jc w:val="center"/>
                    <w:rPr>
                      <w:color w:val="auto"/>
                      <w:szCs w:val="21"/>
                    </w:rPr>
                  </w:pPr>
                </w:p>
              </w:tc>
              <w:tc>
                <w:tcPr>
                  <w:tcW w:w="334" w:type="pct"/>
                  <w:tcBorders>
                    <w:tl2br w:val="nil"/>
                    <w:tr2bl w:val="nil"/>
                  </w:tcBorders>
                  <w:vAlign w:val="center"/>
                </w:tcPr>
                <w:p>
                  <w:pPr>
                    <w:jc w:val="center"/>
                    <w:rPr>
                      <w:color w:val="auto"/>
                      <w:szCs w:val="21"/>
                    </w:rPr>
                  </w:pPr>
                  <w:r>
                    <w:rPr>
                      <w:color w:val="auto"/>
                      <w:szCs w:val="21"/>
                    </w:rPr>
                    <w:t>污染物排放管控</w:t>
                  </w:r>
                </w:p>
              </w:tc>
              <w:tc>
                <w:tcPr>
                  <w:tcW w:w="1950" w:type="pct"/>
                  <w:tcBorders>
                    <w:tl2br w:val="nil"/>
                    <w:tr2bl w:val="nil"/>
                  </w:tcBorders>
                  <w:vAlign w:val="center"/>
                </w:tcPr>
                <w:p>
                  <w:pPr>
                    <w:pStyle w:val="103"/>
                    <w:numPr>
                      <w:ilvl w:val="0"/>
                      <w:numId w:val="4"/>
                    </w:numPr>
                    <w:ind w:firstLine="0"/>
                    <w:jc w:val="center"/>
                    <w:rPr>
                      <w:rFonts w:ascii="Times New Roman" w:hAnsi="Times New Roman"/>
                      <w:color w:val="auto"/>
                      <w:szCs w:val="21"/>
                    </w:rPr>
                  </w:pPr>
                  <w:r>
                    <w:rPr>
                      <w:rFonts w:ascii="Times New Roman" w:hAnsi="Times New Roman"/>
                      <w:color w:val="auto"/>
                      <w:szCs w:val="21"/>
                    </w:rPr>
                    <w:t>执行自治区总体准入要求中关于重点管控单元污染物排放管控的准入要求（表2-3 A6.2）。</w:t>
                  </w:r>
                </w:p>
                <w:p>
                  <w:pPr>
                    <w:pStyle w:val="103"/>
                    <w:ind w:firstLine="0"/>
                    <w:rPr>
                      <w:rFonts w:ascii="Times New Roman" w:hAnsi="Times New Roman"/>
                      <w:color w:val="auto"/>
                      <w:szCs w:val="21"/>
                    </w:rPr>
                  </w:pPr>
                  <w:r>
                    <w:rPr>
                      <w:rFonts w:ascii="Times New Roman" w:hAnsi="Times New Roman"/>
                      <w:color w:val="auto"/>
                      <w:szCs w:val="21"/>
                    </w:rPr>
                    <w:t>【A6.2-1】严格实施污染物总量控制制度，根据区域环境质量改善目标，削减污染物排放总量。新建工业项目污染物排放水平要达到同行业国内先进水平。加快落实污水处理厂建设及提升改造，推进工业园区（工业企业）污水处理综合利用设施建设，所有企业实现稳定达标排放。加强土壤和地下水污染防治与修复。</w:t>
                  </w:r>
                </w:p>
              </w:tc>
              <w:tc>
                <w:tcPr>
                  <w:tcW w:w="1065" w:type="pct"/>
                  <w:tcBorders>
                    <w:tl2br w:val="nil"/>
                    <w:tr2bl w:val="nil"/>
                  </w:tcBorders>
                  <w:vAlign w:val="center"/>
                </w:tcPr>
                <w:p>
                  <w:pPr>
                    <w:pStyle w:val="103"/>
                    <w:ind w:firstLine="0"/>
                    <w:jc w:val="center"/>
                    <w:rPr>
                      <w:rFonts w:ascii="Times New Roman" w:hAnsi="Times New Roman"/>
                      <w:color w:val="auto"/>
                      <w:szCs w:val="21"/>
                    </w:rPr>
                  </w:pPr>
                  <w:r>
                    <w:rPr>
                      <w:rFonts w:hint="eastAsia" w:ascii="Times New Roman" w:hAnsi="Times New Roman"/>
                      <w:color w:val="auto"/>
                      <w:szCs w:val="21"/>
                    </w:rPr>
                    <w:t>本项目废水依托现有工程已建隔油沉淀池及地埋式一体化污水处理设施，经处理后达到绿化用水标准后用于厂区绿化，符合污染物排放管控要求。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32" w:hRule="atLeast"/>
                <w:jc w:val="center"/>
              </w:trPr>
              <w:tc>
                <w:tcPr>
                  <w:tcW w:w="863" w:type="pct"/>
                  <w:vMerge w:val="continue"/>
                  <w:tcBorders>
                    <w:tl2br w:val="nil"/>
                    <w:tr2bl w:val="nil"/>
                  </w:tcBorders>
                  <w:vAlign w:val="center"/>
                </w:tcPr>
                <w:p>
                  <w:pPr>
                    <w:jc w:val="center"/>
                    <w:rPr>
                      <w:color w:val="auto"/>
                      <w:szCs w:val="21"/>
                    </w:rPr>
                  </w:pPr>
                </w:p>
              </w:tc>
              <w:tc>
                <w:tcPr>
                  <w:tcW w:w="438" w:type="pct"/>
                  <w:vMerge w:val="continue"/>
                  <w:tcBorders>
                    <w:tl2br w:val="nil"/>
                    <w:tr2bl w:val="nil"/>
                  </w:tcBorders>
                  <w:vAlign w:val="center"/>
                </w:tcPr>
                <w:p>
                  <w:pPr>
                    <w:jc w:val="center"/>
                    <w:rPr>
                      <w:color w:val="auto"/>
                      <w:szCs w:val="21"/>
                    </w:rPr>
                  </w:pPr>
                </w:p>
              </w:tc>
              <w:tc>
                <w:tcPr>
                  <w:tcW w:w="346" w:type="pct"/>
                  <w:vMerge w:val="continue"/>
                  <w:tcBorders>
                    <w:tl2br w:val="nil"/>
                    <w:tr2bl w:val="nil"/>
                  </w:tcBorders>
                  <w:vAlign w:val="center"/>
                </w:tcPr>
                <w:p>
                  <w:pPr>
                    <w:jc w:val="center"/>
                    <w:rPr>
                      <w:color w:val="auto"/>
                      <w:szCs w:val="21"/>
                    </w:rPr>
                  </w:pPr>
                </w:p>
              </w:tc>
              <w:tc>
                <w:tcPr>
                  <w:tcW w:w="334" w:type="pct"/>
                  <w:tcBorders>
                    <w:tl2br w:val="nil"/>
                    <w:tr2bl w:val="nil"/>
                  </w:tcBorders>
                  <w:vAlign w:val="center"/>
                </w:tcPr>
                <w:p>
                  <w:pPr>
                    <w:jc w:val="center"/>
                    <w:rPr>
                      <w:color w:val="auto"/>
                      <w:szCs w:val="21"/>
                    </w:rPr>
                  </w:pPr>
                  <w:r>
                    <w:rPr>
                      <w:color w:val="auto"/>
                      <w:szCs w:val="21"/>
                    </w:rPr>
                    <w:t>环境风险防控</w:t>
                  </w:r>
                </w:p>
              </w:tc>
              <w:tc>
                <w:tcPr>
                  <w:tcW w:w="1950" w:type="pct"/>
                  <w:tcBorders>
                    <w:tl2br w:val="nil"/>
                    <w:tr2bl w:val="nil"/>
                  </w:tcBorders>
                  <w:vAlign w:val="center"/>
                </w:tcPr>
                <w:p>
                  <w:pPr>
                    <w:pStyle w:val="103"/>
                    <w:numPr>
                      <w:ilvl w:val="0"/>
                      <w:numId w:val="5"/>
                    </w:numPr>
                    <w:ind w:firstLine="0"/>
                    <w:jc w:val="center"/>
                    <w:rPr>
                      <w:rFonts w:ascii="Times New Roman" w:hAnsi="Times New Roman"/>
                      <w:color w:val="auto"/>
                      <w:szCs w:val="21"/>
                    </w:rPr>
                  </w:pPr>
                  <w:r>
                    <w:rPr>
                      <w:rFonts w:ascii="Times New Roman" w:hAnsi="Times New Roman"/>
                      <w:color w:val="auto"/>
                      <w:szCs w:val="21"/>
                    </w:rPr>
                    <w:t>执行自治区总体准入要求中关于重点管控单元环境风险防控的准入要求（表2-3 A6.3）。</w:t>
                  </w:r>
                </w:p>
                <w:p>
                  <w:pPr>
                    <w:pStyle w:val="103"/>
                    <w:ind w:firstLine="0"/>
                    <w:rPr>
                      <w:rFonts w:ascii="Times New Roman" w:hAnsi="Times New Roman"/>
                      <w:color w:val="auto"/>
                      <w:szCs w:val="21"/>
                    </w:rPr>
                  </w:pPr>
                  <w:r>
                    <w:rPr>
                      <w:rFonts w:ascii="Times New Roman" w:hAnsi="Times New Roman"/>
                      <w:color w:val="auto"/>
                      <w:szCs w:val="21"/>
                    </w:rPr>
                    <w:t>【A6.3-1】定期评估邻近环境敏感区的工业企业、工业集聚区环境和健康风险。强化工业集聚区企业环境风险防范设施设备建设和正常运行监管，加强重点环境风险管控企业应急预案制定，建立常态化的企业隐患排查整治监管机制，加强风险防控体系建设。</w:t>
                  </w:r>
                </w:p>
              </w:tc>
              <w:tc>
                <w:tcPr>
                  <w:tcW w:w="1065" w:type="pct"/>
                  <w:tcBorders>
                    <w:tl2br w:val="nil"/>
                    <w:tr2bl w:val="nil"/>
                  </w:tcBorders>
                  <w:vAlign w:val="center"/>
                </w:tcPr>
                <w:p>
                  <w:pPr>
                    <w:pStyle w:val="103"/>
                    <w:ind w:firstLine="0"/>
                    <w:jc w:val="center"/>
                    <w:rPr>
                      <w:rFonts w:ascii="Times New Roman" w:hAnsi="Times New Roman"/>
                      <w:color w:val="auto"/>
                      <w:szCs w:val="21"/>
                    </w:rPr>
                  </w:pPr>
                  <w:r>
                    <w:rPr>
                      <w:rFonts w:hint="eastAsia" w:ascii="Times New Roman" w:hAnsi="Times New Roman"/>
                      <w:color w:val="auto"/>
                      <w:szCs w:val="21"/>
                    </w:rPr>
                    <w:t>本环评对项目环境风险提出相应的风险防范措施，可满足环境风险防控要求。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00" w:hRule="atLeast"/>
                <w:jc w:val="center"/>
              </w:trPr>
              <w:tc>
                <w:tcPr>
                  <w:tcW w:w="863" w:type="pct"/>
                  <w:vMerge w:val="continue"/>
                  <w:tcBorders>
                    <w:tl2br w:val="nil"/>
                    <w:tr2bl w:val="nil"/>
                  </w:tcBorders>
                  <w:vAlign w:val="center"/>
                </w:tcPr>
                <w:p>
                  <w:pPr>
                    <w:jc w:val="center"/>
                    <w:rPr>
                      <w:color w:val="auto"/>
                      <w:szCs w:val="21"/>
                    </w:rPr>
                  </w:pPr>
                </w:p>
              </w:tc>
              <w:tc>
                <w:tcPr>
                  <w:tcW w:w="438" w:type="pct"/>
                  <w:vMerge w:val="continue"/>
                  <w:tcBorders>
                    <w:tl2br w:val="nil"/>
                    <w:tr2bl w:val="nil"/>
                  </w:tcBorders>
                  <w:vAlign w:val="center"/>
                </w:tcPr>
                <w:p>
                  <w:pPr>
                    <w:jc w:val="center"/>
                    <w:rPr>
                      <w:color w:val="auto"/>
                      <w:szCs w:val="21"/>
                    </w:rPr>
                  </w:pPr>
                </w:p>
              </w:tc>
              <w:tc>
                <w:tcPr>
                  <w:tcW w:w="346" w:type="pct"/>
                  <w:vMerge w:val="continue"/>
                  <w:tcBorders>
                    <w:tl2br w:val="nil"/>
                    <w:tr2bl w:val="nil"/>
                  </w:tcBorders>
                  <w:vAlign w:val="center"/>
                </w:tcPr>
                <w:p>
                  <w:pPr>
                    <w:jc w:val="center"/>
                    <w:rPr>
                      <w:color w:val="auto"/>
                      <w:szCs w:val="21"/>
                    </w:rPr>
                  </w:pPr>
                </w:p>
              </w:tc>
              <w:tc>
                <w:tcPr>
                  <w:tcW w:w="334" w:type="pct"/>
                  <w:tcBorders>
                    <w:tl2br w:val="nil"/>
                    <w:tr2bl w:val="nil"/>
                  </w:tcBorders>
                  <w:vAlign w:val="center"/>
                </w:tcPr>
                <w:p>
                  <w:pPr>
                    <w:jc w:val="center"/>
                    <w:rPr>
                      <w:color w:val="auto"/>
                      <w:szCs w:val="21"/>
                    </w:rPr>
                  </w:pPr>
                  <w:r>
                    <w:rPr>
                      <w:color w:val="auto"/>
                      <w:szCs w:val="21"/>
                    </w:rPr>
                    <w:t>资源利用效率</w:t>
                  </w:r>
                </w:p>
              </w:tc>
              <w:tc>
                <w:tcPr>
                  <w:tcW w:w="1950" w:type="pct"/>
                  <w:tcBorders>
                    <w:tl2br w:val="nil"/>
                    <w:tr2bl w:val="nil"/>
                  </w:tcBorders>
                  <w:vAlign w:val="center"/>
                </w:tcPr>
                <w:p>
                  <w:pPr>
                    <w:pStyle w:val="103"/>
                    <w:numPr>
                      <w:ilvl w:val="0"/>
                      <w:numId w:val="6"/>
                    </w:numPr>
                    <w:ind w:firstLine="0"/>
                    <w:jc w:val="center"/>
                    <w:rPr>
                      <w:rFonts w:ascii="Times New Roman" w:hAnsi="Times New Roman"/>
                      <w:color w:val="auto"/>
                      <w:szCs w:val="21"/>
                    </w:rPr>
                  </w:pPr>
                  <w:r>
                    <w:rPr>
                      <w:rFonts w:ascii="Times New Roman" w:hAnsi="Times New Roman"/>
                      <w:color w:val="auto"/>
                      <w:szCs w:val="21"/>
                    </w:rPr>
                    <w:t>执行自治区总体准入要求中关于重点管控单元资源利用效率的准入要求（表2-3 A6.4）。</w:t>
                  </w:r>
                </w:p>
                <w:p>
                  <w:pPr>
                    <w:pStyle w:val="103"/>
                    <w:ind w:firstLine="0"/>
                    <w:rPr>
                      <w:rFonts w:ascii="Times New Roman" w:hAnsi="Times New Roman"/>
                      <w:color w:val="auto"/>
                      <w:szCs w:val="21"/>
                    </w:rPr>
                  </w:pPr>
                  <w:r>
                    <w:rPr>
                      <w:rFonts w:ascii="Times New Roman" w:hAnsi="Times New Roman"/>
                      <w:color w:val="auto"/>
                      <w:szCs w:val="21"/>
                    </w:rPr>
                    <w:t>【A6.4-1】推进工业集聚区生态化改造，强化企业清洁生产改造，推进节水型企业、节水型工业园区建设，提高资源能源利用效率。</w:t>
                  </w:r>
                </w:p>
                <w:p>
                  <w:pPr>
                    <w:pStyle w:val="103"/>
                    <w:ind w:firstLine="0"/>
                    <w:jc w:val="center"/>
                    <w:rPr>
                      <w:rFonts w:ascii="Times New Roman" w:hAnsi="Times New Roman"/>
                      <w:color w:val="auto"/>
                      <w:szCs w:val="21"/>
                    </w:rPr>
                  </w:pPr>
                  <w:r>
                    <w:rPr>
                      <w:rFonts w:ascii="Times New Roman" w:hAnsi="Times New Roman"/>
                      <w:color w:val="auto"/>
                      <w:szCs w:val="21"/>
                    </w:rPr>
                    <w:t>2、合理配置地表水、地下水，从严控制地下水取水总量。</w:t>
                  </w:r>
                </w:p>
              </w:tc>
              <w:tc>
                <w:tcPr>
                  <w:tcW w:w="1065" w:type="pct"/>
                  <w:tcBorders>
                    <w:tl2br w:val="nil"/>
                    <w:tr2bl w:val="nil"/>
                  </w:tcBorders>
                  <w:vAlign w:val="center"/>
                </w:tcPr>
                <w:p>
                  <w:pPr>
                    <w:pStyle w:val="103"/>
                    <w:ind w:firstLine="0"/>
                    <w:jc w:val="center"/>
                    <w:rPr>
                      <w:rFonts w:ascii="Times New Roman" w:hAnsi="Times New Roman"/>
                      <w:color w:val="auto"/>
                      <w:szCs w:val="21"/>
                    </w:rPr>
                  </w:pPr>
                  <w:r>
                    <w:rPr>
                      <w:rFonts w:hint="eastAsia" w:ascii="Times New Roman" w:hAnsi="Times New Roman"/>
                      <w:color w:val="auto"/>
                      <w:szCs w:val="21"/>
                    </w:rPr>
                    <w:t>本项目不涉及地下水开采，项目运营期消耗一定量的水、电等资源，符合资源利用效率要求。</w:t>
                  </w:r>
                </w:p>
              </w:tc>
            </w:tr>
          </w:tbl>
          <w:p>
            <w:pPr>
              <w:autoSpaceDE w:val="0"/>
              <w:autoSpaceDN w:val="0"/>
              <w:adjustRightInd w:val="0"/>
              <w:snapToGrid w:val="0"/>
              <w:spacing w:line="520" w:lineRule="exact"/>
              <w:ind w:firstLine="496" w:firstLineChars="200"/>
              <w:rPr>
                <w:color w:val="auto"/>
                <w:sz w:val="24"/>
              </w:rPr>
            </w:pPr>
            <w:r>
              <w:rPr>
                <w:rFonts w:hint="eastAsia"/>
                <w:color w:val="auto"/>
                <w:spacing w:val="4"/>
                <w:sz w:val="24"/>
              </w:rPr>
              <w:t>综上，</w:t>
            </w:r>
            <w:r>
              <w:rPr>
                <w:color w:val="auto"/>
                <w:spacing w:val="4"/>
                <w:sz w:val="24"/>
              </w:rPr>
              <w:t>项</w:t>
            </w:r>
            <w:r>
              <w:rPr>
                <w:color w:val="auto"/>
                <w:sz w:val="24"/>
              </w:rPr>
              <w:t>目符合国家</w:t>
            </w:r>
            <w:r>
              <w:rPr>
                <w:rFonts w:hint="eastAsia"/>
                <w:color w:val="auto"/>
                <w:sz w:val="24"/>
              </w:rPr>
              <w:t>及</w:t>
            </w:r>
            <w:r>
              <w:rPr>
                <w:color w:val="auto"/>
                <w:sz w:val="24"/>
              </w:rPr>
              <w:t>地方产业政策，项目采取有效的三废治理措施</w:t>
            </w:r>
            <w:r>
              <w:rPr>
                <w:rFonts w:hint="eastAsia"/>
                <w:color w:val="auto"/>
                <w:sz w:val="24"/>
              </w:rPr>
              <w:t>，符合</w:t>
            </w:r>
            <w:r>
              <w:rPr>
                <w:rFonts w:hint="eastAsia"/>
                <w:bCs/>
                <w:color w:val="auto"/>
                <w:sz w:val="24"/>
              </w:rPr>
              <w:t>新疆维吾尔自治区</w:t>
            </w:r>
            <w:r>
              <w:rPr>
                <w:rFonts w:hint="eastAsia"/>
                <w:color w:val="auto"/>
                <w:sz w:val="24"/>
              </w:rPr>
              <w:t>及昌吉回族自治州生态环境准入清单相关准入要求</w:t>
            </w:r>
            <w:r>
              <w:rPr>
                <w:color w:val="auto"/>
                <w:sz w:val="24"/>
              </w:rPr>
              <w:t>。</w:t>
            </w:r>
          </w:p>
          <w:p>
            <w:pPr>
              <w:autoSpaceDE w:val="0"/>
              <w:autoSpaceDN w:val="0"/>
              <w:adjustRightInd w:val="0"/>
              <w:snapToGrid w:val="0"/>
              <w:spacing w:line="520" w:lineRule="exact"/>
              <w:ind w:firstLine="480" w:firstLineChars="200"/>
              <w:rPr>
                <w:color w:val="auto"/>
                <w:sz w:val="24"/>
              </w:rPr>
            </w:pPr>
            <w:r>
              <w:rPr>
                <w:rFonts w:hint="eastAsia"/>
                <w:color w:val="auto"/>
                <w:sz w:val="24"/>
              </w:rPr>
              <w:t>综上所述，本项目符合“三线一单”相关要求。</w:t>
            </w:r>
          </w:p>
          <w:p>
            <w:pPr>
              <w:autoSpaceDE w:val="0"/>
              <w:autoSpaceDN w:val="0"/>
              <w:adjustRightInd w:val="0"/>
              <w:snapToGrid w:val="0"/>
              <w:spacing w:line="520" w:lineRule="exact"/>
              <w:ind w:firstLine="482" w:firstLineChars="200"/>
              <w:rPr>
                <w:b/>
                <w:bCs/>
                <w:color w:val="auto"/>
                <w:sz w:val="24"/>
              </w:rPr>
            </w:pPr>
            <w:r>
              <w:rPr>
                <w:rFonts w:hint="eastAsia"/>
                <w:b/>
                <w:bCs/>
                <w:color w:val="auto"/>
                <w:sz w:val="24"/>
              </w:rPr>
              <w:t>2、产业政策符合性分析</w:t>
            </w:r>
          </w:p>
          <w:p>
            <w:pPr>
              <w:widowControl/>
              <w:tabs>
                <w:tab w:val="left" w:pos="-1800"/>
              </w:tabs>
              <w:spacing w:line="520" w:lineRule="exact"/>
              <w:ind w:firstLine="480" w:firstLineChars="200"/>
              <w:rPr>
                <w:color w:val="auto"/>
                <w:sz w:val="24"/>
              </w:rPr>
            </w:pPr>
            <w:r>
              <w:rPr>
                <w:rFonts w:hint="eastAsia"/>
                <w:color w:val="auto"/>
                <w:sz w:val="24"/>
              </w:rPr>
              <w:t>本项目为现场混装工业炸药项目，属于《产业结构调整指导目录》（2024年本）中“鼓励类”中的</w:t>
            </w:r>
            <w:r>
              <w:rPr>
                <w:rFonts w:hint="eastAsia"/>
                <w:color w:val="auto"/>
                <w:sz w:val="24"/>
                <w:lang w:eastAsia="zh-CN"/>
              </w:rPr>
              <w:t>“”</w:t>
            </w:r>
            <w:r>
              <w:rPr>
                <w:rFonts w:hint="eastAsia"/>
                <w:color w:val="auto"/>
                <w:sz w:val="24"/>
              </w:rPr>
              <w:t>四十四、民爆和烟花爆竹产品中的1.工业炸药：安全环保节能型工业炸药及无雷管感度的散装</w:t>
            </w:r>
            <w:r>
              <w:rPr>
                <w:color w:val="auto"/>
                <w:sz w:val="24"/>
              </w:rPr>
              <w:t>工业炸药，现场混装生产方式，采用乳胶基质集中制备、远程配送的现场混装生产方式，地下矿山、大型硐室、公路铁路隧道等工程应用现场混装炸药技术，民爆科研、生产、爆破服务“一体化”模式，退役火（炸）药在工业炸药中的应用，</w:t>
            </w:r>
            <w:r>
              <w:rPr>
                <w:rFonts w:hint="eastAsia"/>
                <w:color w:val="auto"/>
                <w:sz w:val="24"/>
              </w:rPr>
              <w:t>特殊用途炸药中...的“现场混装生产方式，因此，本项目建设符合国家产业政策。</w:t>
            </w:r>
          </w:p>
          <w:p>
            <w:pPr>
              <w:tabs>
                <w:tab w:val="left" w:pos="1134"/>
              </w:tabs>
              <w:spacing w:line="520" w:lineRule="exact"/>
              <w:ind w:firstLine="482" w:firstLineChars="200"/>
              <w:rPr>
                <w:rFonts w:ascii="宋体" w:hAnsi="宋体" w:cs="宋体"/>
                <w:b/>
                <w:bCs/>
                <w:color w:val="auto"/>
                <w:sz w:val="24"/>
                <w:shd w:val="clear" w:color="auto" w:fill="FFFFFF"/>
              </w:rPr>
            </w:pPr>
            <w:r>
              <w:rPr>
                <w:rFonts w:hint="eastAsia"/>
                <w:b/>
                <w:bCs/>
                <w:color w:val="auto"/>
                <w:sz w:val="24"/>
              </w:rPr>
              <w:t>3、</w:t>
            </w:r>
            <w:r>
              <w:rPr>
                <w:rFonts w:hint="eastAsia" w:ascii="宋体" w:hAnsi="宋体" w:cs="宋体"/>
                <w:b/>
                <w:bCs/>
                <w:color w:val="auto"/>
                <w:sz w:val="24"/>
                <w:shd w:val="clear" w:color="auto" w:fill="FFFFFF"/>
              </w:rPr>
              <w:t>与《新疆生态环境保护“十四五”规划》符合性分析</w:t>
            </w:r>
          </w:p>
          <w:p>
            <w:pPr>
              <w:pStyle w:val="36"/>
              <w:rPr>
                <w:rFonts w:ascii="宋体" w:hAnsi="宋体" w:cs="宋体"/>
                <w:color w:val="auto"/>
                <w:shd w:val="clear" w:color="auto" w:fill="FFFFFF"/>
              </w:rPr>
            </w:pPr>
            <w:r>
              <w:rPr>
                <w:rFonts w:hint="eastAsia" w:ascii="宋体" w:hAnsi="宋体" w:cs="宋体"/>
                <w:color w:val="auto"/>
                <w:shd w:val="clear" w:color="auto" w:fill="FFFFFF"/>
              </w:rPr>
              <w:t>表</w:t>
            </w:r>
            <w:r>
              <w:rPr>
                <w:color w:val="auto"/>
                <w:shd w:val="clear" w:color="auto" w:fill="FFFFFF"/>
              </w:rPr>
              <w:t>1-4</w:t>
            </w:r>
            <w:r>
              <w:rPr>
                <w:rFonts w:hint="eastAsia" w:ascii="宋体" w:hAnsi="宋体" w:cs="宋体"/>
                <w:color w:val="auto"/>
                <w:shd w:val="clear" w:color="auto" w:fill="FFFFFF"/>
              </w:rPr>
              <w:t xml:space="preserve">  与《新疆生态环境保护“十四五”规划》符合性</w:t>
            </w:r>
          </w:p>
          <w:tbl>
            <w:tblPr>
              <w:tblStyle w:val="29"/>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2425"/>
              <w:gridCol w:w="2271"/>
              <w:gridCol w:w="9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633" w:type="pct"/>
                  <w:tcBorders>
                    <w:tl2br w:val="nil"/>
                    <w:tr2bl w:val="nil"/>
                  </w:tcBorders>
                </w:tcPr>
                <w:p>
                  <w:pPr>
                    <w:pStyle w:val="2"/>
                    <w:widowControl w:val="0"/>
                    <w:snapToGrid/>
                    <w:spacing w:after="0" w:line="240" w:lineRule="auto"/>
                    <w:rPr>
                      <w:color w:val="auto"/>
                      <w:sz w:val="21"/>
                      <w:szCs w:val="21"/>
                    </w:rPr>
                  </w:pPr>
                  <w:r>
                    <w:rPr>
                      <w:color w:val="auto"/>
                      <w:sz w:val="21"/>
                      <w:szCs w:val="21"/>
                    </w:rPr>
                    <w:t>序号</w:t>
                  </w:r>
                </w:p>
              </w:tc>
              <w:tc>
                <w:tcPr>
                  <w:tcW w:w="1865" w:type="pct"/>
                  <w:tcBorders>
                    <w:tl2br w:val="nil"/>
                    <w:tr2bl w:val="nil"/>
                  </w:tcBorders>
                </w:tcPr>
                <w:p>
                  <w:pPr>
                    <w:pStyle w:val="2"/>
                    <w:widowControl w:val="0"/>
                    <w:snapToGrid/>
                    <w:spacing w:after="0" w:line="240" w:lineRule="auto"/>
                    <w:rPr>
                      <w:color w:val="auto"/>
                      <w:sz w:val="21"/>
                      <w:szCs w:val="21"/>
                    </w:rPr>
                  </w:pPr>
                  <w:r>
                    <w:rPr>
                      <w:color w:val="auto"/>
                      <w:sz w:val="21"/>
                      <w:szCs w:val="21"/>
                    </w:rPr>
                    <w:t>规划要求</w:t>
                  </w:r>
                </w:p>
              </w:tc>
              <w:tc>
                <w:tcPr>
                  <w:tcW w:w="1747" w:type="pct"/>
                  <w:tcBorders>
                    <w:tl2br w:val="nil"/>
                    <w:tr2bl w:val="nil"/>
                  </w:tcBorders>
                </w:tcPr>
                <w:p>
                  <w:pPr>
                    <w:pStyle w:val="2"/>
                    <w:widowControl w:val="0"/>
                    <w:snapToGrid/>
                    <w:spacing w:after="0" w:line="240" w:lineRule="auto"/>
                    <w:rPr>
                      <w:color w:val="auto"/>
                      <w:sz w:val="21"/>
                      <w:szCs w:val="21"/>
                    </w:rPr>
                  </w:pPr>
                  <w:r>
                    <w:rPr>
                      <w:color w:val="auto"/>
                      <w:sz w:val="21"/>
                      <w:szCs w:val="21"/>
                    </w:rPr>
                    <w:t>本项目</w:t>
                  </w:r>
                </w:p>
              </w:tc>
              <w:tc>
                <w:tcPr>
                  <w:tcW w:w="753" w:type="pct"/>
                  <w:tcBorders>
                    <w:tl2br w:val="nil"/>
                    <w:tr2bl w:val="nil"/>
                  </w:tcBorders>
                </w:tcPr>
                <w:p>
                  <w:pPr>
                    <w:pStyle w:val="2"/>
                    <w:widowControl w:val="0"/>
                    <w:snapToGrid/>
                    <w:spacing w:after="0" w:line="240" w:lineRule="auto"/>
                    <w:rPr>
                      <w:color w:val="auto"/>
                      <w:sz w:val="21"/>
                      <w:szCs w:val="21"/>
                    </w:rPr>
                  </w:pPr>
                  <w:r>
                    <w:rPr>
                      <w:color w:val="auto"/>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3" w:type="pct"/>
                  <w:tcBorders>
                    <w:tl2br w:val="nil"/>
                    <w:tr2bl w:val="nil"/>
                  </w:tcBorders>
                  <w:vAlign w:val="center"/>
                </w:tcPr>
                <w:p>
                  <w:pPr>
                    <w:pStyle w:val="2"/>
                    <w:widowControl w:val="0"/>
                    <w:snapToGrid/>
                    <w:spacing w:after="0" w:line="240" w:lineRule="auto"/>
                    <w:jc w:val="center"/>
                    <w:rPr>
                      <w:color w:val="auto"/>
                      <w:sz w:val="21"/>
                      <w:szCs w:val="21"/>
                    </w:rPr>
                  </w:pPr>
                  <w:r>
                    <w:rPr>
                      <w:rFonts w:hint="eastAsia"/>
                      <w:color w:val="auto"/>
                      <w:sz w:val="21"/>
                      <w:szCs w:val="21"/>
                    </w:rPr>
                    <w:t>1</w:t>
                  </w:r>
                </w:p>
              </w:tc>
              <w:tc>
                <w:tcPr>
                  <w:tcW w:w="1865" w:type="pct"/>
                  <w:tcBorders>
                    <w:tl2br w:val="nil"/>
                    <w:tr2bl w:val="nil"/>
                  </w:tcBorders>
                </w:tcPr>
                <w:p>
                  <w:pPr>
                    <w:pStyle w:val="2"/>
                    <w:widowControl w:val="0"/>
                    <w:snapToGrid/>
                    <w:spacing w:after="0" w:line="240" w:lineRule="auto"/>
                    <w:rPr>
                      <w:rFonts w:ascii="宋体" w:hAnsi="宋体" w:cs="宋体"/>
                      <w:color w:val="auto"/>
                      <w:sz w:val="21"/>
                      <w:szCs w:val="21"/>
                      <w:shd w:val="clear" w:color="auto" w:fill="FFFFFF"/>
                    </w:rPr>
                  </w:pPr>
                  <w:r>
                    <w:rPr>
                      <w:rFonts w:hint="eastAsia" w:ascii="宋体" w:hAnsi="宋体" w:cs="宋体"/>
                      <w:color w:val="auto"/>
                      <w:sz w:val="21"/>
                      <w:szCs w:val="21"/>
                      <w:shd w:val="clear" w:color="auto" w:fill="FFFFFF"/>
                    </w:rPr>
                    <w:t>推进地表水与地下水协同防治。统筹区域地表水、地下水生态环境监管。以傍河型地下水饮用水水源为重点，防范受污染河段侧渗和垂直补给对地下水污染。加强化学品生产企业、工业聚集区、矿山开采区等污染源的地表、地下协同防治与环境风险管控。</w:t>
                  </w:r>
                </w:p>
              </w:tc>
              <w:tc>
                <w:tcPr>
                  <w:tcW w:w="1747" w:type="pct"/>
                  <w:tcBorders>
                    <w:tl2br w:val="nil"/>
                    <w:tr2bl w:val="nil"/>
                  </w:tcBorders>
                  <w:vAlign w:val="center"/>
                </w:tcPr>
                <w:p>
                  <w:pPr>
                    <w:pStyle w:val="2"/>
                    <w:widowControl w:val="0"/>
                    <w:snapToGrid/>
                    <w:spacing w:after="0" w:line="240" w:lineRule="auto"/>
                    <w:jc w:val="center"/>
                    <w:rPr>
                      <w:color w:val="auto"/>
                      <w:sz w:val="21"/>
                      <w:szCs w:val="21"/>
                    </w:rPr>
                  </w:pPr>
                  <w:r>
                    <w:rPr>
                      <w:rFonts w:hint="eastAsia"/>
                      <w:color w:val="auto"/>
                      <w:sz w:val="21"/>
                      <w:szCs w:val="21"/>
                    </w:rPr>
                    <w:t>本项目新增洗车废水及生活污水经现有工程已建隔油池及地埋式一体化污水处理设施处理后，用于厂区绿化，不外排。</w:t>
                  </w:r>
                </w:p>
              </w:tc>
              <w:tc>
                <w:tcPr>
                  <w:tcW w:w="753" w:type="pct"/>
                  <w:tcBorders>
                    <w:tl2br w:val="nil"/>
                    <w:tr2bl w:val="nil"/>
                  </w:tcBorders>
                  <w:vAlign w:val="center"/>
                </w:tcPr>
                <w:p>
                  <w:pPr>
                    <w:pStyle w:val="2"/>
                    <w:widowControl w:val="0"/>
                    <w:snapToGrid/>
                    <w:spacing w:after="0" w:line="240" w:lineRule="auto"/>
                    <w:jc w:val="center"/>
                    <w:rPr>
                      <w:color w:val="auto"/>
                      <w:sz w:val="21"/>
                      <w:szCs w:val="21"/>
                    </w:rPr>
                  </w:pPr>
                  <w:r>
                    <w:rPr>
                      <w:rFonts w:hint="eastAsia"/>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3" w:type="pct"/>
                  <w:tcBorders>
                    <w:tl2br w:val="nil"/>
                    <w:tr2bl w:val="nil"/>
                  </w:tcBorders>
                  <w:vAlign w:val="center"/>
                </w:tcPr>
                <w:p>
                  <w:pPr>
                    <w:pStyle w:val="2"/>
                    <w:widowControl w:val="0"/>
                    <w:snapToGrid/>
                    <w:spacing w:after="0" w:line="240" w:lineRule="auto"/>
                    <w:jc w:val="center"/>
                    <w:rPr>
                      <w:color w:val="auto"/>
                      <w:sz w:val="21"/>
                      <w:szCs w:val="21"/>
                    </w:rPr>
                  </w:pPr>
                  <w:r>
                    <w:rPr>
                      <w:rFonts w:hint="eastAsia"/>
                      <w:color w:val="auto"/>
                      <w:sz w:val="21"/>
                      <w:szCs w:val="21"/>
                    </w:rPr>
                    <w:t>2</w:t>
                  </w:r>
                </w:p>
              </w:tc>
              <w:tc>
                <w:tcPr>
                  <w:tcW w:w="1865" w:type="pct"/>
                  <w:tcBorders>
                    <w:tl2br w:val="nil"/>
                    <w:tr2bl w:val="nil"/>
                  </w:tcBorders>
                </w:tcPr>
                <w:p>
                  <w:pPr>
                    <w:pStyle w:val="2"/>
                    <w:widowControl w:val="0"/>
                    <w:snapToGrid/>
                    <w:spacing w:after="0" w:line="240" w:lineRule="auto"/>
                    <w:rPr>
                      <w:color w:val="auto"/>
                      <w:sz w:val="21"/>
                      <w:szCs w:val="21"/>
                    </w:rPr>
                  </w:pPr>
                  <w:r>
                    <w:rPr>
                      <w:rFonts w:ascii="宋体" w:hAnsi="宋体" w:cs="宋体"/>
                      <w:color w:val="auto"/>
                      <w:sz w:val="21"/>
                      <w:szCs w:val="21"/>
                      <w:shd w:val="clear" w:color="auto" w:fill="FFFFFF"/>
                    </w:rPr>
                    <w:t>加强环境噪声污染防控。加强噪声污染源监管，继续强化和深入推进交通运输噪声、建筑施工噪声、社会生活噪声、工业企业、机场周边噪声污染防治，推进工业企业噪声纳入排污许可管理。优化重点区域声环境质量监测点位，加强城市环境噪声、道路交通噪声、功能区噪声例行监测与评价，推动功能区声环境质量自动监测，强化声环境功能区管理，适时调整完善声环境功能区。继续强化噪声信访处置，畅通噪声污染投诉渠道，完善生态环境与相关部门的噪声污染投诉信息共享处理机制。</w:t>
                  </w:r>
                </w:p>
              </w:tc>
              <w:tc>
                <w:tcPr>
                  <w:tcW w:w="1747" w:type="pct"/>
                  <w:tcBorders>
                    <w:tl2br w:val="nil"/>
                    <w:tr2bl w:val="nil"/>
                  </w:tcBorders>
                  <w:vAlign w:val="center"/>
                </w:tcPr>
                <w:p>
                  <w:pPr>
                    <w:pStyle w:val="2"/>
                    <w:widowControl w:val="0"/>
                    <w:snapToGrid/>
                    <w:spacing w:after="0" w:line="240" w:lineRule="auto"/>
                    <w:jc w:val="center"/>
                    <w:rPr>
                      <w:color w:val="auto"/>
                      <w:sz w:val="21"/>
                      <w:szCs w:val="21"/>
                    </w:rPr>
                  </w:pPr>
                  <w:r>
                    <w:rPr>
                      <w:rFonts w:hint="eastAsia"/>
                      <w:color w:val="auto"/>
                      <w:sz w:val="21"/>
                      <w:szCs w:val="21"/>
                    </w:rPr>
                    <w:t>本项目</w:t>
                  </w:r>
                  <w:r>
                    <w:rPr>
                      <w:rFonts w:hint="eastAsia"/>
                      <w:color w:val="auto"/>
                      <w:sz w:val="21"/>
                      <w:szCs w:val="21"/>
                      <w:lang w:val="en-US" w:eastAsia="zh-CN"/>
                    </w:rPr>
                    <w:t>新增设备为1套提升机及</w:t>
                  </w:r>
                  <w:r>
                    <w:rPr>
                      <w:rFonts w:hint="eastAsia"/>
                      <w:color w:val="auto"/>
                      <w:sz w:val="21"/>
                      <w:szCs w:val="21"/>
                    </w:rPr>
                    <w:t>10台混装车。定期维护现场混装车辆，降低运输过程噪声影响。</w:t>
                  </w:r>
                </w:p>
              </w:tc>
              <w:tc>
                <w:tcPr>
                  <w:tcW w:w="753" w:type="pct"/>
                  <w:tcBorders>
                    <w:tl2br w:val="nil"/>
                    <w:tr2bl w:val="nil"/>
                  </w:tcBorders>
                  <w:vAlign w:val="center"/>
                </w:tcPr>
                <w:p>
                  <w:pPr>
                    <w:pStyle w:val="2"/>
                    <w:widowControl w:val="0"/>
                    <w:snapToGrid/>
                    <w:spacing w:after="0" w:line="240" w:lineRule="auto"/>
                    <w:jc w:val="center"/>
                    <w:rPr>
                      <w:color w:val="auto"/>
                      <w:sz w:val="21"/>
                      <w:szCs w:val="21"/>
                    </w:rPr>
                  </w:pPr>
                  <w:r>
                    <w:rPr>
                      <w:rFonts w:hint="eastAsia"/>
                      <w:color w:val="auto"/>
                      <w:sz w:val="21"/>
                      <w:szCs w:val="21"/>
                    </w:rPr>
                    <w:t>符合</w:t>
                  </w:r>
                </w:p>
              </w:tc>
            </w:tr>
          </w:tbl>
          <w:p>
            <w:pPr>
              <w:tabs>
                <w:tab w:val="left" w:pos="1134"/>
              </w:tabs>
              <w:spacing w:line="520" w:lineRule="exact"/>
              <w:ind w:firstLine="482" w:firstLineChars="200"/>
              <w:rPr>
                <w:rFonts w:ascii="宋体" w:hAnsi="宋体" w:cs="宋体"/>
                <w:b/>
                <w:bCs/>
                <w:color w:val="auto"/>
                <w:sz w:val="24"/>
                <w:shd w:val="clear" w:color="auto" w:fill="FFFFFF"/>
              </w:rPr>
            </w:pPr>
            <w:r>
              <w:rPr>
                <w:rFonts w:hint="eastAsia"/>
                <w:b/>
                <w:bCs/>
                <w:color w:val="auto"/>
                <w:sz w:val="24"/>
              </w:rPr>
              <w:t>4、</w:t>
            </w:r>
            <w:r>
              <w:rPr>
                <w:rFonts w:hint="eastAsia" w:ascii="宋体" w:hAnsi="宋体" w:cs="宋体"/>
                <w:b/>
                <w:bCs/>
                <w:color w:val="auto"/>
                <w:sz w:val="24"/>
                <w:shd w:val="clear" w:color="auto" w:fill="FFFFFF"/>
              </w:rPr>
              <w:t>与</w:t>
            </w:r>
            <w:r>
              <w:rPr>
                <w:b/>
                <w:bCs/>
                <w:color w:val="auto"/>
                <w:kern w:val="0"/>
                <w:sz w:val="24"/>
                <w:lang w:bidi="ar"/>
              </w:rPr>
              <w:t>《昌吉州国民经济和社会发展</w:t>
            </w:r>
            <w:r>
              <w:rPr>
                <w:rFonts w:hint="eastAsia"/>
                <w:b/>
                <w:bCs/>
                <w:color w:val="auto"/>
                <w:kern w:val="0"/>
                <w:sz w:val="24"/>
                <w:lang w:bidi="ar"/>
              </w:rPr>
              <w:t>“</w:t>
            </w:r>
            <w:r>
              <w:rPr>
                <w:b/>
                <w:bCs/>
                <w:color w:val="auto"/>
                <w:kern w:val="0"/>
                <w:sz w:val="24"/>
                <w:lang w:bidi="ar"/>
              </w:rPr>
              <w:t>十四五</w:t>
            </w:r>
            <w:r>
              <w:rPr>
                <w:rFonts w:hint="eastAsia"/>
                <w:b/>
                <w:bCs/>
                <w:color w:val="auto"/>
                <w:kern w:val="0"/>
                <w:sz w:val="24"/>
                <w:lang w:bidi="ar"/>
              </w:rPr>
              <w:t>”</w:t>
            </w:r>
            <w:r>
              <w:rPr>
                <w:b/>
                <w:bCs/>
                <w:color w:val="auto"/>
                <w:kern w:val="0"/>
                <w:sz w:val="24"/>
                <w:lang w:bidi="ar"/>
              </w:rPr>
              <w:t>规划及2035远景目标》的相符性分析</w:t>
            </w:r>
          </w:p>
          <w:p>
            <w:pPr>
              <w:pStyle w:val="36"/>
              <w:rPr>
                <w:rFonts w:ascii="宋体" w:hAnsi="宋体" w:cs="宋体"/>
                <w:color w:val="auto"/>
                <w:shd w:val="clear" w:color="auto" w:fill="FFFFFF"/>
              </w:rPr>
            </w:pPr>
            <w:r>
              <w:rPr>
                <w:rFonts w:hint="eastAsia" w:ascii="宋体" w:hAnsi="宋体" w:cs="宋体"/>
                <w:color w:val="auto"/>
                <w:shd w:val="clear" w:color="auto" w:fill="FFFFFF"/>
              </w:rPr>
              <w:t>表</w:t>
            </w:r>
            <w:r>
              <w:rPr>
                <w:color w:val="auto"/>
                <w:shd w:val="clear" w:color="auto" w:fill="FFFFFF"/>
              </w:rPr>
              <w:t>1-5</w:t>
            </w:r>
            <w:r>
              <w:rPr>
                <w:rFonts w:hint="eastAsia" w:ascii="宋体" w:hAnsi="宋体" w:cs="宋体"/>
                <w:color w:val="auto"/>
                <w:shd w:val="clear" w:color="auto" w:fill="FFFFFF"/>
              </w:rPr>
              <w:t xml:space="preserve">  </w:t>
            </w:r>
            <w:r>
              <w:rPr>
                <w:color w:val="auto"/>
                <w:lang w:bidi="ar"/>
              </w:rPr>
              <w:t>《昌吉州国民经济和社会发展</w:t>
            </w:r>
            <w:r>
              <w:rPr>
                <w:rFonts w:hint="eastAsia"/>
                <w:color w:val="auto"/>
                <w:lang w:bidi="ar"/>
              </w:rPr>
              <w:t>“</w:t>
            </w:r>
            <w:r>
              <w:rPr>
                <w:color w:val="auto"/>
                <w:lang w:bidi="ar"/>
              </w:rPr>
              <w:t>十四五</w:t>
            </w:r>
            <w:r>
              <w:rPr>
                <w:rFonts w:hint="eastAsia"/>
                <w:color w:val="auto"/>
                <w:lang w:bidi="ar"/>
              </w:rPr>
              <w:t>”</w:t>
            </w:r>
            <w:r>
              <w:rPr>
                <w:color w:val="auto"/>
                <w:lang w:bidi="ar"/>
              </w:rPr>
              <w:t>规划及2035远景目标》的相符性分析</w:t>
            </w:r>
          </w:p>
          <w:tbl>
            <w:tblPr>
              <w:tblStyle w:val="29"/>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0"/>
              <w:gridCol w:w="3179"/>
              <w:gridCol w:w="1583"/>
              <w:gridCol w:w="11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 w:type="pct"/>
                  <w:tcBorders>
                    <w:tl2br w:val="nil"/>
                    <w:tr2bl w:val="nil"/>
                  </w:tcBorders>
                </w:tcPr>
                <w:p>
                  <w:pPr>
                    <w:pStyle w:val="2"/>
                    <w:widowControl w:val="0"/>
                    <w:snapToGrid/>
                    <w:spacing w:after="0" w:line="240" w:lineRule="auto"/>
                    <w:rPr>
                      <w:color w:val="auto"/>
                      <w:sz w:val="21"/>
                      <w:szCs w:val="21"/>
                    </w:rPr>
                  </w:pPr>
                  <w:r>
                    <w:rPr>
                      <w:color w:val="auto"/>
                      <w:sz w:val="21"/>
                      <w:szCs w:val="21"/>
                    </w:rPr>
                    <w:t>序号</w:t>
                  </w:r>
                </w:p>
              </w:tc>
              <w:tc>
                <w:tcPr>
                  <w:tcW w:w="2445" w:type="pct"/>
                  <w:tcBorders>
                    <w:tl2br w:val="nil"/>
                    <w:tr2bl w:val="nil"/>
                  </w:tcBorders>
                </w:tcPr>
                <w:p>
                  <w:pPr>
                    <w:pStyle w:val="2"/>
                    <w:widowControl w:val="0"/>
                    <w:snapToGrid/>
                    <w:spacing w:after="0" w:line="240" w:lineRule="auto"/>
                    <w:rPr>
                      <w:color w:val="auto"/>
                      <w:sz w:val="21"/>
                      <w:szCs w:val="21"/>
                    </w:rPr>
                  </w:pPr>
                  <w:r>
                    <w:rPr>
                      <w:color w:val="auto"/>
                      <w:sz w:val="21"/>
                      <w:szCs w:val="21"/>
                    </w:rPr>
                    <w:t>规划要求</w:t>
                  </w:r>
                </w:p>
              </w:tc>
              <w:tc>
                <w:tcPr>
                  <w:tcW w:w="1218" w:type="pct"/>
                  <w:tcBorders>
                    <w:tl2br w:val="nil"/>
                    <w:tr2bl w:val="nil"/>
                  </w:tcBorders>
                </w:tcPr>
                <w:p>
                  <w:pPr>
                    <w:pStyle w:val="2"/>
                    <w:widowControl w:val="0"/>
                    <w:snapToGrid/>
                    <w:spacing w:after="0" w:line="240" w:lineRule="auto"/>
                    <w:rPr>
                      <w:color w:val="auto"/>
                      <w:sz w:val="21"/>
                      <w:szCs w:val="21"/>
                    </w:rPr>
                  </w:pPr>
                  <w:r>
                    <w:rPr>
                      <w:color w:val="auto"/>
                      <w:sz w:val="21"/>
                      <w:szCs w:val="21"/>
                    </w:rPr>
                    <w:t>本项目</w:t>
                  </w:r>
                </w:p>
              </w:tc>
              <w:tc>
                <w:tcPr>
                  <w:tcW w:w="873" w:type="pct"/>
                  <w:tcBorders>
                    <w:tl2br w:val="nil"/>
                    <w:tr2bl w:val="nil"/>
                  </w:tcBorders>
                </w:tcPr>
                <w:p>
                  <w:pPr>
                    <w:pStyle w:val="2"/>
                    <w:widowControl w:val="0"/>
                    <w:snapToGrid/>
                    <w:spacing w:after="0" w:line="240" w:lineRule="auto"/>
                    <w:rPr>
                      <w:color w:val="auto"/>
                      <w:sz w:val="21"/>
                      <w:szCs w:val="21"/>
                    </w:rPr>
                  </w:pPr>
                  <w:r>
                    <w:rPr>
                      <w:color w:val="auto"/>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 w:type="pct"/>
                  <w:tcBorders>
                    <w:tl2br w:val="nil"/>
                    <w:tr2bl w:val="nil"/>
                  </w:tcBorders>
                  <w:vAlign w:val="center"/>
                </w:tcPr>
                <w:p>
                  <w:pPr>
                    <w:pStyle w:val="2"/>
                    <w:widowControl w:val="0"/>
                    <w:snapToGrid/>
                    <w:spacing w:after="0" w:line="240" w:lineRule="auto"/>
                    <w:jc w:val="center"/>
                    <w:rPr>
                      <w:color w:val="auto"/>
                      <w:sz w:val="21"/>
                      <w:szCs w:val="21"/>
                    </w:rPr>
                  </w:pPr>
                  <w:r>
                    <w:rPr>
                      <w:rFonts w:hint="eastAsia"/>
                      <w:color w:val="auto"/>
                      <w:sz w:val="21"/>
                      <w:szCs w:val="21"/>
                    </w:rPr>
                    <w:t>1</w:t>
                  </w:r>
                </w:p>
              </w:tc>
              <w:tc>
                <w:tcPr>
                  <w:tcW w:w="2445" w:type="pct"/>
                  <w:tcBorders>
                    <w:tl2br w:val="nil"/>
                    <w:tr2bl w:val="nil"/>
                  </w:tcBorders>
                </w:tcPr>
                <w:p>
                  <w:pPr>
                    <w:pStyle w:val="2"/>
                    <w:widowControl w:val="0"/>
                    <w:snapToGrid/>
                    <w:spacing w:after="0" w:line="240" w:lineRule="auto"/>
                    <w:rPr>
                      <w:rFonts w:ascii="宋体" w:hAnsi="宋体" w:cs="宋体"/>
                      <w:color w:val="auto"/>
                      <w:sz w:val="21"/>
                      <w:szCs w:val="21"/>
                      <w:shd w:val="clear" w:color="auto" w:fill="FFFFFF"/>
                    </w:rPr>
                  </w:pPr>
                  <w:r>
                    <w:rPr>
                      <w:rFonts w:hint="eastAsia"/>
                      <w:color w:val="auto"/>
                      <w:sz w:val="21"/>
                      <w:szCs w:val="21"/>
                    </w:rPr>
                    <w:t>持续开展大气污染防治。加强工业污染源整治，实行采暖季重点行业错峰生产，推动工业污染源全面达标排放。强化老旧汽柴油车等移动污染源治理，严格城市施工工地、道路扬尘污染源控制监管，从源头上降低污染排放。实施清洁能源行动计划，加快城乡结合部、农村民用和农业生产散烧煤的清洁能源替代。加强空气质量监测，提升重污染天气应对能力。</w:t>
                  </w:r>
                </w:p>
              </w:tc>
              <w:tc>
                <w:tcPr>
                  <w:tcW w:w="1218" w:type="pct"/>
                  <w:tcBorders>
                    <w:tl2br w:val="nil"/>
                    <w:tr2bl w:val="nil"/>
                  </w:tcBorders>
                </w:tcPr>
                <w:p>
                  <w:pPr>
                    <w:pStyle w:val="2"/>
                    <w:widowControl w:val="0"/>
                    <w:snapToGrid/>
                    <w:spacing w:after="0" w:line="240" w:lineRule="auto"/>
                    <w:rPr>
                      <w:color w:val="auto"/>
                      <w:sz w:val="21"/>
                      <w:szCs w:val="21"/>
                    </w:rPr>
                  </w:pPr>
                  <w:r>
                    <w:rPr>
                      <w:rFonts w:hint="eastAsia"/>
                      <w:color w:val="auto"/>
                      <w:sz w:val="21"/>
                      <w:szCs w:val="21"/>
                    </w:rPr>
                    <w:t>本项目大气污染物主要为上料过程产生的少量粉尘、硝酸铵储存过程中产生的氨、柴油储存过程产生的少量非甲烷总烃。项目冬季采暖为电锅炉供暖，不产生废气。</w:t>
                  </w:r>
                </w:p>
              </w:tc>
              <w:tc>
                <w:tcPr>
                  <w:tcW w:w="873" w:type="pct"/>
                  <w:tcBorders>
                    <w:tl2br w:val="nil"/>
                    <w:tr2bl w:val="nil"/>
                  </w:tcBorders>
                </w:tcPr>
                <w:p>
                  <w:pPr>
                    <w:pStyle w:val="2"/>
                    <w:widowControl w:val="0"/>
                    <w:snapToGrid/>
                    <w:spacing w:after="0" w:line="240" w:lineRule="auto"/>
                    <w:rPr>
                      <w:color w:val="auto"/>
                      <w:sz w:val="21"/>
                      <w:szCs w:val="21"/>
                    </w:rPr>
                  </w:pPr>
                  <w:r>
                    <w:rPr>
                      <w:rFonts w:hint="eastAsia"/>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 w:type="pct"/>
                  <w:tcBorders>
                    <w:tl2br w:val="nil"/>
                    <w:tr2bl w:val="nil"/>
                  </w:tcBorders>
                  <w:vAlign w:val="center"/>
                </w:tcPr>
                <w:p>
                  <w:pPr>
                    <w:pStyle w:val="2"/>
                    <w:widowControl w:val="0"/>
                    <w:snapToGrid/>
                    <w:spacing w:after="0" w:line="240" w:lineRule="auto"/>
                    <w:jc w:val="center"/>
                    <w:rPr>
                      <w:color w:val="auto"/>
                      <w:sz w:val="21"/>
                      <w:szCs w:val="21"/>
                    </w:rPr>
                  </w:pPr>
                  <w:r>
                    <w:rPr>
                      <w:rFonts w:hint="eastAsia"/>
                      <w:color w:val="auto"/>
                      <w:sz w:val="21"/>
                      <w:szCs w:val="21"/>
                    </w:rPr>
                    <w:t>2</w:t>
                  </w:r>
                </w:p>
              </w:tc>
              <w:tc>
                <w:tcPr>
                  <w:tcW w:w="2445" w:type="pct"/>
                  <w:tcBorders>
                    <w:tl2br w:val="nil"/>
                    <w:tr2bl w:val="nil"/>
                  </w:tcBorders>
                </w:tcPr>
                <w:p>
                  <w:pPr>
                    <w:pStyle w:val="2"/>
                    <w:widowControl w:val="0"/>
                    <w:snapToGrid/>
                    <w:spacing w:after="0" w:line="240" w:lineRule="auto"/>
                    <w:rPr>
                      <w:color w:val="auto"/>
                      <w:sz w:val="21"/>
                      <w:szCs w:val="21"/>
                    </w:rPr>
                  </w:pPr>
                  <w:r>
                    <w:rPr>
                      <w:rFonts w:hint="eastAsia"/>
                      <w:color w:val="auto"/>
                      <w:sz w:val="21"/>
                      <w:szCs w:val="21"/>
                    </w:rPr>
                    <w:t>加强环境风险防控。强化常态化生态环境风险管理，严控核辐射、重金属、尾矿库、危险废物、有毒有害化学物质等重点领域环境风险。持续推进自治区生态环境监测网络建设，逐步建设自治区生态保护红线监管平台和自然保护地“天空地”一体化监测网络，提升生态环境监测质量。</w:t>
                  </w:r>
                </w:p>
              </w:tc>
              <w:tc>
                <w:tcPr>
                  <w:tcW w:w="1218" w:type="pct"/>
                  <w:tcBorders>
                    <w:tl2br w:val="nil"/>
                    <w:tr2bl w:val="nil"/>
                  </w:tcBorders>
                </w:tcPr>
                <w:p>
                  <w:pPr>
                    <w:pStyle w:val="2"/>
                    <w:widowControl w:val="0"/>
                    <w:snapToGrid/>
                    <w:spacing w:after="0" w:line="240" w:lineRule="auto"/>
                    <w:rPr>
                      <w:color w:val="auto"/>
                      <w:sz w:val="21"/>
                      <w:szCs w:val="21"/>
                    </w:rPr>
                  </w:pPr>
                  <w:r>
                    <w:rPr>
                      <w:rFonts w:hint="eastAsia"/>
                      <w:color w:val="auto"/>
                      <w:sz w:val="21"/>
                      <w:szCs w:val="21"/>
                    </w:rPr>
                    <w:t>本项目危险废物</w:t>
                  </w:r>
                  <w:r>
                    <w:rPr>
                      <w:rFonts w:hint="eastAsia"/>
                      <w:color w:val="auto"/>
                      <w:sz w:val="21"/>
                      <w:szCs w:val="21"/>
                      <w:lang w:val="en-US" w:eastAsia="zh-CN"/>
                    </w:rPr>
                    <w:t>分类</w:t>
                  </w:r>
                  <w:r>
                    <w:rPr>
                      <w:rFonts w:hint="eastAsia"/>
                      <w:color w:val="auto"/>
                      <w:sz w:val="21"/>
                      <w:szCs w:val="21"/>
                    </w:rPr>
                    <w:t>集中收于专用容器中，储存于厂区现有已通过竣工环境保护验收的危废暂存间，定期委托</w:t>
                  </w:r>
                  <w:r>
                    <w:rPr>
                      <w:rFonts w:hint="eastAsia"/>
                      <w:color w:val="auto"/>
                      <w:sz w:val="21"/>
                      <w:szCs w:val="21"/>
                      <w:lang w:eastAsia="zh-CN"/>
                    </w:rPr>
                    <w:t>新疆鑫鸿伟环保科技有限公司</w:t>
                  </w:r>
                  <w:r>
                    <w:rPr>
                      <w:rFonts w:hint="eastAsia"/>
                      <w:color w:val="auto"/>
                      <w:sz w:val="21"/>
                      <w:szCs w:val="21"/>
                    </w:rPr>
                    <w:t>处置，危废处理协议见附件；</w:t>
                  </w:r>
                </w:p>
              </w:tc>
              <w:tc>
                <w:tcPr>
                  <w:tcW w:w="873" w:type="pct"/>
                  <w:tcBorders>
                    <w:tl2br w:val="nil"/>
                    <w:tr2bl w:val="nil"/>
                  </w:tcBorders>
                </w:tcPr>
                <w:p>
                  <w:pPr>
                    <w:pStyle w:val="2"/>
                    <w:widowControl w:val="0"/>
                    <w:snapToGrid/>
                    <w:spacing w:after="0" w:line="240" w:lineRule="auto"/>
                    <w:rPr>
                      <w:color w:val="auto"/>
                      <w:sz w:val="21"/>
                      <w:szCs w:val="21"/>
                    </w:rPr>
                  </w:pPr>
                  <w:r>
                    <w:rPr>
                      <w:rFonts w:hint="eastAsia"/>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 w:type="pct"/>
                  <w:tcBorders>
                    <w:tl2br w:val="nil"/>
                    <w:tr2bl w:val="nil"/>
                  </w:tcBorders>
                  <w:vAlign w:val="center"/>
                </w:tcPr>
                <w:p>
                  <w:pPr>
                    <w:pStyle w:val="2"/>
                    <w:widowControl w:val="0"/>
                    <w:snapToGrid/>
                    <w:spacing w:after="0" w:line="240" w:lineRule="auto"/>
                    <w:jc w:val="center"/>
                    <w:rPr>
                      <w:color w:val="auto"/>
                      <w:sz w:val="21"/>
                      <w:szCs w:val="21"/>
                    </w:rPr>
                  </w:pPr>
                  <w:r>
                    <w:rPr>
                      <w:rFonts w:hint="eastAsia"/>
                      <w:color w:val="auto"/>
                      <w:sz w:val="21"/>
                      <w:szCs w:val="21"/>
                    </w:rPr>
                    <w:t>3</w:t>
                  </w:r>
                </w:p>
              </w:tc>
              <w:tc>
                <w:tcPr>
                  <w:tcW w:w="2445" w:type="pct"/>
                  <w:tcBorders>
                    <w:tl2br w:val="nil"/>
                    <w:tr2bl w:val="nil"/>
                  </w:tcBorders>
                </w:tcPr>
                <w:p>
                  <w:pPr>
                    <w:pStyle w:val="2"/>
                    <w:widowControl w:val="0"/>
                    <w:snapToGrid/>
                    <w:spacing w:after="0" w:line="240" w:lineRule="auto"/>
                    <w:rPr>
                      <w:color w:val="auto"/>
                      <w:sz w:val="21"/>
                      <w:szCs w:val="21"/>
                    </w:rPr>
                  </w:pPr>
                  <w:r>
                    <w:rPr>
                      <w:rFonts w:hint="eastAsia"/>
                      <w:color w:val="auto"/>
                      <w:sz w:val="21"/>
                      <w:szCs w:val="21"/>
                    </w:rPr>
                    <w:t>加强生活垃圾处理。建设城镇生活垃圾综合处理园区，实现地级城市生活垃圾分类投放、分类收集、分类运输和分类处置，县级城市（县城）生活垃圾无害化处置设施全覆盖，区域中心城市及设区城市餐厨垃圾分类收运和处理。提高农村生活垃圾无害化处理水平。积极发展垃圾生物堆肥，统筹建设垃圾焚烧发电设施，促进生活垃圾资源化利用。</w:t>
                  </w:r>
                </w:p>
              </w:tc>
              <w:tc>
                <w:tcPr>
                  <w:tcW w:w="1218" w:type="pct"/>
                  <w:tcBorders>
                    <w:tl2br w:val="nil"/>
                    <w:tr2bl w:val="nil"/>
                  </w:tcBorders>
                </w:tcPr>
                <w:p>
                  <w:pPr>
                    <w:pStyle w:val="2"/>
                    <w:widowControl w:val="0"/>
                    <w:snapToGrid/>
                    <w:spacing w:after="0" w:line="240" w:lineRule="auto"/>
                    <w:rPr>
                      <w:color w:val="auto"/>
                      <w:sz w:val="21"/>
                      <w:szCs w:val="21"/>
                    </w:rPr>
                  </w:pPr>
                  <w:r>
                    <w:rPr>
                      <w:rFonts w:hint="eastAsia"/>
                      <w:color w:val="auto"/>
                      <w:sz w:val="21"/>
                    </w:rPr>
                    <w:t>本项目生活垃圾集中收集后委托成都瑞鑫鑫环卫有限公司拉运处置</w:t>
                  </w:r>
                </w:p>
              </w:tc>
              <w:tc>
                <w:tcPr>
                  <w:tcW w:w="873" w:type="pct"/>
                  <w:tcBorders>
                    <w:tl2br w:val="nil"/>
                    <w:tr2bl w:val="nil"/>
                  </w:tcBorders>
                </w:tcPr>
                <w:p>
                  <w:pPr>
                    <w:pStyle w:val="2"/>
                    <w:widowControl w:val="0"/>
                    <w:snapToGrid/>
                    <w:spacing w:after="0" w:line="240" w:lineRule="auto"/>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2" w:type="pct"/>
                  <w:tcBorders>
                    <w:tl2br w:val="nil"/>
                    <w:tr2bl w:val="nil"/>
                  </w:tcBorders>
                  <w:vAlign w:val="center"/>
                </w:tcPr>
                <w:p>
                  <w:pPr>
                    <w:pStyle w:val="2"/>
                    <w:widowControl w:val="0"/>
                    <w:snapToGrid/>
                    <w:spacing w:after="0" w:line="240" w:lineRule="auto"/>
                    <w:jc w:val="center"/>
                    <w:rPr>
                      <w:color w:val="auto"/>
                      <w:sz w:val="21"/>
                      <w:szCs w:val="21"/>
                    </w:rPr>
                  </w:pPr>
                  <w:r>
                    <w:rPr>
                      <w:rFonts w:hint="eastAsia"/>
                      <w:color w:val="auto"/>
                      <w:sz w:val="21"/>
                      <w:szCs w:val="21"/>
                    </w:rPr>
                    <w:t>4</w:t>
                  </w:r>
                </w:p>
              </w:tc>
              <w:tc>
                <w:tcPr>
                  <w:tcW w:w="2445" w:type="pct"/>
                  <w:tcBorders>
                    <w:tl2br w:val="nil"/>
                    <w:tr2bl w:val="nil"/>
                  </w:tcBorders>
                </w:tcPr>
                <w:p>
                  <w:pPr>
                    <w:pStyle w:val="2"/>
                    <w:widowControl w:val="0"/>
                    <w:snapToGrid/>
                    <w:spacing w:after="0" w:line="240" w:lineRule="auto"/>
                    <w:rPr>
                      <w:color w:val="auto"/>
                      <w:sz w:val="21"/>
                      <w:szCs w:val="21"/>
                    </w:rPr>
                  </w:pPr>
                  <w:r>
                    <w:rPr>
                      <w:rFonts w:hint="eastAsia"/>
                      <w:color w:val="auto"/>
                      <w:sz w:val="21"/>
                      <w:szCs w:val="21"/>
                    </w:rPr>
                    <w:t>持续开展水污染防治。加强工业、农业、生活污染源和水生态系统治理，健全黑臭水体预防、监管长效机制，完善污泥全过程监管体系。全面落实河湖长制，开展塔里木河、伊犁河、额尔齐斯河、额敏河等流域生态隐患和环境风险调查评估，继续实施艾比湖、艾丁湖、柴窝堡湖、赛里木湖生态治理与恢复工程，持续推进博斯腾湖、乌伦古湖等湖泊生态环境综合治理。到2025年，城市污水处理率达到98%、县城污水处理率达到95%，基本消除劣Ⅴ类河流断面和城市黑臭水体。</w:t>
                  </w:r>
                </w:p>
              </w:tc>
              <w:tc>
                <w:tcPr>
                  <w:tcW w:w="1218" w:type="pct"/>
                  <w:tcBorders>
                    <w:tl2br w:val="nil"/>
                    <w:tr2bl w:val="nil"/>
                  </w:tcBorders>
                </w:tcPr>
                <w:p>
                  <w:pPr>
                    <w:pStyle w:val="2"/>
                    <w:widowControl w:val="0"/>
                    <w:snapToGrid/>
                    <w:spacing w:after="0" w:line="240" w:lineRule="auto"/>
                    <w:rPr>
                      <w:color w:val="auto"/>
                      <w:sz w:val="21"/>
                      <w:szCs w:val="21"/>
                    </w:rPr>
                  </w:pPr>
                  <w:r>
                    <w:rPr>
                      <w:rFonts w:hint="eastAsia"/>
                      <w:color w:val="auto"/>
                      <w:sz w:val="21"/>
                      <w:szCs w:val="21"/>
                    </w:rPr>
                    <w:t>本项目水污染物主要为洗车废水及生活污水，经现有工程已建隔油池及地埋式一体化污水处理设施处理后，用于厂区绿化，不外排。</w:t>
                  </w:r>
                </w:p>
              </w:tc>
              <w:tc>
                <w:tcPr>
                  <w:tcW w:w="873" w:type="pct"/>
                  <w:tcBorders>
                    <w:tl2br w:val="nil"/>
                    <w:tr2bl w:val="nil"/>
                  </w:tcBorders>
                </w:tcPr>
                <w:p>
                  <w:pPr>
                    <w:pStyle w:val="2"/>
                    <w:widowControl w:val="0"/>
                    <w:snapToGrid/>
                    <w:spacing w:after="0" w:line="240" w:lineRule="auto"/>
                    <w:rPr>
                      <w:color w:val="auto"/>
                      <w:sz w:val="21"/>
                      <w:szCs w:val="21"/>
                    </w:rPr>
                  </w:pPr>
                </w:p>
              </w:tc>
            </w:tr>
          </w:tbl>
          <w:p>
            <w:pPr>
              <w:autoSpaceDE w:val="0"/>
              <w:autoSpaceDN w:val="0"/>
              <w:adjustRightInd w:val="0"/>
              <w:snapToGrid w:val="0"/>
              <w:spacing w:line="520" w:lineRule="exact"/>
              <w:ind w:firstLine="482" w:firstLineChars="200"/>
              <w:rPr>
                <w:b/>
                <w:bCs/>
                <w:color w:val="auto"/>
                <w:sz w:val="24"/>
              </w:rPr>
            </w:pPr>
            <w:r>
              <w:rPr>
                <w:rFonts w:hint="eastAsia"/>
                <w:b/>
                <w:bCs/>
                <w:color w:val="auto"/>
                <w:sz w:val="24"/>
              </w:rPr>
              <w:t>5、选址合理性分析</w:t>
            </w:r>
          </w:p>
          <w:p>
            <w:pPr>
              <w:widowControl/>
              <w:tabs>
                <w:tab w:val="left" w:pos="-1800"/>
              </w:tabs>
              <w:spacing w:line="520" w:lineRule="exact"/>
              <w:ind w:firstLine="480" w:firstLineChars="200"/>
              <w:rPr>
                <w:color w:val="auto"/>
                <w:sz w:val="24"/>
              </w:rPr>
            </w:pPr>
            <w:r>
              <w:rPr>
                <w:rFonts w:hint="eastAsia"/>
                <w:color w:val="auto"/>
                <w:sz w:val="24"/>
              </w:rPr>
              <w:t>本项目为多孔粒状铵油炸药扩能项目，位于吉木萨尔县庆阳湖乡水溪沟现场混装多孔粒状铵油炸药生产系统厂区内，项目周边主要为废弃房屋和空地，周围没有环境保护区、居住区等需要特别保护的区域，项目外环境相对简单，不存在明显的环境制约因素，不涉及环境敏感目标。因此本项目选址合理。</w:t>
            </w:r>
          </w:p>
          <w:p>
            <w:pPr>
              <w:pStyle w:val="97"/>
              <w:adjustRightInd w:val="0"/>
              <w:snapToGrid w:val="0"/>
              <w:ind w:firstLine="482"/>
              <w:rPr>
                <w:rFonts w:ascii="Times New Roman" w:hAnsi="Times New Roman"/>
                <w:b/>
                <w:bCs/>
                <w:color w:val="auto"/>
              </w:rPr>
            </w:pPr>
            <w:r>
              <w:rPr>
                <w:rFonts w:hint="eastAsia" w:ascii="Times New Roman" w:hAnsi="Times New Roman"/>
                <w:b/>
                <w:bCs/>
                <w:color w:val="auto"/>
              </w:rPr>
              <w:t>6、《“十四五”民用爆炸物品行业安全发展规划》符合性分析</w:t>
            </w:r>
          </w:p>
          <w:p>
            <w:pPr>
              <w:pStyle w:val="97"/>
              <w:adjustRightInd w:val="0"/>
              <w:snapToGrid w:val="0"/>
              <w:rPr>
                <w:rFonts w:hint="eastAsia" w:ascii="Times New Roman" w:hAnsi="Times New Roman"/>
                <w:color w:val="auto"/>
              </w:rPr>
            </w:pPr>
            <w:r>
              <w:rPr>
                <w:rFonts w:hint="eastAsia" w:ascii="Times New Roman" w:hAnsi="Times New Roman"/>
                <w:color w:val="auto"/>
              </w:rPr>
              <w:t>根据《</w:t>
            </w:r>
            <w:r>
              <w:rPr>
                <w:rFonts w:hint="eastAsia" w:cs="宋体"/>
                <w:color w:val="auto"/>
                <w:shd w:val="clear" w:color="auto" w:fill="FFFFFF"/>
              </w:rPr>
              <w:t>“十四五”民用爆炸物品行业安全发展规划</w:t>
            </w:r>
            <w:r>
              <w:rPr>
                <w:rFonts w:hint="eastAsia" w:ascii="Times New Roman" w:hAnsi="Times New Roman"/>
                <w:color w:val="auto"/>
              </w:rPr>
              <w:t>》中专栏3生产线定员标准提升行动中“工业炸药：新建（改建、扩建）单条工业炸药生产线所有危险等级为1.1级的工房（含中转站台）现场操作人员总数不大于3人”本项目上料工房固定操作人员3人，符合《“十四五”民用爆炸物品行业安全发展规划》相关要求。</w:t>
            </w:r>
          </w:p>
          <w:p>
            <w:pPr>
              <w:pStyle w:val="97"/>
              <w:numPr>
                <w:ilvl w:val="0"/>
                <w:numId w:val="7"/>
              </w:numPr>
              <w:adjustRightInd w:val="0"/>
              <w:snapToGrid w:val="0"/>
              <w:ind w:firstLine="482"/>
              <w:rPr>
                <w:rFonts w:hint="eastAsia" w:ascii="Times New Roman" w:hAnsi="Times New Roman"/>
                <w:b/>
                <w:bCs/>
                <w:color w:val="auto"/>
              </w:rPr>
            </w:pPr>
            <w:r>
              <w:rPr>
                <w:rFonts w:hint="eastAsia" w:ascii="Times New Roman" w:hAnsi="Times New Roman" w:cs="Times New Roman"/>
                <w:b/>
                <w:bCs/>
                <w:color w:val="auto"/>
                <w:lang w:val="en-US" w:eastAsia="zh-CN"/>
              </w:rPr>
              <w:t>与《工业和信息化部关于民用爆炸物品行业技术进步的指导意见》（工信部安（2010) 227号）的符合性</w:t>
            </w:r>
            <w:r>
              <w:rPr>
                <w:rFonts w:hint="eastAsia" w:ascii="Times New Roman" w:hAnsi="Times New Roman"/>
                <w:b/>
                <w:bCs/>
                <w:color w:val="auto"/>
              </w:rPr>
              <w:t>分析</w:t>
            </w:r>
          </w:p>
          <w:p>
            <w:pPr>
              <w:pStyle w:val="36"/>
              <w:rPr>
                <w:rFonts w:ascii="宋体" w:hAnsi="宋体" w:cs="宋体"/>
                <w:color w:val="auto"/>
                <w:shd w:val="clear" w:color="auto" w:fill="FFFFFF"/>
              </w:rPr>
            </w:pPr>
            <w:r>
              <w:rPr>
                <w:rFonts w:hint="eastAsia" w:ascii="宋体" w:hAnsi="宋体" w:cs="宋体"/>
                <w:color w:val="auto"/>
                <w:shd w:val="clear" w:color="auto" w:fill="FFFFFF"/>
              </w:rPr>
              <w:t>表</w:t>
            </w:r>
            <w:r>
              <w:rPr>
                <w:color w:val="auto"/>
                <w:shd w:val="clear" w:color="auto" w:fill="FFFFFF"/>
              </w:rPr>
              <w:t>1-</w:t>
            </w:r>
            <w:r>
              <w:rPr>
                <w:rFonts w:hint="eastAsia"/>
                <w:color w:val="auto"/>
                <w:shd w:val="clear" w:color="auto" w:fill="FFFFFF"/>
                <w:lang w:val="en-US" w:eastAsia="zh-CN"/>
              </w:rPr>
              <w:t>6</w:t>
            </w:r>
            <w:r>
              <w:rPr>
                <w:rFonts w:hint="eastAsia" w:ascii="宋体" w:hAnsi="宋体" w:cs="宋体"/>
                <w:color w:val="auto"/>
                <w:shd w:val="clear" w:color="auto" w:fill="FFFFFF"/>
              </w:rPr>
              <w:t xml:space="preserve"> </w:t>
            </w:r>
            <w:r>
              <w:rPr>
                <w:rFonts w:hint="eastAsia" w:ascii="Times New Roman" w:hAnsi="Times New Roman" w:cs="Times New Roman"/>
                <w:b/>
                <w:bCs/>
                <w:color w:val="auto"/>
                <w:lang w:val="en-US" w:eastAsia="zh-CN"/>
              </w:rPr>
              <w:t>《工业和信息化部关于民用爆炸物品行业技术进步的指导意见》</w:t>
            </w:r>
            <w:r>
              <w:rPr>
                <w:color w:val="auto"/>
                <w:lang w:bidi="ar"/>
              </w:rPr>
              <w:t>的相符性分析</w:t>
            </w:r>
          </w:p>
          <w:tbl>
            <w:tblPr>
              <w:tblStyle w:val="29"/>
              <w:tblW w:w="4999"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63"/>
              <w:gridCol w:w="2237"/>
              <w:gridCol w:w="8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62" w:type="pct"/>
                  <w:vAlign w:val="center"/>
                </w:tcPr>
                <w:p>
                  <w:pPr>
                    <w:pStyle w:val="35"/>
                    <w:bidi w:val="0"/>
                    <w:jc w:val="center"/>
                    <w:rPr>
                      <w:rFonts w:hint="default"/>
                      <w:color w:val="auto"/>
                      <w:lang w:val="en-US" w:eastAsia="zh-CN"/>
                    </w:rPr>
                  </w:pPr>
                  <w:r>
                    <w:rPr>
                      <w:rFonts w:hint="eastAsia"/>
                      <w:color w:val="auto"/>
                      <w:lang w:val="en-US" w:eastAsia="zh-CN"/>
                    </w:rPr>
                    <w:t>文件要求</w:t>
                  </w:r>
                </w:p>
              </w:tc>
              <w:tc>
                <w:tcPr>
                  <w:tcW w:w="1720" w:type="pct"/>
                  <w:vAlign w:val="center"/>
                </w:tcPr>
                <w:p>
                  <w:pPr>
                    <w:pStyle w:val="35"/>
                    <w:bidi w:val="0"/>
                    <w:jc w:val="center"/>
                    <w:rPr>
                      <w:rFonts w:hint="default"/>
                      <w:color w:val="auto"/>
                      <w:lang w:val="en-US" w:eastAsia="zh-CN"/>
                    </w:rPr>
                  </w:pPr>
                  <w:r>
                    <w:rPr>
                      <w:rFonts w:hint="eastAsia"/>
                      <w:color w:val="auto"/>
                      <w:lang w:val="en-US" w:eastAsia="zh-CN"/>
                    </w:rPr>
                    <w:t>本项目情况</w:t>
                  </w:r>
                </w:p>
              </w:tc>
              <w:tc>
                <w:tcPr>
                  <w:tcW w:w="616" w:type="pct"/>
                  <w:vAlign w:val="center"/>
                </w:tcPr>
                <w:p>
                  <w:pPr>
                    <w:pStyle w:val="35"/>
                    <w:bidi w:val="0"/>
                    <w:jc w:val="center"/>
                    <w:rPr>
                      <w:rFonts w:hint="eastAsia"/>
                      <w:color w:val="auto"/>
                      <w:lang w:val="en-US" w:eastAsia="zh-CN"/>
                    </w:rPr>
                  </w:pPr>
                  <w:r>
                    <w:rPr>
                      <w:rFonts w:hint="eastAsia"/>
                      <w:color w:val="auto"/>
                      <w:lang w:val="en-US" w:eastAsia="zh-CN"/>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62" w:type="pct"/>
                </w:tcPr>
                <w:p>
                  <w:pPr>
                    <w:pStyle w:val="35"/>
                    <w:bidi w:val="0"/>
                    <w:rPr>
                      <w:rFonts w:hint="eastAsia" w:eastAsia="宋体"/>
                      <w:color w:val="auto"/>
                      <w:lang w:eastAsia="zh-CN"/>
                    </w:rPr>
                  </w:pPr>
                  <w:r>
                    <w:rPr>
                      <w:rFonts w:hint="eastAsia"/>
                      <w:color w:val="auto"/>
                    </w:rPr>
                    <w:t>鼓励开发应用安全环保、节能低耗、性能优良的新产品、新材料、新工艺、新装备。</w:t>
                  </w:r>
                </w:p>
                <w:p>
                  <w:pPr>
                    <w:pStyle w:val="35"/>
                    <w:bidi w:val="0"/>
                    <w:rPr>
                      <w:rFonts w:hint="eastAsia"/>
                      <w:color w:val="auto"/>
                    </w:rPr>
                  </w:pPr>
                  <w:r>
                    <w:rPr>
                      <w:rFonts w:hint="eastAsia"/>
                      <w:color w:val="auto"/>
                      <w:lang w:val="en-US" w:eastAsia="zh-CN"/>
                    </w:rPr>
                    <w:t xml:space="preserve">  </w:t>
                  </w:r>
                  <w:r>
                    <w:rPr>
                      <w:rFonts w:hint="eastAsia"/>
                      <w:color w:val="auto"/>
                    </w:rPr>
                    <w:t>发展安全环保型工业炸药及其制品，无雷管感度、散装或大直径包装工业炸药产品，胶状乳化炸药、多孔粒状铵油炸药及重铵油炸药。</w:t>
                  </w:r>
                </w:p>
                <w:p>
                  <w:pPr>
                    <w:pStyle w:val="35"/>
                    <w:bidi w:val="0"/>
                    <w:rPr>
                      <w:rFonts w:hint="eastAsia"/>
                      <w:color w:val="auto"/>
                    </w:rPr>
                  </w:pPr>
                </w:p>
              </w:tc>
              <w:tc>
                <w:tcPr>
                  <w:tcW w:w="1720" w:type="pct"/>
                </w:tcPr>
                <w:p>
                  <w:pPr>
                    <w:pStyle w:val="35"/>
                    <w:bidi w:val="0"/>
                    <w:rPr>
                      <w:rFonts w:hint="eastAsia"/>
                      <w:color w:val="auto"/>
                      <w:lang w:val="en-US" w:eastAsia="zh-CN"/>
                    </w:rPr>
                  </w:pPr>
                </w:p>
                <w:p>
                  <w:pPr>
                    <w:pStyle w:val="35"/>
                    <w:bidi w:val="0"/>
                    <w:rPr>
                      <w:rFonts w:hint="eastAsia"/>
                      <w:color w:val="auto"/>
                      <w:lang w:val="en-US" w:eastAsia="zh-CN"/>
                    </w:rPr>
                  </w:pPr>
                </w:p>
                <w:p>
                  <w:pPr>
                    <w:pStyle w:val="35"/>
                    <w:bidi w:val="0"/>
                    <w:rPr>
                      <w:rFonts w:hint="default"/>
                      <w:color w:val="auto"/>
                      <w:lang w:val="en-US" w:eastAsia="zh-CN"/>
                    </w:rPr>
                  </w:pPr>
                  <w:r>
                    <w:rPr>
                      <w:rFonts w:hint="eastAsia"/>
                      <w:color w:val="auto"/>
                      <w:lang w:val="en-US" w:eastAsia="zh-CN"/>
                    </w:rPr>
                    <w:t>本项目为安全环保型工业炸药及其制品，生产产品为多孔粒状铵油炸药</w:t>
                  </w:r>
                </w:p>
              </w:tc>
              <w:tc>
                <w:tcPr>
                  <w:tcW w:w="616" w:type="pct"/>
                </w:tcPr>
                <w:p>
                  <w:pPr>
                    <w:pStyle w:val="35"/>
                    <w:bidi w:val="0"/>
                    <w:rPr>
                      <w:rFonts w:hint="default"/>
                      <w:color w:val="auto"/>
                      <w:lang w:val="en-US" w:eastAsia="zh-CN"/>
                    </w:rPr>
                  </w:pPr>
                  <w:r>
                    <w:rPr>
                      <w:rFonts w:hint="eastAsia"/>
                      <w:color w:val="auto"/>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62" w:type="pct"/>
                </w:tcPr>
                <w:p>
                  <w:pPr>
                    <w:pStyle w:val="35"/>
                    <w:bidi w:val="0"/>
                    <w:rPr>
                      <w:rFonts w:hint="eastAsia"/>
                      <w:color w:val="auto"/>
                    </w:rPr>
                  </w:pPr>
                  <w:r>
                    <w:rPr>
                      <w:color w:val="auto"/>
                    </w:rPr>
                    <w:t>鼓励企业采用自动化、信息化技术改造传统的生产方式和管理模式，引进和消化吸收国外先进技术，加快现有生产工艺、装备和产品的升级换代。</w:t>
                  </w:r>
                </w:p>
              </w:tc>
              <w:tc>
                <w:tcPr>
                  <w:tcW w:w="1720" w:type="pct"/>
                </w:tcPr>
                <w:p>
                  <w:pPr>
                    <w:pStyle w:val="35"/>
                    <w:bidi w:val="0"/>
                    <w:rPr>
                      <w:rFonts w:hint="default"/>
                      <w:color w:val="auto"/>
                      <w:lang w:val="en-US" w:eastAsia="zh-CN"/>
                    </w:rPr>
                  </w:pPr>
                  <w:r>
                    <w:rPr>
                      <w:rFonts w:hint="eastAsia"/>
                      <w:color w:val="auto"/>
                      <w:lang w:val="en-US" w:eastAsia="zh-CN"/>
                    </w:rPr>
                    <w:t>本项目采取了自动化程度较高的生产方式，采用生产工艺、装备均为国内先进</w:t>
                  </w:r>
                </w:p>
              </w:tc>
              <w:tc>
                <w:tcPr>
                  <w:tcW w:w="616" w:type="pct"/>
                </w:tcPr>
                <w:p>
                  <w:pPr>
                    <w:pStyle w:val="35"/>
                    <w:bidi w:val="0"/>
                    <w:rPr>
                      <w:rFonts w:hint="eastAsia"/>
                      <w:color w:va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62" w:type="pct"/>
                </w:tcPr>
                <w:p>
                  <w:pPr>
                    <w:pStyle w:val="35"/>
                    <w:bidi w:val="0"/>
                    <w:rPr>
                      <w:rFonts w:hint="eastAsia"/>
                      <w:color w:val="auto"/>
                    </w:rPr>
                  </w:pPr>
                  <w:r>
                    <w:rPr>
                      <w:rFonts w:hint="eastAsia"/>
                      <w:color w:val="auto"/>
                      <w:lang w:val="en-US" w:eastAsia="zh-CN"/>
                    </w:rPr>
                    <w:t xml:space="preserve">  </w:t>
                  </w:r>
                  <w:r>
                    <w:rPr>
                      <w:color w:val="auto"/>
                    </w:rPr>
                    <w:t>工业炸药生产方式由固定生产线向现场混装作业方式发展</w:t>
                  </w:r>
                  <w:r>
                    <w:rPr>
                      <w:rFonts w:hint="eastAsia"/>
                      <w:color w:val="auto"/>
                      <w:lang w:eastAsia="zh-CN"/>
                    </w:rPr>
                    <w:t>。</w:t>
                  </w:r>
                </w:p>
              </w:tc>
              <w:tc>
                <w:tcPr>
                  <w:tcW w:w="1720" w:type="pct"/>
                </w:tcPr>
                <w:p>
                  <w:pPr>
                    <w:pStyle w:val="35"/>
                    <w:bidi w:val="0"/>
                    <w:rPr>
                      <w:rFonts w:hint="eastAsia"/>
                      <w:color w:val="auto"/>
                      <w:lang w:val="en-US" w:eastAsia="zh-CN"/>
                    </w:rPr>
                  </w:pPr>
                  <w:r>
                    <w:rPr>
                      <w:rFonts w:hint="eastAsia"/>
                      <w:color w:val="auto"/>
                      <w:lang w:val="en-US" w:eastAsia="zh-CN"/>
                    </w:rPr>
                    <w:t>本项目</w:t>
                  </w:r>
                  <w:r>
                    <w:rPr>
                      <w:color w:val="auto"/>
                    </w:rPr>
                    <w:t>炸药生产方式</w:t>
                  </w:r>
                  <w:r>
                    <w:rPr>
                      <w:rFonts w:hint="eastAsia"/>
                      <w:color w:val="auto"/>
                      <w:lang w:val="en-US" w:eastAsia="zh-CN"/>
                    </w:rPr>
                    <w:t>为</w:t>
                  </w:r>
                  <w:r>
                    <w:rPr>
                      <w:color w:val="auto"/>
                    </w:rPr>
                    <w:t>现场混装作业</w:t>
                  </w:r>
                </w:p>
              </w:tc>
              <w:tc>
                <w:tcPr>
                  <w:tcW w:w="616" w:type="pct"/>
                </w:tcPr>
                <w:p>
                  <w:pPr>
                    <w:pStyle w:val="35"/>
                    <w:bidi w:val="0"/>
                    <w:rPr>
                      <w:rFonts w:hint="eastAsia"/>
                      <w:color w:val="auto"/>
                      <w:lang w:val="en-US" w:eastAsia="zh-CN"/>
                    </w:rPr>
                  </w:pPr>
                  <w:r>
                    <w:rPr>
                      <w:rFonts w:hint="eastAsia"/>
                      <w:color w:val="auto"/>
                      <w:lang w:val="en-US" w:eastAsia="zh-CN"/>
                    </w:rPr>
                    <w:t>符合</w:t>
                  </w:r>
                </w:p>
              </w:tc>
            </w:tr>
          </w:tbl>
          <w:p>
            <w:pPr>
              <w:pStyle w:val="97"/>
              <w:numPr>
                <w:ilvl w:val="0"/>
                <w:numId w:val="7"/>
              </w:numPr>
              <w:adjustRightInd w:val="0"/>
              <w:snapToGrid w:val="0"/>
              <w:ind w:firstLine="482"/>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与《关于提升工业炸药生产线本质安全生产水平的指导意见》（工信部安（2012) 301号）的符合性分析</w:t>
            </w:r>
          </w:p>
          <w:p>
            <w:pPr>
              <w:pStyle w:val="97"/>
              <w:numPr>
                <w:ilvl w:val="0"/>
                <w:numId w:val="0"/>
              </w:numPr>
              <w:adjustRightInd w:val="0"/>
              <w:snapToGrid w:val="0"/>
              <w:rPr>
                <w:rFonts w:hint="eastAsia" w:ascii="Times New Roman" w:hAnsi="Times New Roman"/>
                <w:b/>
                <w:bCs/>
                <w:color w:val="auto"/>
                <w:lang w:val="en-US" w:eastAsia="zh-CN"/>
              </w:rPr>
            </w:pPr>
            <w:r>
              <w:rPr>
                <w:rFonts w:hint="eastAsia" w:ascii="Times New Roman" w:hAnsi="Times New Roman"/>
                <w:b/>
                <w:bCs/>
                <w:color w:val="auto"/>
                <w:lang w:eastAsia="zh-CN"/>
              </w:rPr>
              <w:t>《</w:t>
            </w:r>
            <w:r>
              <w:rPr>
                <w:rFonts w:hint="eastAsia" w:ascii="Times New Roman" w:hAnsi="Times New Roman"/>
                <w:b/>
                <w:bCs/>
                <w:color w:val="auto"/>
                <w:lang w:val="en-US" w:eastAsia="zh-CN"/>
              </w:rPr>
              <w:t>指导意见</w:t>
            </w:r>
            <w:r>
              <w:rPr>
                <w:rFonts w:hint="eastAsia" w:ascii="Times New Roman" w:hAnsi="Times New Roman"/>
                <w:b/>
                <w:bCs/>
                <w:color w:val="auto"/>
                <w:lang w:eastAsia="zh-CN"/>
              </w:rPr>
              <w:t>》</w:t>
            </w:r>
            <w:r>
              <w:rPr>
                <w:rFonts w:hint="eastAsia" w:ascii="Times New Roman" w:hAnsi="Times New Roman"/>
                <w:b/>
                <w:bCs/>
                <w:color w:val="auto"/>
                <w:lang w:val="en-US" w:eastAsia="zh-CN"/>
              </w:rPr>
              <w:t>提出：</w:t>
            </w:r>
            <w:r>
              <w:rPr>
                <w:rFonts w:ascii="宋体" w:hAnsi="宋体" w:eastAsia="宋体" w:cs="宋体"/>
                <w:color w:val="auto"/>
                <w:sz w:val="24"/>
                <w:szCs w:val="24"/>
              </w:rPr>
              <w:t>要完善现场混装生产系统的安全管理条件，现场混装车应安装具备卫星定位功能的安全监控装置，实现与地面站等总控系统及时传输和作业点产量及产品流向的动态监控。要健全现场混装地面站中乳化器、输送泵等关键设备的超压、超温、断流等安全保护措施和视频监视装置。严禁现场混装车在包装型工业炸药生产的危险工房内装车作业</w:t>
            </w:r>
            <w:r>
              <w:rPr>
                <w:rFonts w:hint="eastAsia" w:ascii="宋体" w:hAnsi="宋体" w:eastAsia="宋体" w:cs="宋体"/>
                <w:color w:val="auto"/>
                <w:sz w:val="24"/>
                <w:szCs w:val="24"/>
                <w:lang w:eastAsia="zh-CN"/>
              </w:rPr>
              <w:t>；</w:t>
            </w:r>
            <w:r>
              <w:rPr>
                <w:rFonts w:ascii="宋体" w:hAnsi="宋体" w:eastAsia="宋体" w:cs="宋体"/>
                <w:color w:val="auto"/>
                <w:sz w:val="24"/>
                <w:szCs w:val="24"/>
              </w:rPr>
              <w:t>严禁利用混装地面站生产包装型工业炸药</w:t>
            </w:r>
            <w:r>
              <w:rPr>
                <w:rFonts w:hint="eastAsia" w:ascii="宋体" w:hAnsi="宋体" w:eastAsia="宋体" w:cs="宋体"/>
                <w:color w:val="auto"/>
                <w:sz w:val="24"/>
                <w:szCs w:val="24"/>
                <w:lang w:eastAsia="zh-CN"/>
              </w:rPr>
              <w:t>；</w:t>
            </w:r>
            <w:r>
              <w:rPr>
                <w:rFonts w:ascii="宋体" w:hAnsi="宋体" w:eastAsia="宋体" w:cs="宋体"/>
                <w:color w:val="auto"/>
                <w:sz w:val="24"/>
                <w:szCs w:val="24"/>
              </w:rPr>
              <w:t>严禁现场混装车在地面站内混制炸药</w:t>
            </w:r>
            <w:r>
              <w:rPr>
                <w:rFonts w:hint="eastAsia" w:ascii="宋体" w:hAnsi="宋体" w:eastAsia="宋体" w:cs="宋体"/>
                <w:color w:val="auto"/>
                <w:sz w:val="24"/>
                <w:szCs w:val="24"/>
                <w:lang w:eastAsia="zh-CN"/>
              </w:rPr>
              <w:t>；</w:t>
            </w:r>
            <w:r>
              <w:rPr>
                <w:rFonts w:ascii="宋体" w:hAnsi="宋体" w:eastAsia="宋体" w:cs="宋体"/>
                <w:color w:val="auto"/>
                <w:sz w:val="24"/>
                <w:szCs w:val="24"/>
              </w:rPr>
              <w:t>严禁向未获得民爆生产许可的单位销售现场混装生产系统，严禁未获得民爆生产许可的单位购买及应用现场混装生产系统。</w:t>
            </w:r>
          </w:p>
          <w:p>
            <w:pPr>
              <w:pStyle w:val="97"/>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本项目</w:t>
            </w:r>
            <w:r>
              <w:rPr>
                <w:rFonts w:ascii="宋体" w:hAnsi="宋体" w:eastAsia="宋体" w:cs="宋体"/>
                <w:color w:val="auto"/>
                <w:sz w:val="24"/>
                <w:szCs w:val="24"/>
              </w:rPr>
              <w:t>现场混装车</w:t>
            </w:r>
            <w:r>
              <w:rPr>
                <w:rFonts w:hint="eastAsia" w:ascii="宋体" w:hAnsi="宋体" w:eastAsia="宋体" w:cs="宋体"/>
                <w:color w:val="auto"/>
                <w:sz w:val="24"/>
                <w:szCs w:val="24"/>
                <w:lang w:val="en-US" w:eastAsia="zh-CN"/>
              </w:rPr>
              <w:t>均</w:t>
            </w:r>
            <w:r>
              <w:rPr>
                <w:rFonts w:ascii="宋体" w:hAnsi="宋体" w:eastAsia="宋体" w:cs="宋体"/>
                <w:color w:val="auto"/>
                <w:sz w:val="24"/>
                <w:szCs w:val="24"/>
              </w:rPr>
              <w:t>安装具备卫星定位功能的安全监控装置</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现场混装车在爆破现场混制炸药，建设单位已获得民爆生产许可证，本项目与《关于提升工业炸药生产线本质安全生产水平的指导意见》相关要求相符</w:t>
            </w:r>
            <w:r>
              <w:rPr>
                <w:rFonts w:hint="eastAsia" w:cs="宋体"/>
                <w:color w:val="auto"/>
                <w:sz w:val="24"/>
                <w:szCs w:val="24"/>
                <w:lang w:val="en-US" w:eastAsia="zh-CN"/>
              </w:rPr>
              <w:t>。</w:t>
            </w:r>
          </w:p>
          <w:p>
            <w:pPr>
              <w:pStyle w:val="97"/>
              <w:numPr>
                <w:ilvl w:val="0"/>
                <w:numId w:val="7"/>
              </w:numPr>
              <w:adjustRightInd w:val="0"/>
              <w:snapToGrid w:val="0"/>
              <w:ind w:firstLine="482"/>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与《民用爆炸物品工程设计安全标准》(GB50089-2018）的符合性分析</w:t>
            </w:r>
          </w:p>
          <w:p>
            <w:pPr>
              <w:pStyle w:val="36"/>
              <w:rPr>
                <w:rFonts w:ascii="宋体" w:hAnsi="宋体" w:cs="宋体"/>
                <w:color w:val="auto"/>
                <w:shd w:val="clear" w:color="auto" w:fill="FFFFFF"/>
              </w:rPr>
            </w:pPr>
            <w:r>
              <w:rPr>
                <w:rFonts w:hint="eastAsia" w:ascii="宋体" w:hAnsi="宋体" w:cs="宋体"/>
                <w:color w:val="auto"/>
                <w:shd w:val="clear" w:color="auto" w:fill="FFFFFF"/>
              </w:rPr>
              <w:t>表</w:t>
            </w:r>
            <w:r>
              <w:rPr>
                <w:color w:val="auto"/>
                <w:shd w:val="clear" w:color="auto" w:fill="FFFFFF"/>
              </w:rPr>
              <w:t>1-</w:t>
            </w:r>
            <w:r>
              <w:rPr>
                <w:rFonts w:hint="eastAsia"/>
                <w:color w:val="auto"/>
                <w:shd w:val="clear" w:color="auto" w:fill="FFFFFF"/>
                <w:lang w:val="en-US" w:eastAsia="zh-CN"/>
              </w:rPr>
              <w:t>6</w:t>
            </w:r>
            <w:r>
              <w:rPr>
                <w:rFonts w:hint="eastAsia" w:ascii="宋体" w:hAnsi="宋体" w:cs="宋体"/>
                <w:color w:val="auto"/>
                <w:shd w:val="clear" w:color="auto" w:fill="FFFFFF"/>
              </w:rPr>
              <w:t xml:space="preserve"> </w:t>
            </w:r>
            <w:r>
              <w:rPr>
                <w:rFonts w:hint="eastAsia" w:ascii="Times New Roman" w:hAnsi="Times New Roman" w:cs="Times New Roman"/>
                <w:b/>
                <w:bCs/>
                <w:color w:val="auto"/>
                <w:lang w:val="en-US" w:eastAsia="zh-CN"/>
              </w:rPr>
              <w:t>《民用爆炸物品工程设计安全标准》</w:t>
            </w:r>
            <w:r>
              <w:rPr>
                <w:color w:val="auto"/>
                <w:lang w:bidi="ar"/>
              </w:rPr>
              <w:t>的相符性分析</w:t>
            </w:r>
          </w:p>
          <w:tbl>
            <w:tblPr>
              <w:tblStyle w:val="29"/>
              <w:tblW w:w="4999"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81"/>
              <w:gridCol w:w="3417"/>
              <w:gridCol w:w="100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pPr>
                    <w:pStyle w:val="35"/>
                    <w:bidi w:val="0"/>
                    <w:jc w:val="center"/>
                    <w:rPr>
                      <w:rFonts w:hint="default"/>
                      <w:color w:val="auto"/>
                      <w:lang w:val="en-US" w:eastAsia="zh-CN"/>
                    </w:rPr>
                  </w:pPr>
                  <w:r>
                    <w:rPr>
                      <w:rFonts w:hint="eastAsia"/>
                      <w:color w:val="auto"/>
                      <w:lang w:val="en-US" w:eastAsia="zh-CN"/>
                    </w:rPr>
                    <w:t>文件要求</w:t>
                  </w:r>
                </w:p>
              </w:tc>
              <w:tc>
                <w:tcPr>
                  <w:tcW w:w="2627" w:type="pct"/>
                  <w:vAlign w:val="center"/>
                </w:tcPr>
                <w:p>
                  <w:pPr>
                    <w:pStyle w:val="35"/>
                    <w:bidi w:val="0"/>
                    <w:jc w:val="center"/>
                    <w:rPr>
                      <w:rFonts w:hint="default"/>
                      <w:color w:val="auto"/>
                      <w:lang w:val="en-US" w:eastAsia="zh-CN"/>
                    </w:rPr>
                  </w:pPr>
                  <w:r>
                    <w:rPr>
                      <w:rFonts w:hint="eastAsia"/>
                      <w:color w:val="auto"/>
                      <w:lang w:val="en-US" w:eastAsia="zh-CN"/>
                    </w:rPr>
                    <w:t>本项目情况</w:t>
                  </w:r>
                </w:p>
              </w:tc>
              <w:tc>
                <w:tcPr>
                  <w:tcW w:w="771" w:type="pct"/>
                  <w:vAlign w:val="center"/>
                </w:tcPr>
                <w:p>
                  <w:pPr>
                    <w:pStyle w:val="35"/>
                    <w:bidi w:val="0"/>
                    <w:jc w:val="center"/>
                    <w:rPr>
                      <w:rFonts w:hint="eastAsia"/>
                      <w:color w:val="auto"/>
                      <w:lang w:val="en-US" w:eastAsia="zh-CN"/>
                    </w:rPr>
                  </w:pPr>
                  <w:r>
                    <w:rPr>
                      <w:rFonts w:hint="eastAsia"/>
                      <w:color w:val="auto"/>
                      <w:lang w:val="en-US" w:eastAsia="zh-CN"/>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pPr>
                    <w:pStyle w:val="35"/>
                    <w:bidi w:val="0"/>
                    <w:jc w:val="center"/>
                    <w:rPr>
                      <w:rFonts w:hint="default"/>
                      <w:color w:val="auto"/>
                      <w:lang w:val="en-US" w:eastAsia="zh-CN"/>
                    </w:rPr>
                  </w:pPr>
                  <w:r>
                    <w:rPr>
                      <w:rFonts w:hint="eastAsia"/>
                      <w:color w:val="auto"/>
                      <w:lang w:val="en-US" w:eastAsia="zh-CN"/>
                    </w:rPr>
                    <w:t>地面站不应建设在危险品总仓库内</w:t>
                  </w:r>
                </w:p>
              </w:tc>
              <w:tc>
                <w:tcPr>
                  <w:tcW w:w="2627" w:type="pct"/>
                  <w:vAlign w:val="center"/>
                </w:tcPr>
                <w:p>
                  <w:pPr>
                    <w:pStyle w:val="35"/>
                    <w:bidi w:val="0"/>
                    <w:jc w:val="center"/>
                    <w:rPr>
                      <w:rFonts w:hint="default"/>
                      <w:color w:val="auto"/>
                      <w:lang w:val="en-US" w:eastAsia="zh-CN"/>
                    </w:rPr>
                  </w:pPr>
                  <w:r>
                    <w:rPr>
                      <w:rFonts w:hint="eastAsia"/>
                      <w:color w:val="auto"/>
                      <w:lang w:val="en-US" w:eastAsia="zh-CN"/>
                    </w:rPr>
                    <w:t>项目区不属于危险品总仓库</w:t>
                  </w:r>
                </w:p>
              </w:tc>
              <w:tc>
                <w:tcPr>
                  <w:tcW w:w="771" w:type="pct"/>
                  <w:vAlign w:val="center"/>
                </w:tcPr>
                <w:p>
                  <w:pPr>
                    <w:pStyle w:val="35"/>
                    <w:bidi w:val="0"/>
                    <w:jc w:val="center"/>
                    <w:rPr>
                      <w:rFonts w:hint="default"/>
                      <w:color w:val="auto"/>
                      <w:lang w:val="en-US" w:eastAsia="zh-CN"/>
                    </w:rPr>
                  </w:pPr>
                  <w:r>
                    <w:rPr>
                      <w:rFonts w:hint="eastAsia"/>
                      <w:color w:val="auto"/>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pPr>
                    <w:pStyle w:val="35"/>
                    <w:bidi w:val="0"/>
                    <w:jc w:val="center"/>
                    <w:rPr>
                      <w:rFonts w:hint="default"/>
                      <w:color w:val="auto"/>
                      <w:lang w:val="en-US" w:eastAsia="zh-CN"/>
                    </w:rPr>
                  </w:pPr>
                  <w:r>
                    <w:rPr>
                      <w:rFonts w:hint="eastAsia"/>
                      <w:color w:val="auto"/>
                      <w:lang w:val="en-US" w:eastAsia="zh-CN"/>
                    </w:rPr>
                    <w:t>硝酸铵仓库应独立设置，单库最大允许储量为600t</w:t>
                  </w:r>
                </w:p>
              </w:tc>
              <w:tc>
                <w:tcPr>
                  <w:tcW w:w="2627" w:type="pct"/>
                  <w:vAlign w:val="center"/>
                </w:tcPr>
                <w:p>
                  <w:pPr>
                    <w:pStyle w:val="35"/>
                    <w:bidi w:val="0"/>
                    <w:jc w:val="center"/>
                    <w:rPr>
                      <w:rFonts w:hint="default"/>
                      <w:color w:val="auto"/>
                      <w:lang w:val="en-US" w:eastAsia="zh-CN"/>
                    </w:rPr>
                  </w:pPr>
                  <w:r>
                    <w:rPr>
                      <w:rFonts w:hint="eastAsia"/>
                      <w:color w:val="auto"/>
                      <w:lang w:val="en-US" w:eastAsia="zh-CN"/>
                    </w:rPr>
                    <w:t>现有工程建有一座硝酸铵库</w:t>
                  </w:r>
                  <w:r>
                    <w:rPr>
                      <w:rFonts w:hint="eastAsia"/>
                      <w:color w:val="auto"/>
                    </w:rPr>
                    <w:t>，占地面积945m2，砖混结构，用于储存硝酸铵，最大储存量600t；</w:t>
                  </w:r>
                </w:p>
              </w:tc>
              <w:tc>
                <w:tcPr>
                  <w:tcW w:w="771" w:type="pct"/>
                  <w:vAlign w:val="center"/>
                </w:tcPr>
                <w:p>
                  <w:pPr>
                    <w:pStyle w:val="35"/>
                    <w:bidi w:val="0"/>
                    <w:jc w:val="center"/>
                    <w:rPr>
                      <w:rFonts w:hint="default"/>
                      <w:color w:val="auto"/>
                      <w:lang w:val="en-US" w:eastAsia="zh-CN"/>
                    </w:rPr>
                  </w:pPr>
                  <w:r>
                    <w:rPr>
                      <w:rFonts w:hint="eastAsia"/>
                      <w:color w:val="auto"/>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pPr>
                    <w:pStyle w:val="35"/>
                    <w:bidi w:val="0"/>
                    <w:jc w:val="center"/>
                    <w:rPr>
                      <w:rFonts w:hint="default"/>
                      <w:color w:val="auto"/>
                      <w:lang w:val="en-US" w:eastAsia="zh-CN"/>
                    </w:rPr>
                  </w:pPr>
                  <w:r>
                    <w:rPr>
                      <w:rFonts w:hint="eastAsia"/>
                      <w:color w:val="auto"/>
                      <w:lang w:val="en-US" w:eastAsia="zh-CN"/>
                    </w:rPr>
                    <w:t>柴油库宜单独设置</w:t>
                  </w:r>
                </w:p>
              </w:tc>
              <w:tc>
                <w:tcPr>
                  <w:tcW w:w="2627" w:type="pct"/>
                  <w:vAlign w:val="center"/>
                </w:tcPr>
                <w:p>
                  <w:pPr>
                    <w:pStyle w:val="35"/>
                    <w:bidi w:val="0"/>
                    <w:jc w:val="center"/>
                    <w:rPr>
                      <w:rFonts w:hint="eastAsia"/>
                      <w:color w:val="auto"/>
                      <w:lang w:val="en-US" w:eastAsia="zh-CN"/>
                    </w:rPr>
                  </w:pPr>
                  <w:r>
                    <w:rPr>
                      <w:rFonts w:hint="eastAsia"/>
                      <w:color w:val="auto"/>
                      <w:lang w:val="en-US" w:eastAsia="zh-CN"/>
                    </w:rPr>
                    <w:t>一台</w:t>
                  </w:r>
                  <w:r>
                    <w:rPr>
                      <w:rFonts w:hint="eastAsia"/>
                      <w:color w:val="auto"/>
                    </w:rPr>
                    <w:t>双层</w:t>
                  </w:r>
                  <w:r>
                    <w:rPr>
                      <w:rFonts w:hint="eastAsia"/>
                      <w:color w:val="auto"/>
                      <w:lang w:val="en-US" w:eastAsia="zh-CN"/>
                    </w:rPr>
                    <w:t>地埋柴油储罐，</w:t>
                  </w:r>
                  <w:r>
                    <w:rPr>
                      <w:rFonts w:hint="eastAsia"/>
                      <w:color w:val="auto"/>
                    </w:rPr>
                    <w:t>位于现场混装炸药生产区，容积50m</w:t>
                  </w:r>
                  <w:r>
                    <w:rPr>
                      <w:rFonts w:hint="eastAsia"/>
                      <w:color w:val="auto"/>
                      <w:vertAlign w:val="superscript"/>
                    </w:rPr>
                    <w:t>3</w:t>
                  </w:r>
                  <w:r>
                    <w:rPr>
                      <w:rFonts w:hint="eastAsia"/>
                      <w:color w:val="auto"/>
                    </w:rPr>
                    <w:t>；</w:t>
                  </w:r>
                  <w:r>
                    <w:rPr>
                      <w:rFonts w:hint="eastAsia"/>
                      <w:color w:val="auto"/>
                      <w:lang w:val="en-US" w:eastAsia="zh-CN"/>
                    </w:rPr>
                    <w:t>另有一套撬装加油装置，储罐为双层储罐，</w:t>
                  </w:r>
                  <w:r>
                    <w:rPr>
                      <w:rFonts w:hint="eastAsia"/>
                      <w:color w:val="auto"/>
                    </w:rPr>
                    <w:t>容积50m</w:t>
                  </w:r>
                  <w:r>
                    <w:rPr>
                      <w:rFonts w:hint="eastAsia"/>
                      <w:color w:val="auto"/>
                      <w:vertAlign w:val="superscript"/>
                    </w:rPr>
                    <w:t>3</w:t>
                  </w:r>
                </w:p>
              </w:tc>
              <w:tc>
                <w:tcPr>
                  <w:tcW w:w="771" w:type="pct"/>
                  <w:vAlign w:val="center"/>
                </w:tcPr>
                <w:p>
                  <w:pPr>
                    <w:pStyle w:val="35"/>
                    <w:bidi w:val="0"/>
                    <w:jc w:val="center"/>
                    <w:rPr>
                      <w:rFonts w:hint="eastAsia"/>
                      <w:color w:val="auto"/>
                      <w:lang w:val="en-US" w:eastAsia="zh-CN"/>
                    </w:rPr>
                  </w:pPr>
                  <w:r>
                    <w:rPr>
                      <w:rFonts w:hint="eastAsia"/>
                      <w:color w:val="auto"/>
                      <w:lang w:val="en-US" w:eastAsia="zh-CN"/>
                    </w:rPr>
                    <w:t>符合</w:t>
                  </w:r>
                </w:p>
                <w:p>
                  <w:pPr>
                    <w:pStyle w:val="35"/>
                    <w:bidi w:val="0"/>
                    <w:jc w:val="center"/>
                    <w:rPr>
                      <w:rFonts w:hint="eastAsia"/>
                      <w:color w:val="auto"/>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00" w:type="pct"/>
                  <w:vAlign w:val="center"/>
                </w:tcPr>
                <w:p>
                  <w:pPr>
                    <w:pStyle w:val="35"/>
                    <w:bidi w:val="0"/>
                    <w:jc w:val="center"/>
                    <w:rPr>
                      <w:rFonts w:hint="default"/>
                      <w:color w:val="auto"/>
                      <w:lang w:val="en-US" w:eastAsia="zh-CN"/>
                    </w:rPr>
                  </w:pPr>
                  <w:r>
                    <w:rPr>
                      <w:color w:val="auto"/>
                    </w:rPr>
                    <w:t>地面站宜设现场混装炸药车车库</w:t>
                  </w:r>
                </w:p>
              </w:tc>
              <w:tc>
                <w:tcPr>
                  <w:tcW w:w="2627" w:type="pct"/>
                  <w:vAlign w:val="center"/>
                </w:tcPr>
                <w:p>
                  <w:pPr>
                    <w:pStyle w:val="35"/>
                    <w:bidi w:val="0"/>
                    <w:jc w:val="center"/>
                    <w:rPr>
                      <w:rFonts w:hint="default"/>
                      <w:color w:val="auto"/>
                      <w:lang w:val="en-US" w:eastAsia="zh-CN"/>
                    </w:rPr>
                  </w:pPr>
                  <w:r>
                    <w:rPr>
                      <w:rFonts w:hint="eastAsia"/>
                      <w:color w:val="auto"/>
                      <w:lang w:val="en-US" w:eastAsia="zh-CN"/>
                    </w:rPr>
                    <w:t>现有工程已建1#混装车库建筑面积</w:t>
                  </w:r>
                  <w:r>
                    <w:rPr>
                      <w:rFonts w:hint="eastAsia"/>
                      <w:color w:val="auto"/>
                    </w:rPr>
                    <w:t>630m</w:t>
                  </w:r>
                  <w:r>
                    <w:rPr>
                      <w:rFonts w:hint="eastAsia"/>
                      <w:color w:val="auto"/>
                      <w:vertAlign w:val="superscript"/>
                    </w:rPr>
                    <w:t>2</w:t>
                  </w:r>
                  <w:r>
                    <w:rPr>
                      <w:rFonts w:hint="eastAsia"/>
                      <w:color w:val="auto"/>
                      <w:lang w:val="en-US" w:eastAsia="zh-CN"/>
                    </w:rPr>
                    <w:t>，本次新建2#混装车库建筑面积</w:t>
                  </w:r>
                  <w:r>
                    <w:rPr>
                      <w:rFonts w:hint="eastAsia"/>
                      <w:color w:val="auto"/>
                    </w:rPr>
                    <w:t>630m</w:t>
                  </w:r>
                  <w:r>
                    <w:rPr>
                      <w:rFonts w:hint="eastAsia"/>
                      <w:color w:val="auto"/>
                      <w:vertAlign w:val="superscript"/>
                    </w:rPr>
                    <w:t>2</w:t>
                  </w:r>
                </w:p>
              </w:tc>
              <w:tc>
                <w:tcPr>
                  <w:tcW w:w="771" w:type="pct"/>
                  <w:vAlign w:val="center"/>
                </w:tcPr>
                <w:p>
                  <w:pPr>
                    <w:pStyle w:val="35"/>
                    <w:bidi w:val="0"/>
                    <w:jc w:val="center"/>
                    <w:rPr>
                      <w:rFonts w:hint="default"/>
                      <w:color w:val="auto"/>
                      <w:lang w:val="en-US" w:eastAsia="zh-CN"/>
                    </w:rPr>
                  </w:pPr>
                  <w:r>
                    <w:rPr>
                      <w:rFonts w:hint="eastAsia"/>
                      <w:color w:val="auto"/>
                      <w:lang w:val="en-US" w:eastAsia="zh-CN"/>
                    </w:rPr>
                    <w:t>符合</w:t>
                  </w:r>
                </w:p>
              </w:tc>
            </w:tr>
          </w:tbl>
          <w:p>
            <w:pPr>
              <w:pStyle w:val="97"/>
              <w:numPr>
                <w:ilvl w:val="0"/>
                <w:numId w:val="7"/>
              </w:numPr>
              <w:adjustRightInd w:val="0"/>
              <w:snapToGrid w:val="0"/>
              <w:ind w:left="0" w:leftChars="0" w:firstLine="482" w:firstLineChars="200"/>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与《国务院关于印发〈空气质量持续改善行动计划〉的通知》（国发〔2023〕24 号）的符合性分析</w:t>
            </w:r>
          </w:p>
          <w:p>
            <w:pPr>
              <w:pStyle w:val="97"/>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textAlignment w:val="auto"/>
              <w:rPr>
                <w:rFonts w:hint="eastAsia" w:ascii="宋体" w:hAnsi="Times New Roman" w:eastAsia="宋体" w:cs="Times New Roman"/>
                <w:color w:val="auto"/>
                <w:kern w:val="2"/>
                <w:sz w:val="24"/>
                <w:szCs w:val="24"/>
                <w:lang w:val="en-US" w:eastAsia="zh-CN" w:bidi="ar-SA"/>
              </w:rPr>
            </w:pPr>
            <w:r>
              <w:rPr>
                <w:rFonts w:hint="eastAsia" w:ascii="宋体" w:hAnsi="Times New Roman" w:eastAsia="宋体" w:cs="Times New Roman"/>
                <w:color w:val="auto"/>
                <w:kern w:val="2"/>
                <w:sz w:val="24"/>
                <w:szCs w:val="24"/>
                <w:lang w:val="en-US" w:eastAsia="zh-CN" w:bidi="ar-SA"/>
              </w:rPr>
              <w:t>《通知》提出</w:t>
            </w:r>
            <w:r>
              <w:rPr>
                <w:rFonts w:hint="eastAsia" w:hAnsi="Times New Roman" w:cs="Times New Roman"/>
                <w:color w:val="auto"/>
                <w:kern w:val="2"/>
                <w:sz w:val="24"/>
                <w:szCs w:val="24"/>
                <w:lang w:val="en-US" w:eastAsia="zh-CN" w:bidi="ar-SA"/>
              </w:rPr>
              <w:t>：</w:t>
            </w:r>
            <w:r>
              <w:rPr>
                <w:rFonts w:hint="eastAsia" w:ascii="宋体" w:hAnsi="Times New Roman" w:eastAsia="宋体" w:cs="Times New Roman"/>
                <w:color w:val="auto"/>
                <w:kern w:val="2"/>
                <w:sz w:val="24"/>
                <w:szCs w:val="24"/>
                <w:lang w:val="en-US" w:eastAsia="zh-CN" w:bidi="ar-SA"/>
              </w:rPr>
              <w:t>协同推进降碳、减污、扩绿、增长，以改善空气质量为核心，以减少重污染天气和解决人民群众身边的突出大气环境问题为重点，以降低细颗粒物（PM</w:t>
            </w:r>
            <w:r>
              <w:rPr>
                <w:rFonts w:hint="eastAsia" w:ascii="宋体" w:hAnsi="Times New Roman" w:eastAsia="宋体" w:cs="Times New Roman"/>
                <w:color w:val="auto"/>
                <w:kern w:val="2"/>
                <w:sz w:val="24"/>
                <w:szCs w:val="24"/>
                <w:vertAlign w:val="subscript"/>
                <w:lang w:val="en-US" w:eastAsia="zh-CN" w:bidi="ar-SA"/>
              </w:rPr>
              <w:t>2.5</w:t>
            </w:r>
            <w:r>
              <w:rPr>
                <w:rFonts w:hint="eastAsia" w:ascii="宋体" w:hAnsi="Times New Roman" w:eastAsia="宋体" w:cs="Times New Roman"/>
                <w:color w:val="auto"/>
                <w:kern w:val="2"/>
                <w:sz w:val="24"/>
                <w:szCs w:val="24"/>
                <w:lang w:val="en-US" w:eastAsia="zh-CN" w:bidi="ar-SA"/>
              </w:rPr>
              <w:t>）浓度为主线，大力推动氮氧化物和挥发性有机物（VOCs）减排；开展区域协同治理，突出精准、科学、依法治污，完善大气环境管理体系，提升污染防治能力；远近结合研究谋划大气污染防治路径，扎实推进产业、能源、交通绿色低碳转型，强化面源污染治理，加强源头防控，加快形成绿色低碳生产生活方式，实现环境效益、经济效益和社会效益多赢。</w:t>
            </w:r>
          </w:p>
          <w:p>
            <w:pPr>
              <w:adjustRightInd w:val="0"/>
              <w:snapToGrid w:val="0"/>
              <w:spacing w:line="520" w:lineRule="exact"/>
              <w:ind w:firstLine="480" w:firstLineChars="200"/>
              <w:rPr>
                <w:rFonts w:hint="eastAsia" w:ascii="宋体" w:hAnsi="Times New Roman" w:eastAsia="宋体" w:cs="Times New Roman"/>
                <w:color w:val="auto"/>
                <w:kern w:val="2"/>
                <w:sz w:val="24"/>
                <w:szCs w:val="24"/>
                <w:lang w:val="en-US" w:eastAsia="zh-CN" w:bidi="ar-SA"/>
              </w:rPr>
            </w:pPr>
            <w:r>
              <w:rPr>
                <w:rFonts w:hint="eastAsia"/>
                <w:color w:val="auto"/>
                <w:sz w:val="24"/>
              </w:rPr>
              <w:t>本项目硝酸铵上料工序采用密闭式全自动上料，可减少99%的粉尘逸散，本次扩能生产设备依托现有设施，上料工房安装有</w:t>
            </w:r>
            <w:r>
              <w:rPr>
                <w:rFonts w:hint="eastAsia" w:ascii="Times New Roman" w:hAnsi="Times New Roman" w:cs="Times New Roman"/>
                <w:color w:val="auto"/>
                <w:sz w:val="24"/>
              </w:rPr>
              <w:t>排风扇，上料过程产生的少量粉尘经排风扇排出室外，通过控制卸油过程及加油过程的规范操作，能有效减少VOCS的产生</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本项目与《国务院关于印发〈空气质量持续改善行动计划〉的通知》相关要求相符。</w:t>
            </w:r>
          </w:p>
          <w:p>
            <w:pPr>
              <w:pStyle w:val="97"/>
              <w:adjustRightInd w:val="0"/>
              <w:snapToGrid w:val="0"/>
              <w:rPr>
                <w:rFonts w:hint="eastAsia" w:ascii="Times New Roman" w:hAnsi="Times New Roman"/>
                <w:color w:val="auto"/>
              </w:rPr>
            </w:pPr>
          </w:p>
          <w:p>
            <w:pPr>
              <w:pStyle w:val="97"/>
              <w:adjustRightInd w:val="0"/>
              <w:snapToGrid w:val="0"/>
              <w:rPr>
                <w:rFonts w:hint="eastAsia" w:ascii="Times New Roman" w:hAnsi="Times New Roman"/>
                <w:color w:val="auto"/>
              </w:rPr>
            </w:pPr>
          </w:p>
          <w:p>
            <w:pPr>
              <w:pStyle w:val="97"/>
              <w:adjustRightInd w:val="0"/>
              <w:snapToGrid w:val="0"/>
              <w:rPr>
                <w:rFonts w:hint="eastAsia" w:ascii="Times New Roman" w:hAnsi="Times New Roman"/>
                <w:color w:val="auto"/>
              </w:rPr>
            </w:pPr>
          </w:p>
          <w:p>
            <w:pPr>
              <w:pStyle w:val="97"/>
              <w:adjustRightInd w:val="0"/>
              <w:snapToGrid w:val="0"/>
              <w:rPr>
                <w:rFonts w:hint="eastAsia" w:ascii="Times New Roman" w:hAnsi="Times New Roman"/>
                <w:color w:val="auto"/>
              </w:rPr>
            </w:pPr>
          </w:p>
          <w:p>
            <w:pPr>
              <w:pStyle w:val="97"/>
              <w:adjustRightInd w:val="0"/>
              <w:snapToGrid w:val="0"/>
              <w:rPr>
                <w:rFonts w:hint="eastAsia" w:ascii="Times New Roman" w:hAnsi="Times New Roman"/>
                <w:color w:val="auto"/>
              </w:rPr>
            </w:pPr>
          </w:p>
          <w:p>
            <w:pPr>
              <w:pStyle w:val="97"/>
              <w:adjustRightInd w:val="0"/>
              <w:snapToGrid w:val="0"/>
              <w:rPr>
                <w:rFonts w:hint="eastAsia" w:ascii="Times New Roman" w:hAnsi="Times New Roman"/>
                <w:color w:val="auto"/>
              </w:rPr>
            </w:pPr>
          </w:p>
          <w:p>
            <w:pPr>
              <w:pStyle w:val="97"/>
              <w:adjustRightInd w:val="0"/>
              <w:snapToGrid w:val="0"/>
              <w:rPr>
                <w:rFonts w:hint="eastAsia" w:ascii="Times New Roman" w:hAnsi="Times New Roman"/>
                <w:color w:val="auto"/>
              </w:rPr>
            </w:pPr>
          </w:p>
        </w:tc>
      </w:tr>
    </w:tbl>
    <w:p>
      <w:pPr>
        <w:spacing w:line="360" w:lineRule="auto"/>
        <w:outlineLvl w:val="0"/>
        <w:rPr>
          <w:rFonts w:eastAsia="黑体"/>
          <w:color w:val="auto"/>
          <w:sz w:val="30"/>
        </w:rPr>
        <w:sectPr>
          <w:footerReference r:id="rId5" w:type="default"/>
          <w:pgSz w:w="11906" w:h="16838"/>
          <w:pgMar w:top="1701" w:right="1531" w:bottom="1701" w:left="1531" w:header="851" w:footer="1077" w:gutter="0"/>
          <w:pgNumType w:start="1"/>
          <w:cols w:space="720" w:num="1"/>
          <w:docGrid w:linePitch="312" w:charSpace="0"/>
        </w:sectPr>
      </w:pPr>
    </w:p>
    <w:p>
      <w:pPr>
        <w:pStyle w:val="24"/>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86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3" w:type="dxa"/>
            <w:vAlign w:val="center"/>
          </w:tcPr>
          <w:p>
            <w:pPr>
              <w:pStyle w:val="24"/>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建设内容</w:t>
            </w:r>
          </w:p>
        </w:tc>
        <w:tc>
          <w:tcPr>
            <w:tcW w:w="8527" w:type="dxa"/>
          </w:tcPr>
          <w:p>
            <w:pPr>
              <w:adjustRightInd w:val="0"/>
              <w:snapToGrid w:val="0"/>
              <w:spacing w:line="520" w:lineRule="exact"/>
              <w:ind w:firstLine="482" w:firstLineChars="200"/>
              <w:rPr>
                <w:b/>
                <w:color w:val="auto"/>
                <w:sz w:val="24"/>
              </w:rPr>
            </w:pPr>
            <w:r>
              <w:rPr>
                <w:rFonts w:hint="eastAsia"/>
                <w:b/>
                <w:color w:val="auto"/>
                <w:sz w:val="24"/>
              </w:rPr>
              <w:t>1、项目背景</w:t>
            </w:r>
          </w:p>
          <w:p>
            <w:pPr>
              <w:widowControl/>
              <w:spacing w:line="520" w:lineRule="exact"/>
              <w:ind w:firstLine="480" w:firstLineChars="200"/>
              <w:rPr>
                <w:color w:val="auto"/>
                <w:kern w:val="0"/>
                <w:sz w:val="24"/>
              </w:rPr>
            </w:pPr>
            <w:r>
              <w:rPr>
                <w:bCs/>
                <w:color w:val="auto"/>
                <w:sz w:val="24"/>
              </w:rPr>
              <w:t>新疆天宝混装炸药制造有限公司吉木萨尔分公司</w:t>
            </w:r>
            <w:r>
              <w:rPr>
                <w:rFonts w:hint="eastAsia"/>
                <w:bCs/>
                <w:color w:val="auto"/>
                <w:sz w:val="24"/>
              </w:rPr>
              <w:t>于2013年在新疆宝明矿业有限公司油页岩矿区首采区北面，在吉木萨尔县城西南方向，直线距离约9km建设了一套现场混装多孔粒状铵油炸药生产系统（年生产许可能力5000t），于2013年4月24日取得原新疆维吾尔自治区环境保护厅《关于多孔粒状铵油炸药地面站（新疆吉木萨尔）建设项目环境影响报告书的批复》（新环评价函〔2013〕312号），于2014年11月21日通过原新疆维吾尔自治区环境保护厅验收并取得《关于多孔粒状铵油炸药地面站（新疆吉木萨尔）建设项目竣工环境保护验收意见的函》（新环函〔2014〕1327号）。随着在宝明矿业技改工程建设完成后，其矿石年处理能力由原来的1500万吨提高到4000万吨，因此炸药需求量也将大大增加，则原有的混装炸药生产许可能力远远不能满足其生产需要，于2019年扩建产能至7200t，2019年9月16日取得昌吉回族自治州生态环境局发布的扩建项目批复《关于多孔粒状铵油炸药地面站（新疆吉木萨尔）地面站扩能项目环境影响报告表的批复》（昌州环评〔2019〕98号），于2020年10月19日通过自主验收并取得《多孔粒状铵油炸药地面站（新疆吉木萨尔）地面站扩能项目竣工环境保护验收意见》。由于宝明矿业矿区规划调整，2022年将原本位于新疆宝明矿业有限公司油页岩矿区首采区北面的现场混装多孔粒状铵油炸药生产系统迁（生产能力为7200t）至吉木萨尔县庆阳湖乡水溪沟（现场混装多孔粒状铵油炸药生产系统及危险品储存库区搬迁改造项目），产能工艺不变</w:t>
            </w:r>
            <w:r>
              <w:rPr>
                <w:rFonts w:hint="eastAsia"/>
                <w:color w:val="auto"/>
                <w:sz w:val="24"/>
              </w:rPr>
              <w:t>，在位于</w:t>
            </w:r>
            <w:r>
              <w:rPr>
                <w:rFonts w:hint="eastAsia"/>
                <w:bCs/>
                <w:color w:val="auto"/>
                <w:sz w:val="24"/>
              </w:rPr>
              <w:t>吉木萨尔县庆阳湖乡水溪沟的新厂区内</w:t>
            </w:r>
            <w:r>
              <w:rPr>
                <w:rFonts w:hint="eastAsia"/>
                <w:color w:val="auto"/>
                <w:sz w:val="24"/>
              </w:rPr>
              <w:t>新建现场混装多孔粒状铵油炸药生产系统区及其配套</w:t>
            </w:r>
            <w:r>
              <w:rPr>
                <w:rFonts w:hint="eastAsia"/>
                <w:color w:val="auto"/>
                <w:sz w:val="24"/>
                <w:lang w:val="en-US" w:eastAsia="zh-CN"/>
              </w:rPr>
              <w:t>设</w:t>
            </w:r>
            <w:r>
              <w:rPr>
                <w:rFonts w:hint="eastAsia"/>
                <w:color w:val="auto"/>
                <w:sz w:val="24"/>
              </w:rPr>
              <w:t>施和危险品储存库区。该项目于</w:t>
            </w:r>
            <w:r>
              <w:rPr>
                <w:rFonts w:hint="eastAsia"/>
                <w:color w:val="auto"/>
                <w:kern w:val="0"/>
                <w:sz w:val="24"/>
              </w:rPr>
              <w:t>2</w:t>
            </w:r>
            <w:r>
              <w:rPr>
                <w:color w:val="auto"/>
                <w:kern w:val="0"/>
                <w:sz w:val="24"/>
              </w:rPr>
              <w:t>0</w:t>
            </w:r>
            <w:r>
              <w:rPr>
                <w:rFonts w:hint="eastAsia"/>
                <w:color w:val="auto"/>
                <w:kern w:val="0"/>
                <w:sz w:val="24"/>
              </w:rPr>
              <w:t>22</w:t>
            </w:r>
            <w:r>
              <w:rPr>
                <w:color w:val="auto"/>
                <w:kern w:val="0"/>
                <w:sz w:val="24"/>
              </w:rPr>
              <w:t>年</w:t>
            </w:r>
            <w:r>
              <w:rPr>
                <w:rFonts w:hint="eastAsia"/>
                <w:color w:val="auto"/>
                <w:kern w:val="0"/>
                <w:sz w:val="24"/>
              </w:rPr>
              <w:t>5</w:t>
            </w:r>
            <w:r>
              <w:rPr>
                <w:color w:val="auto"/>
                <w:kern w:val="0"/>
                <w:sz w:val="24"/>
              </w:rPr>
              <w:t>月</w:t>
            </w:r>
            <w:r>
              <w:rPr>
                <w:rFonts w:hint="eastAsia"/>
                <w:color w:val="auto"/>
                <w:kern w:val="0"/>
                <w:sz w:val="24"/>
              </w:rPr>
              <w:t>24</w:t>
            </w:r>
            <w:r>
              <w:rPr>
                <w:color w:val="auto"/>
                <w:kern w:val="0"/>
                <w:sz w:val="24"/>
              </w:rPr>
              <w:t>日</w:t>
            </w:r>
            <w:r>
              <w:rPr>
                <w:rFonts w:hint="eastAsia"/>
                <w:color w:val="auto"/>
                <w:kern w:val="0"/>
                <w:sz w:val="24"/>
              </w:rPr>
              <w:t>由昌吉回族自治州生态环境局以“昌州环评</w:t>
            </w:r>
            <w:r>
              <w:rPr>
                <w:rFonts w:hint="eastAsia" w:ascii="宋体" w:hAnsi="宋体"/>
                <w:color w:val="auto"/>
                <w:kern w:val="0"/>
                <w:sz w:val="24"/>
              </w:rPr>
              <w:t>﹝</w:t>
            </w:r>
            <w:r>
              <w:rPr>
                <w:rFonts w:hint="eastAsia"/>
                <w:color w:val="auto"/>
                <w:kern w:val="0"/>
                <w:sz w:val="24"/>
              </w:rPr>
              <w:t>2022</w:t>
            </w:r>
            <w:r>
              <w:rPr>
                <w:rFonts w:hint="eastAsia" w:ascii="宋体" w:hAnsi="宋体"/>
                <w:color w:val="auto"/>
                <w:kern w:val="0"/>
                <w:sz w:val="24"/>
              </w:rPr>
              <w:t>﹞</w:t>
            </w:r>
            <w:r>
              <w:rPr>
                <w:rFonts w:hint="eastAsia"/>
                <w:color w:val="auto"/>
                <w:kern w:val="0"/>
                <w:sz w:val="24"/>
              </w:rPr>
              <w:t>81</w:t>
            </w:r>
            <w:r>
              <w:rPr>
                <w:color w:val="auto"/>
                <w:kern w:val="0"/>
                <w:sz w:val="24"/>
              </w:rPr>
              <w:t>号</w:t>
            </w:r>
            <w:r>
              <w:rPr>
                <w:rFonts w:hint="eastAsia"/>
                <w:color w:val="auto"/>
                <w:kern w:val="0"/>
                <w:sz w:val="24"/>
              </w:rPr>
              <w:t>”批复通过。</w:t>
            </w:r>
          </w:p>
          <w:p>
            <w:pPr>
              <w:pStyle w:val="47"/>
              <w:widowControl/>
              <w:spacing w:line="520" w:lineRule="exact"/>
              <w:ind w:firstLine="480" w:firstLineChars="200"/>
              <w:jc w:val="both"/>
              <w:rPr>
                <w:rFonts w:ascii="Times New Roman" w:hAnsi="Times New Roman" w:eastAsia="新宋体"/>
                <w:color w:val="auto"/>
                <w:kern w:val="0"/>
                <w:sz w:val="24"/>
                <w:szCs w:val="24"/>
              </w:rPr>
            </w:pPr>
            <w:r>
              <w:rPr>
                <w:rFonts w:hint="eastAsia" w:ascii="Times New Roman" w:hAnsi="Times New Roman" w:eastAsia="新宋体"/>
                <w:color w:val="auto"/>
                <w:kern w:val="0"/>
                <w:sz w:val="24"/>
                <w:szCs w:val="24"/>
              </w:rPr>
              <w:t>2022年4月29日，昌吉</w:t>
            </w:r>
            <w:r>
              <w:rPr>
                <w:rFonts w:ascii="Times New Roman" w:hAnsi="Times New Roman" w:eastAsia="新宋体"/>
                <w:color w:val="auto"/>
                <w:kern w:val="0"/>
                <w:sz w:val="24"/>
                <w:szCs w:val="24"/>
              </w:rPr>
              <w:t>天宝混装炸药制造有限公司</w:t>
            </w:r>
            <w:r>
              <w:rPr>
                <w:rFonts w:hint="eastAsia" w:ascii="Times New Roman" w:hAnsi="Times New Roman"/>
                <w:color w:val="auto"/>
                <w:kern w:val="0"/>
                <w:sz w:val="24"/>
                <w:szCs w:val="24"/>
              </w:rPr>
              <w:t>注册</w:t>
            </w:r>
            <w:r>
              <w:rPr>
                <w:rFonts w:hint="eastAsia" w:ascii="Times New Roman" w:hAnsi="Times New Roman" w:eastAsia="新宋体"/>
                <w:color w:val="auto"/>
                <w:kern w:val="0"/>
                <w:sz w:val="24"/>
                <w:szCs w:val="24"/>
              </w:rPr>
              <w:t>成立</w:t>
            </w:r>
            <w:r>
              <w:rPr>
                <w:rFonts w:hint="eastAsia"/>
                <w:bCs/>
                <w:color w:val="auto"/>
                <w:sz w:val="24"/>
                <w:szCs w:val="24"/>
              </w:rPr>
              <w:t>。</w:t>
            </w:r>
          </w:p>
          <w:p>
            <w:pPr>
              <w:widowControl/>
              <w:spacing w:line="520" w:lineRule="exact"/>
              <w:ind w:firstLine="480" w:firstLineChars="200"/>
              <w:rPr>
                <w:color w:val="auto"/>
                <w:sz w:val="24"/>
                <w:highlight w:val="yellow"/>
              </w:rPr>
            </w:pPr>
            <w:r>
              <w:rPr>
                <w:color w:val="auto"/>
                <w:sz w:val="24"/>
              </w:rPr>
              <w:t>根据工业和信息化部安全生产司《关于调整湖北凯龙化工集团股份有限公司等3家企业民用爆炸物品生产许可能力的复函》</w:t>
            </w:r>
            <w:r>
              <w:rPr>
                <w:rFonts w:hint="eastAsia"/>
                <w:color w:val="auto"/>
                <w:sz w:val="24"/>
              </w:rPr>
              <w:t>“</w:t>
            </w:r>
            <w:r>
              <w:rPr>
                <w:color w:val="auto"/>
                <w:sz w:val="24"/>
              </w:rPr>
              <w:t>工安全函</w:t>
            </w:r>
            <w:r>
              <w:rPr>
                <w:color w:val="auto"/>
                <w:kern w:val="0"/>
                <w:sz w:val="24"/>
              </w:rPr>
              <w:t>﹝2022﹞133号文</w:t>
            </w:r>
            <w:r>
              <w:rPr>
                <w:rFonts w:hint="eastAsia"/>
                <w:color w:val="auto"/>
                <w:sz w:val="24"/>
              </w:rPr>
              <w:t>”</w:t>
            </w:r>
            <w:r>
              <w:rPr>
                <w:color w:val="auto"/>
                <w:sz w:val="24"/>
              </w:rPr>
              <w:t>，</w:t>
            </w:r>
            <w:r>
              <w:rPr>
                <w:rFonts w:hint="eastAsia"/>
                <w:color w:val="auto"/>
                <w:sz w:val="24"/>
                <w:lang w:val="en-US" w:eastAsia="zh-CN"/>
              </w:rPr>
              <w:t>将</w:t>
            </w:r>
            <w:r>
              <w:rPr>
                <w:color w:val="auto"/>
                <w:sz w:val="24"/>
              </w:rPr>
              <w:t>新疆维吾尔自治区昌吉州吉木萨尔县生产点现场混装多孔粒状铵油炸药生产许可能力由年产7200吨调整为年产16200吨，现场混装车由4台增加至8台</w:t>
            </w:r>
            <w:r>
              <w:rPr>
                <w:rFonts w:hint="eastAsia"/>
                <w:color w:val="auto"/>
                <w:sz w:val="24"/>
              </w:rPr>
              <w:t>。此时</w:t>
            </w:r>
            <w:r>
              <w:rPr>
                <w:rFonts w:hint="eastAsia"/>
                <w:color w:val="auto"/>
                <w:kern w:val="0"/>
                <w:sz w:val="24"/>
              </w:rPr>
              <w:t>迁建项目尚在建设期间</w:t>
            </w:r>
            <w:r>
              <w:rPr>
                <w:rFonts w:hint="eastAsia"/>
                <w:color w:val="auto"/>
                <w:sz w:val="24"/>
              </w:rPr>
              <w:t>，</w:t>
            </w:r>
            <w:r>
              <w:rPr>
                <w:rFonts w:hint="eastAsia"/>
                <w:color w:val="auto"/>
                <w:kern w:val="0"/>
                <w:sz w:val="24"/>
              </w:rPr>
              <w:t>且因业务扩展，故将原有地面站</w:t>
            </w:r>
            <w:r>
              <w:rPr>
                <w:color w:val="auto"/>
                <w:sz w:val="24"/>
              </w:rPr>
              <w:t>现场混装多孔粒状铵油炸药生产许可能力由年产7200吨调整为年产16200吨，现场混装车由4台增加至8台</w:t>
            </w:r>
            <w:r>
              <w:rPr>
                <w:rFonts w:hint="eastAsia"/>
                <w:color w:val="auto"/>
                <w:sz w:val="24"/>
              </w:rPr>
              <w:t>。该项目于2023年1月12日</w:t>
            </w:r>
            <w:r>
              <w:rPr>
                <w:rFonts w:hint="eastAsia"/>
                <w:color w:val="auto"/>
                <w:kern w:val="0"/>
                <w:sz w:val="24"/>
              </w:rPr>
              <w:t>由昌吉回族自治州生态环境局以“昌州环评</w:t>
            </w:r>
            <w:r>
              <w:rPr>
                <w:rFonts w:hint="eastAsia" w:ascii="宋体" w:hAnsi="宋体"/>
                <w:color w:val="auto"/>
                <w:kern w:val="0"/>
                <w:sz w:val="24"/>
              </w:rPr>
              <w:t>﹝</w:t>
            </w:r>
            <w:r>
              <w:rPr>
                <w:rFonts w:hint="eastAsia"/>
                <w:color w:val="auto"/>
                <w:kern w:val="0"/>
                <w:sz w:val="24"/>
              </w:rPr>
              <w:t>2023</w:t>
            </w:r>
            <w:r>
              <w:rPr>
                <w:rFonts w:hint="eastAsia" w:ascii="宋体" w:hAnsi="宋体"/>
                <w:color w:val="auto"/>
                <w:kern w:val="0"/>
                <w:sz w:val="24"/>
              </w:rPr>
              <w:t>﹞</w:t>
            </w:r>
            <w:r>
              <w:rPr>
                <w:rFonts w:hint="eastAsia"/>
                <w:color w:val="auto"/>
                <w:kern w:val="0"/>
                <w:sz w:val="24"/>
              </w:rPr>
              <w:t>2</w:t>
            </w:r>
            <w:r>
              <w:rPr>
                <w:color w:val="auto"/>
                <w:kern w:val="0"/>
                <w:sz w:val="24"/>
              </w:rPr>
              <w:t>号</w:t>
            </w:r>
            <w:r>
              <w:rPr>
                <w:rFonts w:hint="eastAsia"/>
                <w:color w:val="auto"/>
                <w:kern w:val="0"/>
                <w:sz w:val="24"/>
              </w:rPr>
              <w:t>”批复通过</w:t>
            </w:r>
            <w:r>
              <w:rPr>
                <w:rFonts w:hint="eastAsia"/>
                <w:color w:val="auto"/>
                <w:sz w:val="24"/>
              </w:rPr>
              <w:t>并于2023年4月19日完成了该扩能项目竣工环境保护验收工作。</w:t>
            </w:r>
          </w:p>
          <w:p>
            <w:pPr>
              <w:widowControl/>
              <w:spacing w:line="520" w:lineRule="exact"/>
              <w:ind w:firstLine="480" w:firstLineChars="200"/>
              <w:rPr>
                <w:color w:val="auto"/>
                <w:sz w:val="24"/>
              </w:rPr>
            </w:pPr>
            <w:r>
              <w:rPr>
                <w:rFonts w:hint="eastAsia"/>
                <w:bCs/>
                <w:color w:val="auto"/>
                <w:sz w:val="24"/>
              </w:rPr>
              <w:t>现场混装多孔粒状铵油炸药生产系统及危险品储存库区搬迁改造项目（生产能力720</w:t>
            </w:r>
            <w:r>
              <w:rPr>
                <w:rFonts w:hint="eastAsia"/>
                <w:color w:val="auto"/>
                <w:sz w:val="24"/>
              </w:rPr>
              <w:t>0吨）于2024年1月通过项目竣工环境保护验收工作。</w:t>
            </w:r>
          </w:p>
          <w:p>
            <w:pPr>
              <w:widowControl/>
              <w:spacing w:line="520" w:lineRule="exact"/>
              <w:ind w:firstLine="480" w:firstLineChars="200"/>
              <w:rPr>
                <w:color w:val="auto"/>
                <w:sz w:val="24"/>
              </w:rPr>
            </w:pPr>
            <w:r>
              <w:rPr>
                <w:rFonts w:hint="eastAsia"/>
                <w:color w:val="auto"/>
                <w:sz w:val="24"/>
              </w:rPr>
              <w:t>随着位于吉木萨尔县庆阳湖乡水溪沟厂区的建设，原位于新疆宝明矿业有限公司油页岩矿区首采区北面的厂区拆除，扩能项目（生产能力由7200吨扩为16200吨，</w:t>
            </w:r>
            <w:r>
              <w:rPr>
                <w:rFonts w:hint="eastAsia"/>
                <w:color w:val="auto"/>
                <w:sz w:val="24"/>
                <w:lang w:val="en-US" w:eastAsia="zh-CN"/>
              </w:rPr>
              <w:t>增加配套</w:t>
            </w:r>
            <w:r>
              <w:rPr>
                <w:rFonts w:hint="eastAsia"/>
                <w:color w:val="auto"/>
                <w:sz w:val="24"/>
              </w:rPr>
              <w:t>现场混装车4台）也已搬迁至吉木萨尔县庆阳湖乡水溪沟厂区。</w:t>
            </w:r>
          </w:p>
          <w:p>
            <w:pPr>
              <w:widowControl/>
              <w:spacing w:line="520" w:lineRule="exact"/>
              <w:ind w:firstLine="480" w:firstLineChars="200"/>
              <w:rPr>
                <w:rFonts w:ascii="宋体" w:hAnsi="宋体" w:cs="宋体"/>
                <w:color w:val="auto"/>
                <w:sz w:val="24"/>
              </w:rPr>
            </w:pPr>
            <w:r>
              <w:rPr>
                <w:rFonts w:hint="eastAsia"/>
                <w:color w:val="auto"/>
                <w:sz w:val="24"/>
              </w:rPr>
              <w:t>依据《工业和信息化安全生产司关于调整湖北凯龙化工集团股份有限公司民用爆炸物品生产</w:t>
            </w:r>
            <w:r>
              <w:rPr>
                <w:color w:val="auto"/>
                <w:sz w:val="24"/>
              </w:rPr>
              <w:t>许可能力的复函》工安全函﹝2024﹞66号，同意湖北凯龙化工集团股份有限公司将湖北省荆门市生产点年产10000吨多孔粒状铵油炸药</w:t>
            </w:r>
            <w:r>
              <w:rPr>
                <w:rFonts w:hint="eastAsia"/>
                <w:color w:val="auto"/>
                <w:sz w:val="24"/>
                <w:lang w:eastAsia="zh-CN"/>
              </w:rPr>
              <w:t>（</w:t>
            </w:r>
            <w:r>
              <w:rPr>
                <w:color w:val="auto"/>
                <w:sz w:val="24"/>
              </w:rPr>
              <w:t>混装</w:t>
            </w:r>
            <w:r>
              <w:rPr>
                <w:rFonts w:hint="eastAsia"/>
                <w:color w:val="auto"/>
                <w:sz w:val="24"/>
                <w:lang w:eastAsia="zh-CN"/>
              </w:rPr>
              <w:t>）</w:t>
            </w:r>
            <w:r>
              <w:rPr>
                <w:color w:val="auto"/>
                <w:sz w:val="24"/>
              </w:rPr>
              <w:t>生产许可能力中的9800吨调整至新疆吉木萨尔县生产点</w:t>
            </w:r>
            <w:r>
              <w:rPr>
                <w:rFonts w:hint="eastAsia"/>
                <w:color w:val="auto"/>
                <w:sz w:val="24"/>
                <w:lang w:eastAsia="zh-CN"/>
              </w:rPr>
              <w:t>（</w:t>
            </w:r>
            <w:r>
              <w:rPr>
                <w:color w:val="auto"/>
                <w:sz w:val="24"/>
              </w:rPr>
              <w:t>昌吉天宝混装炸药制造有限公司</w:t>
            </w:r>
            <w:r>
              <w:rPr>
                <w:rFonts w:hint="eastAsia"/>
                <w:color w:val="auto"/>
                <w:sz w:val="24"/>
                <w:lang w:eastAsia="zh-CN"/>
              </w:rPr>
              <w:t>）</w:t>
            </w:r>
            <w:r>
              <w:rPr>
                <w:color w:val="auto"/>
                <w:sz w:val="24"/>
              </w:rPr>
              <w:t>，使该生产点多孔粒状铵油炸药</w:t>
            </w:r>
            <w:r>
              <w:rPr>
                <w:rFonts w:hint="eastAsia"/>
                <w:color w:val="auto"/>
                <w:sz w:val="24"/>
                <w:lang w:eastAsia="zh-CN"/>
              </w:rPr>
              <w:t>（</w:t>
            </w:r>
            <w:r>
              <w:rPr>
                <w:color w:val="auto"/>
                <w:sz w:val="24"/>
              </w:rPr>
              <w:t>混装</w:t>
            </w:r>
            <w:r>
              <w:rPr>
                <w:rFonts w:hint="eastAsia"/>
                <w:color w:val="auto"/>
                <w:sz w:val="24"/>
                <w:lang w:eastAsia="zh-CN"/>
              </w:rPr>
              <w:t>）</w:t>
            </w:r>
            <w:r>
              <w:rPr>
                <w:color w:val="auto"/>
                <w:sz w:val="24"/>
              </w:rPr>
              <w:t>的年生产能力由16200吨调整到26000吨</w:t>
            </w:r>
            <w:r>
              <w:rPr>
                <w:rFonts w:hint="eastAsia"/>
                <w:color w:val="auto"/>
                <w:sz w:val="24"/>
                <w:lang w:eastAsia="zh-CN"/>
              </w:rPr>
              <w:t>（</w:t>
            </w:r>
            <w:r>
              <w:rPr>
                <w:color w:val="auto"/>
                <w:sz w:val="24"/>
              </w:rPr>
              <w:t>现场混装车14台</w:t>
            </w:r>
            <w:r>
              <w:rPr>
                <w:rFonts w:hint="eastAsia"/>
                <w:color w:val="auto"/>
                <w:sz w:val="24"/>
                <w:lang w:eastAsia="zh-CN"/>
              </w:rPr>
              <w:t>）</w:t>
            </w:r>
            <w:r>
              <w:rPr>
                <w:color w:val="auto"/>
                <w:sz w:val="24"/>
              </w:rPr>
              <w:t>。</w:t>
            </w:r>
          </w:p>
          <w:p>
            <w:pPr>
              <w:pStyle w:val="37"/>
              <w:spacing w:line="520" w:lineRule="exact"/>
              <w:ind w:firstLine="482" w:firstLineChars="200"/>
              <w:rPr>
                <w:rFonts w:ascii="Times New Roman"/>
                <w:b/>
                <w:bCs/>
                <w:color w:val="auto"/>
                <w:highlight w:val="yellow"/>
              </w:rPr>
            </w:pPr>
            <w:r>
              <w:rPr>
                <w:rFonts w:hint="eastAsia"/>
                <w:b/>
                <w:bCs/>
                <w:color w:val="auto"/>
              </w:rPr>
              <w:t>由于扩能搬迁项目（</w:t>
            </w:r>
            <w:r>
              <w:rPr>
                <w:rFonts w:hint="eastAsia" w:ascii="Times New Roman"/>
                <w:b/>
                <w:bCs/>
                <w:color w:val="auto"/>
              </w:rPr>
              <w:t>生产能力由7200吨扩为16200吨，增加现场混装车4台</w:t>
            </w:r>
            <w:r>
              <w:rPr>
                <w:rFonts w:hint="eastAsia"/>
                <w:b/>
                <w:bCs/>
                <w:color w:val="auto"/>
              </w:rPr>
              <w:t>）未办理环评及验收等手续，本次将扩能搬迁项目（</w:t>
            </w:r>
            <w:r>
              <w:rPr>
                <w:rFonts w:hint="eastAsia" w:ascii="Times New Roman"/>
                <w:b/>
                <w:bCs/>
                <w:color w:val="auto"/>
              </w:rPr>
              <w:t>生产能力由7200吨扩为16200吨，</w:t>
            </w:r>
            <w:r>
              <w:rPr>
                <w:rFonts w:hint="eastAsia" w:ascii="Times New Roman"/>
                <w:b/>
                <w:bCs/>
                <w:color w:val="auto"/>
                <w:lang w:val="en-US" w:eastAsia="zh-CN"/>
              </w:rPr>
              <w:t>增加</w:t>
            </w:r>
            <w:r>
              <w:rPr>
                <w:rFonts w:hint="eastAsia" w:ascii="Times New Roman"/>
                <w:b/>
                <w:bCs/>
                <w:color w:val="auto"/>
              </w:rPr>
              <w:t>配套现场混装车4台</w:t>
            </w:r>
            <w:r>
              <w:rPr>
                <w:rFonts w:hint="eastAsia"/>
                <w:b/>
                <w:bCs/>
                <w:color w:val="auto"/>
              </w:rPr>
              <w:t>）纳入评价范围</w:t>
            </w:r>
            <w:r>
              <w:rPr>
                <w:rFonts w:hint="eastAsia" w:ascii="Times New Roman"/>
                <w:b/>
                <w:bCs/>
                <w:color w:val="auto"/>
              </w:rPr>
              <w:t>，并新增6台现场混装车，即扩能后昌吉天宝混装炸药制造有限公司全厂产能由原来的7200</w:t>
            </w:r>
            <w:r>
              <w:rPr>
                <w:rFonts w:ascii="Times New Roman"/>
                <w:b/>
                <w:bCs/>
                <w:color w:val="auto"/>
              </w:rPr>
              <w:t>吨/年调整为</w:t>
            </w:r>
            <w:r>
              <w:rPr>
                <w:rFonts w:hint="eastAsia" w:ascii="Times New Roman"/>
                <w:b/>
                <w:bCs/>
                <w:color w:val="auto"/>
              </w:rPr>
              <w:t>260</w:t>
            </w:r>
            <w:r>
              <w:rPr>
                <w:rFonts w:ascii="Times New Roman"/>
                <w:b/>
                <w:bCs/>
                <w:color w:val="auto"/>
              </w:rPr>
              <w:t>00吨/年，</w:t>
            </w:r>
            <w:r>
              <w:rPr>
                <w:rFonts w:hint="eastAsia" w:ascii="Times New Roman"/>
                <w:b/>
                <w:bCs/>
                <w:color w:val="auto"/>
              </w:rPr>
              <w:t>增加混装车10台，厂区现场混装车共计14台，</w:t>
            </w:r>
            <w:r>
              <w:rPr>
                <w:rFonts w:ascii="Times New Roman"/>
                <w:b/>
                <w:bCs/>
                <w:color w:val="auto"/>
              </w:rPr>
              <w:t>项目生产设施及辅助设施均依托现有</w:t>
            </w:r>
            <w:r>
              <w:rPr>
                <w:rFonts w:hint="eastAsia" w:ascii="Times New Roman"/>
                <w:b/>
                <w:bCs/>
                <w:color w:val="auto"/>
              </w:rPr>
              <w:t>工程已建</w:t>
            </w:r>
            <w:r>
              <w:rPr>
                <w:rFonts w:ascii="Times New Roman"/>
                <w:b/>
                <w:bCs/>
                <w:color w:val="auto"/>
              </w:rPr>
              <w:t>设施</w:t>
            </w:r>
            <w:r>
              <w:rPr>
                <w:rFonts w:hint="eastAsia" w:ascii="Times New Roman"/>
                <w:b/>
                <w:bCs/>
                <w:color w:val="auto"/>
                <w:highlight w:val="none"/>
                <w:lang w:eastAsia="zh-CN"/>
              </w:rPr>
              <w:t>，</w:t>
            </w:r>
            <w:r>
              <w:rPr>
                <w:rFonts w:hint="eastAsia" w:ascii="Times New Roman"/>
                <w:b/>
                <w:bCs/>
                <w:color w:val="auto"/>
                <w:highlight w:val="none"/>
                <w:lang w:val="en-US" w:eastAsia="zh-CN"/>
              </w:rPr>
              <w:t>并</w:t>
            </w:r>
            <w:r>
              <w:rPr>
                <w:rFonts w:hint="default" w:ascii="Times New Roman"/>
                <w:b/>
                <w:bCs/>
                <w:color w:val="auto"/>
                <w:highlight w:val="none"/>
              </w:rPr>
              <w:t>新建1座混装车库</w:t>
            </w:r>
            <w:r>
              <w:rPr>
                <w:rFonts w:hint="default" w:ascii="Times New Roman"/>
                <w:b/>
                <w:bCs/>
                <w:color w:val="auto"/>
                <w:highlight w:val="none"/>
                <w:lang w:eastAsia="zh-CN"/>
              </w:rPr>
              <w:t>，</w:t>
            </w:r>
            <w:r>
              <w:rPr>
                <w:rFonts w:hint="eastAsia" w:ascii="Times New Roman"/>
                <w:b/>
                <w:bCs/>
                <w:color w:val="auto"/>
                <w:highlight w:val="none"/>
                <w:lang w:val="en-US" w:eastAsia="zh-CN"/>
              </w:rPr>
              <w:t>同时在</w:t>
            </w:r>
            <w:r>
              <w:rPr>
                <w:rFonts w:hint="eastAsia" w:ascii="Times New Roman"/>
                <w:b/>
                <w:bCs/>
                <w:color w:val="auto"/>
                <w:highlight w:val="none"/>
              </w:rPr>
              <w:t>现有多孔粒状硝酸铵装车工房外墙处新增1套斗式提升机</w:t>
            </w:r>
            <w:r>
              <w:rPr>
                <w:rFonts w:ascii="Times New Roman"/>
                <w:b/>
                <w:bCs/>
                <w:color w:val="auto"/>
                <w:highlight w:val="none"/>
              </w:rPr>
              <w:t>。</w:t>
            </w:r>
          </w:p>
          <w:p>
            <w:pPr>
              <w:adjustRightInd w:val="0"/>
              <w:snapToGrid w:val="0"/>
              <w:spacing w:line="520" w:lineRule="exact"/>
              <w:ind w:firstLine="482" w:firstLineChars="200"/>
              <w:rPr>
                <w:b/>
                <w:color w:val="auto"/>
                <w:sz w:val="24"/>
              </w:rPr>
            </w:pPr>
            <w:r>
              <w:rPr>
                <w:rFonts w:hint="eastAsia"/>
                <w:b/>
                <w:color w:val="auto"/>
                <w:sz w:val="24"/>
              </w:rPr>
              <w:t>2</w:t>
            </w:r>
            <w:r>
              <w:rPr>
                <w:b/>
                <w:color w:val="auto"/>
                <w:sz w:val="24"/>
              </w:rPr>
              <w:t>、项目建设地点及周边环境概况</w:t>
            </w:r>
          </w:p>
          <w:p>
            <w:pPr>
              <w:adjustRightInd w:val="0"/>
              <w:snapToGrid w:val="0"/>
              <w:spacing w:line="520" w:lineRule="exact"/>
              <w:ind w:firstLine="480" w:firstLineChars="200"/>
              <w:rPr>
                <w:color w:val="auto"/>
                <w:sz w:val="24"/>
              </w:rPr>
            </w:pPr>
            <w:r>
              <w:rPr>
                <w:rFonts w:hint="eastAsia"/>
                <w:color w:val="auto"/>
                <w:sz w:val="24"/>
              </w:rPr>
              <w:t>项目位于新疆维吾尔自治区昌吉回族自治州吉木萨尔县庆阳湖乡水溪沟，中心地理坐标为：东经88</w:t>
            </w:r>
            <w:r>
              <w:rPr>
                <w:color w:val="auto"/>
                <w:sz w:val="24"/>
              </w:rPr>
              <w:t>°</w:t>
            </w:r>
            <w:r>
              <w:rPr>
                <w:rFonts w:hint="eastAsia"/>
                <w:color w:val="auto"/>
                <w:sz w:val="24"/>
              </w:rPr>
              <w:t>58</w:t>
            </w:r>
            <w:r>
              <w:rPr>
                <w:color w:val="auto"/>
                <w:sz w:val="24"/>
              </w:rPr>
              <w:t>′</w:t>
            </w:r>
            <w:r>
              <w:rPr>
                <w:rFonts w:hint="eastAsia"/>
                <w:color w:val="auto"/>
                <w:sz w:val="24"/>
              </w:rPr>
              <w:t>22.783</w:t>
            </w:r>
            <w:r>
              <w:rPr>
                <w:color w:val="auto"/>
                <w:sz w:val="24"/>
              </w:rPr>
              <w:t>″，</w:t>
            </w:r>
            <w:r>
              <w:rPr>
                <w:rFonts w:hint="eastAsia"/>
                <w:color w:val="auto"/>
                <w:sz w:val="24"/>
              </w:rPr>
              <w:t>北纬43</w:t>
            </w:r>
            <w:r>
              <w:rPr>
                <w:color w:val="auto"/>
                <w:sz w:val="24"/>
              </w:rPr>
              <w:t>°</w:t>
            </w:r>
            <w:r>
              <w:rPr>
                <w:rFonts w:hint="eastAsia"/>
                <w:color w:val="auto"/>
                <w:sz w:val="24"/>
              </w:rPr>
              <w:t>59</w:t>
            </w:r>
            <w:r>
              <w:rPr>
                <w:color w:val="auto"/>
                <w:sz w:val="24"/>
              </w:rPr>
              <w:t>′</w:t>
            </w:r>
            <w:r>
              <w:rPr>
                <w:rFonts w:hint="eastAsia"/>
                <w:color w:val="auto"/>
                <w:sz w:val="24"/>
              </w:rPr>
              <w:t>14.042</w:t>
            </w:r>
            <w:r>
              <w:rPr>
                <w:color w:val="auto"/>
                <w:sz w:val="24"/>
              </w:rPr>
              <w:t>″</w:t>
            </w:r>
            <w:r>
              <w:rPr>
                <w:rFonts w:hint="eastAsia"/>
                <w:color w:val="auto"/>
                <w:sz w:val="24"/>
              </w:rPr>
              <w:t>。东</w:t>
            </w:r>
            <w:r>
              <w:rPr>
                <w:rFonts w:hint="eastAsia"/>
                <w:color w:val="auto"/>
                <w:sz w:val="24"/>
                <w:lang w:val="en-US" w:eastAsia="zh-CN"/>
              </w:rPr>
              <w:t>侧</w:t>
            </w:r>
            <w:r>
              <w:rPr>
                <w:rFonts w:hint="eastAsia"/>
                <w:color w:val="auto"/>
                <w:sz w:val="24"/>
              </w:rPr>
              <w:t>、北</w:t>
            </w:r>
            <w:r>
              <w:rPr>
                <w:rFonts w:hint="eastAsia"/>
                <w:color w:val="auto"/>
                <w:sz w:val="24"/>
                <w:lang w:val="en-US" w:eastAsia="zh-CN"/>
              </w:rPr>
              <w:t>侧</w:t>
            </w:r>
            <w:r>
              <w:rPr>
                <w:rFonts w:hint="eastAsia"/>
                <w:color w:val="auto"/>
                <w:sz w:val="24"/>
              </w:rPr>
              <w:t>为空地，西侧、南侧为废弃房屋。本项目用地为工业用地，项目地理位置详见附图1，项目区卫星图详见附图2。</w:t>
            </w:r>
          </w:p>
          <w:p>
            <w:pPr>
              <w:adjustRightInd w:val="0"/>
              <w:snapToGrid w:val="0"/>
              <w:spacing w:line="520" w:lineRule="exact"/>
              <w:ind w:firstLine="482" w:firstLineChars="200"/>
              <w:rPr>
                <w:b/>
                <w:color w:val="auto"/>
                <w:sz w:val="24"/>
              </w:rPr>
            </w:pPr>
            <w:r>
              <w:rPr>
                <w:rFonts w:hint="eastAsia"/>
                <w:b/>
                <w:color w:val="auto"/>
                <w:sz w:val="24"/>
              </w:rPr>
              <w:t>3</w:t>
            </w:r>
            <w:r>
              <w:rPr>
                <w:b/>
                <w:color w:val="auto"/>
                <w:sz w:val="24"/>
              </w:rPr>
              <w:t>、项目建设内容</w:t>
            </w:r>
          </w:p>
          <w:p>
            <w:pPr>
              <w:pStyle w:val="37"/>
              <w:spacing w:line="520" w:lineRule="exact"/>
              <w:ind w:firstLine="480" w:firstLineChars="200"/>
              <w:rPr>
                <w:rFonts w:ascii="Times New Roman"/>
                <w:color w:val="auto"/>
              </w:rPr>
            </w:pPr>
            <w:r>
              <w:rPr>
                <w:color w:val="auto"/>
              </w:rPr>
              <w:t>项</w:t>
            </w:r>
            <w:r>
              <w:rPr>
                <w:rFonts w:hint="default" w:ascii="Times New Roman" w:hAnsi="Times New Roman" w:cs="Times New Roman"/>
                <w:color w:val="auto"/>
              </w:rPr>
              <w:t>目建设内容为</w:t>
            </w:r>
            <w:r>
              <w:rPr>
                <w:rFonts w:hint="default" w:ascii="Times New Roman" w:hAnsi="Times New Roman" w:cs="Times New Roman"/>
                <w:color w:val="auto"/>
                <w:lang w:val="en-US" w:eastAsia="zh-CN"/>
              </w:rPr>
              <w:t>在</w:t>
            </w:r>
            <w:r>
              <w:rPr>
                <w:rFonts w:hint="default" w:ascii="Times New Roman" w:hAnsi="Times New Roman" w:cs="Times New Roman"/>
                <w:color w:val="auto"/>
              </w:rPr>
              <w:t>现有洗车台的东侧新建1座混装车库</w:t>
            </w:r>
            <w:r>
              <w:rPr>
                <w:rFonts w:hint="default" w:ascii="Times New Roman" w:hAnsi="Times New Roman" w:cs="Times New Roman"/>
                <w:color w:val="auto"/>
                <w:lang w:eastAsia="zh-CN"/>
              </w:rPr>
              <w:t>，</w:t>
            </w:r>
            <w:r>
              <w:rPr>
                <w:color w:val="auto"/>
              </w:rPr>
              <w:t>现有多孔粒状硝酸铵装车工房外墙处新增1套斗式提升机</w:t>
            </w:r>
            <w:r>
              <w:rPr>
                <w:rFonts w:hint="default" w:ascii="Times New Roman" w:hAnsi="Times New Roman" w:cs="Times New Roman"/>
                <w:color w:val="auto"/>
                <w:lang w:eastAsia="zh-CN"/>
              </w:rPr>
              <w:t>，</w:t>
            </w:r>
            <w:r>
              <w:rPr>
                <w:rFonts w:hint="default" w:ascii="Times New Roman" w:hAnsi="Times New Roman" w:cs="Times New Roman"/>
                <w:bCs/>
                <w:color w:val="auto"/>
              </w:rPr>
              <w:t>新增10台现场混装车，扩能后昌吉天宝混装炸药制造有限公司全厂产能由原来的7200吨/年调整为26000吨/年，硝</w:t>
            </w:r>
            <w:r>
              <w:rPr>
                <w:rFonts w:hint="eastAsia" w:ascii="Times New Roman"/>
                <w:bCs/>
                <w:color w:val="auto"/>
              </w:rPr>
              <w:t>酸铵库、柴油储罐、多孔粒状硝铵上料工房、办公楼等均依托现有工程</w:t>
            </w:r>
            <w:r>
              <w:rPr>
                <w:rFonts w:ascii="Times New Roman"/>
                <w:bCs/>
                <w:color w:val="auto"/>
              </w:rPr>
              <w:t>。</w:t>
            </w:r>
          </w:p>
          <w:p>
            <w:pPr>
              <w:adjustRightInd w:val="0"/>
              <w:snapToGrid w:val="0"/>
              <w:spacing w:line="520" w:lineRule="exact"/>
              <w:ind w:firstLine="480" w:firstLineChars="200"/>
              <w:rPr>
                <w:color w:val="auto"/>
                <w:sz w:val="24"/>
              </w:rPr>
            </w:pPr>
            <w:r>
              <w:rPr>
                <w:color w:val="auto"/>
                <w:sz w:val="24"/>
              </w:rPr>
              <w:t>工程项目组成见表2-1。</w:t>
            </w:r>
          </w:p>
          <w:p>
            <w:pPr>
              <w:pStyle w:val="36"/>
              <w:rPr>
                <w:color w:val="auto"/>
              </w:rPr>
            </w:pPr>
            <w:r>
              <w:rPr>
                <w:color w:val="auto"/>
              </w:rPr>
              <w:t>表2-1  项目建设内容组成一览表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076"/>
              <w:gridCol w:w="5456"/>
              <w:gridCol w:w="14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4" w:type="pct"/>
                  <w:gridSpan w:val="2"/>
                  <w:vAlign w:val="center"/>
                </w:tcPr>
                <w:p>
                  <w:pPr>
                    <w:widowControl/>
                    <w:jc w:val="center"/>
                    <w:rPr>
                      <w:color w:val="auto"/>
                      <w:kern w:val="0"/>
                      <w:szCs w:val="21"/>
                    </w:rPr>
                  </w:pPr>
                  <w:r>
                    <w:rPr>
                      <w:color w:val="auto"/>
                      <w:kern w:val="0"/>
                      <w:szCs w:val="21"/>
                    </w:rPr>
                    <w:t>项目组成</w:t>
                  </w:r>
                </w:p>
              </w:tc>
              <w:tc>
                <w:tcPr>
                  <w:tcW w:w="3249" w:type="pct"/>
                  <w:vAlign w:val="center"/>
                </w:tcPr>
                <w:p>
                  <w:pPr>
                    <w:widowControl/>
                    <w:jc w:val="center"/>
                    <w:rPr>
                      <w:color w:val="auto"/>
                      <w:kern w:val="0"/>
                      <w:szCs w:val="21"/>
                    </w:rPr>
                  </w:pPr>
                  <w:r>
                    <w:rPr>
                      <w:color w:val="auto"/>
                      <w:kern w:val="0"/>
                      <w:szCs w:val="21"/>
                    </w:rPr>
                    <w:t>工程内容及规模</w:t>
                  </w:r>
                </w:p>
              </w:tc>
              <w:tc>
                <w:tcPr>
                  <w:tcW w:w="856" w:type="pct"/>
                  <w:vAlign w:val="center"/>
                </w:tcPr>
                <w:p>
                  <w:pPr>
                    <w:widowControl/>
                    <w:jc w:val="center"/>
                    <w:rPr>
                      <w:color w:val="auto"/>
                      <w:kern w:val="0"/>
                      <w:szCs w:val="21"/>
                    </w:rPr>
                  </w:pPr>
                  <w:r>
                    <w:rPr>
                      <w:rFonts w:hint="eastAsia"/>
                      <w:color w:val="auto"/>
                      <w:kern w:val="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3" w:type="pct"/>
                  <w:vAlign w:val="center"/>
                </w:tcPr>
                <w:p>
                  <w:pPr>
                    <w:widowControl/>
                    <w:jc w:val="center"/>
                    <w:rPr>
                      <w:color w:val="auto"/>
                      <w:kern w:val="0"/>
                      <w:szCs w:val="21"/>
                    </w:rPr>
                  </w:pPr>
                  <w:r>
                    <w:rPr>
                      <w:color w:val="auto"/>
                      <w:kern w:val="0"/>
                      <w:szCs w:val="21"/>
                    </w:rPr>
                    <w:t>主体工程</w:t>
                  </w:r>
                </w:p>
              </w:tc>
              <w:tc>
                <w:tcPr>
                  <w:tcW w:w="640" w:type="pct"/>
                  <w:vAlign w:val="center"/>
                </w:tcPr>
                <w:p>
                  <w:pPr>
                    <w:widowControl/>
                    <w:jc w:val="center"/>
                    <w:rPr>
                      <w:color w:val="auto"/>
                      <w:kern w:val="0"/>
                      <w:szCs w:val="21"/>
                    </w:rPr>
                  </w:pPr>
                  <w:r>
                    <w:rPr>
                      <w:rFonts w:hint="eastAsia"/>
                      <w:color w:val="auto"/>
                      <w:kern w:val="0"/>
                      <w:szCs w:val="21"/>
                    </w:rPr>
                    <w:t>多孔粒状硝酸铵装车工房</w:t>
                  </w:r>
                </w:p>
              </w:tc>
              <w:tc>
                <w:tcPr>
                  <w:tcW w:w="3249" w:type="pct"/>
                  <w:vAlign w:val="center"/>
                </w:tcPr>
                <w:p>
                  <w:pPr>
                    <w:widowControl/>
                    <w:jc w:val="center"/>
                    <w:rPr>
                      <w:color w:val="auto"/>
                      <w:kern w:val="0"/>
                      <w:szCs w:val="21"/>
                    </w:rPr>
                  </w:pPr>
                  <w:r>
                    <w:rPr>
                      <w:rFonts w:hint="eastAsia"/>
                      <w:color w:val="auto"/>
                      <w:kern w:val="0"/>
                      <w:szCs w:val="21"/>
                    </w:rPr>
                    <w:t>位于现场混装炸药生产区占地面积132.6m</w:t>
                  </w:r>
                  <w:r>
                    <w:rPr>
                      <w:rFonts w:hint="eastAsia"/>
                      <w:color w:val="auto"/>
                      <w:kern w:val="0"/>
                      <w:szCs w:val="21"/>
                      <w:vertAlign w:val="superscript"/>
                    </w:rPr>
                    <w:t>2</w:t>
                  </w:r>
                  <w:r>
                    <w:rPr>
                      <w:rFonts w:hint="eastAsia"/>
                      <w:color w:val="auto"/>
                      <w:kern w:val="0"/>
                      <w:szCs w:val="21"/>
                    </w:rPr>
                    <w:t>，砖混结构，多孔粒状硝酸铵在该工房内进行装车工序；</w:t>
                  </w:r>
                </w:p>
              </w:tc>
              <w:tc>
                <w:tcPr>
                  <w:tcW w:w="856" w:type="pct"/>
                  <w:vAlign w:val="center"/>
                </w:tcPr>
                <w:p>
                  <w:pPr>
                    <w:widowControl/>
                    <w:jc w:val="center"/>
                    <w:rPr>
                      <w:color w:val="auto"/>
                      <w:kern w:val="0"/>
                      <w:szCs w:val="21"/>
                    </w:rPr>
                  </w:pPr>
                  <w:r>
                    <w:rPr>
                      <w:rFonts w:hint="eastAsia"/>
                      <w:color w:val="auto"/>
                      <w:kern w:val="0"/>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253" w:type="pct"/>
                  <w:vMerge w:val="restart"/>
                  <w:vAlign w:val="center"/>
                </w:tcPr>
                <w:p>
                  <w:pPr>
                    <w:widowControl/>
                    <w:jc w:val="center"/>
                    <w:rPr>
                      <w:color w:val="auto"/>
                      <w:kern w:val="0"/>
                      <w:szCs w:val="21"/>
                    </w:rPr>
                  </w:pPr>
                  <w:r>
                    <w:rPr>
                      <w:color w:val="auto"/>
                      <w:kern w:val="0"/>
                      <w:szCs w:val="21"/>
                    </w:rPr>
                    <w:t>辅助工程</w:t>
                  </w:r>
                </w:p>
              </w:tc>
              <w:tc>
                <w:tcPr>
                  <w:tcW w:w="640" w:type="pct"/>
                  <w:vAlign w:val="center"/>
                </w:tcPr>
                <w:p>
                  <w:pPr>
                    <w:widowControl/>
                    <w:jc w:val="center"/>
                    <w:rPr>
                      <w:color w:val="auto"/>
                      <w:kern w:val="0"/>
                      <w:szCs w:val="21"/>
                    </w:rPr>
                  </w:pPr>
                  <w:r>
                    <w:rPr>
                      <w:rFonts w:hint="eastAsia"/>
                      <w:color w:val="auto"/>
                      <w:kern w:val="0"/>
                      <w:szCs w:val="21"/>
                    </w:rPr>
                    <w:t>综合楼</w:t>
                  </w:r>
                </w:p>
              </w:tc>
              <w:tc>
                <w:tcPr>
                  <w:tcW w:w="3249" w:type="pct"/>
                  <w:vAlign w:val="center"/>
                </w:tcPr>
                <w:p>
                  <w:pPr>
                    <w:widowControl/>
                    <w:jc w:val="center"/>
                    <w:rPr>
                      <w:rFonts w:eastAsiaTheme="minorEastAsia"/>
                      <w:color w:val="auto"/>
                      <w:kern w:val="0"/>
                      <w:szCs w:val="21"/>
                    </w:rPr>
                  </w:pPr>
                  <w:r>
                    <w:rPr>
                      <w:rFonts w:hint="eastAsia" w:eastAsiaTheme="minorEastAsia"/>
                      <w:color w:val="auto"/>
                      <w:szCs w:val="21"/>
                    </w:rPr>
                    <w:t>占地面积1152m</w:t>
                  </w:r>
                  <w:r>
                    <w:rPr>
                      <w:rFonts w:hint="eastAsia" w:eastAsiaTheme="minorEastAsia"/>
                      <w:color w:val="auto"/>
                      <w:szCs w:val="21"/>
                      <w:vertAlign w:val="superscript"/>
                    </w:rPr>
                    <w:t>2</w:t>
                  </w:r>
                  <w:r>
                    <w:rPr>
                      <w:rFonts w:hint="eastAsia" w:eastAsiaTheme="minorEastAsia"/>
                      <w:color w:val="auto"/>
                      <w:szCs w:val="21"/>
                    </w:rPr>
                    <w:t>，砖混结构，主要用于办公及员工休息；</w:t>
                  </w:r>
                </w:p>
              </w:tc>
              <w:tc>
                <w:tcPr>
                  <w:tcW w:w="856" w:type="pct"/>
                  <w:vAlign w:val="center"/>
                </w:tcPr>
                <w:p>
                  <w:pPr>
                    <w:widowControl/>
                    <w:jc w:val="center"/>
                    <w:rPr>
                      <w:rFonts w:eastAsiaTheme="minorEastAsia"/>
                      <w:color w:val="auto"/>
                      <w:szCs w:val="21"/>
                    </w:rPr>
                  </w:pPr>
                  <w:r>
                    <w:rPr>
                      <w:rFonts w:hint="eastAsia"/>
                      <w:color w:val="auto"/>
                      <w:kern w:val="0"/>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253" w:type="pct"/>
                  <w:vMerge w:val="continue"/>
                  <w:vAlign w:val="center"/>
                </w:tcPr>
                <w:p>
                  <w:pPr>
                    <w:widowControl/>
                    <w:jc w:val="center"/>
                    <w:rPr>
                      <w:color w:val="auto"/>
                    </w:rPr>
                  </w:pPr>
                </w:p>
              </w:tc>
              <w:tc>
                <w:tcPr>
                  <w:tcW w:w="640" w:type="pct"/>
                  <w:vAlign w:val="center"/>
                </w:tcPr>
                <w:p>
                  <w:pPr>
                    <w:widowControl/>
                    <w:jc w:val="center"/>
                    <w:rPr>
                      <w:color w:val="auto"/>
                      <w:kern w:val="0"/>
                      <w:szCs w:val="21"/>
                    </w:rPr>
                  </w:pPr>
                  <w:r>
                    <w:rPr>
                      <w:rFonts w:hint="eastAsia"/>
                      <w:color w:val="auto"/>
                      <w:kern w:val="0"/>
                      <w:szCs w:val="21"/>
                    </w:rPr>
                    <w:t>职工食堂</w:t>
                  </w:r>
                </w:p>
              </w:tc>
              <w:tc>
                <w:tcPr>
                  <w:tcW w:w="3249" w:type="pct"/>
                  <w:vAlign w:val="center"/>
                </w:tcPr>
                <w:p>
                  <w:pPr>
                    <w:widowControl/>
                    <w:jc w:val="center"/>
                    <w:rPr>
                      <w:color w:val="auto"/>
                      <w:kern w:val="0"/>
                      <w:szCs w:val="21"/>
                    </w:rPr>
                  </w:pPr>
                  <w:r>
                    <w:rPr>
                      <w:rFonts w:hint="eastAsia"/>
                      <w:color w:val="auto"/>
                      <w:kern w:val="0"/>
                      <w:szCs w:val="21"/>
                    </w:rPr>
                    <w:t>占地面积567</w:t>
                  </w:r>
                  <w:r>
                    <w:rPr>
                      <w:rFonts w:hint="eastAsia" w:eastAsiaTheme="minorEastAsia"/>
                      <w:color w:val="auto"/>
                      <w:szCs w:val="21"/>
                    </w:rPr>
                    <w:t>m</w:t>
                  </w:r>
                  <w:r>
                    <w:rPr>
                      <w:rFonts w:hint="eastAsia" w:eastAsiaTheme="minorEastAsia"/>
                      <w:color w:val="auto"/>
                      <w:szCs w:val="21"/>
                      <w:vertAlign w:val="superscript"/>
                    </w:rPr>
                    <w:t>2</w:t>
                  </w:r>
                  <w:r>
                    <w:rPr>
                      <w:rFonts w:hint="eastAsia" w:eastAsiaTheme="minorEastAsia"/>
                      <w:color w:val="auto"/>
                      <w:szCs w:val="21"/>
                    </w:rPr>
                    <w:t>，砖混结构；</w:t>
                  </w:r>
                </w:p>
              </w:tc>
              <w:tc>
                <w:tcPr>
                  <w:tcW w:w="856" w:type="pct"/>
                  <w:vAlign w:val="center"/>
                </w:tcPr>
                <w:p>
                  <w:pPr>
                    <w:widowControl/>
                    <w:jc w:val="center"/>
                    <w:rPr>
                      <w:color w:val="auto"/>
                      <w:kern w:val="0"/>
                      <w:szCs w:val="21"/>
                    </w:rPr>
                  </w:pPr>
                  <w:r>
                    <w:rPr>
                      <w:rFonts w:hint="eastAsia"/>
                      <w:color w:val="auto"/>
                      <w:kern w:val="0"/>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253" w:type="pct"/>
                  <w:vMerge w:val="continue"/>
                  <w:vAlign w:val="center"/>
                </w:tcPr>
                <w:p>
                  <w:pPr>
                    <w:widowControl/>
                    <w:jc w:val="center"/>
                    <w:rPr>
                      <w:color w:val="auto"/>
                    </w:rPr>
                  </w:pPr>
                </w:p>
              </w:tc>
              <w:tc>
                <w:tcPr>
                  <w:tcW w:w="640" w:type="pct"/>
                  <w:vAlign w:val="center"/>
                </w:tcPr>
                <w:p>
                  <w:pPr>
                    <w:widowControl/>
                    <w:jc w:val="center"/>
                    <w:rPr>
                      <w:color w:val="auto"/>
                      <w:kern w:val="0"/>
                      <w:szCs w:val="21"/>
                    </w:rPr>
                  </w:pPr>
                  <w:r>
                    <w:rPr>
                      <w:rFonts w:hint="eastAsia"/>
                      <w:color w:val="auto"/>
                      <w:kern w:val="0"/>
                      <w:szCs w:val="21"/>
                      <w:lang w:val="en-US" w:eastAsia="zh-CN"/>
                    </w:rPr>
                    <w:t>1#</w:t>
                  </w:r>
                  <w:r>
                    <w:rPr>
                      <w:rFonts w:hint="eastAsia"/>
                      <w:color w:val="auto"/>
                      <w:kern w:val="0"/>
                      <w:szCs w:val="21"/>
                    </w:rPr>
                    <w:t>混装车库</w:t>
                  </w:r>
                </w:p>
              </w:tc>
              <w:tc>
                <w:tcPr>
                  <w:tcW w:w="3249" w:type="pct"/>
                  <w:vAlign w:val="center"/>
                </w:tcPr>
                <w:p>
                  <w:pPr>
                    <w:widowControl/>
                    <w:jc w:val="center"/>
                    <w:rPr>
                      <w:color w:val="auto"/>
                      <w:kern w:val="0"/>
                      <w:szCs w:val="21"/>
                    </w:rPr>
                  </w:pPr>
                  <w:r>
                    <w:rPr>
                      <w:rFonts w:hint="eastAsia" w:eastAsiaTheme="minorEastAsia"/>
                      <w:color w:val="auto"/>
                      <w:kern w:val="0"/>
                      <w:szCs w:val="21"/>
                      <w:lang w:val="en-US" w:eastAsia="zh-CN"/>
                    </w:rPr>
                    <w:t>建筑面积</w:t>
                  </w:r>
                  <w:r>
                    <w:rPr>
                      <w:rFonts w:hint="eastAsia" w:eastAsiaTheme="minorEastAsia"/>
                      <w:color w:val="auto"/>
                      <w:szCs w:val="21"/>
                    </w:rPr>
                    <w:t>630m</w:t>
                  </w:r>
                  <w:r>
                    <w:rPr>
                      <w:rFonts w:hint="eastAsia" w:eastAsiaTheme="minorEastAsia"/>
                      <w:color w:val="auto"/>
                      <w:szCs w:val="21"/>
                      <w:vertAlign w:val="superscript"/>
                    </w:rPr>
                    <w:t>2</w:t>
                  </w:r>
                  <w:r>
                    <w:rPr>
                      <w:rFonts w:hint="eastAsia" w:eastAsiaTheme="minorEastAsia"/>
                      <w:color w:val="auto"/>
                      <w:szCs w:val="21"/>
                    </w:rPr>
                    <w:t>，砖混结构；</w:t>
                  </w:r>
                </w:p>
              </w:tc>
              <w:tc>
                <w:tcPr>
                  <w:tcW w:w="856" w:type="pct"/>
                  <w:vAlign w:val="center"/>
                </w:tcPr>
                <w:p>
                  <w:pPr>
                    <w:widowControl/>
                    <w:jc w:val="center"/>
                    <w:rPr>
                      <w:color w:val="auto"/>
                      <w:kern w:val="0"/>
                      <w:szCs w:val="21"/>
                    </w:rPr>
                  </w:pPr>
                  <w:r>
                    <w:rPr>
                      <w:rFonts w:hint="eastAsia"/>
                      <w:color w:val="auto"/>
                      <w:kern w:val="0"/>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253" w:type="pct"/>
                  <w:vMerge w:val="continue"/>
                  <w:vAlign w:val="center"/>
                </w:tcPr>
                <w:p>
                  <w:pPr>
                    <w:widowControl/>
                    <w:jc w:val="center"/>
                    <w:rPr>
                      <w:color w:val="auto"/>
                    </w:rPr>
                  </w:pPr>
                </w:p>
              </w:tc>
              <w:tc>
                <w:tcPr>
                  <w:tcW w:w="640" w:type="pct"/>
                  <w:vAlign w:val="center"/>
                </w:tcPr>
                <w:p>
                  <w:pPr>
                    <w:widowControl/>
                    <w:jc w:val="center"/>
                    <w:rPr>
                      <w:color w:val="auto"/>
                      <w:kern w:val="0"/>
                      <w:szCs w:val="21"/>
                    </w:rPr>
                  </w:pPr>
                  <w:r>
                    <w:rPr>
                      <w:rFonts w:hint="eastAsia"/>
                      <w:color w:val="auto"/>
                      <w:kern w:val="0"/>
                      <w:szCs w:val="21"/>
                    </w:rPr>
                    <w:t>叉车库及维修间</w:t>
                  </w:r>
                </w:p>
              </w:tc>
              <w:tc>
                <w:tcPr>
                  <w:tcW w:w="3249" w:type="pct"/>
                  <w:vAlign w:val="center"/>
                </w:tcPr>
                <w:p>
                  <w:pPr>
                    <w:widowControl/>
                    <w:jc w:val="center"/>
                    <w:rPr>
                      <w:color w:val="auto"/>
                      <w:kern w:val="0"/>
                      <w:szCs w:val="21"/>
                    </w:rPr>
                  </w:pPr>
                  <w:r>
                    <w:rPr>
                      <w:rFonts w:hint="eastAsia"/>
                      <w:color w:val="auto"/>
                      <w:kern w:val="0"/>
                      <w:szCs w:val="21"/>
                    </w:rPr>
                    <w:t>占地面积15</w:t>
                  </w:r>
                  <w:r>
                    <w:rPr>
                      <w:rFonts w:hint="eastAsia" w:eastAsiaTheme="minorEastAsia"/>
                      <w:color w:val="auto"/>
                      <w:szCs w:val="21"/>
                    </w:rPr>
                    <w:t>7.5m</w:t>
                  </w:r>
                  <w:r>
                    <w:rPr>
                      <w:rFonts w:hint="eastAsia" w:eastAsiaTheme="minorEastAsia"/>
                      <w:color w:val="auto"/>
                      <w:szCs w:val="21"/>
                      <w:vertAlign w:val="superscript"/>
                    </w:rPr>
                    <w:t>2</w:t>
                  </w:r>
                  <w:r>
                    <w:rPr>
                      <w:rFonts w:hint="eastAsia" w:eastAsiaTheme="minorEastAsia"/>
                      <w:color w:val="auto"/>
                      <w:szCs w:val="21"/>
                    </w:rPr>
                    <w:t>，砖混结构；</w:t>
                  </w:r>
                </w:p>
              </w:tc>
              <w:tc>
                <w:tcPr>
                  <w:tcW w:w="856" w:type="pct"/>
                  <w:vAlign w:val="center"/>
                </w:tcPr>
                <w:p>
                  <w:pPr>
                    <w:widowControl/>
                    <w:jc w:val="center"/>
                    <w:rPr>
                      <w:color w:val="auto"/>
                      <w:kern w:val="0"/>
                      <w:szCs w:val="21"/>
                    </w:rPr>
                  </w:pPr>
                  <w:r>
                    <w:rPr>
                      <w:rFonts w:hint="eastAsia"/>
                      <w:color w:val="auto"/>
                      <w:kern w:val="0"/>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253" w:type="pct"/>
                  <w:vMerge w:val="continue"/>
                  <w:vAlign w:val="center"/>
                </w:tcPr>
                <w:p>
                  <w:pPr>
                    <w:widowControl/>
                    <w:jc w:val="center"/>
                    <w:rPr>
                      <w:color w:val="auto"/>
                    </w:rPr>
                  </w:pPr>
                </w:p>
              </w:tc>
              <w:tc>
                <w:tcPr>
                  <w:tcW w:w="640" w:type="pct"/>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2#混装车库</w:t>
                  </w:r>
                </w:p>
              </w:tc>
              <w:tc>
                <w:tcPr>
                  <w:tcW w:w="3249" w:type="pct"/>
                  <w:vAlign w:val="center"/>
                </w:tcPr>
                <w:p>
                  <w:pPr>
                    <w:widowControl/>
                    <w:jc w:val="center"/>
                    <w:rPr>
                      <w:rFonts w:hint="eastAsia"/>
                      <w:color w:val="auto"/>
                      <w:kern w:val="0"/>
                      <w:szCs w:val="21"/>
                    </w:rPr>
                  </w:pPr>
                  <w:r>
                    <w:rPr>
                      <w:rFonts w:hint="eastAsia" w:eastAsiaTheme="minorEastAsia"/>
                      <w:color w:val="auto"/>
                      <w:kern w:val="0"/>
                      <w:szCs w:val="21"/>
                      <w:lang w:val="en-US" w:eastAsia="zh-CN"/>
                    </w:rPr>
                    <w:t>建筑面积</w:t>
                  </w:r>
                  <w:r>
                    <w:rPr>
                      <w:rFonts w:hint="eastAsia" w:eastAsiaTheme="minorEastAsia"/>
                      <w:color w:val="auto"/>
                      <w:szCs w:val="21"/>
                      <w:lang w:val="en-US" w:eastAsia="zh-CN"/>
                    </w:rPr>
                    <w:t>1079.14</w:t>
                  </w:r>
                  <w:r>
                    <w:rPr>
                      <w:rFonts w:hint="eastAsia" w:eastAsiaTheme="minorEastAsia"/>
                      <w:color w:val="auto"/>
                      <w:szCs w:val="21"/>
                    </w:rPr>
                    <w:t>m</w:t>
                  </w:r>
                  <w:r>
                    <w:rPr>
                      <w:rFonts w:hint="eastAsia" w:eastAsiaTheme="minorEastAsia"/>
                      <w:color w:val="auto"/>
                      <w:szCs w:val="21"/>
                      <w:vertAlign w:val="superscript"/>
                    </w:rPr>
                    <w:t>2</w:t>
                  </w:r>
                  <w:r>
                    <w:rPr>
                      <w:rFonts w:hint="eastAsia" w:eastAsiaTheme="minorEastAsia"/>
                      <w:color w:val="auto"/>
                      <w:szCs w:val="21"/>
                    </w:rPr>
                    <w:t>，砖混结构；</w:t>
                  </w:r>
                </w:p>
              </w:tc>
              <w:tc>
                <w:tcPr>
                  <w:tcW w:w="856" w:type="pct"/>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3" w:type="pct"/>
                  <w:vMerge w:val="restart"/>
                  <w:vAlign w:val="center"/>
                </w:tcPr>
                <w:p>
                  <w:pPr>
                    <w:widowControl/>
                    <w:jc w:val="center"/>
                    <w:rPr>
                      <w:color w:val="auto"/>
                      <w:kern w:val="0"/>
                      <w:szCs w:val="21"/>
                    </w:rPr>
                  </w:pPr>
                  <w:r>
                    <w:rPr>
                      <w:rFonts w:hint="eastAsia"/>
                      <w:color w:val="auto"/>
                      <w:kern w:val="0"/>
                      <w:szCs w:val="21"/>
                    </w:rPr>
                    <w:t>公用工程</w:t>
                  </w:r>
                </w:p>
              </w:tc>
              <w:tc>
                <w:tcPr>
                  <w:tcW w:w="640" w:type="pct"/>
                  <w:vAlign w:val="center"/>
                </w:tcPr>
                <w:p>
                  <w:pPr>
                    <w:widowControl/>
                    <w:jc w:val="center"/>
                    <w:rPr>
                      <w:color w:val="auto"/>
                      <w:kern w:val="0"/>
                      <w:szCs w:val="21"/>
                    </w:rPr>
                  </w:pPr>
                  <w:r>
                    <w:rPr>
                      <w:color w:val="auto"/>
                      <w:kern w:val="0"/>
                      <w:szCs w:val="21"/>
                    </w:rPr>
                    <w:t>供水</w:t>
                  </w:r>
                </w:p>
              </w:tc>
              <w:tc>
                <w:tcPr>
                  <w:tcW w:w="3249" w:type="pct"/>
                  <w:vAlign w:val="center"/>
                </w:tcPr>
                <w:p>
                  <w:pPr>
                    <w:widowControl/>
                    <w:jc w:val="center"/>
                    <w:rPr>
                      <w:color w:val="auto"/>
                      <w:kern w:val="0"/>
                      <w:szCs w:val="21"/>
                    </w:rPr>
                  </w:pPr>
                  <w:r>
                    <w:rPr>
                      <w:color w:val="auto"/>
                      <w:szCs w:val="21"/>
                    </w:rPr>
                    <w:t>项目用水由</w:t>
                  </w:r>
                  <w:r>
                    <w:rPr>
                      <w:rFonts w:hint="eastAsia"/>
                      <w:color w:val="auto"/>
                      <w:szCs w:val="21"/>
                    </w:rPr>
                    <w:t>供水管网</w:t>
                  </w:r>
                  <w:r>
                    <w:rPr>
                      <w:color w:val="auto"/>
                      <w:szCs w:val="21"/>
                    </w:rPr>
                    <w:t>供给</w:t>
                  </w:r>
                  <w:r>
                    <w:rPr>
                      <w:rFonts w:hint="eastAsia"/>
                      <w:color w:val="auto"/>
                      <w:szCs w:val="21"/>
                    </w:rPr>
                    <w:t>；</w:t>
                  </w:r>
                </w:p>
              </w:tc>
              <w:tc>
                <w:tcPr>
                  <w:tcW w:w="856" w:type="pct"/>
                  <w:vAlign w:val="center"/>
                </w:tcPr>
                <w:p>
                  <w:pPr>
                    <w:widowControl/>
                    <w:jc w:val="center"/>
                    <w:rPr>
                      <w:color w:val="auto"/>
                      <w:szCs w:val="21"/>
                    </w:rPr>
                  </w:pPr>
                  <w:r>
                    <w:rPr>
                      <w:rFonts w:hint="eastAsia"/>
                      <w:color w:val="auto"/>
                      <w:kern w:val="0"/>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3" w:type="pct"/>
                  <w:vMerge w:val="continue"/>
                  <w:vAlign w:val="center"/>
                </w:tcPr>
                <w:p>
                  <w:pPr>
                    <w:widowControl/>
                    <w:jc w:val="center"/>
                    <w:rPr>
                      <w:color w:val="auto"/>
                      <w:kern w:val="0"/>
                      <w:szCs w:val="21"/>
                    </w:rPr>
                  </w:pPr>
                </w:p>
              </w:tc>
              <w:tc>
                <w:tcPr>
                  <w:tcW w:w="640" w:type="pct"/>
                  <w:vAlign w:val="center"/>
                </w:tcPr>
                <w:p>
                  <w:pPr>
                    <w:widowControl/>
                    <w:jc w:val="center"/>
                    <w:rPr>
                      <w:color w:val="auto"/>
                      <w:kern w:val="0"/>
                      <w:szCs w:val="21"/>
                    </w:rPr>
                  </w:pPr>
                  <w:r>
                    <w:rPr>
                      <w:color w:val="auto"/>
                      <w:kern w:val="0"/>
                      <w:szCs w:val="21"/>
                    </w:rPr>
                    <w:t>供电</w:t>
                  </w:r>
                </w:p>
              </w:tc>
              <w:tc>
                <w:tcPr>
                  <w:tcW w:w="3249" w:type="pct"/>
                  <w:vAlign w:val="center"/>
                </w:tcPr>
                <w:p>
                  <w:pPr>
                    <w:widowControl/>
                    <w:jc w:val="center"/>
                    <w:rPr>
                      <w:color w:val="auto"/>
                      <w:szCs w:val="21"/>
                    </w:rPr>
                  </w:pPr>
                  <w:r>
                    <w:rPr>
                      <w:color w:val="auto"/>
                      <w:szCs w:val="21"/>
                    </w:rPr>
                    <w:t>项目用电</w:t>
                  </w:r>
                  <w:r>
                    <w:rPr>
                      <w:color w:val="auto"/>
                      <w:kern w:val="0"/>
                      <w:szCs w:val="21"/>
                    </w:rPr>
                    <w:t>由</w:t>
                  </w:r>
                  <w:r>
                    <w:rPr>
                      <w:rFonts w:hint="eastAsia"/>
                      <w:color w:val="auto"/>
                      <w:kern w:val="0"/>
                      <w:szCs w:val="21"/>
                    </w:rPr>
                    <w:t>市政用电</w:t>
                  </w:r>
                  <w:r>
                    <w:rPr>
                      <w:color w:val="auto"/>
                      <w:kern w:val="0"/>
                      <w:szCs w:val="21"/>
                    </w:rPr>
                    <w:t>网供给</w:t>
                  </w:r>
                  <w:r>
                    <w:rPr>
                      <w:color w:val="auto"/>
                      <w:szCs w:val="21"/>
                    </w:rPr>
                    <w:t>；</w:t>
                  </w:r>
                </w:p>
              </w:tc>
              <w:tc>
                <w:tcPr>
                  <w:tcW w:w="856" w:type="pct"/>
                  <w:vAlign w:val="center"/>
                </w:tcPr>
                <w:p>
                  <w:pPr>
                    <w:widowControl/>
                    <w:jc w:val="center"/>
                    <w:rPr>
                      <w:color w:val="auto"/>
                      <w:szCs w:val="21"/>
                    </w:rPr>
                  </w:pPr>
                  <w:r>
                    <w:rPr>
                      <w:rFonts w:hint="eastAsia"/>
                      <w:color w:val="auto"/>
                      <w:kern w:val="0"/>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53" w:type="pct"/>
                  <w:vMerge w:val="continue"/>
                  <w:vAlign w:val="center"/>
                </w:tcPr>
                <w:p>
                  <w:pPr>
                    <w:widowControl/>
                    <w:jc w:val="center"/>
                    <w:rPr>
                      <w:color w:val="auto"/>
                      <w:kern w:val="0"/>
                      <w:szCs w:val="21"/>
                    </w:rPr>
                  </w:pPr>
                </w:p>
              </w:tc>
              <w:tc>
                <w:tcPr>
                  <w:tcW w:w="640" w:type="pct"/>
                  <w:vAlign w:val="center"/>
                </w:tcPr>
                <w:p>
                  <w:pPr>
                    <w:widowControl/>
                    <w:jc w:val="center"/>
                    <w:rPr>
                      <w:color w:val="auto"/>
                      <w:kern w:val="0"/>
                      <w:szCs w:val="21"/>
                    </w:rPr>
                  </w:pPr>
                  <w:r>
                    <w:rPr>
                      <w:rFonts w:hint="eastAsia"/>
                      <w:color w:val="auto"/>
                      <w:kern w:val="0"/>
                      <w:szCs w:val="21"/>
                    </w:rPr>
                    <w:t>排水</w:t>
                  </w:r>
                </w:p>
              </w:tc>
              <w:tc>
                <w:tcPr>
                  <w:tcW w:w="3249" w:type="pct"/>
                  <w:vAlign w:val="center"/>
                </w:tcPr>
                <w:p>
                  <w:pPr>
                    <w:widowControl/>
                    <w:jc w:val="center"/>
                    <w:rPr>
                      <w:color w:val="auto"/>
                      <w:szCs w:val="21"/>
                    </w:rPr>
                  </w:pPr>
                  <w:r>
                    <w:rPr>
                      <w:rFonts w:hint="eastAsia"/>
                      <w:color w:val="auto"/>
                      <w:szCs w:val="21"/>
                    </w:rPr>
                    <w:t>冲洗废水经隔油沉淀池处理后同生活污水一起排入地埋式一体化污水处理设施处理后用于厂区和周围绿化带绿化；</w:t>
                  </w:r>
                </w:p>
              </w:tc>
              <w:tc>
                <w:tcPr>
                  <w:tcW w:w="856" w:type="pct"/>
                  <w:vAlign w:val="center"/>
                </w:tcPr>
                <w:p>
                  <w:pPr>
                    <w:widowControl/>
                    <w:jc w:val="center"/>
                    <w:rPr>
                      <w:color w:val="auto"/>
                      <w:szCs w:val="21"/>
                    </w:rPr>
                  </w:pPr>
                  <w:r>
                    <w:rPr>
                      <w:rFonts w:hint="eastAsia"/>
                      <w:color w:val="auto"/>
                      <w:kern w:val="0"/>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3" w:type="pct"/>
                  <w:vMerge w:val="continue"/>
                  <w:vAlign w:val="center"/>
                </w:tcPr>
                <w:p>
                  <w:pPr>
                    <w:widowControl/>
                    <w:jc w:val="center"/>
                    <w:rPr>
                      <w:color w:val="auto"/>
                      <w:kern w:val="0"/>
                      <w:szCs w:val="21"/>
                    </w:rPr>
                  </w:pPr>
                </w:p>
              </w:tc>
              <w:tc>
                <w:tcPr>
                  <w:tcW w:w="640" w:type="pct"/>
                  <w:vAlign w:val="center"/>
                </w:tcPr>
                <w:p>
                  <w:pPr>
                    <w:widowControl/>
                    <w:jc w:val="center"/>
                    <w:rPr>
                      <w:color w:val="auto"/>
                      <w:kern w:val="0"/>
                      <w:szCs w:val="21"/>
                    </w:rPr>
                  </w:pPr>
                  <w:r>
                    <w:rPr>
                      <w:rFonts w:hint="eastAsia"/>
                      <w:color w:val="auto"/>
                      <w:kern w:val="0"/>
                      <w:szCs w:val="21"/>
                    </w:rPr>
                    <w:t>供热</w:t>
                  </w:r>
                </w:p>
              </w:tc>
              <w:tc>
                <w:tcPr>
                  <w:tcW w:w="3249" w:type="pct"/>
                  <w:vAlign w:val="center"/>
                </w:tcPr>
                <w:p>
                  <w:pPr>
                    <w:widowControl/>
                    <w:jc w:val="center"/>
                    <w:rPr>
                      <w:color w:val="auto"/>
                      <w:kern w:val="0"/>
                      <w:szCs w:val="21"/>
                    </w:rPr>
                  </w:pPr>
                  <w:r>
                    <w:rPr>
                      <w:rFonts w:hint="eastAsia"/>
                      <w:color w:val="auto"/>
                      <w:kern w:val="0"/>
                      <w:szCs w:val="21"/>
                    </w:rPr>
                    <w:t>冬季供暖依托电采暖；</w:t>
                  </w:r>
                </w:p>
              </w:tc>
              <w:tc>
                <w:tcPr>
                  <w:tcW w:w="856" w:type="pct"/>
                  <w:vAlign w:val="center"/>
                </w:tcPr>
                <w:p>
                  <w:pPr>
                    <w:widowControl/>
                    <w:jc w:val="center"/>
                    <w:rPr>
                      <w:color w:val="auto"/>
                      <w:kern w:val="0"/>
                      <w:szCs w:val="21"/>
                    </w:rPr>
                  </w:pPr>
                  <w:r>
                    <w:rPr>
                      <w:rFonts w:hint="eastAsia"/>
                      <w:color w:val="auto"/>
                      <w:kern w:val="0"/>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253" w:type="pct"/>
                  <w:vMerge w:val="restart"/>
                  <w:vAlign w:val="center"/>
                </w:tcPr>
                <w:p>
                  <w:pPr>
                    <w:widowControl/>
                    <w:jc w:val="center"/>
                    <w:rPr>
                      <w:color w:val="auto"/>
                      <w:kern w:val="0"/>
                      <w:szCs w:val="21"/>
                    </w:rPr>
                  </w:pPr>
                  <w:r>
                    <w:rPr>
                      <w:rFonts w:hint="eastAsia"/>
                      <w:color w:val="auto"/>
                      <w:kern w:val="0"/>
                      <w:szCs w:val="21"/>
                    </w:rPr>
                    <w:t>环保工程</w:t>
                  </w:r>
                </w:p>
              </w:tc>
              <w:tc>
                <w:tcPr>
                  <w:tcW w:w="640" w:type="pct"/>
                  <w:vAlign w:val="center"/>
                </w:tcPr>
                <w:p>
                  <w:pPr>
                    <w:widowControl/>
                    <w:jc w:val="center"/>
                    <w:rPr>
                      <w:color w:val="auto"/>
                      <w:kern w:val="0"/>
                      <w:szCs w:val="21"/>
                    </w:rPr>
                  </w:pPr>
                  <w:r>
                    <w:rPr>
                      <w:rFonts w:hint="eastAsia"/>
                      <w:color w:val="auto"/>
                      <w:kern w:val="0"/>
                      <w:szCs w:val="21"/>
                    </w:rPr>
                    <w:t>废气</w:t>
                  </w:r>
                </w:p>
              </w:tc>
              <w:tc>
                <w:tcPr>
                  <w:tcW w:w="3249" w:type="pct"/>
                  <w:vAlign w:val="center"/>
                </w:tcPr>
                <w:p>
                  <w:pPr>
                    <w:widowControl/>
                    <w:jc w:val="center"/>
                    <w:rPr>
                      <w:color w:val="auto"/>
                      <w:kern w:val="0"/>
                      <w:szCs w:val="21"/>
                    </w:rPr>
                  </w:pPr>
                  <w:r>
                    <w:rPr>
                      <w:rFonts w:hint="eastAsia"/>
                      <w:color w:val="auto"/>
                      <w:kern w:val="0"/>
                      <w:szCs w:val="21"/>
                    </w:rPr>
                    <w:t>上料环节设置密闭上料仓（抑尘效率99%）；</w:t>
                  </w:r>
                </w:p>
              </w:tc>
              <w:tc>
                <w:tcPr>
                  <w:tcW w:w="856" w:type="pct"/>
                  <w:vAlign w:val="center"/>
                </w:tcPr>
                <w:p>
                  <w:pPr>
                    <w:widowControl/>
                    <w:jc w:val="center"/>
                    <w:rPr>
                      <w:color w:val="auto"/>
                      <w:kern w:val="0"/>
                      <w:szCs w:val="21"/>
                    </w:rPr>
                  </w:pPr>
                  <w:r>
                    <w:rPr>
                      <w:rFonts w:hint="eastAsia"/>
                      <w:color w:val="auto"/>
                      <w:kern w:val="0"/>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53" w:type="pct"/>
                  <w:vMerge w:val="continue"/>
                  <w:vAlign w:val="center"/>
                </w:tcPr>
                <w:p>
                  <w:pPr>
                    <w:widowControl/>
                    <w:jc w:val="center"/>
                    <w:rPr>
                      <w:color w:val="auto"/>
                      <w:kern w:val="0"/>
                      <w:szCs w:val="21"/>
                    </w:rPr>
                  </w:pPr>
                </w:p>
              </w:tc>
              <w:tc>
                <w:tcPr>
                  <w:tcW w:w="640" w:type="pct"/>
                  <w:vMerge w:val="restart"/>
                  <w:vAlign w:val="center"/>
                </w:tcPr>
                <w:p>
                  <w:pPr>
                    <w:widowControl/>
                    <w:jc w:val="center"/>
                    <w:rPr>
                      <w:color w:val="auto"/>
                      <w:kern w:val="0"/>
                      <w:szCs w:val="21"/>
                    </w:rPr>
                  </w:pPr>
                  <w:r>
                    <w:rPr>
                      <w:rFonts w:hint="eastAsia"/>
                      <w:color w:val="auto"/>
                      <w:kern w:val="0"/>
                      <w:szCs w:val="21"/>
                    </w:rPr>
                    <w:t>废水</w:t>
                  </w:r>
                </w:p>
              </w:tc>
              <w:tc>
                <w:tcPr>
                  <w:tcW w:w="3249" w:type="pct"/>
                  <w:vAlign w:val="center"/>
                </w:tcPr>
                <w:p>
                  <w:pPr>
                    <w:widowControl/>
                    <w:jc w:val="center"/>
                    <w:rPr>
                      <w:color w:val="auto"/>
                      <w:kern w:val="0"/>
                      <w:szCs w:val="21"/>
                    </w:rPr>
                  </w:pPr>
                  <w:r>
                    <w:rPr>
                      <w:rFonts w:hint="eastAsia"/>
                      <w:color w:val="auto"/>
                      <w:kern w:val="0"/>
                      <w:szCs w:val="21"/>
                    </w:rPr>
                    <w:t>车辆冲洗废水依托现有工程已建隔油沉淀池处理后</w:t>
                  </w:r>
                  <w:r>
                    <w:rPr>
                      <w:rFonts w:hint="eastAsia"/>
                      <w:color w:val="auto"/>
                      <w:szCs w:val="21"/>
                    </w:rPr>
                    <w:t>排入地埋式一体化污水处理设施经处理后用于厂区和周围绿化带；</w:t>
                  </w:r>
                </w:p>
              </w:tc>
              <w:tc>
                <w:tcPr>
                  <w:tcW w:w="856" w:type="pct"/>
                  <w:vAlign w:val="center"/>
                </w:tcPr>
                <w:p>
                  <w:pPr>
                    <w:widowControl/>
                    <w:jc w:val="center"/>
                    <w:rPr>
                      <w:color w:val="auto"/>
                      <w:kern w:val="0"/>
                      <w:szCs w:val="21"/>
                    </w:rPr>
                  </w:pPr>
                  <w:r>
                    <w:rPr>
                      <w:rFonts w:hint="eastAsia"/>
                      <w:color w:val="auto"/>
                      <w:kern w:val="0"/>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53" w:type="pct"/>
                  <w:vMerge w:val="continue"/>
                  <w:vAlign w:val="center"/>
                </w:tcPr>
                <w:p>
                  <w:pPr>
                    <w:widowControl/>
                    <w:jc w:val="center"/>
                    <w:rPr>
                      <w:color w:val="auto"/>
                      <w:kern w:val="0"/>
                      <w:szCs w:val="21"/>
                    </w:rPr>
                  </w:pPr>
                </w:p>
              </w:tc>
              <w:tc>
                <w:tcPr>
                  <w:tcW w:w="640" w:type="pct"/>
                  <w:vMerge w:val="continue"/>
                  <w:vAlign w:val="center"/>
                </w:tcPr>
                <w:p>
                  <w:pPr>
                    <w:widowControl/>
                    <w:jc w:val="center"/>
                    <w:rPr>
                      <w:color w:val="auto"/>
                      <w:kern w:val="0"/>
                      <w:szCs w:val="21"/>
                    </w:rPr>
                  </w:pPr>
                </w:p>
              </w:tc>
              <w:tc>
                <w:tcPr>
                  <w:tcW w:w="3249" w:type="pct"/>
                  <w:vAlign w:val="center"/>
                </w:tcPr>
                <w:p>
                  <w:pPr>
                    <w:widowControl/>
                    <w:jc w:val="center"/>
                    <w:rPr>
                      <w:color w:val="auto"/>
                      <w:kern w:val="0"/>
                      <w:szCs w:val="21"/>
                    </w:rPr>
                  </w:pPr>
                  <w:r>
                    <w:rPr>
                      <w:rFonts w:hint="eastAsia"/>
                      <w:color w:val="auto"/>
                      <w:kern w:val="0"/>
                      <w:szCs w:val="21"/>
                    </w:rPr>
                    <w:t>生活污水依托现有工程已建</w:t>
                  </w:r>
                  <w:r>
                    <w:rPr>
                      <w:rFonts w:hint="eastAsia"/>
                      <w:color w:val="auto"/>
                      <w:szCs w:val="21"/>
                    </w:rPr>
                    <w:t>地埋式一体化污水处理设施经处理后用于厂区绿化；</w:t>
                  </w:r>
                </w:p>
              </w:tc>
              <w:tc>
                <w:tcPr>
                  <w:tcW w:w="856" w:type="pct"/>
                  <w:vAlign w:val="center"/>
                </w:tcPr>
                <w:p>
                  <w:pPr>
                    <w:widowControl/>
                    <w:jc w:val="center"/>
                    <w:rPr>
                      <w:color w:val="auto"/>
                      <w:kern w:val="0"/>
                      <w:szCs w:val="21"/>
                    </w:rPr>
                  </w:pPr>
                  <w:r>
                    <w:rPr>
                      <w:rFonts w:hint="eastAsia"/>
                      <w:color w:val="auto"/>
                      <w:kern w:val="0"/>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253" w:type="pct"/>
                  <w:vMerge w:val="continue"/>
                  <w:vAlign w:val="center"/>
                </w:tcPr>
                <w:p>
                  <w:pPr>
                    <w:widowControl/>
                    <w:jc w:val="center"/>
                    <w:rPr>
                      <w:color w:val="auto"/>
                      <w:kern w:val="0"/>
                      <w:szCs w:val="21"/>
                    </w:rPr>
                  </w:pPr>
                </w:p>
              </w:tc>
              <w:tc>
                <w:tcPr>
                  <w:tcW w:w="640" w:type="pct"/>
                  <w:vMerge w:val="restart"/>
                  <w:vAlign w:val="center"/>
                </w:tcPr>
                <w:p>
                  <w:pPr>
                    <w:widowControl/>
                    <w:jc w:val="center"/>
                    <w:rPr>
                      <w:color w:val="auto"/>
                      <w:kern w:val="0"/>
                      <w:szCs w:val="21"/>
                    </w:rPr>
                  </w:pPr>
                  <w:r>
                    <w:rPr>
                      <w:rFonts w:hint="eastAsia"/>
                      <w:color w:val="auto"/>
                      <w:kern w:val="0"/>
                      <w:szCs w:val="21"/>
                    </w:rPr>
                    <w:t>固废</w:t>
                  </w:r>
                </w:p>
              </w:tc>
              <w:tc>
                <w:tcPr>
                  <w:tcW w:w="3249" w:type="pct"/>
                  <w:vAlign w:val="center"/>
                </w:tcPr>
                <w:p>
                  <w:pPr>
                    <w:widowControl/>
                    <w:jc w:val="center"/>
                    <w:rPr>
                      <w:color w:val="auto"/>
                      <w:kern w:val="0"/>
                      <w:szCs w:val="21"/>
                    </w:rPr>
                  </w:pPr>
                  <w:r>
                    <w:rPr>
                      <w:rFonts w:hint="eastAsia"/>
                      <w:color w:val="auto"/>
                      <w:kern w:val="0"/>
                      <w:szCs w:val="21"/>
                    </w:rPr>
                    <w:t>生活垃圾</w:t>
                  </w:r>
                  <w:r>
                    <w:rPr>
                      <w:rFonts w:hint="eastAsia"/>
                      <w:color w:val="auto"/>
                    </w:rPr>
                    <w:t>集中收集后委托成都瑞鑫鑫环卫有限公司拉运处置</w:t>
                  </w:r>
                </w:p>
              </w:tc>
              <w:tc>
                <w:tcPr>
                  <w:tcW w:w="856" w:type="pct"/>
                  <w:vAlign w:val="center"/>
                </w:tcPr>
                <w:p>
                  <w:pPr>
                    <w:widowControl/>
                    <w:jc w:val="center"/>
                    <w:rPr>
                      <w:color w:val="auto"/>
                      <w:kern w:val="0"/>
                      <w:szCs w:val="21"/>
                    </w:rPr>
                  </w:pPr>
                  <w:r>
                    <w:rPr>
                      <w:rFonts w:hint="eastAsia"/>
                      <w:color w:val="auto"/>
                      <w:kern w:val="0"/>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53" w:type="pct"/>
                  <w:vMerge w:val="continue"/>
                  <w:vAlign w:val="center"/>
                </w:tcPr>
                <w:p>
                  <w:pPr>
                    <w:widowControl/>
                    <w:jc w:val="center"/>
                    <w:rPr>
                      <w:color w:val="auto"/>
                    </w:rPr>
                  </w:pPr>
                </w:p>
              </w:tc>
              <w:tc>
                <w:tcPr>
                  <w:tcW w:w="640" w:type="pct"/>
                  <w:vMerge w:val="continue"/>
                  <w:vAlign w:val="center"/>
                </w:tcPr>
                <w:p>
                  <w:pPr>
                    <w:widowControl/>
                    <w:jc w:val="center"/>
                    <w:rPr>
                      <w:color w:val="auto"/>
                    </w:rPr>
                  </w:pPr>
                </w:p>
              </w:tc>
              <w:tc>
                <w:tcPr>
                  <w:tcW w:w="3249" w:type="pct"/>
                  <w:vAlign w:val="center"/>
                </w:tcPr>
                <w:p>
                  <w:pPr>
                    <w:widowControl/>
                    <w:jc w:val="center"/>
                    <w:rPr>
                      <w:color w:val="auto"/>
                      <w:szCs w:val="21"/>
                    </w:rPr>
                  </w:pPr>
                  <w:r>
                    <w:rPr>
                      <w:rFonts w:hint="eastAsia"/>
                      <w:color w:val="auto"/>
                      <w:szCs w:val="21"/>
                      <w:lang w:val="en-US" w:eastAsia="zh-CN"/>
                    </w:rPr>
                    <w:t>废硝酸铵包装袋、</w:t>
                  </w:r>
                  <w:r>
                    <w:rPr>
                      <w:rFonts w:hint="eastAsia"/>
                      <w:color w:val="auto"/>
                      <w:szCs w:val="21"/>
                    </w:rPr>
                    <w:t>废机油、柴油储罐油泥、隔油沉淀池沉渣依托已建危废暂存间暂存，定期交由</w:t>
                  </w:r>
                  <w:r>
                    <w:rPr>
                      <w:rFonts w:hint="eastAsia"/>
                      <w:color w:val="auto"/>
                      <w:szCs w:val="21"/>
                      <w:lang w:eastAsia="zh-CN"/>
                    </w:rPr>
                    <w:t>新疆鑫鸿伟环保科技有限公司</w:t>
                  </w:r>
                  <w:r>
                    <w:rPr>
                      <w:rFonts w:hint="eastAsia"/>
                      <w:color w:val="auto"/>
                      <w:szCs w:val="21"/>
                    </w:rPr>
                    <w:t>进行处置</w:t>
                  </w:r>
                </w:p>
              </w:tc>
              <w:tc>
                <w:tcPr>
                  <w:tcW w:w="856" w:type="pct"/>
                  <w:vAlign w:val="center"/>
                </w:tcPr>
                <w:p>
                  <w:pPr>
                    <w:widowControl/>
                    <w:jc w:val="center"/>
                    <w:rPr>
                      <w:color w:val="auto"/>
                      <w:szCs w:val="21"/>
                    </w:rPr>
                  </w:pPr>
                  <w:r>
                    <w:rPr>
                      <w:rFonts w:hint="eastAsia"/>
                      <w:color w:val="auto"/>
                      <w:kern w:val="0"/>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253" w:type="pct"/>
                  <w:vMerge w:val="continue"/>
                  <w:vAlign w:val="center"/>
                </w:tcPr>
                <w:p>
                  <w:pPr>
                    <w:widowControl/>
                    <w:jc w:val="center"/>
                    <w:rPr>
                      <w:color w:val="auto"/>
                      <w:kern w:val="0"/>
                      <w:szCs w:val="21"/>
                    </w:rPr>
                  </w:pPr>
                </w:p>
              </w:tc>
              <w:tc>
                <w:tcPr>
                  <w:tcW w:w="640" w:type="pct"/>
                  <w:vAlign w:val="center"/>
                </w:tcPr>
                <w:p>
                  <w:pPr>
                    <w:widowControl/>
                    <w:jc w:val="center"/>
                    <w:rPr>
                      <w:color w:val="auto"/>
                      <w:kern w:val="0"/>
                      <w:szCs w:val="21"/>
                    </w:rPr>
                  </w:pPr>
                  <w:r>
                    <w:rPr>
                      <w:rFonts w:hint="eastAsia"/>
                      <w:color w:val="auto"/>
                      <w:kern w:val="0"/>
                      <w:szCs w:val="21"/>
                    </w:rPr>
                    <w:t>噪声</w:t>
                  </w:r>
                </w:p>
              </w:tc>
              <w:tc>
                <w:tcPr>
                  <w:tcW w:w="3249" w:type="pct"/>
                  <w:vAlign w:val="center"/>
                </w:tcPr>
                <w:p>
                  <w:pPr>
                    <w:widowControl/>
                    <w:jc w:val="center"/>
                    <w:rPr>
                      <w:color w:val="auto"/>
                      <w:kern w:val="0"/>
                      <w:szCs w:val="21"/>
                    </w:rPr>
                  </w:pPr>
                  <w:r>
                    <w:rPr>
                      <w:rFonts w:hint="eastAsia"/>
                      <w:color w:val="auto"/>
                      <w:szCs w:val="21"/>
                    </w:rPr>
                    <w:t>本项目仅增加</w:t>
                  </w:r>
                  <w:r>
                    <w:rPr>
                      <w:rFonts w:hint="eastAsia"/>
                      <w:color w:val="auto"/>
                      <w:szCs w:val="21"/>
                      <w:lang w:val="en-US" w:eastAsia="zh-CN"/>
                    </w:rPr>
                    <w:t>一套提升机、</w:t>
                  </w:r>
                  <w:r>
                    <w:rPr>
                      <w:rFonts w:hint="eastAsia"/>
                      <w:color w:val="auto"/>
                      <w:szCs w:val="21"/>
                    </w:rPr>
                    <w:t>10台现场混装车，新增噪声源主要为车辆，通过限速、禁止鸣笛等措施减缓噪声</w:t>
                  </w:r>
                </w:p>
              </w:tc>
              <w:tc>
                <w:tcPr>
                  <w:tcW w:w="856" w:type="pct"/>
                  <w:vAlign w:val="center"/>
                </w:tcPr>
                <w:p>
                  <w:pPr>
                    <w:widowControl/>
                    <w:jc w:val="center"/>
                    <w:rPr>
                      <w:color w:val="auto"/>
                      <w:szCs w:val="21"/>
                    </w:rPr>
                  </w:pPr>
                  <w:r>
                    <w:rPr>
                      <w:rFonts w:hint="eastAsia"/>
                      <w:color w:val="auto"/>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3" w:type="pct"/>
                  <w:vMerge w:val="continue"/>
                  <w:vAlign w:val="center"/>
                </w:tcPr>
                <w:p>
                  <w:pPr>
                    <w:widowControl/>
                    <w:jc w:val="center"/>
                    <w:rPr>
                      <w:color w:val="auto"/>
                      <w:kern w:val="0"/>
                      <w:szCs w:val="21"/>
                    </w:rPr>
                  </w:pPr>
                </w:p>
              </w:tc>
              <w:tc>
                <w:tcPr>
                  <w:tcW w:w="640" w:type="pct"/>
                  <w:vAlign w:val="center"/>
                </w:tcPr>
                <w:p>
                  <w:pPr>
                    <w:widowControl/>
                    <w:jc w:val="center"/>
                    <w:rPr>
                      <w:color w:val="auto"/>
                      <w:kern w:val="0"/>
                      <w:szCs w:val="21"/>
                    </w:rPr>
                  </w:pPr>
                  <w:r>
                    <w:rPr>
                      <w:rFonts w:hint="eastAsia"/>
                      <w:color w:val="auto"/>
                      <w:kern w:val="0"/>
                      <w:szCs w:val="21"/>
                    </w:rPr>
                    <w:t>生态</w:t>
                  </w:r>
                </w:p>
              </w:tc>
              <w:tc>
                <w:tcPr>
                  <w:tcW w:w="3249" w:type="pct"/>
                  <w:vAlign w:val="center"/>
                </w:tcPr>
                <w:p>
                  <w:pPr>
                    <w:widowControl/>
                    <w:jc w:val="center"/>
                    <w:rPr>
                      <w:color w:val="auto"/>
                      <w:kern w:val="0"/>
                      <w:szCs w:val="21"/>
                    </w:rPr>
                  </w:pPr>
                  <w:r>
                    <w:rPr>
                      <w:rFonts w:hint="eastAsia"/>
                      <w:color w:val="auto"/>
                      <w:kern w:val="0"/>
                      <w:szCs w:val="21"/>
                    </w:rPr>
                    <w:t>厂区内设置绿化带，总绿化面积2000m</w:t>
                  </w:r>
                  <w:r>
                    <w:rPr>
                      <w:rFonts w:hint="eastAsia"/>
                      <w:color w:val="auto"/>
                      <w:kern w:val="0"/>
                      <w:szCs w:val="21"/>
                      <w:vertAlign w:val="superscript"/>
                    </w:rPr>
                    <w:t>2</w:t>
                  </w:r>
                  <w:r>
                    <w:rPr>
                      <w:rFonts w:hint="eastAsia"/>
                      <w:color w:val="auto"/>
                      <w:kern w:val="0"/>
                      <w:szCs w:val="21"/>
                    </w:rPr>
                    <w:t>；</w:t>
                  </w:r>
                </w:p>
              </w:tc>
              <w:tc>
                <w:tcPr>
                  <w:tcW w:w="856" w:type="pct"/>
                  <w:vAlign w:val="center"/>
                </w:tcPr>
                <w:p>
                  <w:pPr>
                    <w:widowControl/>
                    <w:jc w:val="center"/>
                    <w:rPr>
                      <w:color w:val="auto"/>
                      <w:kern w:val="0"/>
                      <w:szCs w:val="21"/>
                    </w:rPr>
                  </w:pPr>
                  <w:r>
                    <w:rPr>
                      <w:rFonts w:hint="eastAsia"/>
                      <w:color w:val="auto"/>
                      <w:kern w:val="0"/>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3" w:type="pct"/>
                  <w:vMerge w:val="continue"/>
                  <w:vAlign w:val="center"/>
                </w:tcPr>
                <w:p>
                  <w:pPr>
                    <w:widowControl/>
                    <w:jc w:val="center"/>
                    <w:rPr>
                      <w:color w:val="auto"/>
                      <w:kern w:val="0"/>
                      <w:szCs w:val="21"/>
                    </w:rPr>
                  </w:pPr>
                </w:p>
              </w:tc>
              <w:tc>
                <w:tcPr>
                  <w:tcW w:w="640" w:type="pct"/>
                  <w:vMerge w:val="restart"/>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环境风险防范</w:t>
                  </w:r>
                </w:p>
              </w:tc>
              <w:tc>
                <w:tcPr>
                  <w:tcW w:w="3249" w:type="pct"/>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400m</w:t>
                  </w:r>
                  <w:r>
                    <w:rPr>
                      <w:rFonts w:hint="eastAsia"/>
                      <w:color w:val="auto"/>
                      <w:kern w:val="0"/>
                      <w:szCs w:val="21"/>
                      <w:vertAlign w:val="superscript"/>
                      <w:lang w:val="en-US" w:eastAsia="zh-CN"/>
                    </w:rPr>
                    <w:t>3</w:t>
                  </w:r>
                  <w:r>
                    <w:rPr>
                      <w:rFonts w:hint="eastAsia"/>
                      <w:color w:val="auto"/>
                      <w:kern w:val="0"/>
                      <w:szCs w:val="21"/>
                      <w:vertAlign w:val="baseline"/>
                      <w:lang w:val="en-US" w:eastAsia="zh-CN"/>
                    </w:rPr>
                    <w:t>事故水池、消防水池、监控设备</w:t>
                  </w:r>
                </w:p>
              </w:tc>
              <w:tc>
                <w:tcPr>
                  <w:tcW w:w="856" w:type="pct"/>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3" w:type="pct"/>
                  <w:vMerge w:val="continue"/>
                  <w:vAlign w:val="center"/>
                </w:tcPr>
                <w:p>
                  <w:pPr>
                    <w:widowControl/>
                    <w:jc w:val="center"/>
                    <w:rPr>
                      <w:color w:val="auto"/>
                      <w:kern w:val="0"/>
                      <w:szCs w:val="21"/>
                    </w:rPr>
                  </w:pPr>
                </w:p>
              </w:tc>
              <w:tc>
                <w:tcPr>
                  <w:tcW w:w="640" w:type="pct"/>
                  <w:vMerge w:val="continue"/>
                  <w:vAlign w:val="center"/>
                </w:tcPr>
                <w:p>
                  <w:pPr>
                    <w:widowControl/>
                    <w:jc w:val="center"/>
                    <w:rPr>
                      <w:rFonts w:hint="eastAsia"/>
                      <w:color w:val="auto"/>
                      <w:kern w:val="0"/>
                      <w:szCs w:val="21"/>
                      <w:lang w:val="en-US" w:eastAsia="zh-CN"/>
                    </w:rPr>
                  </w:pPr>
                </w:p>
              </w:tc>
              <w:tc>
                <w:tcPr>
                  <w:tcW w:w="3249" w:type="pct"/>
                  <w:vAlign w:val="center"/>
                </w:tcPr>
                <w:p>
                  <w:pPr>
                    <w:widowControl/>
                    <w:jc w:val="center"/>
                    <w:rPr>
                      <w:rFonts w:hint="default"/>
                      <w:color w:val="auto"/>
                      <w:kern w:val="0"/>
                      <w:szCs w:val="21"/>
                      <w:lang w:val="en-US" w:eastAsia="zh-CN"/>
                    </w:rPr>
                  </w:pPr>
                  <w:r>
                    <w:rPr>
                      <w:rFonts w:hint="eastAsia"/>
                      <w:color w:val="auto"/>
                      <w:kern w:val="0"/>
                      <w:szCs w:val="21"/>
                      <w:lang w:val="en-US" w:eastAsia="zh-CN"/>
                    </w:rPr>
                    <w:t>修编突发环境事件应急预案，加强日常应急演练</w:t>
                  </w:r>
                </w:p>
              </w:tc>
              <w:tc>
                <w:tcPr>
                  <w:tcW w:w="856" w:type="pct"/>
                  <w:vAlign w:val="center"/>
                </w:tcPr>
                <w:p>
                  <w:pPr>
                    <w:widowControl/>
                    <w:jc w:val="center"/>
                    <w:rPr>
                      <w:rFonts w:hint="default"/>
                      <w:color w:val="auto"/>
                      <w:kern w:val="0"/>
                      <w:szCs w:val="21"/>
                      <w:lang w:val="en-US" w:eastAsia="zh-CN"/>
                    </w:rPr>
                  </w:pPr>
                  <w:r>
                    <w:rPr>
                      <w:rFonts w:hint="eastAsia"/>
                      <w:color w:val="auto"/>
                      <w:kern w:val="0"/>
                      <w:szCs w:val="21"/>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253" w:type="pct"/>
                  <w:vMerge w:val="restart"/>
                  <w:vAlign w:val="center"/>
                </w:tcPr>
                <w:p>
                  <w:pPr>
                    <w:widowControl/>
                    <w:jc w:val="center"/>
                    <w:rPr>
                      <w:color w:val="auto"/>
                      <w:kern w:val="0"/>
                      <w:szCs w:val="21"/>
                    </w:rPr>
                  </w:pPr>
                  <w:r>
                    <w:rPr>
                      <w:color w:val="auto"/>
                      <w:kern w:val="0"/>
                      <w:szCs w:val="21"/>
                    </w:rPr>
                    <w:t>储运工程</w:t>
                  </w:r>
                </w:p>
              </w:tc>
              <w:tc>
                <w:tcPr>
                  <w:tcW w:w="640" w:type="pct"/>
                  <w:vAlign w:val="center"/>
                </w:tcPr>
                <w:p>
                  <w:pPr>
                    <w:widowControl/>
                    <w:jc w:val="center"/>
                    <w:rPr>
                      <w:color w:val="auto"/>
                      <w:kern w:val="0"/>
                      <w:szCs w:val="21"/>
                    </w:rPr>
                  </w:pPr>
                  <w:r>
                    <w:rPr>
                      <w:rFonts w:hint="eastAsia"/>
                      <w:color w:val="auto"/>
                      <w:kern w:val="0"/>
                      <w:szCs w:val="21"/>
                    </w:rPr>
                    <w:t>硝酸铵库</w:t>
                  </w:r>
                </w:p>
              </w:tc>
              <w:tc>
                <w:tcPr>
                  <w:tcW w:w="3249" w:type="pct"/>
                  <w:vAlign w:val="center"/>
                </w:tcPr>
                <w:p>
                  <w:pPr>
                    <w:widowControl/>
                    <w:jc w:val="center"/>
                    <w:rPr>
                      <w:color w:val="auto"/>
                      <w:kern w:val="0"/>
                      <w:szCs w:val="21"/>
                    </w:rPr>
                  </w:pPr>
                  <w:r>
                    <w:rPr>
                      <w:rFonts w:hint="eastAsia"/>
                      <w:color w:val="auto"/>
                      <w:kern w:val="0"/>
                      <w:szCs w:val="21"/>
                    </w:rPr>
                    <w:t>位于现场混装炸药生产区，占地面积945m</w:t>
                  </w:r>
                  <w:r>
                    <w:rPr>
                      <w:rFonts w:hint="eastAsia"/>
                      <w:color w:val="auto"/>
                      <w:kern w:val="0"/>
                      <w:szCs w:val="21"/>
                      <w:vertAlign w:val="superscript"/>
                    </w:rPr>
                    <w:t>2</w:t>
                  </w:r>
                  <w:r>
                    <w:rPr>
                      <w:rFonts w:hint="eastAsia"/>
                      <w:color w:val="auto"/>
                      <w:kern w:val="0"/>
                      <w:szCs w:val="21"/>
                    </w:rPr>
                    <w:t>，砖混结构，用于储存硝酸铵，最大储存量600t；</w:t>
                  </w:r>
                </w:p>
              </w:tc>
              <w:tc>
                <w:tcPr>
                  <w:tcW w:w="856" w:type="pct"/>
                  <w:vAlign w:val="center"/>
                </w:tcPr>
                <w:p>
                  <w:pPr>
                    <w:widowControl/>
                    <w:jc w:val="center"/>
                    <w:rPr>
                      <w:color w:val="auto"/>
                      <w:kern w:val="0"/>
                      <w:szCs w:val="21"/>
                    </w:rPr>
                  </w:pPr>
                  <w:r>
                    <w:rPr>
                      <w:rFonts w:hint="eastAsia"/>
                      <w:color w:val="auto"/>
                      <w:kern w:val="0"/>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53" w:type="pct"/>
                  <w:vMerge w:val="continue"/>
                  <w:vAlign w:val="center"/>
                </w:tcPr>
                <w:p>
                  <w:pPr>
                    <w:widowControl/>
                    <w:jc w:val="center"/>
                    <w:rPr>
                      <w:color w:val="auto"/>
                      <w:kern w:val="0"/>
                      <w:szCs w:val="21"/>
                    </w:rPr>
                  </w:pPr>
                </w:p>
              </w:tc>
              <w:tc>
                <w:tcPr>
                  <w:tcW w:w="640" w:type="pct"/>
                  <w:vAlign w:val="center"/>
                </w:tcPr>
                <w:p>
                  <w:pPr>
                    <w:widowControl/>
                    <w:jc w:val="center"/>
                    <w:rPr>
                      <w:color w:val="auto"/>
                      <w:kern w:val="0"/>
                      <w:szCs w:val="21"/>
                    </w:rPr>
                  </w:pPr>
                  <w:r>
                    <w:rPr>
                      <w:rFonts w:hint="eastAsia"/>
                      <w:color w:val="auto"/>
                      <w:kern w:val="0"/>
                      <w:szCs w:val="21"/>
                    </w:rPr>
                    <w:t>综合材料库房</w:t>
                  </w:r>
                </w:p>
              </w:tc>
              <w:tc>
                <w:tcPr>
                  <w:tcW w:w="3249" w:type="pct"/>
                  <w:vAlign w:val="center"/>
                </w:tcPr>
                <w:p>
                  <w:pPr>
                    <w:widowControl/>
                    <w:jc w:val="center"/>
                    <w:rPr>
                      <w:color w:val="auto"/>
                      <w:kern w:val="0"/>
                      <w:szCs w:val="21"/>
                    </w:rPr>
                  </w:pPr>
                  <w:r>
                    <w:rPr>
                      <w:rFonts w:hint="eastAsia"/>
                      <w:color w:val="auto"/>
                      <w:kern w:val="0"/>
                      <w:szCs w:val="21"/>
                    </w:rPr>
                    <w:t>位于现场混装炸药生产区，占地面积360m</w:t>
                  </w:r>
                  <w:r>
                    <w:rPr>
                      <w:rFonts w:hint="eastAsia"/>
                      <w:color w:val="auto"/>
                      <w:kern w:val="0"/>
                      <w:szCs w:val="21"/>
                      <w:vertAlign w:val="superscript"/>
                    </w:rPr>
                    <w:t>2</w:t>
                  </w:r>
                  <w:r>
                    <w:rPr>
                      <w:rFonts w:hint="eastAsia"/>
                      <w:color w:val="auto"/>
                      <w:kern w:val="0"/>
                      <w:szCs w:val="21"/>
                    </w:rPr>
                    <w:t>；</w:t>
                  </w:r>
                </w:p>
              </w:tc>
              <w:tc>
                <w:tcPr>
                  <w:tcW w:w="856" w:type="pct"/>
                  <w:vAlign w:val="center"/>
                </w:tcPr>
                <w:p>
                  <w:pPr>
                    <w:widowControl/>
                    <w:jc w:val="center"/>
                    <w:rPr>
                      <w:color w:val="auto"/>
                      <w:kern w:val="0"/>
                      <w:szCs w:val="21"/>
                    </w:rPr>
                  </w:pPr>
                  <w:r>
                    <w:rPr>
                      <w:rFonts w:hint="eastAsia"/>
                      <w:color w:val="auto"/>
                      <w:kern w:val="0"/>
                      <w:szCs w:val="21"/>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3" w:type="pct"/>
                  <w:vMerge w:val="continue"/>
                  <w:vAlign w:val="center"/>
                </w:tcPr>
                <w:p>
                  <w:pPr>
                    <w:widowControl/>
                    <w:jc w:val="center"/>
                    <w:rPr>
                      <w:color w:val="auto"/>
                      <w:kern w:val="0"/>
                      <w:szCs w:val="21"/>
                    </w:rPr>
                  </w:pPr>
                </w:p>
              </w:tc>
              <w:tc>
                <w:tcPr>
                  <w:tcW w:w="640" w:type="pct"/>
                  <w:vAlign w:val="center"/>
                </w:tcPr>
                <w:p>
                  <w:pPr>
                    <w:widowControl/>
                    <w:jc w:val="center"/>
                    <w:rPr>
                      <w:rFonts w:hint="eastAsia" w:eastAsia="宋体"/>
                      <w:color w:val="auto"/>
                      <w:kern w:val="0"/>
                      <w:szCs w:val="21"/>
                      <w:lang w:eastAsia="zh-CN"/>
                    </w:rPr>
                  </w:pPr>
                  <w:r>
                    <w:rPr>
                      <w:rFonts w:hint="eastAsia"/>
                      <w:color w:val="auto"/>
                      <w:kern w:val="0"/>
                      <w:szCs w:val="21"/>
                    </w:rPr>
                    <w:t>柴油</w:t>
                  </w:r>
                  <w:r>
                    <w:rPr>
                      <w:rFonts w:hint="eastAsia"/>
                      <w:color w:val="auto"/>
                      <w:kern w:val="0"/>
                      <w:szCs w:val="21"/>
                      <w:lang w:val="en-US" w:eastAsia="zh-CN"/>
                    </w:rPr>
                    <w:t>储存</w:t>
                  </w:r>
                </w:p>
              </w:tc>
              <w:tc>
                <w:tcPr>
                  <w:tcW w:w="3249" w:type="pct"/>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一台</w:t>
                  </w:r>
                  <w:r>
                    <w:rPr>
                      <w:rFonts w:hint="eastAsia"/>
                      <w:color w:val="auto"/>
                      <w:kern w:val="0"/>
                      <w:szCs w:val="21"/>
                    </w:rPr>
                    <w:t>双层</w:t>
                  </w:r>
                  <w:r>
                    <w:rPr>
                      <w:rFonts w:hint="eastAsia"/>
                      <w:color w:val="auto"/>
                      <w:kern w:val="0"/>
                      <w:szCs w:val="21"/>
                      <w:lang w:val="en-US" w:eastAsia="zh-CN"/>
                    </w:rPr>
                    <w:t>地埋柴油储罐，</w:t>
                  </w:r>
                  <w:r>
                    <w:rPr>
                      <w:rFonts w:hint="eastAsia"/>
                      <w:color w:val="auto"/>
                      <w:kern w:val="0"/>
                      <w:szCs w:val="21"/>
                    </w:rPr>
                    <w:t>位于现场混装炸药生产区，容积50m</w:t>
                  </w:r>
                  <w:r>
                    <w:rPr>
                      <w:rFonts w:hint="eastAsia"/>
                      <w:color w:val="auto"/>
                      <w:kern w:val="0"/>
                      <w:szCs w:val="21"/>
                      <w:vertAlign w:val="superscript"/>
                    </w:rPr>
                    <w:t>3</w:t>
                  </w:r>
                  <w:r>
                    <w:rPr>
                      <w:rFonts w:hint="eastAsia"/>
                      <w:color w:val="auto"/>
                      <w:kern w:val="0"/>
                      <w:szCs w:val="21"/>
                    </w:rPr>
                    <w:t>；</w:t>
                  </w:r>
                  <w:r>
                    <w:rPr>
                      <w:rFonts w:hint="eastAsia"/>
                      <w:color w:val="auto"/>
                      <w:kern w:val="0"/>
                      <w:szCs w:val="21"/>
                      <w:lang w:val="en-US" w:eastAsia="zh-CN"/>
                    </w:rPr>
                    <w:t>另有一套撬装加油装置，储罐为双层储罐，</w:t>
                  </w:r>
                  <w:r>
                    <w:rPr>
                      <w:rFonts w:hint="eastAsia"/>
                      <w:color w:val="auto"/>
                      <w:kern w:val="0"/>
                      <w:szCs w:val="21"/>
                    </w:rPr>
                    <w:t>容积50m</w:t>
                  </w:r>
                  <w:r>
                    <w:rPr>
                      <w:rFonts w:hint="eastAsia"/>
                      <w:color w:val="auto"/>
                      <w:kern w:val="0"/>
                      <w:szCs w:val="21"/>
                      <w:vertAlign w:val="superscript"/>
                    </w:rPr>
                    <w:t>3</w:t>
                  </w:r>
                </w:p>
              </w:tc>
              <w:tc>
                <w:tcPr>
                  <w:tcW w:w="856" w:type="pct"/>
                  <w:vAlign w:val="center"/>
                </w:tcPr>
                <w:p>
                  <w:pPr>
                    <w:widowControl/>
                    <w:jc w:val="center"/>
                    <w:rPr>
                      <w:color w:val="auto"/>
                      <w:kern w:val="0"/>
                      <w:szCs w:val="21"/>
                    </w:rPr>
                  </w:pPr>
                  <w:r>
                    <w:rPr>
                      <w:rFonts w:hint="eastAsia"/>
                      <w:color w:val="auto"/>
                      <w:kern w:val="0"/>
                      <w:szCs w:val="21"/>
                    </w:rPr>
                    <w:t>依托现有</w:t>
                  </w:r>
                </w:p>
              </w:tc>
            </w:tr>
          </w:tbl>
          <w:p>
            <w:pPr>
              <w:adjustRightInd w:val="0"/>
              <w:snapToGrid w:val="0"/>
              <w:spacing w:line="520" w:lineRule="exact"/>
              <w:ind w:firstLine="482" w:firstLineChars="200"/>
              <w:rPr>
                <w:b/>
                <w:bCs/>
                <w:color w:val="auto"/>
                <w:sz w:val="24"/>
              </w:rPr>
            </w:pPr>
            <w:r>
              <w:rPr>
                <w:rFonts w:hint="eastAsia"/>
                <w:b/>
                <w:bCs/>
                <w:color w:val="auto"/>
                <w:sz w:val="24"/>
              </w:rPr>
              <w:t>4、主要产品</w:t>
            </w:r>
          </w:p>
          <w:p>
            <w:pPr>
              <w:adjustRightInd w:val="0"/>
              <w:snapToGrid w:val="0"/>
              <w:spacing w:line="520" w:lineRule="exact"/>
              <w:ind w:firstLine="480" w:firstLineChars="200"/>
              <w:rPr>
                <w:color w:val="auto"/>
                <w:sz w:val="24"/>
              </w:rPr>
            </w:pPr>
            <w:r>
              <w:rPr>
                <w:rFonts w:hint="eastAsia"/>
                <w:color w:val="auto"/>
                <w:sz w:val="24"/>
              </w:rPr>
              <w:t>现有现场混装多孔粒状铵油炸药产能为7200吨/年，本次扩能新增产能18800吨/年，扩能后全厂产能为26000吨/年现场混装多孔粒状铵油炸药</w:t>
            </w:r>
            <w:r>
              <w:rPr>
                <w:color w:val="auto"/>
                <w:sz w:val="24"/>
              </w:rPr>
              <w:t>。</w:t>
            </w:r>
          </w:p>
          <w:p>
            <w:pPr>
              <w:pStyle w:val="36"/>
              <w:rPr>
                <w:color w:val="auto"/>
              </w:rPr>
            </w:pPr>
            <w:r>
              <w:rPr>
                <w:rFonts w:hint="eastAsia"/>
                <w:color w:val="auto"/>
              </w:rPr>
              <w:t>表2-2  多孔粒状铵油炸药组分</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41"/>
              <w:gridCol w:w="2903"/>
              <w:gridCol w:w="23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92" w:type="dxa"/>
                  <w:vAlign w:val="center"/>
                </w:tcPr>
                <w:p>
                  <w:pPr>
                    <w:pStyle w:val="14"/>
                    <w:adjustRightInd w:val="0"/>
                    <w:snapToGrid w:val="0"/>
                    <w:spacing w:after="0"/>
                    <w:ind w:left="0" w:leftChars="0"/>
                    <w:jc w:val="center"/>
                    <w:rPr>
                      <w:bCs/>
                      <w:color w:val="auto"/>
                      <w:sz w:val="21"/>
                      <w:szCs w:val="21"/>
                    </w:rPr>
                  </w:pPr>
                  <w:r>
                    <w:rPr>
                      <w:bCs/>
                      <w:color w:val="auto"/>
                      <w:sz w:val="21"/>
                      <w:szCs w:val="21"/>
                    </w:rPr>
                    <w:t>项目</w:t>
                  </w:r>
                </w:p>
              </w:tc>
              <w:tc>
                <w:tcPr>
                  <w:tcW w:w="3128" w:type="dxa"/>
                  <w:vAlign w:val="center"/>
                </w:tcPr>
                <w:p>
                  <w:pPr>
                    <w:pStyle w:val="14"/>
                    <w:adjustRightInd w:val="0"/>
                    <w:snapToGrid w:val="0"/>
                    <w:spacing w:after="0"/>
                    <w:ind w:left="0" w:leftChars="0"/>
                    <w:jc w:val="center"/>
                    <w:rPr>
                      <w:bCs/>
                      <w:color w:val="auto"/>
                      <w:sz w:val="21"/>
                      <w:szCs w:val="21"/>
                    </w:rPr>
                  </w:pPr>
                  <w:r>
                    <w:rPr>
                      <w:rFonts w:hint="eastAsia"/>
                      <w:bCs/>
                      <w:color w:val="auto"/>
                      <w:sz w:val="21"/>
                      <w:szCs w:val="21"/>
                    </w:rPr>
                    <w:t>硝酸铵</w:t>
                  </w:r>
                  <w:r>
                    <w:rPr>
                      <w:bCs/>
                      <w:color w:val="auto"/>
                      <w:sz w:val="21"/>
                      <w:szCs w:val="21"/>
                    </w:rPr>
                    <w:t>（</w:t>
                  </w:r>
                  <w:r>
                    <w:rPr>
                      <w:rFonts w:hint="eastAsia"/>
                      <w:bCs/>
                      <w:color w:val="auto"/>
                      <w:sz w:val="21"/>
                      <w:szCs w:val="21"/>
                    </w:rPr>
                    <w:t>%</w:t>
                  </w:r>
                  <w:r>
                    <w:rPr>
                      <w:bCs/>
                      <w:color w:val="auto"/>
                      <w:sz w:val="21"/>
                      <w:szCs w:val="21"/>
                    </w:rPr>
                    <w:t>）</w:t>
                  </w:r>
                </w:p>
              </w:tc>
              <w:tc>
                <w:tcPr>
                  <w:tcW w:w="2551" w:type="dxa"/>
                  <w:vAlign w:val="center"/>
                </w:tcPr>
                <w:p>
                  <w:pPr>
                    <w:pStyle w:val="14"/>
                    <w:adjustRightInd w:val="0"/>
                    <w:snapToGrid w:val="0"/>
                    <w:spacing w:after="0"/>
                    <w:ind w:left="0" w:leftChars="0"/>
                    <w:jc w:val="center"/>
                    <w:rPr>
                      <w:bCs/>
                      <w:color w:val="auto"/>
                      <w:sz w:val="21"/>
                      <w:szCs w:val="21"/>
                    </w:rPr>
                  </w:pPr>
                  <w:r>
                    <w:rPr>
                      <w:rFonts w:hint="eastAsia"/>
                      <w:bCs/>
                      <w:color w:val="auto"/>
                      <w:sz w:val="21"/>
                      <w:szCs w:val="21"/>
                    </w:rPr>
                    <w:t>柴油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392" w:type="dxa"/>
                  <w:vAlign w:val="center"/>
                </w:tcPr>
                <w:p>
                  <w:pPr>
                    <w:pStyle w:val="14"/>
                    <w:adjustRightInd w:val="0"/>
                    <w:snapToGrid w:val="0"/>
                    <w:spacing w:after="0"/>
                    <w:ind w:left="0" w:leftChars="0"/>
                    <w:jc w:val="center"/>
                    <w:rPr>
                      <w:bCs/>
                      <w:color w:val="auto"/>
                      <w:sz w:val="21"/>
                      <w:szCs w:val="21"/>
                    </w:rPr>
                  </w:pPr>
                  <w:r>
                    <w:rPr>
                      <w:rFonts w:hint="eastAsia"/>
                      <w:bCs/>
                      <w:color w:val="auto"/>
                      <w:sz w:val="21"/>
                      <w:szCs w:val="21"/>
                    </w:rPr>
                    <w:t>配比（%）</w:t>
                  </w:r>
                </w:p>
              </w:tc>
              <w:tc>
                <w:tcPr>
                  <w:tcW w:w="3128" w:type="dxa"/>
                  <w:vAlign w:val="center"/>
                </w:tcPr>
                <w:p>
                  <w:pPr>
                    <w:pStyle w:val="14"/>
                    <w:adjustRightInd w:val="0"/>
                    <w:snapToGrid w:val="0"/>
                    <w:spacing w:after="0"/>
                    <w:ind w:left="0" w:leftChars="0"/>
                    <w:jc w:val="center"/>
                    <w:rPr>
                      <w:bCs/>
                      <w:color w:val="auto"/>
                      <w:sz w:val="21"/>
                      <w:szCs w:val="21"/>
                    </w:rPr>
                  </w:pPr>
                  <w:r>
                    <w:rPr>
                      <w:rFonts w:hint="eastAsia"/>
                      <w:bCs/>
                      <w:color w:val="auto"/>
                      <w:sz w:val="21"/>
                      <w:szCs w:val="21"/>
                    </w:rPr>
                    <w:t>94~95</w:t>
                  </w:r>
                </w:p>
              </w:tc>
              <w:tc>
                <w:tcPr>
                  <w:tcW w:w="2551" w:type="dxa"/>
                  <w:vAlign w:val="center"/>
                </w:tcPr>
                <w:p>
                  <w:pPr>
                    <w:pStyle w:val="14"/>
                    <w:adjustRightInd w:val="0"/>
                    <w:snapToGrid w:val="0"/>
                    <w:spacing w:after="0"/>
                    <w:ind w:left="0" w:leftChars="0"/>
                    <w:jc w:val="center"/>
                    <w:rPr>
                      <w:bCs/>
                      <w:color w:val="auto"/>
                      <w:sz w:val="21"/>
                      <w:szCs w:val="21"/>
                    </w:rPr>
                  </w:pPr>
                  <w:r>
                    <w:rPr>
                      <w:rFonts w:hint="eastAsia"/>
                      <w:bCs/>
                      <w:color w:val="auto"/>
                      <w:sz w:val="21"/>
                      <w:szCs w:val="21"/>
                    </w:rPr>
                    <w:t>5~6</w:t>
                  </w:r>
                </w:p>
              </w:tc>
            </w:tr>
          </w:tbl>
          <w:p>
            <w:pPr>
              <w:pStyle w:val="36"/>
              <w:rPr>
                <w:color w:val="auto"/>
              </w:rPr>
            </w:pPr>
            <w:r>
              <w:rPr>
                <w:color w:val="auto"/>
              </w:rPr>
              <w:t>表</w:t>
            </w:r>
            <w:r>
              <w:rPr>
                <w:rFonts w:hint="eastAsia"/>
                <w:color w:val="auto"/>
              </w:rPr>
              <w:t xml:space="preserve">2-3  </w:t>
            </w:r>
            <w:r>
              <w:rPr>
                <w:color w:val="auto"/>
              </w:rPr>
              <w:t>产品性能表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2049"/>
              <w:gridCol w:w="953"/>
              <w:gridCol w:w="1495"/>
              <w:gridCol w:w="3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56" w:type="pct"/>
                  <w:vAlign w:val="center"/>
                </w:tcPr>
                <w:p>
                  <w:pPr>
                    <w:pStyle w:val="35"/>
                    <w:bidi w:val="0"/>
                    <w:rPr>
                      <w:color w:val="auto"/>
                    </w:rPr>
                  </w:pPr>
                  <w:r>
                    <w:rPr>
                      <w:color w:val="auto"/>
                    </w:rPr>
                    <w:t>序号</w:t>
                  </w:r>
                </w:p>
              </w:tc>
              <w:tc>
                <w:tcPr>
                  <w:tcW w:w="1789" w:type="pct"/>
                  <w:gridSpan w:val="2"/>
                  <w:vAlign w:val="center"/>
                </w:tcPr>
                <w:p>
                  <w:pPr>
                    <w:pStyle w:val="35"/>
                    <w:bidi w:val="0"/>
                    <w:rPr>
                      <w:color w:val="auto"/>
                    </w:rPr>
                  </w:pPr>
                  <w:r>
                    <w:rPr>
                      <w:color w:val="auto"/>
                    </w:rPr>
                    <w:t>项  目</w:t>
                  </w:r>
                </w:p>
              </w:tc>
              <w:tc>
                <w:tcPr>
                  <w:tcW w:w="891" w:type="pct"/>
                  <w:vAlign w:val="center"/>
                </w:tcPr>
                <w:p>
                  <w:pPr>
                    <w:pStyle w:val="35"/>
                    <w:bidi w:val="0"/>
                    <w:rPr>
                      <w:color w:val="auto"/>
                    </w:rPr>
                  </w:pPr>
                  <w:r>
                    <w:rPr>
                      <w:color w:val="auto"/>
                    </w:rPr>
                    <w:t>单  位</w:t>
                  </w:r>
                </w:p>
              </w:tc>
              <w:tc>
                <w:tcPr>
                  <w:tcW w:w="1864" w:type="pct"/>
                  <w:vAlign w:val="center"/>
                </w:tcPr>
                <w:p>
                  <w:pPr>
                    <w:pStyle w:val="35"/>
                    <w:bidi w:val="0"/>
                    <w:rPr>
                      <w:color w:val="auto"/>
                    </w:rPr>
                  </w:pPr>
                  <w:r>
                    <w:rPr>
                      <w:color w:val="auto"/>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56" w:type="pct"/>
                </w:tcPr>
                <w:p>
                  <w:pPr>
                    <w:pStyle w:val="35"/>
                    <w:bidi w:val="0"/>
                    <w:rPr>
                      <w:color w:val="auto"/>
                    </w:rPr>
                  </w:pPr>
                  <w:r>
                    <w:rPr>
                      <w:color w:val="auto"/>
                    </w:rPr>
                    <w:t>1</w:t>
                  </w:r>
                </w:p>
              </w:tc>
              <w:tc>
                <w:tcPr>
                  <w:tcW w:w="1789" w:type="pct"/>
                  <w:gridSpan w:val="2"/>
                </w:tcPr>
                <w:p>
                  <w:pPr>
                    <w:pStyle w:val="35"/>
                    <w:bidi w:val="0"/>
                    <w:rPr>
                      <w:color w:val="auto"/>
                    </w:rPr>
                  </w:pPr>
                  <w:r>
                    <w:rPr>
                      <w:color w:val="auto"/>
                    </w:rPr>
                    <w:t>水分</w:t>
                  </w:r>
                </w:p>
              </w:tc>
              <w:tc>
                <w:tcPr>
                  <w:tcW w:w="891" w:type="pct"/>
                </w:tcPr>
                <w:p>
                  <w:pPr>
                    <w:pStyle w:val="35"/>
                    <w:bidi w:val="0"/>
                    <w:rPr>
                      <w:color w:val="auto"/>
                    </w:rPr>
                  </w:pPr>
                  <w:r>
                    <w:rPr>
                      <w:color w:val="auto"/>
                    </w:rPr>
                    <w:t>%</w:t>
                  </w:r>
                </w:p>
              </w:tc>
              <w:tc>
                <w:tcPr>
                  <w:tcW w:w="1864" w:type="pct"/>
                  <w:vAlign w:val="center"/>
                </w:tcPr>
                <w:p>
                  <w:pPr>
                    <w:pStyle w:val="35"/>
                    <w:bidi w:val="0"/>
                    <w:rPr>
                      <w:color w:val="auto"/>
                    </w:rPr>
                  </w:pPr>
                  <w:r>
                    <w:rPr>
                      <w:color w:val="auto"/>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56" w:type="pct"/>
                </w:tcPr>
                <w:p>
                  <w:pPr>
                    <w:pStyle w:val="35"/>
                    <w:bidi w:val="0"/>
                    <w:rPr>
                      <w:color w:val="auto"/>
                    </w:rPr>
                  </w:pPr>
                  <w:r>
                    <w:rPr>
                      <w:color w:val="auto"/>
                    </w:rPr>
                    <w:t>2</w:t>
                  </w:r>
                </w:p>
              </w:tc>
              <w:tc>
                <w:tcPr>
                  <w:tcW w:w="1789" w:type="pct"/>
                  <w:gridSpan w:val="2"/>
                </w:tcPr>
                <w:p>
                  <w:pPr>
                    <w:pStyle w:val="35"/>
                    <w:bidi w:val="0"/>
                    <w:rPr>
                      <w:color w:val="auto"/>
                    </w:rPr>
                  </w:pPr>
                  <w:r>
                    <w:rPr>
                      <w:color w:val="auto"/>
                    </w:rPr>
                    <w:t>爆速</w:t>
                  </w:r>
                </w:p>
              </w:tc>
              <w:tc>
                <w:tcPr>
                  <w:tcW w:w="891" w:type="pct"/>
                </w:tcPr>
                <w:p>
                  <w:pPr>
                    <w:pStyle w:val="35"/>
                    <w:bidi w:val="0"/>
                    <w:rPr>
                      <w:color w:val="auto"/>
                    </w:rPr>
                  </w:pPr>
                  <w:r>
                    <w:rPr>
                      <w:color w:val="auto"/>
                    </w:rPr>
                    <w:t>m/s</w:t>
                  </w:r>
                </w:p>
              </w:tc>
              <w:tc>
                <w:tcPr>
                  <w:tcW w:w="1864" w:type="pct"/>
                  <w:vAlign w:val="center"/>
                </w:tcPr>
                <w:p>
                  <w:pPr>
                    <w:pStyle w:val="35"/>
                    <w:bidi w:val="0"/>
                    <w:rPr>
                      <w:color w:val="auto"/>
                    </w:rPr>
                  </w:pPr>
                  <w:r>
                    <w:rPr>
                      <w:color w:val="auto"/>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56" w:type="pct"/>
                </w:tcPr>
                <w:p>
                  <w:pPr>
                    <w:pStyle w:val="35"/>
                    <w:bidi w:val="0"/>
                    <w:rPr>
                      <w:color w:val="auto"/>
                    </w:rPr>
                  </w:pPr>
                  <w:r>
                    <w:rPr>
                      <w:color w:val="auto"/>
                    </w:rPr>
                    <w:t>3</w:t>
                  </w:r>
                </w:p>
              </w:tc>
              <w:tc>
                <w:tcPr>
                  <w:tcW w:w="1789" w:type="pct"/>
                  <w:gridSpan w:val="2"/>
                </w:tcPr>
                <w:p>
                  <w:pPr>
                    <w:pStyle w:val="35"/>
                    <w:bidi w:val="0"/>
                    <w:rPr>
                      <w:color w:val="auto"/>
                    </w:rPr>
                  </w:pPr>
                  <w:r>
                    <w:rPr>
                      <w:color w:val="auto"/>
                    </w:rPr>
                    <w:t>猛度</w:t>
                  </w:r>
                </w:p>
              </w:tc>
              <w:tc>
                <w:tcPr>
                  <w:tcW w:w="891" w:type="pct"/>
                </w:tcPr>
                <w:p>
                  <w:pPr>
                    <w:pStyle w:val="35"/>
                    <w:bidi w:val="0"/>
                    <w:rPr>
                      <w:color w:val="auto"/>
                    </w:rPr>
                  </w:pPr>
                  <w:r>
                    <w:rPr>
                      <w:color w:val="auto"/>
                    </w:rPr>
                    <w:t>mm</w:t>
                  </w:r>
                </w:p>
              </w:tc>
              <w:tc>
                <w:tcPr>
                  <w:tcW w:w="1864" w:type="pct"/>
                </w:tcPr>
                <w:p>
                  <w:pPr>
                    <w:pStyle w:val="35"/>
                    <w:bidi w:val="0"/>
                    <w:rPr>
                      <w:color w:val="auto"/>
                    </w:rPr>
                  </w:pPr>
                  <w:r>
                    <w:rPr>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atLeast"/>
                <w:jc w:val="center"/>
              </w:trPr>
              <w:tc>
                <w:tcPr>
                  <w:tcW w:w="456" w:type="pct"/>
                </w:tcPr>
                <w:p>
                  <w:pPr>
                    <w:pStyle w:val="35"/>
                    <w:bidi w:val="0"/>
                    <w:rPr>
                      <w:color w:val="auto"/>
                    </w:rPr>
                  </w:pPr>
                  <w:r>
                    <w:rPr>
                      <w:color w:val="auto"/>
                    </w:rPr>
                    <w:t>4</w:t>
                  </w:r>
                </w:p>
              </w:tc>
              <w:tc>
                <w:tcPr>
                  <w:tcW w:w="1789" w:type="pct"/>
                  <w:gridSpan w:val="2"/>
                </w:tcPr>
                <w:p>
                  <w:pPr>
                    <w:pStyle w:val="35"/>
                    <w:bidi w:val="0"/>
                    <w:rPr>
                      <w:color w:val="auto"/>
                    </w:rPr>
                  </w:pPr>
                  <w:r>
                    <w:rPr>
                      <w:color w:val="auto"/>
                    </w:rPr>
                    <w:t>作功能力</w:t>
                  </w:r>
                </w:p>
              </w:tc>
              <w:tc>
                <w:tcPr>
                  <w:tcW w:w="891" w:type="pct"/>
                </w:tcPr>
                <w:p>
                  <w:pPr>
                    <w:pStyle w:val="35"/>
                    <w:bidi w:val="0"/>
                    <w:rPr>
                      <w:color w:val="auto"/>
                    </w:rPr>
                  </w:pPr>
                  <w:r>
                    <w:rPr>
                      <w:color w:val="auto"/>
                    </w:rPr>
                    <w:t>mL</w:t>
                  </w:r>
                </w:p>
              </w:tc>
              <w:tc>
                <w:tcPr>
                  <w:tcW w:w="1864" w:type="pct"/>
                </w:tcPr>
                <w:p>
                  <w:pPr>
                    <w:pStyle w:val="35"/>
                    <w:bidi w:val="0"/>
                    <w:rPr>
                      <w:color w:val="auto"/>
                    </w:rPr>
                  </w:pPr>
                  <w:r>
                    <w:rPr>
                      <w:color w:val="auto"/>
                    </w:rPr>
                    <w:t>≥278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56" w:type="pct"/>
                </w:tcPr>
                <w:p>
                  <w:pPr>
                    <w:pStyle w:val="35"/>
                    <w:bidi w:val="0"/>
                    <w:rPr>
                      <w:color w:val="auto"/>
                    </w:rPr>
                  </w:pPr>
                  <w:r>
                    <w:rPr>
                      <w:color w:val="auto"/>
                    </w:rPr>
                    <w:t>5</w:t>
                  </w:r>
                </w:p>
              </w:tc>
              <w:tc>
                <w:tcPr>
                  <w:tcW w:w="1789" w:type="pct"/>
                  <w:gridSpan w:val="2"/>
                </w:tcPr>
                <w:p>
                  <w:pPr>
                    <w:pStyle w:val="35"/>
                    <w:bidi w:val="0"/>
                    <w:rPr>
                      <w:color w:val="auto"/>
                    </w:rPr>
                  </w:pPr>
                  <w:r>
                    <w:rPr>
                      <w:color w:val="auto"/>
                    </w:rPr>
                    <w:t>炸药有效期</w:t>
                  </w:r>
                </w:p>
              </w:tc>
              <w:tc>
                <w:tcPr>
                  <w:tcW w:w="891" w:type="pct"/>
                </w:tcPr>
                <w:p>
                  <w:pPr>
                    <w:pStyle w:val="35"/>
                    <w:bidi w:val="0"/>
                    <w:rPr>
                      <w:color w:val="auto"/>
                    </w:rPr>
                  </w:pPr>
                  <w:r>
                    <w:rPr>
                      <w:color w:val="auto"/>
                    </w:rPr>
                    <w:t>d</w:t>
                  </w:r>
                </w:p>
              </w:tc>
              <w:tc>
                <w:tcPr>
                  <w:tcW w:w="1864" w:type="pct"/>
                </w:tcPr>
                <w:p>
                  <w:pPr>
                    <w:pStyle w:val="35"/>
                    <w:bidi w:val="0"/>
                    <w:rPr>
                      <w:rFonts w:hint="default"/>
                      <w:color w:val="auto"/>
                      <w:lang w:val="en-US" w:eastAsia="zh-CN"/>
                    </w:rPr>
                  </w:pPr>
                  <w:r>
                    <w:rPr>
                      <w:rFonts w:hint="eastAsia"/>
                      <w:color w:val="auto"/>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56" w:type="pct"/>
                </w:tcPr>
                <w:p>
                  <w:pPr>
                    <w:pStyle w:val="35"/>
                    <w:bidi w:val="0"/>
                    <w:rPr>
                      <w:color w:val="auto"/>
                    </w:rPr>
                  </w:pPr>
                  <w:r>
                    <w:rPr>
                      <w:color w:val="auto"/>
                    </w:rPr>
                    <w:t>6</w:t>
                  </w:r>
                </w:p>
              </w:tc>
              <w:tc>
                <w:tcPr>
                  <w:tcW w:w="1221" w:type="pct"/>
                  <w:vMerge w:val="restart"/>
                  <w:vAlign w:val="center"/>
                </w:tcPr>
                <w:p>
                  <w:pPr>
                    <w:pStyle w:val="35"/>
                    <w:bidi w:val="0"/>
                    <w:rPr>
                      <w:color w:val="auto"/>
                    </w:rPr>
                  </w:pPr>
                  <w:r>
                    <w:rPr>
                      <w:color w:val="auto"/>
                    </w:rPr>
                    <w:t>炸药有效期内</w:t>
                  </w:r>
                </w:p>
              </w:tc>
              <w:tc>
                <w:tcPr>
                  <w:tcW w:w="568" w:type="pct"/>
                </w:tcPr>
                <w:p>
                  <w:pPr>
                    <w:pStyle w:val="35"/>
                    <w:bidi w:val="0"/>
                    <w:rPr>
                      <w:color w:val="auto"/>
                    </w:rPr>
                  </w:pPr>
                  <w:r>
                    <w:rPr>
                      <w:color w:val="auto"/>
                    </w:rPr>
                    <w:t>水分</w:t>
                  </w:r>
                </w:p>
              </w:tc>
              <w:tc>
                <w:tcPr>
                  <w:tcW w:w="891" w:type="pct"/>
                </w:tcPr>
                <w:p>
                  <w:pPr>
                    <w:pStyle w:val="35"/>
                    <w:bidi w:val="0"/>
                    <w:rPr>
                      <w:color w:val="auto"/>
                    </w:rPr>
                  </w:pPr>
                  <w:r>
                    <w:rPr>
                      <w:color w:val="auto"/>
                    </w:rPr>
                    <w:t>%</w:t>
                  </w:r>
                </w:p>
              </w:tc>
              <w:tc>
                <w:tcPr>
                  <w:tcW w:w="1864" w:type="pct"/>
                  <w:vAlign w:val="center"/>
                </w:tcPr>
                <w:p>
                  <w:pPr>
                    <w:pStyle w:val="35"/>
                    <w:bidi w:val="0"/>
                    <w:rPr>
                      <w:color w:val="auto"/>
                    </w:rPr>
                  </w:pPr>
                  <w:r>
                    <w:rPr>
                      <w:color w:val="auto"/>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56" w:type="pct"/>
                </w:tcPr>
                <w:p>
                  <w:pPr>
                    <w:pStyle w:val="35"/>
                    <w:bidi w:val="0"/>
                    <w:rPr>
                      <w:color w:val="auto"/>
                    </w:rPr>
                  </w:pPr>
                  <w:r>
                    <w:rPr>
                      <w:color w:val="auto"/>
                    </w:rPr>
                    <w:t>7</w:t>
                  </w:r>
                </w:p>
              </w:tc>
              <w:tc>
                <w:tcPr>
                  <w:tcW w:w="1221" w:type="pct"/>
                  <w:vMerge w:val="continue"/>
                </w:tcPr>
                <w:p>
                  <w:pPr>
                    <w:pStyle w:val="35"/>
                    <w:bidi w:val="0"/>
                    <w:rPr>
                      <w:color w:val="auto"/>
                    </w:rPr>
                  </w:pPr>
                </w:p>
              </w:tc>
              <w:tc>
                <w:tcPr>
                  <w:tcW w:w="568" w:type="pct"/>
                </w:tcPr>
                <w:p>
                  <w:pPr>
                    <w:pStyle w:val="35"/>
                    <w:bidi w:val="0"/>
                    <w:rPr>
                      <w:color w:val="auto"/>
                    </w:rPr>
                  </w:pPr>
                  <w:r>
                    <w:rPr>
                      <w:color w:val="auto"/>
                    </w:rPr>
                    <w:t>爆速</w:t>
                  </w:r>
                </w:p>
              </w:tc>
              <w:tc>
                <w:tcPr>
                  <w:tcW w:w="891" w:type="pct"/>
                </w:tcPr>
                <w:p>
                  <w:pPr>
                    <w:pStyle w:val="35"/>
                    <w:bidi w:val="0"/>
                    <w:rPr>
                      <w:color w:val="auto"/>
                    </w:rPr>
                  </w:pPr>
                  <w:r>
                    <w:rPr>
                      <w:color w:val="auto"/>
                    </w:rPr>
                    <w:t>m/s</w:t>
                  </w:r>
                </w:p>
              </w:tc>
              <w:tc>
                <w:tcPr>
                  <w:tcW w:w="1864" w:type="pct"/>
                  <w:vAlign w:val="center"/>
                </w:tcPr>
                <w:p>
                  <w:pPr>
                    <w:pStyle w:val="35"/>
                    <w:bidi w:val="0"/>
                    <w:rPr>
                      <w:color w:val="auto"/>
                    </w:rPr>
                  </w:pPr>
                  <w:r>
                    <w:rPr>
                      <w:color w:val="auto"/>
                    </w:rPr>
                    <w:t>≥2500</w:t>
                  </w:r>
                </w:p>
              </w:tc>
            </w:tr>
          </w:tbl>
          <w:p>
            <w:pPr>
              <w:pStyle w:val="7"/>
              <w:keepNext/>
              <w:keepLines/>
              <w:pageBreakBefore w:val="0"/>
              <w:widowControl w:val="0"/>
              <w:numPr>
                <w:ilvl w:val="3"/>
                <w:numId w:val="0"/>
              </w:numPr>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color w:val="auto"/>
                <w:kern w:val="2"/>
                <w:sz w:val="24"/>
                <w:szCs w:val="24"/>
                <w:lang w:val="en-US" w:eastAsia="zh-CN" w:bidi="ar-SA"/>
              </w:rPr>
            </w:pPr>
            <w:bookmarkStart w:id="2" w:name="_Toc483987622"/>
            <w:bookmarkStart w:id="3" w:name="_Toc483985623"/>
            <w:r>
              <w:rPr>
                <w:rFonts w:hint="eastAsia" w:ascii="Times New Roman" w:hAnsi="Times New Roman" w:eastAsia="宋体" w:cs="Times New Roman"/>
                <w:color w:val="auto"/>
                <w:kern w:val="2"/>
                <w:sz w:val="24"/>
                <w:szCs w:val="24"/>
                <w:lang w:val="en-US" w:eastAsia="zh-CN" w:bidi="ar-SA"/>
              </w:rPr>
              <w:t>产品执行标准参照《工业炸药通用技术条件》（GB28286-2012）</w:t>
            </w:r>
            <w:bookmarkEnd w:id="2"/>
            <w:bookmarkEnd w:id="3"/>
            <w:bookmarkStart w:id="4" w:name="_Toc483987623"/>
            <w:bookmarkStart w:id="5" w:name="_Toc483985624"/>
            <w:r>
              <w:rPr>
                <w:rFonts w:hint="eastAsia" w:ascii="Times New Roman" w:hAnsi="Times New Roman"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公司制定</w:t>
            </w:r>
            <w:r>
              <w:rPr>
                <w:rFonts w:hint="eastAsia" w:ascii="Times New Roman" w:hAnsi="Times New Roman" w:cs="Times New Roman"/>
                <w:color w:val="auto"/>
                <w:kern w:val="2"/>
                <w:sz w:val="24"/>
                <w:szCs w:val="24"/>
                <w:lang w:val="en-US" w:eastAsia="zh-CN" w:bidi="ar-SA"/>
              </w:rPr>
              <w:t>有</w:t>
            </w:r>
            <w:r>
              <w:rPr>
                <w:rFonts w:hint="eastAsia" w:ascii="Times New Roman" w:hAnsi="Times New Roman" w:eastAsia="宋体" w:cs="Times New Roman"/>
                <w:color w:val="auto"/>
                <w:kern w:val="2"/>
                <w:sz w:val="24"/>
                <w:szCs w:val="24"/>
                <w:lang w:val="en-US" w:eastAsia="zh-CN" w:bidi="ar-SA"/>
              </w:rPr>
              <w:t>企业相应的产品标准。</w:t>
            </w:r>
            <w:bookmarkEnd w:id="4"/>
            <w:bookmarkEnd w:id="5"/>
          </w:p>
          <w:p>
            <w:pPr>
              <w:adjustRightInd w:val="0"/>
              <w:snapToGrid w:val="0"/>
              <w:spacing w:line="520" w:lineRule="exact"/>
              <w:ind w:firstLine="482" w:firstLineChars="200"/>
              <w:rPr>
                <w:b/>
                <w:bCs/>
                <w:color w:val="auto"/>
                <w:sz w:val="24"/>
              </w:rPr>
            </w:pPr>
            <w:r>
              <w:rPr>
                <w:rFonts w:hint="eastAsia"/>
                <w:b/>
                <w:bCs/>
                <w:color w:val="auto"/>
                <w:sz w:val="24"/>
              </w:rPr>
              <w:t>5</w:t>
            </w:r>
            <w:r>
              <w:rPr>
                <w:b/>
                <w:bCs/>
                <w:color w:val="auto"/>
                <w:sz w:val="24"/>
              </w:rPr>
              <w:t>、</w:t>
            </w:r>
            <w:r>
              <w:rPr>
                <w:rFonts w:hint="eastAsia"/>
                <w:b/>
                <w:bCs/>
                <w:color w:val="auto"/>
                <w:sz w:val="24"/>
              </w:rPr>
              <w:t>主要生产单元及主要工艺</w:t>
            </w:r>
          </w:p>
          <w:p>
            <w:pPr>
              <w:adjustRightInd w:val="0"/>
              <w:snapToGrid w:val="0"/>
              <w:spacing w:line="520" w:lineRule="exact"/>
              <w:ind w:firstLine="482" w:firstLineChars="200"/>
              <w:rPr>
                <w:color w:val="auto"/>
                <w:sz w:val="24"/>
              </w:rPr>
            </w:pPr>
            <w:r>
              <w:rPr>
                <w:rFonts w:hint="eastAsia"/>
                <w:b/>
                <w:bCs/>
                <w:color w:val="auto"/>
                <w:sz w:val="24"/>
              </w:rPr>
              <w:t>主要生产单元</w:t>
            </w:r>
            <w:r>
              <w:rPr>
                <w:rFonts w:hint="eastAsia"/>
                <w:color w:val="auto"/>
                <w:sz w:val="24"/>
              </w:rPr>
              <w:t>：</w:t>
            </w:r>
            <w:r>
              <w:rPr>
                <w:rFonts w:hint="eastAsia"/>
                <w:color w:val="auto"/>
                <w:kern w:val="0"/>
                <w:sz w:val="24"/>
              </w:rPr>
              <w:t>多孔粒状硝酸铵装车工房</w:t>
            </w:r>
            <w:r>
              <w:rPr>
                <w:rFonts w:hint="eastAsia"/>
                <w:color w:val="auto"/>
                <w:sz w:val="24"/>
              </w:rPr>
              <w:t>。</w:t>
            </w:r>
          </w:p>
          <w:p>
            <w:pPr>
              <w:adjustRightInd w:val="0"/>
              <w:snapToGrid w:val="0"/>
              <w:spacing w:line="520" w:lineRule="exact"/>
              <w:ind w:firstLine="482" w:firstLineChars="200"/>
              <w:rPr>
                <w:b/>
                <w:bCs/>
                <w:color w:val="auto"/>
                <w:sz w:val="24"/>
              </w:rPr>
            </w:pPr>
            <w:r>
              <w:rPr>
                <w:rFonts w:hint="eastAsia"/>
                <w:b/>
                <w:bCs/>
                <w:color w:val="auto"/>
                <w:sz w:val="24"/>
              </w:rPr>
              <w:t>主要工艺：</w:t>
            </w:r>
            <w:r>
              <w:rPr>
                <w:rFonts w:hint="eastAsia"/>
                <w:color w:val="auto"/>
                <w:sz w:val="24"/>
              </w:rPr>
              <w:t>多孔粒状硝酸铵通过上料设备装至混装车内，柴油通过加油机输送至混装车中，拉往现场进行炸药混合填装。</w:t>
            </w:r>
          </w:p>
          <w:p>
            <w:pPr>
              <w:adjustRightInd w:val="0"/>
              <w:snapToGrid w:val="0"/>
              <w:spacing w:line="520" w:lineRule="exact"/>
              <w:ind w:firstLine="482" w:firstLineChars="200"/>
              <w:rPr>
                <w:b/>
                <w:bCs/>
                <w:color w:val="auto"/>
                <w:sz w:val="24"/>
              </w:rPr>
            </w:pPr>
            <w:r>
              <w:rPr>
                <w:rFonts w:hint="eastAsia"/>
                <w:b/>
                <w:bCs/>
                <w:color w:val="auto"/>
                <w:sz w:val="24"/>
              </w:rPr>
              <w:t>6、</w:t>
            </w:r>
            <w:r>
              <w:rPr>
                <w:b/>
                <w:bCs/>
                <w:color w:val="auto"/>
                <w:sz w:val="24"/>
              </w:rPr>
              <w:t>主要生产设备</w:t>
            </w:r>
          </w:p>
          <w:p>
            <w:pPr>
              <w:adjustRightInd w:val="0"/>
              <w:snapToGrid w:val="0"/>
              <w:spacing w:line="520" w:lineRule="exact"/>
              <w:ind w:firstLine="480" w:firstLineChars="200"/>
              <w:rPr>
                <w:bCs/>
                <w:color w:val="auto"/>
                <w:sz w:val="24"/>
              </w:rPr>
            </w:pPr>
            <w:r>
              <w:rPr>
                <w:bCs/>
                <w:color w:val="auto"/>
                <w:sz w:val="24"/>
              </w:rPr>
              <w:t>本项目主要生产设备详见表2-</w:t>
            </w:r>
            <w:r>
              <w:rPr>
                <w:rFonts w:hint="eastAsia"/>
                <w:bCs/>
                <w:color w:val="auto"/>
                <w:sz w:val="24"/>
              </w:rPr>
              <w:t>4</w:t>
            </w:r>
            <w:r>
              <w:rPr>
                <w:bCs/>
                <w:color w:val="auto"/>
                <w:sz w:val="24"/>
              </w:rPr>
              <w:t>。</w:t>
            </w:r>
          </w:p>
          <w:p>
            <w:pPr>
              <w:pStyle w:val="36"/>
              <w:rPr>
                <w:color w:val="auto"/>
              </w:rPr>
            </w:pPr>
            <w:r>
              <w:rPr>
                <w:color w:val="auto"/>
              </w:rPr>
              <w:t>表2-</w:t>
            </w:r>
            <w:r>
              <w:rPr>
                <w:rFonts w:hint="eastAsia"/>
                <w:color w:val="auto"/>
              </w:rPr>
              <w:t>4</w:t>
            </w:r>
            <w:r>
              <w:rPr>
                <w:color w:val="auto"/>
              </w:rPr>
              <w:t xml:space="preserve">  主要生产设备一览表</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30"/>
              <w:gridCol w:w="1274"/>
              <w:gridCol w:w="1057"/>
              <w:gridCol w:w="832"/>
              <w:gridCol w:w="832"/>
              <w:gridCol w:w="951"/>
              <w:gridCol w:w="951"/>
              <w:gridCol w:w="196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blHeader/>
                <w:jc w:val="center"/>
              </w:trPr>
              <w:tc>
                <w:tcPr>
                  <w:tcW w:w="316" w:type="pct"/>
                  <w:tcBorders>
                    <w:tl2br w:val="nil"/>
                    <w:tr2bl w:val="nil"/>
                  </w:tcBorders>
                  <w:shd w:val="clear" w:color="auto" w:fill="auto"/>
                  <w:vAlign w:val="center"/>
                </w:tcPr>
                <w:p>
                  <w:pPr>
                    <w:widowControl/>
                    <w:adjustRightInd w:val="0"/>
                    <w:snapToGrid w:val="0"/>
                    <w:jc w:val="center"/>
                    <w:rPr>
                      <w:bCs/>
                      <w:color w:val="auto"/>
                      <w:szCs w:val="21"/>
                    </w:rPr>
                  </w:pPr>
                  <w:r>
                    <w:rPr>
                      <w:bCs/>
                      <w:color w:val="auto"/>
                      <w:kern w:val="0"/>
                      <w:szCs w:val="21"/>
                      <w:lang w:bidi="ar"/>
                    </w:rPr>
                    <w:t>序号</w:t>
                  </w:r>
                </w:p>
              </w:tc>
              <w:tc>
                <w:tcPr>
                  <w:tcW w:w="759" w:type="pct"/>
                  <w:tcBorders>
                    <w:tl2br w:val="nil"/>
                    <w:tr2bl w:val="nil"/>
                  </w:tcBorders>
                  <w:shd w:val="clear" w:color="auto" w:fill="auto"/>
                  <w:vAlign w:val="center"/>
                </w:tcPr>
                <w:p>
                  <w:pPr>
                    <w:widowControl/>
                    <w:adjustRightInd w:val="0"/>
                    <w:snapToGrid w:val="0"/>
                    <w:jc w:val="center"/>
                    <w:rPr>
                      <w:bCs/>
                      <w:color w:val="auto"/>
                      <w:szCs w:val="21"/>
                    </w:rPr>
                  </w:pPr>
                  <w:r>
                    <w:rPr>
                      <w:bCs/>
                      <w:color w:val="auto"/>
                      <w:kern w:val="0"/>
                      <w:szCs w:val="21"/>
                      <w:lang w:bidi="ar"/>
                    </w:rPr>
                    <w:t>名 称</w:t>
                  </w:r>
                </w:p>
              </w:tc>
              <w:tc>
                <w:tcPr>
                  <w:tcW w:w="629" w:type="pct"/>
                  <w:tcBorders>
                    <w:tl2br w:val="nil"/>
                    <w:tr2bl w:val="nil"/>
                  </w:tcBorders>
                  <w:shd w:val="clear" w:color="auto" w:fill="auto"/>
                  <w:vAlign w:val="center"/>
                </w:tcPr>
                <w:p>
                  <w:pPr>
                    <w:widowControl/>
                    <w:adjustRightInd w:val="0"/>
                    <w:snapToGrid w:val="0"/>
                    <w:jc w:val="center"/>
                    <w:rPr>
                      <w:bCs/>
                      <w:color w:val="auto"/>
                      <w:szCs w:val="21"/>
                    </w:rPr>
                  </w:pPr>
                  <w:r>
                    <w:rPr>
                      <w:bCs/>
                      <w:color w:val="auto"/>
                      <w:kern w:val="0"/>
                      <w:szCs w:val="21"/>
                      <w:lang w:bidi="ar"/>
                    </w:rPr>
                    <w:t>规 格</w:t>
                  </w:r>
                </w:p>
              </w:tc>
              <w:tc>
                <w:tcPr>
                  <w:tcW w:w="495" w:type="pct"/>
                  <w:tcBorders>
                    <w:tl2br w:val="nil"/>
                    <w:tr2bl w:val="nil"/>
                  </w:tcBorders>
                  <w:shd w:val="clear" w:color="auto" w:fill="auto"/>
                  <w:vAlign w:val="center"/>
                </w:tcPr>
                <w:p>
                  <w:pPr>
                    <w:widowControl/>
                    <w:adjustRightInd w:val="0"/>
                    <w:snapToGrid w:val="0"/>
                    <w:jc w:val="center"/>
                    <w:rPr>
                      <w:rFonts w:ascii="Times New Roman" w:hAnsi="Times New Roman" w:eastAsia="宋体" w:cs="Times New Roman"/>
                      <w:bCs/>
                      <w:color w:val="auto"/>
                      <w:kern w:val="2"/>
                      <w:sz w:val="21"/>
                      <w:szCs w:val="21"/>
                      <w:lang w:val="en-US" w:eastAsia="zh-CN" w:bidi="ar-SA"/>
                    </w:rPr>
                  </w:pPr>
                  <w:r>
                    <w:rPr>
                      <w:bCs/>
                      <w:color w:val="auto"/>
                      <w:kern w:val="0"/>
                      <w:szCs w:val="21"/>
                      <w:lang w:bidi="ar"/>
                    </w:rPr>
                    <w:t>单位</w:t>
                  </w:r>
                </w:p>
              </w:tc>
              <w:tc>
                <w:tcPr>
                  <w:tcW w:w="495" w:type="pct"/>
                  <w:tcBorders>
                    <w:tl2br w:val="nil"/>
                    <w:tr2bl w:val="nil"/>
                  </w:tcBorders>
                  <w:shd w:val="clear" w:color="auto" w:fill="auto"/>
                  <w:vAlign w:val="center"/>
                </w:tcPr>
                <w:p>
                  <w:pPr>
                    <w:widowControl/>
                    <w:adjustRightInd w:val="0"/>
                    <w:snapToGrid w:val="0"/>
                    <w:jc w:val="center"/>
                    <w:rPr>
                      <w:rFonts w:hint="default" w:eastAsia="宋体"/>
                      <w:bCs/>
                      <w:color w:val="auto"/>
                      <w:kern w:val="0"/>
                      <w:szCs w:val="21"/>
                      <w:lang w:val="en-US" w:eastAsia="zh-CN" w:bidi="ar"/>
                    </w:rPr>
                  </w:pPr>
                  <w:r>
                    <w:rPr>
                      <w:rFonts w:hint="eastAsia"/>
                      <w:bCs/>
                      <w:color w:val="auto"/>
                      <w:kern w:val="0"/>
                      <w:szCs w:val="21"/>
                      <w:lang w:val="en-US" w:eastAsia="zh-CN" w:bidi="ar"/>
                    </w:rPr>
                    <w:t>现有工程数量</w:t>
                  </w:r>
                </w:p>
              </w:tc>
              <w:tc>
                <w:tcPr>
                  <w:tcW w:w="566" w:type="pct"/>
                  <w:tcBorders>
                    <w:tl2br w:val="nil"/>
                    <w:tr2bl w:val="nil"/>
                  </w:tcBorders>
                  <w:shd w:val="clear" w:color="auto" w:fill="auto"/>
                  <w:vAlign w:val="center"/>
                </w:tcPr>
                <w:p>
                  <w:pPr>
                    <w:widowControl/>
                    <w:adjustRightInd w:val="0"/>
                    <w:snapToGrid w:val="0"/>
                    <w:jc w:val="center"/>
                    <w:rPr>
                      <w:bCs/>
                      <w:color w:val="auto"/>
                      <w:szCs w:val="21"/>
                    </w:rPr>
                  </w:pPr>
                  <w:r>
                    <w:rPr>
                      <w:rFonts w:hint="eastAsia"/>
                      <w:bCs/>
                      <w:color w:val="auto"/>
                      <w:kern w:val="0"/>
                      <w:szCs w:val="21"/>
                      <w:lang w:bidi="ar"/>
                    </w:rPr>
                    <w:t>本项目新增</w:t>
                  </w:r>
                  <w:r>
                    <w:rPr>
                      <w:bCs/>
                      <w:color w:val="auto"/>
                      <w:kern w:val="0"/>
                      <w:szCs w:val="21"/>
                      <w:lang w:bidi="ar"/>
                    </w:rPr>
                    <w:t>数量</w:t>
                  </w:r>
                </w:p>
              </w:tc>
              <w:tc>
                <w:tcPr>
                  <w:tcW w:w="566" w:type="pct"/>
                  <w:tcBorders>
                    <w:tl2br w:val="nil"/>
                    <w:tr2bl w:val="nil"/>
                  </w:tcBorders>
                  <w:shd w:val="clear" w:color="auto" w:fill="auto"/>
                  <w:vAlign w:val="center"/>
                </w:tcPr>
                <w:p>
                  <w:pPr>
                    <w:widowControl/>
                    <w:adjustRightInd w:val="0"/>
                    <w:snapToGrid w:val="0"/>
                    <w:jc w:val="center"/>
                    <w:rPr>
                      <w:bCs/>
                      <w:color w:val="auto"/>
                      <w:kern w:val="0"/>
                      <w:szCs w:val="21"/>
                      <w:lang w:bidi="ar"/>
                    </w:rPr>
                  </w:pPr>
                  <w:r>
                    <w:rPr>
                      <w:rFonts w:hint="eastAsia"/>
                      <w:bCs/>
                      <w:color w:val="auto"/>
                      <w:kern w:val="0"/>
                      <w:szCs w:val="21"/>
                      <w:lang w:bidi="ar"/>
                    </w:rPr>
                    <w:t>扩能后全厂数量</w:t>
                  </w:r>
                </w:p>
              </w:tc>
              <w:tc>
                <w:tcPr>
                  <w:tcW w:w="1169" w:type="pct"/>
                  <w:tcBorders>
                    <w:tl2br w:val="nil"/>
                    <w:tr2bl w:val="nil"/>
                  </w:tcBorders>
                  <w:shd w:val="clear" w:color="auto" w:fill="auto"/>
                  <w:vAlign w:val="center"/>
                </w:tcPr>
                <w:p>
                  <w:pPr>
                    <w:pStyle w:val="2"/>
                    <w:adjustRightInd w:val="0"/>
                    <w:spacing w:before="0" w:after="0" w:line="240" w:lineRule="auto"/>
                    <w:ind w:right="0"/>
                    <w:jc w:val="center"/>
                    <w:rPr>
                      <w:bCs/>
                      <w:color w:val="auto"/>
                      <w:sz w:val="21"/>
                      <w:szCs w:val="21"/>
                    </w:rPr>
                  </w:pPr>
                  <w:r>
                    <w:rPr>
                      <w:bCs/>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 w:hRule="atLeast"/>
                <w:jc w:val="center"/>
              </w:trPr>
              <w:tc>
                <w:tcPr>
                  <w:tcW w:w="316" w:type="pct"/>
                  <w:tcBorders>
                    <w:tl2br w:val="nil"/>
                    <w:tr2bl w:val="nil"/>
                  </w:tcBorders>
                  <w:shd w:val="clear" w:color="auto" w:fill="auto"/>
                  <w:vAlign w:val="center"/>
                </w:tcPr>
                <w:p>
                  <w:pPr>
                    <w:widowControl/>
                    <w:adjustRightInd w:val="0"/>
                    <w:snapToGrid w:val="0"/>
                    <w:jc w:val="center"/>
                    <w:rPr>
                      <w:rFonts w:hint="eastAsia" w:eastAsia="宋体"/>
                      <w:bCs/>
                      <w:color w:val="auto"/>
                      <w:szCs w:val="21"/>
                      <w:lang w:eastAsia="zh-CN"/>
                    </w:rPr>
                  </w:pPr>
                  <w:r>
                    <w:rPr>
                      <w:rFonts w:hint="eastAsia"/>
                      <w:bCs/>
                      <w:color w:val="auto"/>
                      <w:szCs w:val="21"/>
                      <w:lang w:eastAsia="zh-CN"/>
                    </w:rPr>
                    <w:t>1</w:t>
                  </w:r>
                </w:p>
              </w:tc>
              <w:tc>
                <w:tcPr>
                  <w:tcW w:w="759" w:type="pct"/>
                  <w:tcBorders>
                    <w:tl2br w:val="nil"/>
                    <w:tr2bl w:val="nil"/>
                  </w:tcBorders>
                  <w:shd w:val="clear" w:color="auto" w:fill="auto"/>
                  <w:vAlign w:val="center"/>
                </w:tcPr>
                <w:p>
                  <w:pPr>
                    <w:widowControl/>
                    <w:adjustRightInd w:val="0"/>
                    <w:snapToGrid w:val="0"/>
                    <w:jc w:val="center"/>
                    <w:rPr>
                      <w:bCs/>
                      <w:color w:val="auto"/>
                      <w:szCs w:val="21"/>
                    </w:rPr>
                  </w:pPr>
                  <w:r>
                    <w:rPr>
                      <w:rFonts w:hint="eastAsia"/>
                      <w:bCs/>
                      <w:color w:val="auto"/>
                      <w:szCs w:val="21"/>
                    </w:rPr>
                    <w:t>多孔粒状铵油炸药混装车</w:t>
                  </w:r>
                </w:p>
              </w:tc>
              <w:tc>
                <w:tcPr>
                  <w:tcW w:w="629" w:type="pct"/>
                  <w:tcBorders>
                    <w:tl2br w:val="nil"/>
                    <w:tr2bl w:val="nil"/>
                  </w:tcBorders>
                  <w:shd w:val="clear" w:color="auto" w:fill="auto"/>
                  <w:vAlign w:val="center"/>
                </w:tcPr>
                <w:p>
                  <w:pPr>
                    <w:widowControl/>
                    <w:adjustRightInd w:val="0"/>
                    <w:snapToGrid w:val="0"/>
                    <w:jc w:val="center"/>
                    <w:rPr>
                      <w:bCs/>
                      <w:color w:val="auto"/>
                      <w:szCs w:val="21"/>
                    </w:rPr>
                  </w:pPr>
                  <w:r>
                    <w:rPr>
                      <w:rFonts w:hint="eastAsia"/>
                      <w:bCs/>
                      <w:color w:val="auto"/>
                      <w:szCs w:val="21"/>
                    </w:rPr>
                    <w:t>BCLH-15</w:t>
                  </w:r>
                </w:p>
              </w:tc>
              <w:tc>
                <w:tcPr>
                  <w:tcW w:w="495" w:type="pc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rPr>
                    <w:t>辆</w:t>
                  </w:r>
                </w:p>
              </w:tc>
              <w:tc>
                <w:tcPr>
                  <w:tcW w:w="495" w:type="pct"/>
                  <w:tcBorders>
                    <w:tl2br w:val="nil"/>
                    <w:tr2bl w:val="nil"/>
                  </w:tcBorders>
                  <w:shd w:val="clear" w:color="auto" w:fill="auto"/>
                  <w:vAlign w:val="center"/>
                </w:tcPr>
                <w:p>
                  <w:pPr>
                    <w:adjustRightInd w:val="0"/>
                    <w:snapToGrid w:val="0"/>
                    <w:jc w:val="center"/>
                    <w:rPr>
                      <w:rFonts w:hint="eastAsia" w:eastAsia="宋体"/>
                      <w:bCs/>
                      <w:color w:val="auto"/>
                      <w:szCs w:val="21"/>
                      <w:lang w:val="en-US" w:eastAsia="zh-CN"/>
                    </w:rPr>
                  </w:pPr>
                  <w:r>
                    <w:rPr>
                      <w:rFonts w:hint="eastAsia"/>
                      <w:bCs/>
                      <w:color w:val="auto"/>
                      <w:szCs w:val="21"/>
                      <w:lang w:val="en-US" w:eastAsia="zh-CN"/>
                    </w:rPr>
                    <w:t>4</w:t>
                  </w:r>
                </w:p>
              </w:tc>
              <w:tc>
                <w:tcPr>
                  <w:tcW w:w="566" w:type="pct"/>
                  <w:tcBorders>
                    <w:tl2br w:val="nil"/>
                    <w:tr2bl w:val="nil"/>
                  </w:tcBorders>
                  <w:shd w:val="clear" w:color="auto" w:fill="auto"/>
                  <w:vAlign w:val="center"/>
                </w:tcPr>
                <w:p>
                  <w:pPr>
                    <w:adjustRightInd w:val="0"/>
                    <w:snapToGrid w:val="0"/>
                    <w:jc w:val="center"/>
                    <w:rPr>
                      <w:bCs/>
                      <w:color w:val="auto"/>
                      <w:szCs w:val="21"/>
                    </w:rPr>
                  </w:pPr>
                  <w:r>
                    <w:rPr>
                      <w:rFonts w:hint="eastAsia"/>
                      <w:bCs/>
                      <w:color w:val="auto"/>
                      <w:szCs w:val="21"/>
                    </w:rPr>
                    <w:t>10</w:t>
                  </w:r>
                </w:p>
              </w:tc>
              <w:tc>
                <w:tcPr>
                  <w:tcW w:w="566" w:type="pct"/>
                  <w:tcBorders>
                    <w:tl2br w:val="nil"/>
                    <w:tr2bl w:val="nil"/>
                  </w:tcBorders>
                  <w:shd w:val="clear" w:color="auto" w:fill="auto"/>
                  <w:vAlign w:val="center"/>
                </w:tcPr>
                <w:p>
                  <w:pPr>
                    <w:widowControl/>
                    <w:adjustRightInd w:val="0"/>
                    <w:snapToGrid w:val="0"/>
                    <w:jc w:val="center"/>
                    <w:rPr>
                      <w:bCs/>
                      <w:color w:val="auto"/>
                      <w:szCs w:val="21"/>
                    </w:rPr>
                  </w:pPr>
                  <w:r>
                    <w:rPr>
                      <w:rFonts w:hint="eastAsia"/>
                      <w:bCs/>
                      <w:color w:val="auto"/>
                      <w:szCs w:val="21"/>
                      <w:lang w:val="en-US" w:eastAsia="zh-CN"/>
                    </w:rPr>
                    <w:t>1</w:t>
                  </w:r>
                  <w:r>
                    <w:rPr>
                      <w:rFonts w:hint="eastAsia"/>
                      <w:bCs/>
                      <w:color w:val="auto"/>
                      <w:szCs w:val="21"/>
                    </w:rPr>
                    <w:t>4</w:t>
                  </w:r>
                </w:p>
              </w:tc>
              <w:tc>
                <w:tcPr>
                  <w:tcW w:w="1169" w:type="pct"/>
                  <w:tcBorders>
                    <w:tl2br w:val="nil"/>
                    <w:tr2bl w:val="nil"/>
                  </w:tcBorders>
                  <w:shd w:val="clear" w:color="auto" w:fill="auto"/>
                  <w:vAlign w:val="center"/>
                </w:tcPr>
                <w:p>
                  <w:pPr>
                    <w:pStyle w:val="2"/>
                    <w:adjustRightInd w:val="0"/>
                    <w:spacing w:before="0" w:after="0" w:line="240" w:lineRule="auto"/>
                    <w:ind w:right="0"/>
                    <w:jc w:val="center"/>
                    <w:rPr>
                      <w:bCs/>
                      <w:color w:val="auto"/>
                      <w:sz w:val="21"/>
                      <w:szCs w:val="21"/>
                    </w:rPr>
                  </w:pPr>
                  <w:r>
                    <w:rPr>
                      <w:rFonts w:hint="eastAsia"/>
                      <w:bCs/>
                      <w:color w:val="auto"/>
                      <w:sz w:val="21"/>
                      <w:szCs w:val="21"/>
                    </w:rPr>
                    <w:t>原料填装后拉运至现场进行混装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 w:hRule="atLeast"/>
                <w:jc w:val="center"/>
              </w:trPr>
              <w:tc>
                <w:tcPr>
                  <w:tcW w:w="316" w:type="pct"/>
                  <w:tcBorders>
                    <w:tl2br w:val="nil"/>
                    <w:tr2bl w:val="nil"/>
                  </w:tcBorders>
                  <w:shd w:val="clear" w:color="auto" w:fill="auto"/>
                  <w:vAlign w:val="center"/>
                </w:tcPr>
                <w:p>
                  <w:pPr>
                    <w:widowControl/>
                    <w:adjustRightInd w:val="0"/>
                    <w:snapToGrid w:val="0"/>
                    <w:jc w:val="center"/>
                    <w:rPr>
                      <w:bCs/>
                      <w:color w:val="auto"/>
                      <w:szCs w:val="21"/>
                    </w:rPr>
                  </w:pPr>
                  <w:r>
                    <w:rPr>
                      <w:rFonts w:hint="eastAsia"/>
                      <w:bCs/>
                      <w:color w:val="auto"/>
                      <w:szCs w:val="21"/>
                      <w:lang w:val="en-US" w:eastAsia="zh-CN"/>
                    </w:rPr>
                    <w:t>2</w:t>
                  </w:r>
                </w:p>
              </w:tc>
              <w:tc>
                <w:tcPr>
                  <w:tcW w:w="759" w:type="pct"/>
                  <w:tcBorders>
                    <w:tl2br w:val="nil"/>
                    <w:tr2bl w:val="nil"/>
                  </w:tcBorders>
                  <w:shd w:val="clear" w:color="auto" w:fill="auto"/>
                  <w:vAlign w:val="center"/>
                </w:tcPr>
                <w:p>
                  <w:pPr>
                    <w:widowControl/>
                    <w:adjustRightInd w:val="0"/>
                    <w:snapToGrid w:val="0"/>
                    <w:jc w:val="center"/>
                    <w:rPr>
                      <w:bCs/>
                      <w:color w:val="auto"/>
                      <w:szCs w:val="21"/>
                    </w:rPr>
                  </w:pPr>
                  <w:r>
                    <w:rPr>
                      <w:rFonts w:hint="eastAsia"/>
                      <w:bCs/>
                      <w:color w:val="auto"/>
                      <w:szCs w:val="21"/>
                    </w:rPr>
                    <w:t>双层柴油储罐</w:t>
                  </w:r>
                </w:p>
              </w:tc>
              <w:tc>
                <w:tcPr>
                  <w:tcW w:w="629" w:type="pct"/>
                  <w:tcBorders>
                    <w:tl2br w:val="nil"/>
                    <w:tr2bl w:val="nil"/>
                  </w:tcBorders>
                  <w:shd w:val="clear" w:color="auto" w:fill="auto"/>
                  <w:vAlign w:val="center"/>
                </w:tcPr>
                <w:p>
                  <w:pPr>
                    <w:widowControl/>
                    <w:adjustRightInd w:val="0"/>
                    <w:snapToGrid w:val="0"/>
                    <w:jc w:val="center"/>
                    <w:rPr>
                      <w:bCs/>
                      <w:color w:val="auto"/>
                      <w:szCs w:val="21"/>
                      <w:vertAlign w:val="superscript"/>
                    </w:rPr>
                  </w:pPr>
                  <w:r>
                    <w:rPr>
                      <w:rFonts w:hint="eastAsia"/>
                      <w:bCs/>
                      <w:color w:val="auto"/>
                      <w:szCs w:val="21"/>
                    </w:rPr>
                    <w:t>50m</w:t>
                  </w:r>
                  <w:r>
                    <w:rPr>
                      <w:rFonts w:hint="eastAsia"/>
                      <w:bCs/>
                      <w:color w:val="auto"/>
                      <w:szCs w:val="21"/>
                      <w:vertAlign w:val="superscript"/>
                    </w:rPr>
                    <w:t>3</w:t>
                  </w:r>
                </w:p>
              </w:tc>
              <w:tc>
                <w:tcPr>
                  <w:tcW w:w="495" w:type="pc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rPr>
                    <w:t>套</w:t>
                  </w:r>
                </w:p>
              </w:tc>
              <w:tc>
                <w:tcPr>
                  <w:tcW w:w="495" w:type="pc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rPr>
                    <w:t>1</w:t>
                  </w:r>
                </w:p>
              </w:tc>
              <w:tc>
                <w:tcPr>
                  <w:tcW w:w="566" w:type="pct"/>
                  <w:tcBorders>
                    <w:tl2br w:val="nil"/>
                    <w:tr2bl w:val="nil"/>
                  </w:tcBorders>
                  <w:shd w:val="clear" w:color="auto" w:fill="auto"/>
                  <w:vAlign w:val="center"/>
                </w:tcPr>
                <w:p>
                  <w:pPr>
                    <w:adjustRightInd w:val="0"/>
                    <w:snapToGrid w:val="0"/>
                    <w:jc w:val="center"/>
                    <w:rPr>
                      <w:rFonts w:hint="eastAsia" w:eastAsia="宋体"/>
                      <w:bCs/>
                      <w:color w:val="auto"/>
                      <w:szCs w:val="21"/>
                      <w:lang w:eastAsia="zh-CN"/>
                    </w:rPr>
                  </w:pPr>
                  <w:r>
                    <w:rPr>
                      <w:rFonts w:hint="eastAsia"/>
                      <w:bCs/>
                      <w:color w:val="auto"/>
                      <w:szCs w:val="21"/>
                      <w:lang w:val="en-US" w:eastAsia="zh-CN"/>
                    </w:rPr>
                    <w:t>/</w:t>
                  </w:r>
                </w:p>
              </w:tc>
              <w:tc>
                <w:tcPr>
                  <w:tcW w:w="566" w:type="pct"/>
                  <w:tcBorders>
                    <w:tl2br w:val="nil"/>
                    <w:tr2bl w:val="nil"/>
                  </w:tcBorders>
                  <w:shd w:val="clear" w:color="auto" w:fill="auto"/>
                  <w:vAlign w:val="center"/>
                </w:tcPr>
                <w:p>
                  <w:pPr>
                    <w:widowControl/>
                    <w:adjustRightInd w:val="0"/>
                    <w:snapToGrid w:val="0"/>
                    <w:jc w:val="center"/>
                    <w:rPr>
                      <w:bCs/>
                      <w:color w:val="auto"/>
                      <w:szCs w:val="21"/>
                    </w:rPr>
                  </w:pPr>
                  <w:r>
                    <w:rPr>
                      <w:rFonts w:hint="eastAsia"/>
                      <w:bCs/>
                      <w:color w:val="auto"/>
                      <w:szCs w:val="21"/>
                    </w:rPr>
                    <w:t>1</w:t>
                  </w:r>
                </w:p>
              </w:tc>
              <w:tc>
                <w:tcPr>
                  <w:tcW w:w="1169" w:type="pct"/>
                  <w:tcBorders>
                    <w:tl2br w:val="nil"/>
                    <w:tr2bl w:val="nil"/>
                  </w:tcBorders>
                  <w:shd w:val="clear" w:color="auto" w:fill="auto"/>
                  <w:vAlign w:val="center"/>
                </w:tcPr>
                <w:p>
                  <w:pPr>
                    <w:pStyle w:val="2"/>
                    <w:adjustRightInd w:val="0"/>
                    <w:spacing w:before="0" w:after="0" w:line="240" w:lineRule="auto"/>
                    <w:ind w:right="0"/>
                    <w:jc w:val="center"/>
                    <w:rPr>
                      <w:bCs/>
                      <w:color w:val="auto"/>
                      <w:sz w:val="21"/>
                      <w:szCs w:val="21"/>
                    </w:rPr>
                  </w:pPr>
                  <w:r>
                    <w:rPr>
                      <w:rFonts w:hint="eastAsia"/>
                      <w:bCs/>
                      <w:color w:val="auto"/>
                      <w:sz w:val="21"/>
                      <w:szCs w:val="21"/>
                    </w:rPr>
                    <w:t>依托现有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8" w:hRule="atLeast"/>
                <w:jc w:val="center"/>
              </w:trPr>
              <w:tc>
                <w:tcPr>
                  <w:tcW w:w="316" w:type="pct"/>
                  <w:tcBorders>
                    <w:tl2br w:val="nil"/>
                    <w:tr2bl w:val="nil"/>
                  </w:tcBorders>
                  <w:shd w:val="clear" w:color="auto" w:fill="auto"/>
                  <w:vAlign w:val="center"/>
                </w:tcPr>
                <w:p>
                  <w:pPr>
                    <w:widowControl/>
                    <w:adjustRightInd w:val="0"/>
                    <w:snapToGrid w:val="0"/>
                    <w:jc w:val="center"/>
                    <w:rPr>
                      <w:rFonts w:hint="eastAsia" w:eastAsia="宋体"/>
                      <w:bCs/>
                      <w:color w:val="auto"/>
                      <w:kern w:val="0"/>
                      <w:szCs w:val="21"/>
                      <w:lang w:val="en-US" w:eastAsia="zh-CN" w:bidi="ar"/>
                    </w:rPr>
                  </w:pPr>
                  <w:r>
                    <w:rPr>
                      <w:rFonts w:hint="eastAsia"/>
                      <w:bCs/>
                      <w:color w:val="auto"/>
                      <w:kern w:val="0"/>
                      <w:szCs w:val="21"/>
                      <w:lang w:val="en-US" w:eastAsia="zh-CN" w:bidi="ar"/>
                    </w:rPr>
                    <w:t>3</w:t>
                  </w:r>
                </w:p>
              </w:tc>
              <w:tc>
                <w:tcPr>
                  <w:tcW w:w="759" w:type="pct"/>
                  <w:tcBorders>
                    <w:tl2br w:val="nil"/>
                    <w:tr2bl w:val="nil"/>
                  </w:tcBorders>
                  <w:shd w:val="clear" w:color="auto" w:fill="auto"/>
                  <w:vAlign w:val="center"/>
                </w:tcPr>
                <w:p>
                  <w:pPr>
                    <w:widowControl/>
                    <w:adjustRightInd w:val="0"/>
                    <w:snapToGrid w:val="0"/>
                    <w:jc w:val="center"/>
                    <w:rPr>
                      <w:bCs/>
                      <w:color w:val="auto"/>
                      <w:kern w:val="0"/>
                      <w:szCs w:val="21"/>
                      <w:lang w:bidi="ar"/>
                    </w:rPr>
                  </w:pPr>
                  <w:r>
                    <w:rPr>
                      <w:rFonts w:hint="eastAsia"/>
                      <w:bCs/>
                      <w:color w:val="auto"/>
                      <w:kern w:val="0"/>
                      <w:szCs w:val="21"/>
                      <w:lang w:bidi="ar"/>
                    </w:rPr>
                    <w:t>加油机</w:t>
                  </w:r>
                </w:p>
              </w:tc>
              <w:tc>
                <w:tcPr>
                  <w:tcW w:w="629" w:type="pct"/>
                  <w:tcBorders>
                    <w:tl2br w:val="nil"/>
                    <w:tr2bl w:val="nil"/>
                  </w:tcBorders>
                  <w:shd w:val="clear" w:color="auto" w:fill="auto"/>
                  <w:vAlign w:val="center"/>
                </w:tcPr>
                <w:p>
                  <w:pPr>
                    <w:widowControl/>
                    <w:adjustRightInd w:val="0"/>
                    <w:snapToGrid w:val="0"/>
                    <w:jc w:val="center"/>
                    <w:rPr>
                      <w:bCs/>
                      <w:color w:val="auto"/>
                      <w:kern w:val="0"/>
                      <w:szCs w:val="21"/>
                      <w:lang w:bidi="ar"/>
                    </w:rPr>
                  </w:pPr>
                  <w:r>
                    <w:rPr>
                      <w:rFonts w:hint="eastAsia"/>
                      <w:bCs/>
                      <w:color w:val="auto"/>
                      <w:kern w:val="0"/>
                      <w:szCs w:val="21"/>
                      <w:lang w:bidi="ar"/>
                    </w:rPr>
                    <w:t>/</w:t>
                  </w:r>
                </w:p>
              </w:tc>
              <w:tc>
                <w:tcPr>
                  <w:tcW w:w="495" w:type="pc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Cs/>
                      <w:color w:val="auto"/>
                      <w:kern w:val="0"/>
                      <w:sz w:val="21"/>
                      <w:szCs w:val="21"/>
                      <w:lang w:val="en-US" w:eastAsia="zh-CN" w:bidi="ar"/>
                    </w:rPr>
                  </w:pPr>
                  <w:r>
                    <w:rPr>
                      <w:rFonts w:hint="eastAsia"/>
                      <w:bCs/>
                      <w:color w:val="auto"/>
                      <w:kern w:val="0"/>
                      <w:szCs w:val="21"/>
                      <w:lang w:bidi="ar"/>
                    </w:rPr>
                    <w:t>台</w:t>
                  </w:r>
                </w:p>
              </w:tc>
              <w:tc>
                <w:tcPr>
                  <w:tcW w:w="495" w:type="pc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Cs w:val="21"/>
                    </w:rPr>
                    <w:t>1</w:t>
                  </w:r>
                </w:p>
              </w:tc>
              <w:tc>
                <w:tcPr>
                  <w:tcW w:w="566" w:type="pct"/>
                  <w:tcBorders>
                    <w:tl2br w:val="nil"/>
                    <w:tr2bl w:val="nil"/>
                  </w:tcBorders>
                  <w:shd w:val="clear" w:color="auto" w:fill="auto"/>
                  <w:vAlign w:val="center"/>
                </w:tcPr>
                <w:p>
                  <w:pPr>
                    <w:adjustRightInd w:val="0"/>
                    <w:snapToGrid w:val="0"/>
                    <w:jc w:val="center"/>
                    <w:rPr>
                      <w:rFonts w:hint="eastAsia" w:eastAsia="宋体"/>
                      <w:bCs/>
                      <w:color w:val="auto"/>
                      <w:szCs w:val="21"/>
                      <w:lang w:val="en-US" w:eastAsia="zh-CN"/>
                    </w:rPr>
                  </w:pPr>
                  <w:r>
                    <w:rPr>
                      <w:rFonts w:hint="eastAsia"/>
                      <w:bCs/>
                      <w:color w:val="auto"/>
                      <w:szCs w:val="21"/>
                      <w:lang w:val="en-US" w:eastAsia="zh-CN"/>
                    </w:rPr>
                    <w:t>/</w:t>
                  </w:r>
                </w:p>
              </w:tc>
              <w:tc>
                <w:tcPr>
                  <w:tcW w:w="566" w:type="pct"/>
                  <w:tcBorders>
                    <w:tl2br w:val="nil"/>
                    <w:tr2bl w:val="nil"/>
                  </w:tcBorders>
                  <w:shd w:val="clear" w:color="auto" w:fill="auto"/>
                  <w:vAlign w:val="center"/>
                </w:tcPr>
                <w:p>
                  <w:pPr>
                    <w:widowControl/>
                    <w:adjustRightInd w:val="0"/>
                    <w:snapToGrid w:val="0"/>
                    <w:jc w:val="center"/>
                    <w:rPr>
                      <w:bCs/>
                      <w:color w:val="auto"/>
                      <w:kern w:val="0"/>
                      <w:szCs w:val="21"/>
                      <w:lang w:bidi="ar"/>
                    </w:rPr>
                  </w:pPr>
                  <w:r>
                    <w:rPr>
                      <w:rFonts w:hint="eastAsia"/>
                      <w:bCs/>
                      <w:color w:val="auto"/>
                      <w:kern w:val="0"/>
                      <w:szCs w:val="21"/>
                      <w:lang w:bidi="ar"/>
                    </w:rPr>
                    <w:t>1</w:t>
                  </w:r>
                </w:p>
              </w:tc>
              <w:tc>
                <w:tcPr>
                  <w:tcW w:w="1169" w:type="pct"/>
                  <w:tcBorders>
                    <w:tl2br w:val="nil"/>
                    <w:tr2bl w:val="nil"/>
                  </w:tcBorders>
                  <w:shd w:val="clear" w:color="auto" w:fill="auto"/>
                  <w:vAlign w:val="center"/>
                </w:tcPr>
                <w:p>
                  <w:pPr>
                    <w:pStyle w:val="2"/>
                    <w:adjustRightInd w:val="0"/>
                    <w:spacing w:before="0" w:after="0" w:line="240" w:lineRule="auto"/>
                    <w:ind w:right="0"/>
                    <w:jc w:val="center"/>
                    <w:rPr>
                      <w:bCs/>
                      <w:color w:val="auto"/>
                      <w:sz w:val="21"/>
                      <w:szCs w:val="21"/>
                    </w:rPr>
                  </w:pPr>
                  <w:r>
                    <w:rPr>
                      <w:rFonts w:hint="eastAsia"/>
                      <w:bCs/>
                      <w:color w:val="auto"/>
                      <w:sz w:val="21"/>
                      <w:szCs w:val="21"/>
                    </w:rPr>
                    <w:t>依托现有</w:t>
                  </w:r>
                </w:p>
              </w:tc>
            </w:tr>
          </w:tbl>
          <w:p>
            <w:pPr>
              <w:adjustRightInd w:val="0"/>
              <w:snapToGrid w:val="0"/>
              <w:spacing w:line="520" w:lineRule="exact"/>
              <w:ind w:firstLine="482" w:firstLineChars="200"/>
              <w:rPr>
                <w:b/>
                <w:bCs/>
                <w:color w:val="auto"/>
                <w:sz w:val="24"/>
              </w:rPr>
            </w:pPr>
            <w:r>
              <w:rPr>
                <w:rFonts w:hint="eastAsia"/>
                <w:b/>
                <w:bCs/>
                <w:color w:val="auto"/>
                <w:sz w:val="24"/>
              </w:rPr>
              <w:t>7、主要</w:t>
            </w:r>
            <w:r>
              <w:rPr>
                <w:b/>
                <w:bCs/>
                <w:color w:val="auto"/>
                <w:sz w:val="24"/>
              </w:rPr>
              <w:t>原辅材料</w:t>
            </w:r>
            <w:r>
              <w:rPr>
                <w:rFonts w:hint="eastAsia"/>
                <w:b/>
                <w:bCs/>
                <w:color w:val="auto"/>
                <w:sz w:val="24"/>
              </w:rPr>
              <w:t>及用量</w:t>
            </w:r>
          </w:p>
          <w:p>
            <w:pPr>
              <w:adjustRightInd w:val="0"/>
              <w:snapToGrid w:val="0"/>
              <w:spacing w:line="480" w:lineRule="exact"/>
              <w:ind w:firstLine="480" w:firstLineChars="200"/>
              <w:rPr>
                <w:color w:val="auto"/>
                <w:sz w:val="24"/>
              </w:rPr>
            </w:pPr>
            <w:r>
              <w:rPr>
                <w:color w:val="auto"/>
                <w:sz w:val="24"/>
              </w:rPr>
              <w:t>本项目</w:t>
            </w:r>
            <w:r>
              <w:rPr>
                <w:rFonts w:hint="eastAsia"/>
                <w:color w:val="auto"/>
                <w:sz w:val="24"/>
              </w:rPr>
              <w:t>原辅材料用量</w:t>
            </w:r>
            <w:r>
              <w:rPr>
                <w:color w:val="auto"/>
                <w:sz w:val="24"/>
              </w:rPr>
              <w:t>及存储情况见表2-</w:t>
            </w:r>
            <w:r>
              <w:rPr>
                <w:rFonts w:hint="eastAsia"/>
                <w:color w:val="auto"/>
                <w:sz w:val="24"/>
              </w:rPr>
              <w:t>5</w:t>
            </w:r>
            <w:r>
              <w:rPr>
                <w:color w:val="auto"/>
                <w:sz w:val="24"/>
              </w:rPr>
              <w:t>。</w:t>
            </w:r>
          </w:p>
          <w:p>
            <w:pPr>
              <w:pStyle w:val="36"/>
              <w:rPr>
                <w:color w:val="auto"/>
              </w:rPr>
            </w:pPr>
            <w:r>
              <w:rPr>
                <w:rFonts w:hint="eastAsia"/>
                <w:color w:val="auto"/>
              </w:rPr>
              <w:t>表2-5  主要原辅材料消耗一览表</w:t>
            </w:r>
          </w:p>
          <w:tbl>
            <w:tblPr>
              <w:tblStyle w:val="28"/>
              <w:tblW w:w="4999"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491"/>
              <w:gridCol w:w="1172"/>
              <w:gridCol w:w="1314"/>
              <w:gridCol w:w="1314"/>
              <w:gridCol w:w="1314"/>
              <w:gridCol w:w="1252"/>
              <w:gridCol w:w="154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c>
                <w:tcPr>
                  <w:tcW w:w="324" w:type="pct"/>
                  <w:vAlign w:val="center"/>
                </w:tcPr>
                <w:p>
                  <w:pPr>
                    <w:adjustRightInd w:val="0"/>
                    <w:snapToGrid w:val="0"/>
                    <w:jc w:val="center"/>
                    <w:rPr>
                      <w:bCs/>
                      <w:color w:val="auto"/>
                      <w:szCs w:val="21"/>
                    </w:rPr>
                  </w:pPr>
                  <w:r>
                    <w:rPr>
                      <w:rFonts w:hint="eastAsia"/>
                      <w:bCs/>
                      <w:color w:val="auto"/>
                      <w:szCs w:val="21"/>
                      <w:lang w:val="zh-CN"/>
                    </w:rPr>
                    <w:t>序号</w:t>
                  </w:r>
                </w:p>
              </w:tc>
              <w:tc>
                <w:tcPr>
                  <w:tcW w:w="729" w:type="pct"/>
                  <w:vAlign w:val="center"/>
                </w:tcPr>
                <w:p>
                  <w:pPr>
                    <w:adjustRightInd w:val="0"/>
                    <w:snapToGrid w:val="0"/>
                    <w:jc w:val="center"/>
                    <w:rPr>
                      <w:bCs/>
                      <w:color w:val="auto"/>
                      <w:szCs w:val="21"/>
                    </w:rPr>
                  </w:pPr>
                  <w:r>
                    <w:rPr>
                      <w:rFonts w:hint="eastAsia"/>
                      <w:bCs/>
                      <w:color w:val="auto"/>
                      <w:szCs w:val="21"/>
                      <w:lang w:val="zh-CN"/>
                    </w:rPr>
                    <w:t>原料名称</w:t>
                  </w:r>
                </w:p>
              </w:tc>
              <w:tc>
                <w:tcPr>
                  <w:tcW w:w="703" w:type="pct"/>
                  <w:vAlign w:val="center"/>
                </w:tcPr>
                <w:p>
                  <w:pPr>
                    <w:adjustRightInd w:val="0"/>
                    <w:snapToGrid w:val="0"/>
                    <w:jc w:val="center"/>
                    <w:rPr>
                      <w:rFonts w:hint="default" w:eastAsia="宋体"/>
                      <w:bCs/>
                      <w:color w:val="auto"/>
                      <w:szCs w:val="21"/>
                      <w:lang w:val="en-US" w:eastAsia="zh-CN"/>
                    </w:rPr>
                  </w:pPr>
                  <w:r>
                    <w:rPr>
                      <w:rFonts w:hint="eastAsia"/>
                      <w:bCs/>
                      <w:color w:val="auto"/>
                      <w:szCs w:val="21"/>
                      <w:lang w:val="en-US" w:eastAsia="zh-CN"/>
                    </w:rPr>
                    <w:t>现有工程用量</w:t>
                  </w:r>
                </w:p>
              </w:tc>
              <w:tc>
                <w:tcPr>
                  <w:tcW w:w="703" w:type="pct"/>
                  <w:vAlign w:val="center"/>
                </w:tcPr>
                <w:p>
                  <w:pPr>
                    <w:adjustRightInd w:val="0"/>
                    <w:snapToGrid w:val="0"/>
                    <w:jc w:val="center"/>
                    <w:rPr>
                      <w:bCs/>
                      <w:color w:val="auto"/>
                      <w:szCs w:val="21"/>
                    </w:rPr>
                  </w:pPr>
                  <w:r>
                    <w:rPr>
                      <w:rFonts w:hint="eastAsia"/>
                      <w:bCs/>
                      <w:color w:val="auto"/>
                      <w:szCs w:val="21"/>
                    </w:rPr>
                    <w:t>新增</w:t>
                  </w:r>
                  <w:r>
                    <w:rPr>
                      <w:rFonts w:hint="eastAsia"/>
                      <w:bCs/>
                      <w:color w:val="auto"/>
                      <w:szCs w:val="21"/>
                      <w:lang w:val="zh-CN"/>
                    </w:rPr>
                    <w:t>用量</w:t>
                  </w:r>
                </w:p>
              </w:tc>
              <w:tc>
                <w:tcPr>
                  <w:tcW w:w="795" w:type="pct"/>
                  <w:vAlign w:val="center"/>
                </w:tcPr>
                <w:p>
                  <w:pPr>
                    <w:adjustRightInd w:val="0"/>
                    <w:snapToGrid w:val="0"/>
                    <w:jc w:val="center"/>
                    <w:rPr>
                      <w:bCs/>
                      <w:color w:val="auto"/>
                      <w:szCs w:val="21"/>
                    </w:rPr>
                  </w:pPr>
                  <w:r>
                    <w:rPr>
                      <w:rFonts w:hint="eastAsia"/>
                      <w:bCs/>
                      <w:color w:val="auto"/>
                      <w:szCs w:val="21"/>
                    </w:rPr>
                    <w:t>扩能后全厂用量</w:t>
                  </w:r>
                </w:p>
              </w:tc>
              <w:tc>
                <w:tcPr>
                  <w:tcW w:w="795" w:type="pct"/>
                  <w:vAlign w:val="center"/>
                </w:tcPr>
                <w:p>
                  <w:pPr>
                    <w:adjustRightInd w:val="0"/>
                    <w:snapToGrid w:val="0"/>
                    <w:jc w:val="center"/>
                    <w:rPr>
                      <w:bCs/>
                      <w:color w:val="auto"/>
                      <w:szCs w:val="21"/>
                    </w:rPr>
                  </w:pPr>
                  <w:r>
                    <w:rPr>
                      <w:rFonts w:hint="eastAsia"/>
                      <w:bCs/>
                      <w:color w:val="auto"/>
                      <w:szCs w:val="21"/>
                      <w:lang w:val="zh-CN"/>
                    </w:rPr>
                    <w:t>来源</w:t>
                  </w:r>
                </w:p>
              </w:tc>
              <w:tc>
                <w:tcPr>
                  <w:tcW w:w="948" w:type="pct"/>
                  <w:vAlign w:val="center"/>
                </w:tcPr>
                <w:p>
                  <w:pPr>
                    <w:adjustRightInd w:val="0"/>
                    <w:snapToGrid w:val="0"/>
                    <w:jc w:val="center"/>
                    <w:rPr>
                      <w:bCs/>
                      <w:color w:val="auto"/>
                      <w:szCs w:val="21"/>
                    </w:rPr>
                  </w:pPr>
                  <w:r>
                    <w:rPr>
                      <w:rFonts w:hint="eastAsia"/>
                      <w:bCs/>
                      <w:color w:val="auto"/>
                      <w:szCs w:val="21"/>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73" w:hRule="atLeast"/>
              </w:trPr>
              <w:tc>
                <w:tcPr>
                  <w:tcW w:w="324" w:type="pct"/>
                  <w:vAlign w:val="center"/>
                </w:tcPr>
                <w:p>
                  <w:pPr>
                    <w:jc w:val="center"/>
                    <w:rPr>
                      <w:bCs/>
                      <w:color w:val="auto"/>
                      <w:szCs w:val="21"/>
                    </w:rPr>
                  </w:pPr>
                  <w:r>
                    <w:rPr>
                      <w:rFonts w:hint="eastAsia"/>
                      <w:bCs/>
                      <w:color w:val="auto"/>
                      <w:szCs w:val="21"/>
                    </w:rPr>
                    <w:t>1</w:t>
                  </w:r>
                </w:p>
              </w:tc>
              <w:tc>
                <w:tcPr>
                  <w:tcW w:w="729" w:type="pct"/>
                  <w:vAlign w:val="center"/>
                </w:tcPr>
                <w:p>
                  <w:pPr>
                    <w:adjustRightInd w:val="0"/>
                    <w:snapToGrid w:val="0"/>
                    <w:jc w:val="center"/>
                    <w:rPr>
                      <w:color w:val="auto"/>
                      <w:szCs w:val="21"/>
                    </w:rPr>
                  </w:pPr>
                  <w:r>
                    <w:rPr>
                      <w:rFonts w:hint="eastAsia"/>
                      <w:color w:val="auto"/>
                      <w:szCs w:val="21"/>
                    </w:rPr>
                    <w:t>多孔粒状硝酸铵</w:t>
                  </w:r>
                </w:p>
              </w:tc>
              <w:tc>
                <w:tcPr>
                  <w:tcW w:w="703" w:type="pct"/>
                  <w:vAlign w:val="center"/>
                </w:tcPr>
                <w:p>
                  <w:pPr>
                    <w:adjustRightInd w:val="0"/>
                    <w:snapToGrid w:val="0"/>
                    <w:jc w:val="center"/>
                    <w:rPr>
                      <w:rFonts w:hint="default" w:eastAsia="宋体"/>
                      <w:bCs/>
                      <w:color w:val="auto"/>
                      <w:szCs w:val="21"/>
                      <w:lang w:val="en-US" w:eastAsia="zh-CN"/>
                    </w:rPr>
                  </w:pPr>
                  <w:r>
                    <w:rPr>
                      <w:rFonts w:hint="eastAsia"/>
                      <w:bCs/>
                      <w:color w:val="auto"/>
                      <w:szCs w:val="21"/>
                      <w:lang w:val="en-US" w:eastAsia="zh-CN"/>
                    </w:rPr>
                    <w:t>6840</w:t>
                  </w:r>
                  <w:r>
                    <w:rPr>
                      <w:rFonts w:hint="eastAsia"/>
                      <w:bCs/>
                      <w:color w:val="auto"/>
                      <w:szCs w:val="21"/>
                    </w:rPr>
                    <w:t>t/a</w:t>
                  </w:r>
                </w:p>
              </w:tc>
              <w:tc>
                <w:tcPr>
                  <w:tcW w:w="703" w:type="pct"/>
                  <w:vAlign w:val="center"/>
                </w:tcPr>
                <w:p>
                  <w:pPr>
                    <w:adjustRightInd w:val="0"/>
                    <w:snapToGrid w:val="0"/>
                    <w:jc w:val="center"/>
                    <w:rPr>
                      <w:bCs/>
                      <w:color w:val="auto"/>
                      <w:szCs w:val="21"/>
                    </w:rPr>
                  </w:pPr>
                  <w:r>
                    <w:rPr>
                      <w:rFonts w:hint="eastAsia"/>
                      <w:bCs/>
                      <w:color w:val="auto"/>
                      <w:szCs w:val="21"/>
                    </w:rPr>
                    <w:t>17860t/a</w:t>
                  </w:r>
                </w:p>
              </w:tc>
              <w:tc>
                <w:tcPr>
                  <w:tcW w:w="795" w:type="pct"/>
                  <w:vAlign w:val="center"/>
                </w:tcPr>
                <w:p>
                  <w:pPr>
                    <w:adjustRightInd w:val="0"/>
                    <w:snapToGrid w:val="0"/>
                    <w:jc w:val="center"/>
                    <w:rPr>
                      <w:bCs/>
                      <w:color w:val="auto"/>
                      <w:szCs w:val="21"/>
                    </w:rPr>
                  </w:pPr>
                  <w:r>
                    <w:rPr>
                      <w:rFonts w:hint="eastAsia"/>
                      <w:bCs/>
                      <w:color w:val="auto"/>
                      <w:szCs w:val="21"/>
                    </w:rPr>
                    <w:t>24700t/a</w:t>
                  </w:r>
                </w:p>
              </w:tc>
              <w:tc>
                <w:tcPr>
                  <w:tcW w:w="795" w:type="pct"/>
                  <w:vAlign w:val="center"/>
                </w:tcPr>
                <w:p>
                  <w:pPr>
                    <w:adjustRightInd w:val="0"/>
                    <w:snapToGrid w:val="0"/>
                    <w:jc w:val="center"/>
                    <w:rPr>
                      <w:bCs/>
                      <w:color w:val="auto"/>
                      <w:szCs w:val="21"/>
                    </w:rPr>
                  </w:pPr>
                  <w:r>
                    <w:rPr>
                      <w:rFonts w:hint="eastAsia"/>
                      <w:bCs/>
                      <w:color w:val="auto"/>
                      <w:szCs w:val="21"/>
                    </w:rPr>
                    <w:t>外购</w:t>
                  </w:r>
                </w:p>
              </w:tc>
              <w:tc>
                <w:tcPr>
                  <w:tcW w:w="948" w:type="pct"/>
                  <w:vAlign w:val="center"/>
                </w:tcPr>
                <w:p>
                  <w:pPr>
                    <w:pStyle w:val="7"/>
                    <w:numPr>
                      <w:ilvl w:val="3"/>
                      <w:numId w:val="0"/>
                    </w:numPr>
                    <w:jc w:val="center"/>
                    <w:rPr>
                      <w:color w:val="auto"/>
                    </w:rPr>
                  </w:pPr>
                  <w:r>
                    <w:rPr>
                      <w:rFonts w:hint="eastAsia"/>
                      <w:color w:val="auto"/>
                    </w:rPr>
                    <w:t>硝酸铵库储存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24" w:type="pct"/>
                  <w:vAlign w:val="center"/>
                </w:tcPr>
                <w:p>
                  <w:pPr>
                    <w:jc w:val="center"/>
                    <w:rPr>
                      <w:bCs/>
                      <w:color w:val="auto"/>
                      <w:szCs w:val="21"/>
                    </w:rPr>
                  </w:pPr>
                  <w:r>
                    <w:rPr>
                      <w:rFonts w:hint="eastAsia"/>
                      <w:bCs/>
                      <w:color w:val="auto"/>
                      <w:szCs w:val="21"/>
                    </w:rPr>
                    <w:t>2</w:t>
                  </w:r>
                </w:p>
              </w:tc>
              <w:tc>
                <w:tcPr>
                  <w:tcW w:w="729" w:type="pct"/>
                  <w:vAlign w:val="center"/>
                </w:tcPr>
                <w:p>
                  <w:pPr>
                    <w:adjustRightInd w:val="0"/>
                    <w:snapToGrid w:val="0"/>
                    <w:jc w:val="center"/>
                    <w:rPr>
                      <w:color w:val="auto"/>
                      <w:szCs w:val="21"/>
                    </w:rPr>
                  </w:pPr>
                  <w:r>
                    <w:rPr>
                      <w:rFonts w:hint="eastAsia"/>
                      <w:color w:val="auto"/>
                      <w:szCs w:val="21"/>
                    </w:rPr>
                    <w:t>柴油</w:t>
                  </w:r>
                </w:p>
              </w:tc>
              <w:tc>
                <w:tcPr>
                  <w:tcW w:w="703" w:type="pct"/>
                  <w:vAlign w:val="center"/>
                </w:tcPr>
                <w:p>
                  <w:pPr>
                    <w:adjustRightInd w:val="0"/>
                    <w:snapToGrid w:val="0"/>
                    <w:jc w:val="center"/>
                    <w:rPr>
                      <w:rFonts w:hint="default" w:eastAsia="宋体"/>
                      <w:bCs/>
                      <w:color w:val="auto"/>
                      <w:szCs w:val="21"/>
                      <w:lang w:val="en-US" w:eastAsia="zh-CN"/>
                    </w:rPr>
                  </w:pPr>
                  <w:r>
                    <w:rPr>
                      <w:rFonts w:hint="eastAsia"/>
                      <w:bCs/>
                      <w:color w:val="auto"/>
                      <w:szCs w:val="21"/>
                      <w:lang w:val="en-US" w:eastAsia="zh-CN"/>
                    </w:rPr>
                    <w:t>360</w:t>
                  </w:r>
                  <w:r>
                    <w:rPr>
                      <w:rFonts w:hint="eastAsia"/>
                      <w:bCs/>
                      <w:color w:val="auto"/>
                      <w:szCs w:val="21"/>
                    </w:rPr>
                    <w:t>t/a</w:t>
                  </w:r>
                </w:p>
              </w:tc>
              <w:tc>
                <w:tcPr>
                  <w:tcW w:w="703" w:type="pct"/>
                  <w:vAlign w:val="center"/>
                </w:tcPr>
                <w:p>
                  <w:pPr>
                    <w:adjustRightInd w:val="0"/>
                    <w:snapToGrid w:val="0"/>
                    <w:jc w:val="center"/>
                    <w:rPr>
                      <w:bCs/>
                      <w:color w:val="auto"/>
                      <w:szCs w:val="21"/>
                    </w:rPr>
                  </w:pPr>
                  <w:r>
                    <w:rPr>
                      <w:rFonts w:hint="eastAsia"/>
                      <w:bCs/>
                      <w:color w:val="auto"/>
                      <w:szCs w:val="21"/>
                    </w:rPr>
                    <w:t>940t/a</w:t>
                  </w:r>
                </w:p>
              </w:tc>
              <w:tc>
                <w:tcPr>
                  <w:tcW w:w="795" w:type="pct"/>
                  <w:vAlign w:val="center"/>
                </w:tcPr>
                <w:p>
                  <w:pPr>
                    <w:adjustRightInd w:val="0"/>
                    <w:snapToGrid w:val="0"/>
                    <w:jc w:val="center"/>
                    <w:rPr>
                      <w:bCs/>
                      <w:color w:val="auto"/>
                      <w:szCs w:val="21"/>
                    </w:rPr>
                  </w:pPr>
                  <w:r>
                    <w:rPr>
                      <w:rFonts w:hint="eastAsia"/>
                      <w:bCs/>
                      <w:color w:val="auto"/>
                      <w:szCs w:val="21"/>
                    </w:rPr>
                    <w:t>1300t/a</w:t>
                  </w:r>
                </w:p>
              </w:tc>
              <w:tc>
                <w:tcPr>
                  <w:tcW w:w="795" w:type="pct"/>
                  <w:vAlign w:val="center"/>
                </w:tcPr>
                <w:p>
                  <w:pPr>
                    <w:adjustRightInd w:val="0"/>
                    <w:snapToGrid w:val="0"/>
                    <w:jc w:val="center"/>
                    <w:rPr>
                      <w:bCs/>
                      <w:color w:val="auto"/>
                      <w:szCs w:val="21"/>
                    </w:rPr>
                  </w:pPr>
                  <w:r>
                    <w:rPr>
                      <w:rFonts w:hint="eastAsia"/>
                      <w:bCs/>
                      <w:color w:val="auto"/>
                      <w:szCs w:val="21"/>
                    </w:rPr>
                    <w:t>外购</w:t>
                  </w:r>
                </w:p>
              </w:tc>
              <w:tc>
                <w:tcPr>
                  <w:tcW w:w="948" w:type="pct"/>
                  <w:vAlign w:val="center"/>
                </w:tcPr>
                <w:p>
                  <w:pPr>
                    <w:adjustRightInd w:val="0"/>
                    <w:snapToGrid w:val="0"/>
                    <w:jc w:val="center"/>
                    <w:rPr>
                      <w:color w:val="auto"/>
                      <w:szCs w:val="21"/>
                    </w:rPr>
                  </w:pPr>
                  <w:r>
                    <w:rPr>
                      <w:rFonts w:hint="eastAsia"/>
                      <w:color w:val="auto"/>
                      <w:szCs w:val="21"/>
                    </w:rPr>
                    <w:t>柴油储罐储存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24" w:type="pct"/>
                  <w:vAlign w:val="center"/>
                </w:tcPr>
                <w:p>
                  <w:pPr>
                    <w:jc w:val="center"/>
                    <w:rPr>
                      <w:bCs/>
                      <w:color w:val="auto"/>
                      <w:szCs w:val="21"/>
                    </w:rPr>
                  </w:pPr>
                  <w:r>
                    <w:rPr>
                      <w:rFonts w:hint="eastAsia"/>
                      <w:bCs/>
                      <w:color w:val="auto"/>
                      <w:szCs w:val="21"/>
                    </w:rPr>
                    <w:t>3</w:t>
                  </w:r>
                </w:p>
              </w:tc>
              <w:tc>
                <w:tcPr>
                  <w:tcW w:w="729" w:type="pct"/>
                  <w:vAlign w:val="center"/>
                </w:tcPr>
                <w:p>
                  <w:pPr>
                    <w:adjustRightInd w:val="0"/>
                    <w:snapToGrid w:val="0"/>
                    <w:jc w:val="center"/>
                    <w:rPr>
                      <w:color w:val="auto"/>
                      <w:szCs w:val="21"/>
                    </w:rPr>
                  </w:pPr>
                  <w:r>
                    <w:rPr>
                      <w:color w:val="auto"/>
                      <w:szCs w:val="21"/>
                    </w:rPr>
                    <w:t>水</w:t>
                  </w:r>
                </w:p>
              </w:tc>
              <w:tc>
                <w:tcPr>
                  <w:tcW w:w="703" w:type="pct"/>
                  <w:vAlign w:val="center"/>
                </w:tcPr>
                <w:p>
                  <w:pPr>
                    <w:adjustRightInd w:val="0"/>
                    <w:snapToGrid w:val="0"/>
                    <w:jc w:val="center"/>
                    <w:rPr>
                      <w:rFonts w:hint="default" w:hAnsi="宋体" w:eastAsia="宋体"/>
                      <w:color w:val="auto"/>
                      <w:sz w:val="24"/>
                      <w:lang w:val="en-US" w:eastAsia="zh-CN"/>
                    </w:rPr>
                  </w:pPr>
                  <w:r>
                    <w:rPr>
                      <w:rFonts w:hint="eastAsia" w:hAnsi="宋体"/>
                      <w:color w:val="auto"/>
                      <w:sz w:val="24"/>
                      <w:lang w:val="en-US" w:eastAsia="zh-CN"/>
                    </w:rPr>
                    <w:t>741.25</w:t>
                  </w:r>
                  <w:r>
                    <w:rPr>
                      <w:color w:val="auto"/>
                      <w:sz w:val="24"/>
                    </w:rPr>
                    <w:t>m</w:t>
                  </w:r>
                  <w:r>
                    <w:rPr>
                      <w:color w:val="auto"/>
                      <w:sz w:val="24"/>
                      <w:vertAlign w:val="superscript"/>
                    </w:rPr>
                    <w:t>3</w:t>
                  </w:r>
                  <w:r>
                    <w:rPr>
                      <w:color w:val="auto"/>
                      <w:sz w:val="24"/>
                    </w:rPr>
                    <w:t>/a</w:t>
                  </w:r>
                </w:p>
              </w:tc>
              <w:tc>
                <w:tcPr>
                  <w:tcW w:w="703" w:type="pct"/>
                  <w:vAlign w:val="center"/>
                </w:tcPr>
                <w:p>
                  <w:pPr>
                    <w:adjustRightInd w:val="0"/>
                    <w:snapToGrid w:val="0"/>
                    <w:jc w:val="center"/>
                    <w:rPr>
                      <w:bCs/>
                      <w:color w:val="auto"/>
                      <w:szCs w:val="21"/>
                    </w:rPr>
                  </w:pPr>
                  <w:r>
                    <w:rPr>
                      <w:rFonts w:hint="eastAsia" w:hAnsi="宋体"/>
                      <w:color w:val="auto"/>
                      <w:sz w:val="24"/>
                    </w:rPr>
                    <w:t>344.25</w:t>
                  </w:r>
                  <w:r>
                    <w:rPr>
                      <w:color w:val="auto"/>
                      <w:sz w:val="24"/>
                    </w:rPr>
                    <w:t>m</w:t>
                  </w:r>
                  <w:r>
                    <w:rPr>
                      <w:color w:val="auto"/>
                      <w:sz w:val="24"/>
                      <w:vertAlign w:val="superscript"/>
                    </w:rPr>
                    <w:t>3</w:t>
                  </w:r>
                  <w:r>
                    <w:rPr>
                      <w:color w:val="auto"/>
                      <w:sz w:val="24"/>
                    </w:rPr>
                    <w:t>/a</w:t>
                  </w:r>
                </w:p>
              </w:tc>
              <w:tc>
                <w:tcPr>
                  <w:tcW w:w="795" w:type="pct"/>
                  <w:vAlign w:val="center"/>
                </w:tcPr>
                <w:p>
                  <w:pPr>
                    <w:adjustRightInd w:val="0"/>
                    <w:snapToGrid w:val="0"/>
                    <w:jc w:val="center"/>
                    <w:rPr>
                      <w:color w:val="auto"/>
                      <w:szCs w:val="21"/>
                    </w:rPr>
                  </w:pPr>
                  <w:r>
                    <w:rPr>
                      <w:rFonts w:hint="eastAsia" w:hAnsi="宋体"/>
                      <w:color w:val="auto"/>
                      <w:sz w:val="24"/>
                    </w:rPr>
                    <w:t>1085.5</w:t>
                  </w:r>
                  <w:r>
                    <w:rPr>
                      <w:color w:val="auto"/>
                      <w:sz w:val="24"/>
                    </w:rPr>
                    <w:t>m</w:t>
                  </w:r>
                  <w:r>
                    <w:rPr>
                      <w:color w:val="auto"/>
                      <w:sz w:val="24"/>
                      <w:vertAlign w:val="superscript"/>
                    </w:rPr>
                    <w:t>3</w:t>
                  </w:r>
                  <w:r>
                    <w:rPr>
                      <w:color w:val="auto"/>
                      <w:sz w:val="24"/>
                    </w:rPr>
                    <w:t>/a</w:t>
                  </w:r>
                </w:p>
              </w:tc>
              <w:tc>
                <w:tcPr>
                  <w:tcW w:w="795" w:type="pct"/>
                  <w:vAlign w:val="center"/>
                </w:tcPr>
                <w:p>
                  <w:pPr>
                    <w:adjustRightInd w:val="0"/>
                    <w:snapToGrid w:val="0"/>
                    <w:jc w:val="center"/>
                    <w:rPr>
                      <w:bCs/>
                      <w:color w:val="auto"/>
                      <w:szCs w:val="21"/>
                    </w:rPr>
                  </w:pPr>
                  <w:r>
                    <w:rPr>
                      <w:rFonts w:hint="eastAsia"/>
                      <w:color w:val="auto"/>
                      <w:szCs w:val="21"/>
                    </w:rPr>
                    <w:t>/</w:t>
                  </w:r>
                </w:p>
              </w:tc>
              <w:tc>
                <w:tcPr>
                  <w:tcW w:w="948" w:type="pct"/>
                  <w:vAlign w:val="center"/>
                </w:tcPr>
                <w:p>
                  <w:pPr>
                    <w:adjustRightInd w:val="0"/>
                    <w:snapToGrid w:val="0"/>
                    <w:jc w:val="center"/>
                    <w:rPr>
                      <w:color w:val="auto"/>
                      <w:szCs w:val="21"/>
                    </w:rPr>
                  </w:pPr>
                  <w:r>
                    <w:rPr>
                      <w:color w:val="auto"/>
                      <w:szCs w:val="21"/>
                    </w:rPr>
                    <w:t>能源消耗</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324" w:type="pct"/>
                  <w:vAlign w:val="center"/>
                </w:tcPr>
                <w:p>
                  <w:pPr>
                    <w:jc w:val="center"/>
                    <w:rPr>
                      <w:bCs/>
                      <w:color w:val="auto"/>
                      <w:szCs w:val="21"/>
                    </w:rPr>
                  </w:pPr>
                  <w:r>
                    <w:rPr>
                      <w:rFonts w:hint="eastAsia"/>
                      <w:bCs/>
                      <w:color w:val="auto"/>
                      <w:szCs w:val="21"/>
                    </w:rPr>
                    <w:t>4</w:t>
                  </w:r>
                </w:p>
              </w:tc>
              <w:tc>
                <w:tcPr>
                  <w:tcW w:w="729" w:type="pct"/>
                  <w:vAlign w:val="center"/>
                </w:tcPr>
                <w:p>
                  <w:pPr>
                    <w:adjustRightInd w:val="0"/>
                    <w:snapToGrid w:val="0"/>
                    <w:jc w:val="center"/>
                    <w:rPr>
                      <w:color w:val="auto"/>
                      <w:szCs w:val="21"/>
                    </w:rPr>
                  </w:pPr>
                  <w:r>
                    <w:rPr>
                      <w:color w:val="auto"/>
                      <w:szCs w:val="21"/>
                    </w:rPr>
                    <w:t>电</w:t>
                  </w:r>
                </w:p>
              </w:tc>
              <w:tc>
                <w:tcPr>
                  <w:tcW w:w="703" w:type="pct"/>
                  <w:vAlign w:val="center"/>
                </w:tcPr>
                <w:p>
                  <w:pPr>
                    <w:adjustRightInd w:val="0"/>
                    <w:snapToGrid w:val="0"/>
                    <w:jc w:val="center"/>
                    <w:rPr>
                      <w:rFonts w:hint="eastAsia" w:eastAsia="宋体"/>
                      <w:color w:val="auto"/>
                      <w:szCs w:val="21"/>
                      <w:lang w:val="en-US" w:eastAsia="zh-CN"/>
                    </w:rPr>
                  </w:pPr>
                  <w:r>
                    <w:rPr>
                      <w:rFonts w:hint="eastAsia"/>
                      <w:color w:val="auto"/>
                      <w:szCs w:val="21"/>
                      <w:lang w:val="en-US" w:eastAsia="zh-CN"/>
                    </w:rPr>
                    <w:t>2</w:t>
                  </w:r>
                  <w:r>
                    <w:rPr>
                      <w:rFonts w:hint="eastAsia"/>
                      <w:color w:val="auto"/>
                      <w:szCs w:val="21"/>
                    </w:rPr>
                    <w:t>万</w:t>
                  </w:r>
                  <w:r>
                    <w:rPr>
                      <w:color w:val="auto"/>
                      <w:szCs w:val="21"/>
                    </w:rPr>
                    <w:t>kW</w:t>
                  </w:r>
                  <w:r>
                    <w:rPr>
                      <w:rFonts w:hint="eastAsia"/>
                      <w:color w:val="auto"/>
                      <w:szCs w:val="21"/>
                    </w:rPr>
                    <w:t>.</w:t>
                  </w:r>
                  <w:r>
                    <w:rPr>
                      <w:color w:val="auto"/>
                      <w:szCs w:val="21"/>
                    </w:rPr>
                    <w:t>h</w:t>
                  </w:r>
                </w:p>
              </w:tc>
              <w:tc>
                <w:tcPr>
                  <w:tcW w:w="703" w:type="pct"/>
                  <w:vAlign w:val="center"/>
                </w:tcPr>
                <w:p>
                  <w:pPr>
                    <w:adjustRightInd w:val="0"/>
                    <w:snapToGrid w:val="0"/>
                    <w:jc w:val="center"/>
                    <w:rPr>
                      <w:bCs/>
                      <w:color w:val="auto"/>
                      <w:szCs w:val="21"/>
                    </w:rPr>
                  </w:pPr>
                  <w:r>
                    <w:rPr>
                      <w:rFonts w:hint="eastAsia"/>
                      <w:color w:val="auto"/>
                      <w:szCs w:val="21"/>
                      <w:lang w:val="en-US" w:eastAsia="zh-CN"/>
                    </w:rPr>
                    <w:t>3</w:t>
                  </w:r>
                  <w:r>
                    <w:rPr>
                      <w:rFonts w:hint="eastAsia"/>
                      <w:color w:val="auto"/>
                      <w:szCs w:val="21"/>
                    </w:rPr>
                    <w:t>万</w:t>
                  </w:r>
                  <w:r>
                    <w:rPr>
                      <w:color w:val="auto"/>
                      <w:szCs w:val="21"/>
                    </w:rPr>
                    <w:t>kW</w:t>
                  </w:r>
                  <w:r>
                    <w:rPr>
                      <w:rFonts w:hint="eastAsia"/>
                      <w:color w:val="auto"/>
                      <w:szCs w:val="21"/>
                    </w:rPr>
                    <w:t>.</w:t>
                  </w:r>
                  <w:r>
                    <w:rPr>
                      <w:color w:val="auto"/>
                      <w:szCs w:val="21"/>
                    </w:rPr>
                    <w:t>h</w:t>
                  </w:r>
                </w:p>
              </w:tc>
              <w:tc>
                <w:tcPr>
                  <w:tcW w:w="795" w:type="pct"/>
                  <w:vAlign w:val="center"/>
                </w:tcPr>
                <w:p>
                  <w:pPr>
                    <w:adjustRightInd w:val="0"/>
                    <w:snapToGrid w:val="0"/>
                    <w:jc w:val="center"/>
                    <w:rPr>
                      <w:color w:val="auto"/>
                      <w:szCs w:val="21"/>
                    </w:rPr>
                  </w:pPr>
                  <w:r>
                    <w:rPr>
                      <w:rFonts w:hint="eastAsia"/>
                      <w:color w:val="auto"/>
                      <w:szCs w:val="21"/>
                      <w:lang w:val="en-US" w:eastAsia="zh-CN"/>
                    </w:rPr>
                    <w:t>5</w:t>
                  </w:r>
                  <w:r>
                    <w:rPr>
                      <w:rFonts w:hint="eastAsia"/>
                      <w:color w:val="auto"/>
                      <w:szCs w:val="21"/>
                    </w:rPr>
                    <w:t>万</w:t>
                  </w:r>
                  <w:r>
                    <w:rPr>
                      <w:color w:val="auto"/>
                      <w:szCs w:val="21"/>
                    </w:rPr>
                    <w:t>kW</w:t>
                  </w:r>
                  <w:r>
                    <w:rPr>
                      <w:rFonts w:hint="eastAsia"/>
                      <w:color w:val="auto"/>
                      <w:szCs w:val="21"/>
                    </w:rPr>
                    <w:t>.</w:t>
                  </w:r>
                  <w:r>
                    <w:rPr>
                      <w:color w:val="auto"/>
                      <w:szCs w:val="21"/>
                    </w:rPr>
                    <w:t>h</w:t>
                  </w:r>
                </w:p>
              </w:tc>
              <w:tc>
                <w:tcPr>
                  <w:tcW w:w="795" w:type="pct"/>
                  <w:vAlign w:val="center"/>
                </w:tcPr>
                <w:p>
                  <w:pPr>
                    <w:adjustRightInd w:val="0"/>
                    <w:snapToGrid w:val="0"/>
                    <w:jc w:val="center"/>
                    <w:rPr>
                      <w:bCs/>
                      <w:color w:val="auto"/>
                      <w:szCs w:val="21"/>
                    </w:rPr>
                  </w:pPr>
                  <w:r>
                    <w:rPr>
                      <w:rFonts w:hint="eastAsia"/>
                      <w:color w:val="auto"/>
                      <w:szCs w:val="21"/>
                    </w:rPr>
                    <w:t>/</w:t>
                  </w:r>
                </w:p>
              </w:tc>
              <w:tc>
                <w:tcPr>
                  <w:tcW w:w="948" w:type="pct"/>
                  <w:vAlign w:val="center"/>
                </w:tcPr>
                <w:p>
                  <w:pPr>
                    <w:adjustRightInd w:val="0"/>
                    <w:snapToGrid w:val="0"/>
                    <w:jc w:val="center"/>
                    <w:rPr>
                      <w:color w:val="auto"/>
                      <w:szCs w:val="21"/>
                    </w:rPr>
                  </w:pPr>
                  <w:r>
                    <w:rPr>
                      <w:color w:val="auto"/>
                      <w:szCs w:val="21"/>
                    </w:rPr>
                    <w:t>能源消耗</w:t>
                  </w:r>
                </w:p>
              </w:tc>
            </w:tr>
          </w:tbl>
          <w:p>
            <w:pPr>
              <w:adjustRightInd w:val="0"/>
              <w:snapToGrid w:val="0"/>
              <w:spacing w:line="480" w:lineRule="exact"/>
              <w:ind w:firstLine="480" w:firstLineChars="200"/>
              <w:rPr>
                <w:color w:val="auto"/>
                <w:sz w:val="24"/>
              </w:rPr>
            </w:pPr>
            <w:r>
              <w:rPr>
                <w:color w:val="auto"/>
                <w:sz w:val="24"/>
              </w:rPr>
              <w:t>主要原辅材料理化性质详见表2-</w:t>
            </w:r>
            <w:r>
              <w:rPr>
                <w:rFonts w:hint="eastAsia"/>
                <w:color w:val="auto"/>
                <w:sz w:val="24"/>
              </w:rPr>
              <w:t>6</w:t>
            </w:r>
            <w:r>
              <w:rPr>
                <w:color w:val="auto"/>
                <w:sz w:val="24"/>
              </w:rPr>
              <w:t>。</w:t>
            </w:r>
          </w:p>
          <w:p>
            <w:pPr>
              <w:pStyle w:val="36"/>
              <w:rPr>
                <w:color w:val="auto"/>
              </w:rPr>
            </w:pPr>
            <w:r>
              <w:rPr>
                <w:color w:val="auto"/>
              </w:rPr>
              <w:t>表2-</w:t>
            </w:r>
            <w:r>
              <w:rPr>
                <w:rFonts w:hint="eastAsia"/>
                <w:color w:val="auto"/>
              </w:rPr>
              <w:t>6</w:t>
            </w:r>
            <w:r>
              <w:rPr>
                <w:color w:val="auto"/>
              </w:rPr>
              <w:t xml:space="preserve">  硝酸铵</w:t>
            </w:r>
            <w:r>
              <w:rPr>
                <w:rFonts w:hint="eastAsia"/>
                <w:color w:val="auto"/>
              </w:rPr>
              <w:t>特性分析</w:t>
            </w:r>
            <w:r>
              <w:rPr>
                <w:color w:val="auto"/>
              </w:rPr>
              <w:t>表</w:t>
            </w:r>
          </w:p>
          <w:tbl>
            <w:tblPr>
              <w:tblStyle w:val="2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76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vAlign w:val="center"/>
                </w:tcPr>
                <w:p>
                  <w:pPr>
                    <w:widowControl/>
                    <w:jc w:val="center"/>
                    <w:rPr>
                      <w:color w:val="auto"/>
                      <w:kern w:val="0"/>
                      <w:szCs w:val="21"/>
                    </w:rPr>
                  </w:pPr>
                  <w:r>
                    <w:rPr>
                      <w:color w:val="auto"/>
                      <w:kern w:val="0"/>
                      <w:szCs w:val="21"/>
                    </w:rPr>
                    <w:t>标识</w:t>
                  </w:r>
                </w:p>
              </w:tc>
              <w:tc>
                <w:tcPr>
                  <w:tcW w:w="4580" w:type="pct"/>
                </w:tcPr>
                <w:p>
                  <w:pPr>
                    <w:widowControl/>
                    <w:jc w:val="left"/>
                    <w:rPr>
                      <w:color w:val="auto"/>
                      <w:kern w:val="0"/>
                      <w:szCs w:val="21"/>
                    </w:rPr>
                  </w:pPr>
                  <w:r>
                    <w:rPr>
                      <w:color w:val="auto"/>
                      <w:kern w:val="0"/>
                      <w:szCs w:val="21"/>
                    </w:rPr>
                    <w:t>中文名：硝酸铵</w:t>
                  </w:r>
                  <w:r>
                    <w:rPr>
                      <w:rFonts w:hint="eastAsia"/>
                      <w:color w:val="auto"/>
                      <w:kern w:val="0"/>
                      <w:szCs w:val="21"/>
                    </w:rPr>
                    <w:t>，液体</w:t>
                  </w:r>
                  <w:r>
                    <w:rPr>
                      <w:color w:val="auto"/>
                      <w:kern w:val="0"/>
                      <w:szCs w:val="21"/>
                    </w:rPr>
                    <w:t xml:space="preserve">  英文名：Ammonium  nitrate</w:t>
                  </w:r>
                  <w:r>
                    <w:rPr>
                      <w:rFonts w:hint="eastAsia"/>
                      <w:color w:val="auto"/>
                      <w:kern w:val="0"/>
                      <w:szCs w:val="21"/>
                    </w:rPr>
                    <w:t>，liquid</w:t>
                  </w:r>
                  <w:r>
                    <w:rPr>
                      <w:color w:val="auto"/>
                      <w:kern w:val="0"/>
                      <w:szCs w:val="21"/>
                    </w:rPr>
                    <w:t xml:space="preserve">   分子式：NH</w:t>
                  </w:r>
                  <w:r>
                    <w:rPr>
                      <w:color w:val="auto"/>
                      <w:kern w:val="0"/>
                      <w:szCs w:val="21"/>
                      <w:vertAlign w:val="subscript"/>
                    </w:rPr>
                    <w:t>4</w:t>
                  </w:r>
                  <w:r>
                    <w:rPr>
                      <w:color w:val="auto"/>
                      <w:kern w:val="0"/>
                      <w:szCs w:val="21"/>
                    </w:rPr>
                    <w:t>NO</w:t>
                  </w:r>
                  <w:r>
                    <w:rPr>
                      <w:color w:val="auto"/>
                      <w:kern w:val="0"/>
                      <w:szCs w:val="21"/>
                      <w:vertAlign w:val="subscript"/>
                    </w:rPr>
                    <w:t>3</w:t>
                  </w:r>
                </w:p>
                <w:p>
                  <w:pPr>
                    <w:widowControl/>
                    <w:jc w:val="left"/>
                    <w:rPr>
                      <w:color w:val="auto"/>
                      <w:kern w:val="0"/>
                      <w:szCs w:val="21"/>
                    </w:rPr>
                  </w:pPr>
                  <w:r>
                    <w:rPr>
                      <w:color w:val="auto"/>
                      <w:kern w:val="0"/>
                      <w:szCs w:val="21"/>
                    </w:rPr>
                    <w:t>分子量：80.05     危规号：51069                 UN编号：</w:t>
                  </w:r>
                  <w:r>
                    <w:rPr>
                      <w:rFonts w:hint="eastAsia"/>
                      <w:color w:val="auto"/>
                      <w:kern w:val="0"/>
                      <w:szCs w:val="21"/>
                    </w:rPr>
                    <w:t>2426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419" w:type="pct"/>
                  <w:vAlign w:val="center"/>
                </w:tcPr>
                <w:p>
                  <w:pPr>
                    <w:widowControl/>
                    <w:jc w:val="center"/>
                    <w:rPr>
                      <w:color w:val="auto"/>
                      <w:kern w:val="0"/>
                      <w:szCs w:val="21"/>
                    </w:rPr>
                  </w:pPr>
                  <w:r>
                    <w:rPr>
                      <w:color w:val="auto"/>
                      <w:kern w:val="0"/>
                      <w:szCs w:val="21"/>
                    </w:rPr>
                    <w:t>理化特性</w:t>
                  </w:r>
                </w:p>
              </w:tc>
              <w:tc>
                <w:tcPr>
                  <w:tcW w:w="4580" w:type="pct"/>
                </w:tcPr>
                <w:p>
                  <w:pPr>
                    <w:widowControl/>
                    <w:rPr>
                      <w:color w:val="auto"/>
                      <w:kern w:val="0"/>
                      <w:szCs w:val="21"/>
                    </w:rPr>
                  </w:pPr>
                  <w:r>
                    <w:rPr>
                      <w:color w:val="auto"/>
                      <w:kern w:val="0"/>
                      <w:szCs w:val="21"/>
                    </w:rPr>
                    <w:t>含硝酸铵不超过93</w:t>
                  </w:r>
                  <w:r>
                    <w:rPr>
                      <w:rFonts w:hint="eastAsia"/>
                      <w:color w:val="auto"/>
                      <w:kern w:val="0"/>
                      <w:szCs w:val="21"/>
                    </w:rPr>
                    <w:t>%</w:t>
                  </w:r>
                  <w:r>
                    <w:rPr>
                      <w:color w:val="auto"/>
                      <w:kern w:val="0"/>
                      <w:szCs w:val="21"/>
                    </w:rPr>
                    <w:t>和可燃物（包括以碳计算的有机物）不超过0.2</w:t>
                  </w:r>
                  <w:r>
                    <w:rPr>
                      <w:rFonts w:hint="eastAsia"/>
                      <w:color w:val="auto"/>
                      <w:kern w:val="0"/>
                      <w:szCs w:val="21"/>
                    </w:rPr>
                    <w:t>%</w:t>
                  </w:r>
                  <w:r>
                    <w:rPr>
                      <w:color w:val="auto"/>
                      <w:kern w:val="0"/>
                      <w:szCs w:val="21"/>
                    </w:rPr>
                    <w:t>，无其他添加物，含水至少7</w:t>
                  </w:r>
                  <w:r>
                    <w:rPr>
                      <w:rFonts w:hint="eastAsia"/>
                      <w:color w:val="auto"/>
                      <w:kern w:val="0"/>
                      <w:szCs w:val="21"/>
                    </w:rPr>
                    <w:t>%</w:t>
                  </w:r>
                  <w:r>
                    <w:rPr>
                      <w:color w:val="auto"/>
                      <w:kern w:val="0"/>
                      <w:szCs w:val="21"/>
                    </w:rPr>
                    <w:t>，氯离子最大含量不得超过0.02</w:t>
                  </w:r>
                  <w:r>
                    <w:rPr>
                      <w:rFonts w:hint="eastAsia"/>
                      <w:color w:val="auto"/>
                      <w:kern w:val="0"/>
                      <w:szCs w:val="21"/>
                    </w:rPr>
                    <w:t>%</w:t>
                  </w:r>
                  <w:r>
                    <w:rPr>
                      <w:color w:val="auto"/>
                      <w:kern w:val="0"/>
                      <w:szCs w:val="21"/>
                    </w:rPr>
                    <w:t>的热水溶液。</w:t>
                  </w:r>
                </w:p>
                <w:p>
                  <w:pPr>
                    <w:widowControl/>
                    <w:rPr>
                      <w:color w:val="auto"/>
                      <w:kern w:val="0"/>
                      <w:szCs w:val="21"/>
                    </w:rPr>
                  </w:pPr>
                  <w:r>
                    <w:rPr>
                      <w:color w:val="auto"/>
                      <w:kern w:val="0"/>
                      <w:szCs w:val="21"/>
                    </w:rPr>
                    <w:t>熔点：169.6℃；分解温度：210℃；相对密度：1.72</w:t>
                  </w:r>
                </w:p>
                <w:p>
                  <w:pPr>
                    <w:widowControl/>
                    <w:rPr>
                      <w:color w:val="auto"/>
                      <w:kern w:val="0"/>
                      <w:szCs w:val="21"/>
                    </w:rPr>
                  </w:pPr>
                  <w:r>
                    <w:rPr>
                      <w:color w:val="auto"/>
                      <w:kern w:val="0"/>
                      <w:szCs w:val="21"/>
                    </w:rPr>
                    <w:t>主要用途：用于炸药的氧化剂等。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419" w:type="pct"/>
                  <w:vAlign w:val="center"/>
                </w:tcPr>
                <w:p>
                  <w:pPr>
                    <w:widowControl/>
                    <w:jc w:val="center"/>
                    <w:rPr>
                      <w:color w:val="auto"/>
                      <w:kern w:val="0"/>
                      <w:szCs w:val="21"/>
                    </w:rPr>
                  </w:pPr>
                  <w:r>
                    <w:rPr>
                      <w:color w:val="auto"/>
                      <w:kern w:val="0"/>
                      <w:szCs w:val="21"/>
                    </w:rPr>
                    <w:t>危险特性</w:t>
                  </w:r>
                </w:p>
              </w:tc>
              <w:tc>
                <w:tcPr>
                  <w:tcW w:w="4580" w:type="pct"/>
                </w:tcPr>
                <w:p>
                  <w:pPr>
                    <w:widowControl/>
                    <w:rPr>
                      <w:color w:val="auto"/>
                      <w:kern w:val="0"/>
                      <w:szCs w:val="21"/>
                    </w:rPr>
                  </w:pPr>
                  <w:r>
                    <w:rPr>
                      <w:color w:val="auto"/>
                      <w:kern w:val="0"/>
                      <w:szCs w:val="21"/>
                    </w:rPr>
                    <w:t>强氧化剂。遇可燃物着火时，能助长火势。与可燃物粉末混合能发生激烈反应而爆炸。受强烈震动也会引爆。剧烈加热时可发生爆炸。与还原剂、有机物、易燃物如硫、磷或金属粉末等混合可形成爆炸性混合物。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vAlign w:val="center"/>
                </w:tcPr>
                <w:p>
                  <w:pPr>
                    <w:widowControl/>
                    <w:jc w:val="center"/>
                    <w:rPr>
                      <w:color w:val="auto"/>
                      <w:kern w:val="0"/>
                      <w:szCs w:val="21"/>
                    </w:rPr>
                  </w:pPr>
                  <w:r>
                    <w:rPr>
                      <w:color w:val="auto"/>
                      <w:kern w:val="0"/>
                      <w:szCs w:val="21"/>
                    </w:rPr>
                    <w:t>毒性</w:t>
                  </w:r>
                </w:p>
                <w:p>
                  <w:pPr>
                    <w:widowControl/>
                    <w:jc w:val="center"/>
                    <w:rPr>
                      <w:color w:val="auto"/>
                      <w:kern w:val="0"/>
                      <w:szCs w:val="21"/>
                    </w:rPr>
                  </w:pPr>
                  <w:r>
                    <w:rPr>
                      <w:color w:val="auto"/>
                      <w:kern w:val="0"/>
                      <w:szCs w:val="21"/>
                    </w:rPr>
                    <w:t>危害</w:t>
                  </w:r>
                </w:p>
              </w:tc>
              <w:tc>
                <w:tcPr>
                  <w:tcW w:w="4580" w:type="pct"/>
                </w:tcPr>
                <w:p>
                  <w:pPr>
                    <w:widowControl/>
                    <w:rPr>
                      <w:color w:val="auto"/>
                      <w:kern w:val="0"/>
                      <w:szCs w:val="21"/>
                    </w:rPr>
                  </w:pPr>
                  <w:r>
                    <w:rPr>
                      <w:color w:val="auto"/>
                      <w:kern w:val="0"/>
                      <w:szCs w:val="21"/>
                    </w:rPr>
                    <w:t>侵入途径：吸入、食入、经皮吸收。</w:t>
                  </w:r>
                </w:p>
                <w:p>
                  <w:pPr>
                    <w:widowControl/>
                    <w:rPr>
                      <w:color w:val="auto"/>
                      <w:kern w:val="0"/>
                      <w:szCs w:val="21"/>
                    </w:rPr>
                  </w:pPr>
                  <w:r>
                    <w:rPr>
                      <w:color w:val="auto"/>
                      <w:kern w:val="0"/>
                      <w:szCs w:val="21"/>
                    </w:rPr>
                    <w:t>对呼吸道、眼及皮肤有刺激性。接触后可引起恶心、呕吐、头痛、虚弱、无力和虚脱等。</w:t>
                  </w:r>
                </w:p>
                <w:p>
                  <w:pPr>
                    <w:widowControl/>
                    <w:rPr>
                      <w:color w:val="auto"/>
                      <w:kern w:val="0"/>
                      <w:szCs w:val="21"/>
                    </w:rPr>
                  </w:pPr>
                  <w:r>
                    <w:rPr>
                      <w:color w:val="auto"/>
                      <w:kern w:val="0"/>
                      <w:szCs w:val="21"/>
                    </w:rPr>
                    <w:t>大量接触可引起高铁血红蛋白血症，影响血液的携氧能力，出现紫绀、头痛、头晕、虚脱，甚至死亡。口服引起剧烈腹痛、呕吐、血便、休克、全身抽搐、昏迷，甚至死亡。</w:t>
                  </w:r>
                </w:p>
              </w:tc>
            </w:tr>
          </w:tbl>
          <w:p>
            <w:pPr>
              <w:adjustRightInd w:val="0"/>
              <w:snapToGrid w:val="0"/>
              <w:jc w:val="center"/>
              <w:rPr>
                <w:rFonts w:eastAsia="黑体"/>
                <w:bCs/>
                <w:color w:val="auto"/>
                <w:sz w:val="24"/>
                <w:szCs w:val="32"/>
              </w:rPr>
            </w:pPr>
            <w:r>
              <w:rPr>
                <w:rFonts w:eastAsia="黑体"/>
                <w:bCs/>
                <w:color w:val="auto"/>
                <w:sz w:val="24"/>
                <w:szCs w:val="32"/>
              </w:rPr>
              <w:t>表</w:t>
            </w:r>
            <w:r>
              <w:rPr>
                <w:rFonts w:hint="eastAsia" w:eastAsia="黑体"/>
                <w:bCs/>
                <w:color w:val="auto"/>
                <w:sz w:val="24"/>
                <w:szCs w:val="32"/>
              </w:rPr>
              <w:t xml:space="preserve">2-7 </w:t>
            </w:r>
            <w:r>
              <w:rPr>
                <w:rFonts w:eastAsia="黑体"/>
                <w:bCs/>
                <w:color w:val="auto"/>
                <w:sz w:val="24"/>
                <w:szCs w:val="32"/>
              </w:rPr>
              <w:t xml:space="preserve"> 柴油的理化性质和危险特性</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8"/>
              <w:gridCol w:w="2919"/>
              <w:gridCol w:w="1466"/>
              <w:gridCol w:w="25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4"/>
                  <w:vAlign w:val="center"/>
                </w:tcPr>
                <w:p>
                  <w:pPr>
                    <w:jc w:val="center"/>
                    <w:rPr>
                      <w:bCs/>
                      <w:color w:val="auto"/>
                      <w:szCs w:val="21"/>
                    </w:rPr>
                  </w:pPr>
                  <w:r>
                    <w:rPr>
                      <w:bCs/>
                      <w:color w:val="auto"/>
                      <w:szCs w:val="21"/>
                    </w:rPr>
                    <w:t>危险性概述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8" w:type="pct"/>
                  <w:vAlign w:val="center"/>
                </w:tcPr>
                <w:p>
                  <w:pPr>
                    <w:jc w:val="center"/>
                    <w:rPr>
                      <w:color w:val="auto"/>
                      <w:szCs w:val="21"/>
                    </w:rPr>
                  </w:pPr>
                  <w:r>
                    <w:rPr>
                      <w:color w:val="auto"/>
                      <w:szCs w:val="21"/>
                    </w:rPr>
                    <w:t>中文名称</w:t>
                  </w:r>
                </w:p>
              </w:tc>
              <w:tc>
                <w:tcPr>
                  <w:tcW w:w="1738" w:type="pct"/>
                  <w:vAlign w:val="center"/>
                </w:tcPr>
                <w:p>
                  <w:pPr>
                    <w:jc w:val="center"/>
                    <w:rPr>
                      <w:color w:val="auto"/>
                      <w:szCs w:val="21"/>
                    </w:rPr>
                  </w:pPr>
                  <w:r>
                    <w:rPr>
                      <w:rFonts w:hint="eastAsia"/>
                      <w:color w:val="auto"/>
                      <w:szCs w:val="21"/>
                    </w:rPr>
                    <w:t>柴油</w:t>
                  </w:r>
                </w:p>
              </w:tc>
              <w:tc>
                <w:tcPr>
                  <w:tcW w:w="873" w:type="pct"/>
                  <w:vAlign w:val="center"/>
                </w:tcPr>
                <w:p>
                  <w:pPr>
                    <w:jc w:val="center"/>
                    <w:rPr>
                      <w:color w:val="auto"/>
                      <w:szCs w:val="21"/>
                    </w:rPr>
                  </w:pPr>
                  <w:r>
                    <w:rPr>
                      <w:color w:val="auto"/>
                      <w:szCs w:val="21"/>
                    </w:rPr>
                    <w:t>英文名称</w:t>
                  </w:r>
                </w:p>
              </w:tc>
              <w:tc>
                <w:tcPr>
                  <w:tcW w:w="1521" w:type="pct"/>
                  <w:vAlign w:val="center"/>
                </w:tcPr>
                <w:p>
                  <w:pPr>
                    <w:jc w:val="center"/>
                    <w:rPr>
                      <w:color w:val="auto"/>
                      <w:szCs w:val="21"/>
                    </w:rPr>
                  </w:pPr>
                  <w:r>
                    <w:rPr>
                      <w:rFonts w:hint="eastAsia"/>
                      <w:color w:val="auto"/>
                      <w:szCs w:val="21"/>
                    </w:rPr>
                    <w:t>Dieseloil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8" w:type="pct"/>
                  <w:vAlign w:val="center"/>
                </w:tcPr>
                <w:p>
                  <w:pPr>
                    <w:jc w:val="center"/>
                    <w:rPr>
                      <w:color w:val="auto"/>
                      <w:szCs w:val="21"/>
                    </w:rPr>
                  </w:pPr>
                  <w:r>
                    <w:rPr>
                      <w:color w:val="auto"/>
                      <w:szCs w:val="21"/>
                    </w:rPr>
                    <w:t>分子式</w:t>
                  </w:r>
                </w:p>
              </w:tc>
              <w:tc>
                <w:tcPr>
                  <w:tcW w:w="1738" w:type="pct"/>
                  <w:vAlign w:val="center"/>
                </w:tcPr>
                <w:p>
                  <w:pPr>
                    <w:jc w:val="center"/>
                    <w:rPr>
                      <w:color w:val="auto"/>
                      <w:szCs w:val="21"/>
                    </w:rPr>
                  </w:pPr>
                  <w:r>
                    <w:rPr>
                      <w:color w:val="auto"/>
                      <w:szCs w:val="21"/>
                    </w:rPr>
                    <w:t>混合物</w:t>
                  </w:r>
                </w:p>
              </w:tc>
              <w:tc>
                <w:tcPr>
                  <w:tcW w:w="873" w:type="pct"/>
                  <w:vAlign w:val="center"/>
                </w:tcPr>
                <w:p>
                  <w:pPr>
                    <w:jc w:val="center"/>
                    <w:rPr>
                      <w:color w:val="auto"/>
                      <w:szCs w:val="21"/>
                    </w:rPr>
                  </w:pPr>
                  <w:r>
                    <w:rPr>
                      <w:color w:val="auto"/>
                      <w:szCs w:val="21"/>
                    </w:rPr>
                    <w:t>外观与性质</w:t>
                  </w:r>
                </w:p>
              </w:tc>
              <w:tc>
                <w:tcPr>
                  <w:tcW w:w="1521" w:type="pct"/>
                  <w:vAlign w:val="center"/>
                </w:tcPr>
                <w:p>
                  <w:pPr>
                    <w:jc w:val="center"/>
                    <w:rPr>
                      <w:color w:val="auto"/>
                      <w:szCs w:val="21"/>
                    </w:rPr>
                  </w:pPr>
                  <w:r>
                    <w:rPr>
                      <w:rFonts w:hint="eastAsia"/>
                      <w:color w:val="auto"/>
                      <w:szCs w:val="21"/>
                    </w:rPr>
                    <w:t>稍有粘稠性的棕色液体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8" w:type="pct"/>
                  <w:vAlign w:val="center"/>
                </w:tcPr>
                <w:p>
                  <w:pPr>
                    <w:spacing w:line="280" w:lineRule="exact"/>
                    <w:jc w:val="center"/>
                    <w:rPr>
                      <w:color w:val="auto"/>
                      <w:szCs w:val="21"/>
                    </w:rPr>
                  </w:pPr>
                  <w:r>
                    <w:rPr>
                      <w:rFonts w:hint="eastAsia"/>
                      <w:color w:val="auto"/>
                      <w:szCs w:val="21"/>
                    </w:rPr>
                    <w:t>熔点</w:t>
                  </w:r>
                  <w:r>
                    <w:rPr>
                      <w:color w:val="auto"/>
                      <w:szCs w:val="21"/>
                    </w:rPr>
                    <w:t>（℃）</w:t>
                  </w:r>
                </w:p>
              </w:tc>
              <w:tc>
                <w:tcPr>
                  <w:tcW w:w="1738" w:type="pct"/>
                  <w:vAlign w:val="center"/>
                </w:tcPr>
                <w:p>
                  <w:pPr>
                    <w:spacing w:line="280" w:lineRule="exact"/>
                    <w:jc w:val="center"/>
                    <w:rPr>
                      <w:color w:val="auto"/>
                      <w:szCs w:val="21"/>
                    </w:rPr>
                  </w:pPr>
                  <w:r>
                    <w:rPr>
                      <w:rFonts w:hint="eastAsia"/>
                      <w:color w:val="auto"/>
                      <w:szCs w:val="21"/>
                    </w:rPr>
                    <w:t>-18</w:t>
                  </w:r>
                </w:p>
              </w:tc>
              <w:tc>
                <w:tcPr>
                  <w:tcW w:w="873" w:type="pct"/>
                  <w:vAlign w:val="center"/>
                </w:tcPr>
                <w:p>
                  <w:pPr>
                    <w:spacing w:line="280" w:lineRule="exact"/>
                    <w:jc w:val="center"/>
                    <w:rPr>
                      <w:color w:val="auto"/>
                      <w:szCs w:val="21"/>
                    </w:rPr>
                  </w:pPr>
                  <w:r>
                    <w:rPr>
                      <w:color w:val="auto"/>
                      <w:szCs w:val="21"/>
                    </w:rPr>
                    <w:t>沸点（℃）</w:t>
                  </w:r>
                </w:p>
              </w:tc>
              <w:tc>
                <w:tcPr>
                  <w:tcW w:w="1521" w:type="pct"/>
                  <w:vAlign w:val="center"/>
                </w:tcPr>
                <w:p>
                  <w:pPr>
                    <w:spacing w:line="280" w:lineRule="exact"/>
                    <w:jc w:val="center"/>
                    <w:rPr>
                      <w:color w:val="auto"/>
                      <w:szCs w:val="21"/>
                    </w:rPr>
                  </w:pPr>
                  <w:r>
                    <w:rPr>
                      <w:rFonts w:hint="eastAsia"/>
                      <w:color w:val="auto"/>
                      <w:szCs w:val="21"/>
                    </w:rPr>
                    <w:t>282-338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8" w:type="pct"/>
                  <w:vAlign w:val="center"/>
                </w:tcPr>
                <w:p>
                  <w:pPr>
                    <w:jc w:val="center"/>
                    <w:rPr>
                      <w:color w:val="auto"/>
                      <w:szCs w:val="21"/>
                    </w:rPr>
                  </w:pPr>
                  <w:r>
                    <w:rPr>
                      <w:color w:val="auto"/>
                      <w:szCs w:val="21"/>
                    </w:rPr>
                    <w:t>密度</w:t>
                  </w:r>
                </w:p>
              </w:tc>
              <w:tc>
                <w:tcPr>
                  <w:tcW w:w="1738" w:type="pct"/>
                  <w:vAlign w:val="center"/>
                </w:tcPr>
                <w:p>
                  <w:pPr>
                    <w:jc w:val="center"/>
                    <w:rPr>
                      <w:color w:val="auto"/>
                      <w:szCs w:val="21"/>
                    </w:rPr>
                  </w:pPr>
                  <w:r>
                    <w:rPr>
                      <w:color w:val="auto"/>
                      <w:szCs w:val="21"/>
                    </w:rPr>
                    <w:t>相对密度（水＝1）</w:t>
                  </w:r>
                  <w:r>
                    <w:rPr>
                      <w:rFonts w:hint="eastAsia"/>
                      <w:color w:val="auto"/>
                      <w:szCs w:val="21"/>
                    </w:rPr>
                    <w:t>0.87-0.9</w:t>
                  </w:r>
                </w:p>
              </w:tc>
              <w:tc>
                <w:tcPr>
                  <w:tcW w:w="873" w:type="pct"/>
                  <w:vAlign w:val="center"/>
                </w:tcPr>
                <w:p>
                  <w:pPr>
                    <w:jc w:val="center"/>
                    <w:rPr>
                      <w:color w:val="auto"/>
                      <w:szCs w:val="21"/>
                    </w:rPr>
                  </w:pPr>
                  <w:r>
                    <w:rPr>
                      <w:color w:val="auto"/>
                      <w:szCs w:val="21"/>
                    </w:rPr>
                    <w:t>稳定性</w:t>
                  </w:r>
                </w:p>
              </w:tc>
              <w:tc>
                <w:tcPr>
                  <w:tcW w:w="1521" w:type="pct"/>
                  <w:vAlign w:val="center"/>
                </w:tcPr>
                <w:p>
                  <w:pPr>
                    <w:jc w:val="center"/>
                    <w:rPr>
                      <w:color w:val="auto"/>
                      <w:szCs w:val="21"/>
                    </w:rPr>
                  </w:pPr>
                  <w:r>
                    <w:rPr>
                      <w:color w:val="auto"/>
                      <w:szCs w:val="21"/>
                    </w:rPr>
                    <w:t>稳定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8" w:type="pct"/>
                  <w:vAlign w:val="center"/>
                </w:tcPr>
                <w:p>
                  <w:pPr>
                    <w:jc w:val="center"/>
                    <w:rPr>
                      <w:color w:val="auto"/>
                      <w:szCs w:val="21"/>
                    </w:rPr>
                  </w:pPr>
                  <w:r>
                    <w:rPr>
                      <w:color w:val="auto"/>
                      <w:szCs w:val="21"/>
                    </w:rPr>
                    <w:t>溶解性</w:t>
                  </w:r>
                </w:p>
              </w:tc>
              <w:tc>
                <w:tcPr>
                  <w:tcW w:w="4132" w:type="pct"/>
                  <w:gridSpan w:val="3"/>
                  <w:vAlign w:val="center"/>
                </w:tcPr>
                <w:p>
                  <w:pPr>
                    <w:jc w:val="center"/>
                    <w:rPr>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8" w:type="pct"/>
                  <w:vAlign w:val="center"/>
                </w:tcPr>
                <w:p>
                  <w:pPr>
                    <w:jc w:val="center"/>
                    <w:rPr>
                      <w:color w:val="auto"/>
                      <w:szCs w:val="21"/>
                    </w:rPr>
                  </w:pPr>
                  <w:r>
                    <w:rPr>
                      <w:color w:val="auto"/>
                      <w:szCs w:val="21"/>
                    </w:rPr>
                    <w:t>主要用途</w:t>
                  </w:r>
                </w:p>
              </w:tc>
              <w:tc>
                <w:tcPr>
                  <w:tcW w:w="4132" w:type="pct"/>
                  <w:gridSpan w:val="3"/>
                  <w:vAlign w:val="center"/>
                </w:tcPr>
                <w:p>
                  <w:pPr>
                    <w:jc w:val="center"/>
                    <w:rPr>
                      <w:color w:val="auto"/>
                      <w:szCs w:val="21"/>
                    </w:rPr>
                  </w:pPr>
                  <w:r>
                    <w:rPr>
                      <w:rFonts w:hint="eastAsia"/>
                      <w:color w:val="auto"/>
                      <w:szCs w:val="21"/>
                    </w:rPr>
                    <w:t>用作柴油机的燃料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8" w:type="pct"/>
                  <w:vAlign w:val="center"/>
                </w:tcPr>
                <w:p>
                  <w:pPr>
                    <w:jc w:val="center"/>
                    <w:rPr>
                      <w:color w:val="auto"/>
                      <w:szCs w:val="21"/>
                    </w:rPr>
                  </w:pPr>
                  <w:r>
                    <w:rPr>
                      <w:color w:val="auto"/>
                      <w:szCs w:val="21"/>
                    </w:rPr>
                    <w:t>侵入途径</w:t>
                  </w:r>
                </w:p>
              </w:tc>
              <w:tc>
                <w:tcPr>
                  <w:tcW w:w="4132" w:type="pct"/>
                  <w:gridSpan w:val="3"/>
                  <w:vAlign w:val="center"/>
                </w:tcPr>
                <w:p>
                  <w:pPr>
                    <w:jc w:val="center"/>
                    <w:rPr>
                      <w:color w:val="auto"/>
                      <w:szCs w:val="21"/>
                    </w:rPr>
                  </w:pPr>
                  <w:r>
                    <w:rPr>
                      <w:color w:val="auto"/>
                      <w:szCs w:val="21"/>
                    </w:rPr>
                    <w:t>吸入、食入、经皮肤吸收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8" w:type="pct"/>
                  <w:vAlign w:val="center"/>
                </w:tcPr>
                <w:p>
                  <w:pPr>
                    <w:jc w:val="center"/>
                    <w:rPr>
                      <w:color w:val="auto"/>
                      <w:szCs w:val="21"/>
                    </w:rPr>
                  </w:pPr>
                  <w:r>
                    <w:rPr>
                      <w:color w:val="auto"/>
                      <w:szCs w:val="21"/>
                    </w:rPr>
                    <w:t>健康危害</w:t>
                  </w:r>
                </w:p>
              </w:tc>
              <w:tc>
                <w:tcPr>
                  <w:tcW w:w="4132" w:type="pct"/>
                  <w:gridSpan w:val="3"/>
                  <w:vAlign w:val="center"/>
                </w:tcPr>
                <w:p>
                  <w:pPr>
                    <w:pStyle w:val="25"/>
                    <w:tabs>
                      <w:tab w:val="clear" w:pos="5580"/>
                    </w:tabs>
                    <w:spacing w:line="240" w:lineRule="auto"/>
                    <w:jc w:val="center"/>
                    <w:rPr>
                      <w:rFonts w:ascii="Times New Roman" w:hAnsi="Times New Roman"/>
                      <w:color w:val="auto"/>
                      <w:spacing w:val="0"/>
                      <w:szCs w:val="21"/>
                    </w:rPr>
                  </w:pPr>
                  <w:r>
                    <w:rPr>
                      <w:rFonts w:hint="eastAsia" w:ascii="Times New Roman" w:hAnsi="Times New Roman"/>
                      <w:color w:val="auto"/>
                      <w:spacing w:val="0"/>
                      <w:szCs w:val="21"/>
                    </w:rPr>
                    <w:t>皮肤接触可为主要吸收途径，可致急性肾脏损害。柴油可引起接</w:t>
                  </w:r>
                </w:p>
                <w:p>
                  <w:pPr>
                    <w:pStyle w:val="25"/>
                    <w:tabs>
                      <w:tab w:val="clear" w:pos="5580"/>
                    </w:tabs>
                    <w:spacing w:line="240" w:lineRule="auto"/>
                    <w:jc w:val="center"/>
                    <w:rPr>
                      <w:rFonts w:ascii="Times New Roman" w:hAnsi="Times New Roman"/>
                      <w:color w:val="auto"/>
                      <w:spacing w:val="0"/>
                      <w:szCs w:val="21"/>
                    </w:rPr>
                  </w:pPr>
                  <w:r>
                    <w:rPr>
                      <w:rFonts w:hint="eastAsia" w:ascii="Times New Roman" w:hAnsi="Times New Roman"/>
                      <w:color w:val="auto"/>
                      <w:spacing w:val="0"/>
                      <w:szCs w:val="21"/>
                    </w:rPr>
                    <w:t>触性皮炎、油性痤疮。吸入其雾滴或液体呛入可引起吸入性肺炎。能经胎盘进入胎儿血中。柴油废气可引起眼、鼻刺激症状，头晕及头痛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8" w:type="pct"/>
                  <w:vAlign w:val="center"/>
                </w:tcPr>
                <w:p>
                  <w:pPr>
                    <w:jc w:val="center"/>
                    <w:rPr>
                      <w:color w:val="auto"/>
                      <w:szCs w:val="21"/>
                    </w:rPr>
                  </w:pPr>
                  <w:r>
                    <w:rPr>
                      <w:color w:val="auto"/>
                      <w:szCs w:val="21"/>
                    </w:rPr>
                    <w:t>毒性</w:t>
                  </w:r>
                </w:p>
              </w:tc>
              <w:tc>
                <w:tcPr>
                  <w:tcW w:w="4132" w:type="pct"/>
                  <w:gridSpan w:val="3"/>
                  <w:vAlign w:val="center"/>
                </w:tcPr>
                <w:p>
                  <w:pPr>
                    <w:jc w:val="center"/>
                    <w:rPr>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8" w:type="pct"/>
                  <w:vAlign w:val="center"/>
                </w:tcPr>
                <w:p>
                  <w:pPr>
                    <w:jc w:val="center"/>
                    <w:rPr>
                      <w:color w:val="auto"/>
                      <w:szCs w:val="21"/>
                    </w:rPr>
                  </w:pPr>
                  <w:r>
                    <w:rPr>
                      <w:color w:val="auto"/>
                      <w:szCs w:val="21"/>
                    </w:rPr>
                    <w:t>危险特性</w:t>
                  </w:r>
                </w:p>
              </w:tc>
              <w:tc>
                <w:tcPr>
                  <w:tcW w:w="4132" w:type="pct"/>
                  <w:gridSpan w:val="3"/>
                  <w:vAlign w:val="center"/>
                </w:tcPr>
                <w:p>
                  <w:pPr>
                    <w:jc w:val="center"/>
                    <w:rPr>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8" w:type="pct"/>
                  <w:vAlign w:val="center"/>
                </w:tcPr>
                <w:p>
                  <w:pPr>
                    <w:jc w:val="center"/>
                    <w:rPr>
                      <w:color w:val="auto"/>
                      <w:szCs w:val="21"/>
                    </w:rPr>
                  </w:pPr>
                  <w:r>
                    <w:rPr>
                      <w:rFonts w:hint="eastAsia"/>
                      <w:color w:val="auto"/>
                      <w:szCs w:val="21"/>
                    </w:rPr>
                    <w:t>有害燃烧物</w:t>
                  </w:r>
                </w:p>
              </w:tc>
              <w:tc>
                <w:tcPr>
                  <w:tcW w:w="4132" w:type="pct"/>
                  <w:gridSpan w:val="3"/>
                  <w:vAlign w:val="center"/>
                </w:tcPr>
                <w:p>
                  <w:pPr>
                    <w:jc w:val="center"/>
                    <w:rPr>
                      <w:color w:val="auto"/>
                      <w:szCs w:val="21"/>
                    </w:rPr>
                  </w:pPr>
                  <w:r>
                    <w:rPr>
                      <w:color w:val="auto"/>
                      <w:szCs w:val="21"/>
                    </w:rPr>
                    <w:t>一氧化碳、二氧化碳</w:t>
                  </w:r>
                </w:p>
              </w:tc>
            </w:tr>
          </w:tbl>
          <w:p>
            <w:pPr>
              <w:adjustRightInd w:val="0"/>
              <w:snapToGrid w:val="0"/>
              <w:spacing w:line="480" w:lineRule="exact"/>
              <w:ind w:firstLine="480" w:firstLineChars="200"/>
              <w:rPr>
                <w:color w:val="auto"/>
                <w:sz w:val="24"/>
              </w:rPr>
            </w:pPr>
            <w:r>
              <w:rPr>
                <w:rFonts w:hint="eastAsia"/>
                <w:color w:val="auto"/>
                <w:sz w:val="24"/>
              </w:rPr>
              <w:t>项目扩能前后物料平衡</w:t>
            </w:r>
            <w:r>
              <w:rPr>
                <w:color w:val="auto"/>
                <w:sz w:val="24"/>
              </w:rPr>
              <w:t>详见表</w:t>
            </w:r>
            <w:r>
              <w:rPr>
                <w:rFonts w:hint="eastAsia"/>
                <w:color w:val="auto"/>
                <w:sz w:val="24"/>
              </w:rPr>
              <w:t>2-7、2-8</w:t>
            </w:r>
            <w:r>
              <w:rPr>
                <w:color w:val="auto"/>
                <w:sz w:val="24"/>
              </w:rPr>
              <w:t>。</w:t>
            </w:r>
          </w:p>
          <w:p>
            <w:pPr>
              <w:pStyle w:val="36"/>
              <w:rPr>
                <w:color w:val="auto"/>
              </w:rPr>
            </w:pPr>
            <w:r>
              <w:rPr>
                <w:color w:val="auto"/>
              </w:rPr>
              <w:t>表</w:t>
            </w:r>
            <w:r>
              <w:rPr>
                <w:rFonts w:hint="eastAsia"/>
                <w:color w:val="auto"/>
              </w:rPr>
              <w:t>2-7</w:t>
            </w:r>
            <w:r>
              <w:rPr>
                <w:color w:val="auto"/>
              </w:rPr>
              <w:t xml:space="preserve"> </w:t>
            </w:r>
            <w:r>
              <w:rPr>
                <w:rFonts w:hint="eastAsia"/>
                <w:color w:val="auto"/>
              </w:rPr>
              <w:t xml:space="preserve">   现有工程</w:t>
            </w:r>
            <w:r>
              <w:rPr>
                <w:color w:val="auto"/>
              </w:rPr>
              <w:t>物料平衡一览表</w:t>
            </w:r>
          </w:p>
          <w:tbl>
            <w:tblPr>
              <w:tblStyle w:val="28"/>
              <w:tblW w:w="497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599"/>
              <w:gridCol w:w="1867"/>
              <w:gridCol w:w="1846"/>
              <w:gridCol w:w="664"/>
              <w:gridCol w:w="1899"/>
              <w:gridCol w:w="148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2577" w:type="pct"/>
                  <w:gridSpan w:val="3"/>
                  <w:vAlign w:val="center"/>
                </w:tcPr>
                <w:p>
                  <w:pPr>
                    <w:jc w:val="center"/>
                    <w:rPr>
                      <w:color w:val="auto"/>
                      <w:kern w:val="0"/>
                      <w:szCs w:val="21"/>
                    </w:rPr>
                  </w:pPr>
                  <w:r>
                    <w:rPr>
                      <w:color w:val="auto"/>
                      <w:kern w:val="0"/>
                      <w:szCs w:val="21"/>
                    </w:rPr>
                    <w:t>输入</w:t>
                  </w:r>
                </w:p>
              </w:tc>
              <w:tc>
                <w:tcPr>
                  <w:tcW w:w="2422" w:type="pct"/>
                  <w:gridSpan w:val="3"/>
                  <w:vAlign w:val="center"/>
                </w:tcPr>
                <w:p>
                  <w:pPr>
                    <w:jc w:val="center"/>
                    <w:rPr>
                      <w:color w:val="auto"/>
                      <w:kern w:val="0"/>
                      <w:szCs w:val="21"/>
                    </w:rPr>
                  </w:pPr>
                  <w:r>
                    <w:rPr>
                      <w:color w:val="auto"/>
                      <w:kern w:val="0"/>
                      <w:szCs w:val="21"/>
                    </w:rPr>
                    <w:t>输出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358" w:type="pct"/>
                  <w:vAlign w:val="center"/>
                </w:tcPr>
                <w:p>
                  <w:pPr>
                    <w:jc w:val="center"/>
                    <w:rPr>
                      <w:color w:val="auto"/>
                      <w:kern w:val="0"/>
                      <w:szCs w:val="21"/>
                    </w:rPr>
                  </w:pPr>
                  <w:r>
                    <w:rPr>
                      <w:color w:val="auto"/>
                      <w:kern w:val="0"/>
                      <w:szCs w:val="21"/>
                    </w:rPr>
                    <w:t>序号</w:t>
                  </w:r>
                </w:p>
              </w:tc>
              <w:tc>
                <w:tcPr>
                  <w:tcW w:w="1115" w:type="pct"/>
                  <w:vAlign w:val="center"/>
                </w:tcPr>
                <w:p>
                  <w:pPr>
                    <w:jc w:val="center"/>
                    <w:rPr>
                      <w:color w:val="auto"/>
                      <w:kern w:val="0"/>
                      <w:szCs w:val="21"/>
                    </w:rPr>
                  </w:pPr>
                  <w:r>
                    <w:rPr>
                      <w:color w:val="auto"/>
                      <w:kern w:val="0"/>
                      <w:szCs w:val="21"/>
                    </w:rPr>
                    <w:t>物料</w:t>
                  </w:r>
                </w:p>
              </w:tc>
              <w:tc>
                <w:tcPr>
                  <w:tcW w:w="1102" w:type="pct"/>
                  <w:vAlign w:val="center"/>
                </w:tcPr>
                <w:p>
                  <w:pPr>
                    <w:jc w:val="center"/>
                    <w:rPr>
                      <w:color w:val="auto"/>
                      <w:kern w:val="0"/>
                      <w:szCs w:val="21"/>
                    </w:rPr>
                  </w:pPr>
                  <w:r>
                    <w:rPr>
                      <w:color w:val="auto"/>
                      <w:kern w:val="0"/>
                      <w:szCs w:val="21"/>
                    </w:rPr>
                    <w:t>投入量</w:t>
                  </w:r>
                  <w:r>
                    <w:rPr>
                      <w:rFonts w:hint="eastAsia"/>
                      <w:color w:val="auto"/>
                      <w:kern w:val="0"/>
                      <w:szCs w:val="21"/>
                    </w:rPr>
                    <w:t>（</w:t>
                  </w:r>
                  <w:r>
                    <w:rPr>
                      <w:color w:val="auto"/>
                      <w:kern w:val="0"/>
                      <w:szCs w:val="21"/>
                    </w:rPr>
                    <w:t>t/a</w:t>
                  </w:r>
                  <w:r>
                    <w:rPr>
                      <w:rFonts w:hint="eastAsia"/>
                      <w:color w:val="auto"/>
                      <w:kern w:val="0"/>
                      <w:szCs w:val="21"/>
                    </w:rPr>
                    <w:t>）</w:t>
                  </w:r>
                </w:p>
              </w:tc>
              <w:tc>
                <w:tcPr>
                  <w:tcW w:w="397" w:type="pct"/>
                  <w:vAlign w:val="center"/>
                </w:tcPr>
                <w:p>
                  <w:pPr>
                    <w:jc w:val="center"/>
                    <w:rPr>
                      <w:color w:val="auto"/>
                      <w:kern w:val="0"/>
                      <w:szCs w:val="21"/>
                    </w:rPr>
                  </w:pPr>
                  <w:r>
                    <w:rPr>
                      <w:color w:val="auto"/>
                      <w:kern w:val="0"/>
                      <w:szCs w:val="21"/>
                    </w:rPr>
                    <w:t>序号</w:t>
                  </w:r>
                </w:p>
              </w:tc>
              <w:tc>
                <w:tcPr>
                  <w:tcW w:w="1135" w:type="pct"/>
                  <w:vAlign w:val="center"/>
                </w:tcPr>
                <w:p>
                  <w:pPr>
                    <w:jc w:val="center"/>
                    <w:rPr>
                      <w:color w:val="auto"/>
                      <w:kern w:val="0"/>
                      <w:szCs w:val="21"/>
                    </w:rPr>
                  </w:pPr>
                  <w:r>
                    <w:rPr>
                      <w:color w:val="auto"/>
                      <w:kern w:val="0"/>
                      <w:szCs w:val="21"/>
                    </w:rPr>
                    <w:t>产物</w:t>
                  </w:r>
                </w:p>
              </w:tc>
              <w:tc>
                <w:tcPr>
                  <w:tcW w:w="890" w:type="pct"/>
                  <w:vAlign w:val="center"/>
                </w:tcPr>
                <w:p>
                  <w:pPr>
                    <w:jc w:val="center"/>
                    <w:rPr>
                      <w:color w:val="auto"/>
                      <w:kern w:val="0"/>
                      <w:szCs w:val="21"/>
                    </w:rPr>
                  </w:pPr>
                  <w:r>
                    <w:rPr>
                      <w:color w:val="auto"/>
                      <w:kern w:val="0"/>
                      <w:szCs w:val="21"/>
                    </w:rPr>
                    <w:t>产出量</w:t>
                  </w:r>
                  <w:r>
                    <w:rPr>
                      <w:rFonts w:hint="eastAsia"/>
                      <w:color w:val="auto"/>
                      <w:kern w:val="0"/>
                      <w:szCs w:val="21"/>
                    </w:rPr>
                    <w:t>（</w:t>
                  </w:r>
                  <w:r>
                    <w:rPr>
                      <w:color w:val="auto"/>
                      <w:kern w:val="0"/>
                      <w:szCs w:val="21"/>
                    </w:rPr>
                    <w:t>t/a</w:t>
                  </w:r>
                  <w:r>
                    <w:rPr>
                      <w:rFonts w:hint="eastAsia"/>
                      <w:color w:val="auto"/>
                      <w:kern w:val="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49" w:hRule="atLeast"/>
                <w:jc w:val="center"/>
              </w:trPr>
              <w:tc>
                <w:tcPr>
                  <w:tcW w:w="358" w:type="pct"/>
                  <w:vAlign w:val="center"/>
                </w:tcPr>
                <w:p>
                  <w:pPr>
                    <w:jc w:val="center"/>
                    <w:rPr>
                      <w:color w:val="auto"/>
                      <w:kern w:val="0"/>
                      <w:szCs w:val="21"/>
                    </w:rPr>
                  </w:pPr>
                  <w:r>
                    <w:rPr>
                      <w:color w:val="auto"/>
                      <w:kern w:val="0"/>
                      <w:szCs w:val="21"/>
                    </w:rPr>
                    <w:t>1</w:t>
                  </w:r>
                </w:p>
              </w:tc>
              <w:tc>
                <w:tcPr>
                  <w:tcW w:w="1115" w:type="pct"/>
                  <w:vAlign w:val="center"/>
                </w:tcPr>
                <w:p>
                  <w:pPr>
                    <w:jc w:val="center"/>
                    <w:rPr>
                      <w:color w:val="auto"/>
                      <w:kern w:val="0"/>
                      <w:szCs w:val="21"/>
                    </w:rPr>
                  </w:pPr>
                  <w:r>
                    <w:rPr>
                      <w:color w:val="auto"/>
                      <w:szCs w:val="21"/>
                    </w:rPr>
                    <w:t>硝酸铵</w:t>
                  </w:r>
                </w:p>
              </w:tc>
              <w:tc>
                <w:tcPr>
                  <w:tcW w:w="1102" w:type="pct"/>
                  <w:vAlign w:val="center"/>
                </w:tcPr>
                <w:p>
                  <w:pPr>
                    <w:jc w:val="center"/>
                    <w:rPr>
                      <w:color w:val="auto"/>
                      <w:kern w:val="0"/>
                      <w:szCs w:val="21"/>
                    </w:rPr>
                  </w:pPr>
                  <w:r>
                    <w:rPr>
                      <w:rFonts w:hint="eastAsia"/>
                      <w:color w:val="auto"/>
                      <w:szCs w:val="21"/>
                    </w:rPr>
                    <w:t>6840</w:t>
                  </w:r>
                </w:p>
              </w:tc>
              <w:tc>
                <w:tcPr>
                  <w:tcW w:w="397" w:type="pct"/>
                  <w:vAlign w:val="center"/>
                </w:tcPr>
                <w:p>
                  <w:pPr>
                    <w:jc w:val="center"/>
                    <w:rPr>
                      <w:color w:val="auto"/>
                      <w:kern w:val="0"/>
                      <w:szCs w:val="21"/>
                    </w:rPr>
                  </w:pPr>
                  <w:r>
                    <w:rPr>
                      <w:color w:val="auto"/>
                      <w:kern w:val="0"/>
                      <w:szCs w:val="21"/>
                    </w:rPr>
                    <w:t>1</w:t>
                  </w:r>
                </w:p>
              </w:tc>
              <w:tc>
                <w:tcPr>
                  <w:tcW w:w="1135" w:type="pct"/>
                  <w:vMerge w:val="restart"/>
                  <w:vAlign w:val="center"/>
                </w:tcPr>
                <w:p>
                  <w:pPr>
                    <w:jc w:val="center"/>
                    <w:rPr>
                      <w:color w:val="auto"/>
                      <w:kern w:val="0"/>
                      <w:szCs w:val="21"/>
                    </w:rPr>
                  </w:pPr>
                  <w:r>
                    <w:rPr>
                      <w:rFonts w:hint="eastAsia"/>
                      <w:color w:val="auto"/>
                      <w:szCs w:val="21"/>
                    </w:rPr>
                    <w:t>多孔粒状铵油炸药</w:t>
                  </w:r>
                </w:p>
              </w:tc>
              <w:tc>
                <w:tcPr>
                  <w:tcW w:w="890" w:type="pct"/>
                  <w:vMerge w:val="restart"/>
                  <w:vAlign w:val="center"/>
                </w:tcPr>
                <w:p>
                  <w:pPr>
                    <w:jc w:val="center"/>
                    <w:rPr>
                      <w:color w:val="auto"/>
                      <w:kern w:val="0"/>
                      <w:szCs w:val="21"/>
                    </w:rPr>
                  </w:pPr>
                  <w:r>
                    <w:rPr>
                      <w:rFonts w:hint="eastAsia"/>
                      <w:color w:val="auto"/>
                      <w:kern w:val="0"/>
                      <w:szCs w:val="21"/>
                    </w:rPr>
                    <w:t>7200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358" w:type="pct"/>
                  <w:vAlign w:val="center"/>
                </w:tcPr>
                <w:p>
                  <w:pPr>
                    <w:jc w:val="center"/>
                    <w:rPr>
                      <w:color w:val="auto"/>
                      <w:kern w:val="0"/>
                      <w:szCs w:val="21"/>
                    </w:rPr>
                  </w:pPr>
                  <w:r>
                    <w:rPr>
                      <w:color w:val="auto"/>
                      <w:kern w:val="0"/>
                      <w:szCs w:val="21"/>
                    </w:rPr>
                    <w:t>2</w:t>
                  </w:r>
                </w:p>
              </w:tc>
              <w:tc>
                <w:tcPr>
                  <w:tcW w:w="1115" w:type="pct"/>
                  <w:vAlign w:val="center"/>
                </w:tcPr>
                <w:p>
                  <w:pPr>
                    <w:jc w:val="center"/>
                    <w:rPr>
                      <w:color w:val="auto"/>
                      <w:kern w:val="0"/>
                      <w:szCs w:val="21"/>
                    </w:rPr>
                  </w:pPr>
                  <w:r>
                    <w:rPr>
                      <w:color w:val="auto"/>
                      <w:szCs w:val="21"/>
                    </w:rPr>
                    <w:t>轻柴油</w:t>
                  </w:r>
                </w:p>
              </w:tc>
              <w:tc>
                <w:tcPr>
                  <w:tcW w:w="1102" w:type="pct"/>
                  <w:vAlign w:val="center"/>
                </w:tcPr>
                <w:p>
                  <w:pPr>
                    <w:jc w:val="center"/>
                    <w:rPr>
                      <w:color w:val="auto"/>
                      <w:kern w:val="0"/>
                      <w:szCs w:val="21"/>
                    </w:rPr>
                  </w:pPr>
                  <w:r>
                    <w:rPr>
                      <w:rFonts w:hint="eastAsia"/>
                      <w:color w:val="auto"/>
                      <w:szCs w:val="21"/>
                    </w:rPr>
                    <w:t>360</w:t>
                  </w:r>
                </w:p>
              </w:tc>
              <w:tc>
                <w:tcPr>
                  <w:tcW w:w="397" w:type="pct"/>
                  <w:vAlign w:val="center"/>
                </w:tcPr>
                <w:p>
                  <w:pPr>
                    <w:jc w:val="center"/>
                    <w:rPr>
                      <w:color w:val="auto"/>
                      <w:kern w:val="0"/>
                      <w:szCs w:val="21"/>
                    </w:rPr>
                  </w:pPr>
                  <w:r>
                    <w:rPr>
                      <w:color w:val="auto"/>
                      <w:kern w:val="0"/>
                      <w:szCs w:val="21"/>
                    </w:rPr>
                    <w:t>2</w:t>
                  </w:r>
                </w:p>
              </w:tc>
              <w:tc>
                <w:tcPr>
                  <w:tcW w:w="1135" w:type="pct"/>
                  <w:vMerge w:val="continue"/>
                  <w:vAlign w:val="center"/>
                </w:tcPr>
                <w:p>
                  <w:pPr>
                    <w:jc w:val="center"/>
                    <w:rPr>
                      <w:color w:val="auto"/>
                      <w:kern w:val="0"/>
                      <w:szCs w:val="21"/>
                    </w:rPr>
                  </w:pPr>
                </w:p>
              </w:tc>
              <w:tc>
                <w:tcPr>
                  <w:tcW w:w="890" w:type="pct"/>
                  <w:vMerge w:val="continue"/>
                  <w:vAlign w:val="center"/>
                </w:tcPr>
                <w:p>
                  <w:pPr>
                    <w:jc w:val="center"/>
                    <w:rPr>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1474" w:type="pct"/>
                  <w:gridSpan w:val="2"/>
                  <w:vAlign w:val="center"/>
                </w:tcPr>
                <w:p>
                  <w:pPr>
                    <w:jc w:val="center"/>
                    <w:rPr>
                      <w:color w:val="auto"/>
                      <w:kern w:val="0"/>
                      <w:szCs w:val="21"/>
                    </w:rPr>
                  </w:pPr>
                  <w:r>
                    <w:rPr>
                      <w:color w:val="auto"/>
                      <w:kern w:val="0"/>
                      <w:szCs w:val="21"/>
                    </w:rPr>
                    <w:t>合计</w:t>
                  </w:r>
                </w:p>
              </w:tc>
              <w:tc>
                <w:tcPr>
                  <w:tcW w:w="1102" w:type="pct"/>
                  <w:vAlign w:val="center"/>
                </w:tcPr>
                <w:p>
                  <w:pPr>
                    <w:jc w:val="center"/>
                    <w:rPr>
                      <w:color w:val="auto"/>
                      <w:kern w:val="0"/>
                      <w:szCs w:val="21"/>
                    </w:rPr>
                  </w:pPr>
                  <w:r>
                    <w:rPr>
                      <w:rFonts w:hint="eastAsia"/>
                      <w:color w:val="auto"/>
                      <w:kern w:val="0"/>
                      <w:szCs w:val="21"/>
                    </w:rPr>
                    <w:t>7200</w:t>
                  </w:r>
                </w:p>
              </w:tc>
              <w:tc>
                <w:tcPr>
                  <w:tcW w:w="1532" w:type="pct"/>
                  <w:gridSpan w:val="2"/>
                  <w:vAlign w:val="center"/>
                </w:tcPr>
                <w:p>
                  <w:pPr>
                    <w:jc w:val="center"/>
                    <w:rPr>
                      <w:color w:val="auto"/>
                      <w:kern w:val="0"/>
                      <w:szCs w:val="21"/>
                    </w:rPr>
                  </w:pPr>
                  <w:r>
                    <w:rPr>
                      <w:color w:val="auto"/>
                      <w:kern w:val="0"/>
                      <w:szCs w:val="21"/>
                    </w:rPr>
                    <w:t>合计</w:t>
                  </w:r>
                </w:p>
              </w:tc>
              <w:tc>
                <w:tcPr>
                  <w:tcW w:w="890" w:type="pct"/>
                  <w:vAlign w:val="center"/>
                </w:tcPr>
                <w:p>
                  <w:pPr>
                    <w:jc w:val="center"/>
                    <w:rPr>
                      <w:color w:val="auto"/>
                      <w:kern w:val="0"/>
                      <w:szCs w:val="21"/>
                    </w:rPr>
                  </w:pPr>
                  <w:r>
                    <w:rPr>
                      <w:rFonts w:hint="eastAsia"/>
                      <w:color w:val="auto"/>
                      <w:kern w:val="0"/>
                      <w:szCs w:val="21"/>
                    </w:rPr>
                    <w:t>7200</w:t>
                  </w:r>
                </w:p>
              </w:tc>
            </w:tr>
          </w:tbl>
          <w:p>
            <w:pPr>
              <w:pStyle w:val="36"/>
              <w:rPr>
                <w:color w:val="auto"/>
              </w:rPr>
            </w:pPr>
            <w:r>
              <w:rPr>
                <w:color w:val="auto"/>
              </w:rPr>
              <w:t>表</w:t>
            </w:r>
            <w:r>
              <w:rPr>
                <w:rFonts w:hint="eastAsia"/>
                <w:color w:val="auto"/>
              </w:rPr>
              <w:t>2-8</w:t>
            </w:r>
            <w:r>
              <w:rPr>
                <w:color w:val="auto"/>
              </w:rPr>
              <w:t xml:space="preserve"> </w:t>
            </w:r>
            <w:r>
              <w:rPr>
                <w:rFonts w:hint="eastAsia"/>
                <w:color w:val="auto"/>
              </w:rPr>
              <w:t xml:space="preserve">   本次扩能新增</w:t>
            </w:r>
            <w:r>
              <w:rPr>
                <w:color w:val="auto"/>
              </w:rPr>
              <w:t>物料平衡一览表</w:t>
            </w:r>
          </w:p>
          <w:tbl>
            <w:tblPr>
              <w:tblStyle w:val="28"/>
              <w:tblW w:w="497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599"/>
              <w:gridCol w:w="1867"/>
              <w:gridCol w:w="1846"/>
              <w:gridCol w:w="664"/>
              <w:gridCol w:w="1899"/>
              <w:gridCol w:w="148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577" w:type="pct"/>
                  <w:gridSpan w:val="3"/>
                  <w:vAlign w:val="center"/>
                </w:tcPr>
                <w:p>
                  <w:pPr>
                    <w:jc w:val="center"/>
                    <w:rPr>
                      <w:color w:val="auto"/>
                      <w:kern w:val="0"/>
                      <w:szCs w:val="21"/>
                    </w:rPr>
                  </w:pPr>
                  <w:r>
                    <w:rPr>
                      <w:color w:val="auto"/>
                      <w:kern w:val="0"/>
                      <w:szCs w:val="21"/>
                    </w:rPr>
                    <w:t>输入</w:t>
                  </w:r>
                </w:p>
              </w:tc>
              <w:tc>
                <w:tcPr>
                  <w:tcW w:w="2422" w:type="pct"/>
                  <w:gridSpan w:val="3"/>
                  <w:vAlign w:val="center"/>
                </w:tcPr>
                <w:p>
                  <w:pPr>
                    <w:jc w:val="center"/>
                    <w:rPr>
                      <w:color w:val="auto"/>
                      <w:kern w:val="0"/>
                      <w:szCs w:val="21"/>
                    </w:rPr>
                  </w:pPr>
                  <w:r>
                    <w:rPr>
                      <w:color w:val="auto"/>
                      <w:kern w:val="0"/>
                      <w:szCs w:val="21"/>
                    </w:rPr>
                    <w:t>输出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358" w:type="pct"/>
                  <w:vAlign w:val="center"/>
                </w:tcPr>
                <w:p>
                  <w:pPr>
                    <w:jc w:val="center"/>
                    <w:rPr>
                      <w:color w:val="auto"/>
                      <w:kern w:val="0"/>
                      <w:szCs w:val="21"/>
                    </w:rPr>
                  </w:pPr>
                  <w:r>
                    <w:rPr>
                      <w:color w:val="auto"/>
                      <w:kern w:val="0"/>
                      <w:szCs w:val="21"/>
                    </w:rPr>
                    <w:t>序号</w:t>
                  </w:r>
                </w:p>
              </w:tc>
              <w:tc>
                <w:tcPr>
                  <w:tcW w:w="1115" w:type="pct"/>
                  <w:vAlign w:val="center"/>
                </w:tcPr>
                <w:p>
                  <w:pPr>
                    <w:jc w:val="center"/>
                    <w:rPr>
                      <w:color w:val="auto"/>
                      <w:kern w:val="0"/>
                      <w:szCs w:val="21"/>
                    </w:rPr>
                  </w:pPr>
                  <w:r>
                    <w:rPr>
                      <w:color w:val="auto"/>
                      <w:kern w:val="0"/>
                      <w:szCs w:val="21"/>
                    </w:rPr>
                    <w:t>物料</w:t>
                  </w:r>
                </w:p>
              </w:tc>
              <w:tc>
                <w:tcPr>
                  <w:tcW w:w="1102" w:type="pct"/>
                  <w:vAlign w:val="center"/>
                </w:tcPr>
                <w:p>
                  <w:pPr>
                    <w:jc w:val="center"/>
                    <w:rPr>
                      <w:color w:val="auto"/>
                      <w:kern w:val="0"/>
                      <w:szCs w:val="21"/>
                    </w:rPr>
                  </w:pPr>
                  <w:r>
                    <w:rPr>
                      <w:color w:val="auto"/>
                      <w:kern w:val="0"/>
                      <w:szCs w:val="21"/>
                    </w:rPr>
                    <w:t>投入量</w:t>
                  </w:r>
                  <w:r>
                    <w:rPr>
                      <w:rFonts w:hint="eastAsia"/>
                      <w:color w:val="auto"/>
                      <w:kern w:val="0"/>
                      <w:szCs w:val="21"/>
                    </w:rPr>
                    <w:t>（</w:t>
                  </w:r>
                  <w:r>
                    <w:rPr>
                      <w:color w:val="auto"/>
                      <w:kern w:val="0"/>
                      <w:szCs w:val="21"/>
                    </w:rPr>
                    <w:t>t/a</w:t>
                  </w:r>
                  <w:r>
                    <w:rPr>
                      <w:rFonts w:hint="eastAsia"/>
                      <w:color w:val="auto"/>
                      <w:kern w:val="0"/>
                      <w:szCs w:val="21"/>
                    </w:rPr>
                    <w:t>）</w:t>
                  </w:r>
                </w:p>
              </w:tc>
              <w:tc>
                <w:tcPr>
                  <w:tcW w:w="397" w:type="pct"/>
                  <w:vAlign w:val="center"/>
                </w:tcPr>
                <w:p>
                  <w:pPr>
                    <w:jc w:val="center"/>
                    <w:rPr>
                      <w:color w:val="auto"/>
                      <w:kern w:val="0"/>
                      <w:szCs w:val="21"/>
                    </w:rPr>
                  </w:pPr>
                  <w:r>
                    <w:rPr>
                      <w:color w:val="auto"/>
                      <w:kern w:val="0"/>
                      <w:szCs w:val="21"/>
                    </w:rPr>
                    <w:t>序号</w:t>
                  </w:r>
                </w:p>
              </w:tc>
              <w:tc>
                <w:tcPr>
                  <w:tcW w:w="1135" w:type="pct"/>
                  <w:vAlign w:val="center"/>
                </w:tcPr>
                <w:p>
                  <w:pPr>
                    <w:jc w:val="center"/>
                    <w:rPr>
                      <w:color w:val="auto"/>
                      <w:kern w:val="0"/>
                      <w:szCs w:val="21"/>
                    </w:rPr>
                  </w:pPr>
                  <w:r>
                    <w:rPr>
                      <w:color w:val="auto"/>
                      <w:kern w:val="0"/>
                      <w:szCs w:val="21"/>
                    </w:rPr>
                    <w:t>产物</w:t>
                  </w:r>
                </w:p>
              </w:tc>
              <w:tc>
                <w:tcPr>
                  <w:tcW w:w="890" w:type="pct"/>
                  <w:vAlign w:val="center"/>
                </w:tcPr>
                <w:p>
                  <w:pPr>
                    <w:jc w:val="center"/>
                    <w:rPr>
                      <w:color w:val="auto"/>
                      <w:kern w:val="0"/>
                      <w:szCs w:val="21"/>
                    </w:rPr>
                  </w:pPr>
                  <w:r>
                    <w:rPr>
                      <w:color w:val="auto"/>
                      <w:kern w:val="0"/>
                      <w:szCs w:val="21"/>
                    </w:rPr>
                    <w:t>产出量</w:t>
                  </w:r>
                  <w:r>
                    <w:rPr>
                      <w:rFonts w:hint="eastAsia"/>
                      <w:color w:val="auto"/>
                      <w:kern w:val="0"/>
                      <w:szCs w:val="21"/>
                    </w:rPr>
                    <w:t>（</w:t>
                  </w:r>
                  <w:r>
                    <w:rPr>
                      <w:color w:val="auto"/>
                      <w:kern w:val="0"/>
                      <w:szCs w:val="21"/>
                    </w:rPr>
                    <w:t>t/a</w:t>
                  </w:r>
                  <w:r>
                    <w:rPr>
                      <w:rFonts w:hint="eastAsia"/>
                      <w:color w:val="auto"/>
                      <w:kern w:val="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49" w:hRule="atLeast"/>
                <w:jc w:val="center"/>
              </w:trPr>
              <w:tc>
                <w:tcPr>
                  <w:tcW w:w="358" w:type="pct"/>
                  <w:vAlign w:val="center"/>
                </w:tcPr>
                <w:p>
                  <w:pPr>
                    <w:jc w:val="center"/>
                    <w:rPr>
                      <w:color w:val="auto"/>
                      <w:kern w:val="0"/>
                      <w:szCs w:val="21"/>
                    </w:rPr>
                  </w:pPr>
                  <w:r>
                    <w:rPr>
                      <w:color w:val="auto"/>
                      <w:kern w:val="0"/>
                      <w:szCs w:val="21"/>
                    </w:rPr>
                    <w:t>1</w:t>
                  </w:r>
                </w:p>
              </w:tc>
              <w:tc>
                <w:tcPr>
                  <w:tcW w:w="1115" w:type="pct"/>
                  <w:vAlign w:val="center"/>
                </w:tcPr>
                <w:p>
                  <w:pPr>
                    <w:jc w:val="center"/>
                    <w:rPr>
                      <w:color w:val="auto"/>
                      <w:kern w:val="0"/>
                      <w:szCs w:val="21"/>
                    </w:rPr>
                  </w:pPr>
                  <w:r>
                    <w:rPr>
                      <w:color w:val="auto"/>
                      <w:szCs w:val="21"/>
                    </w:rPr>
                    <w:t>硝酸铵</w:t>
                  </w:r>
                </w:p>
              </w:tc>
              <w:tc>
                <w:tcPr>
                  <w:tcW w:w="1782" w:type="dxa"/>
                  <w:vAlign w:val="center"/>
                </w:tcPr>
                <w:p>
                  <w:pPr>
                    <w:jc w:val="center"/>
                    <w:rPr>
                      <w:color w:val="auto"/>
                      <w:kern w:val="0"/>
                      <w:szCs w:val="21"/>
                    </w:rPr>
                  </w:pPr>
                  <w:r>
                    <w:rPr>
                      <w:rFonts w:hint="eastAsia"/>
                      <w:color w:val="auto"/>
                      <w:szCs w:val="21"/>
                    </w:rPr>
                    <w:t>17860</w:t>
                  </w:r>
                </w:p>
              </w:tc>
              <w:tc>
                <w:tcPr>
                  <w:tcW w:w="397" w:type="pct"/>
                  <w:vAlign w:val="center"/>
                </w:tcPr>
                <w:p>
                  <w:pPr>
                    <w:jc w:val="center"/>
                    <w:rPr>
                      <w:color w:val="auto"/>
                      <w:kern w:val="0"/>
                      <w:szCs w:val="21"/>
                    </w:rPr>
                  </w:pPr>
                  <w:r>
                    <w:rPr>
                      <w:color w:val="auto"/>
                      <w:kern w:val="0"/>
                      <w:szCs w:val="21"/>
                    </w:rPr>
                    <w:t>1</w:t>
                  </w:r>
                </w:p>
              </w:tc>
              <w:tc>
                <w:tcPr>
                  <w:tcW w:w="1135" w:type="pct"/>
                  <w:vMerge w:val="restart"/>
                  <w:vAlign w:val="center"/>
                </w:tcPr>
                <w:p>
                  <w:pPr>
                    <w:jc w:val="center"/>
                    <w:rPr>
                      <w:color w:val="auto"/>
                      <w:kern w:val="0"/>
                      <w:szCs w:val="21"/>
                    </w:rPr>
                  </w:pPr>
                  <w:r>
                    <w:rPr>
                      <w:rFonts w:hint="eastAsia"/>
                      <w:color w:val="auto"/>
                      <w:szCs w:val="21"/>
                    </w:rPr>
                    <w:t>多孔粒状铵油炸药</w:t>
                  </w:r>
                </w:p>
              </w:tc>
              <w:tc>
                <w:tcPr>
                  <w:tcW w:w="890" w:type="pct"/>
                  <w:vMerge w:val="restart"/>
                  <w:vAlign w:val="center"/>
                </w:tcPr>
                <w:p>
                  <w:pPr>
                    <w:jc w:val="center"/>
                    <w:rPr>
                      <w:color w:val="auto"/>
                      <w:kern w:val="0"/>
                      <w:szCs w:val="21"/>
                    </w:rPr>
                  </w:pPr>
                  <w:r>
                    <w:rPr>
                      <w:rFonts w:hint="eastAsia"/>
                      <w:color w:val="auto"/>
                      <w:kern w:val="0"/>
                      <w:szCs w:val="21"/>
                    </w:rPr>
                    <w:t>18800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358" w:type="pct"/>
                  <w:vAlign w:val="center"/>
                </w:tcPr>
                <w:p>
                  <w:pPr>
                    <w:jc w:val="center"/>
                    <w:rPr>
                      <w:color w:val="auto"/>
                      <w:kern w:val="0"/>
                      <w:szCs w:val="21"/>
                    </w:rPr>
                  </w:pPr>
                  <w:r>
                    <w:rPr>
                      <w:color w:val="auto"/>
                      <w:kern w:val="0"/>
                      <w:szCs w:val="21"/>
                    </w:rPr>
                    <w:t>2</w:t>
                  </w:r>
                </w:p>
              </w:tc>
              <w:tc>
                <w:tcPr>
                  <w:tcW w:w="1115" w:type="pct"/>
                  <w:vAlign w:val="center"/>
                </w:tcPr>
                <w:p>
                  <w:pPr>
                    <w:jc w:val="center"/>
                    <w:rPr>
                      <w:color w:val="auto"/>
                      <w:kern w:val="0"/>
                      <w:szCs w:val="21"/>
                    </w:rPr>
                  </w:pPr>
                  <w:r>
                    <w:rPr>
                      <w:color w:val="auto"/>
                      <w:szCs w:val="21"/>
                    </w:rPr>
                    <w:t>轻柴油</w:t>
                  </w:r>
                </w:p>
              </w:tc>
              <w:tc>
                <w:tcPr>
                  <w:tcW w:w="1782" w:type="dxa"/>
                  <w:vAlign w:val="center"/>
                </w:tcPr>
                <w:p>
                  <w:pPr>
                    <w:jc w:val="center"/>
                    <w:rPr>
                      <w:color w:val="auto"/>
                      <w:kern w:val="0"/>
                      <w:szCs w:val="21"/>
                    </w:rPr>
                  </w:pPr>
                  <w:r>
                    <w:rPr>
                      <w:rFonts w:hint="eastAsia"/>
                      <w:color w:val="auto"/>
                      <w:szCs w:val="21"/>
                    </w:rPr>
                    <w:t>940</w:t>
                  </w:r>
                </w:p>
              </w:tc>
              <w:tc>
                <w:tcPr>
                  <w:tcW w:w="397" w:type="pct"/>
                  <w:vAlign w:val="center"/>
                </w:tcPr>
                <w:p>
                  <w:pPr>
                    <w:jc w:val="center"/>
                    <w:rPr>
                      <w:color w:val="auto"/>
                      <w:kern w:val="0"/>
                      <w:szCs w:val="21"/>
                    </w:rPr>
                  </w:pPr>
                  <w:r>
                    <w:rPr>
                      <w:color w:val="auto"/>
                      <w:kern w:val="0"/>
                      <w:szCs w:val="21"/>
                    </w:rPr>
                    <w:t>2</w:t>
                  </w:r>
                </w:p>
              </w:tc>
              <w:tc>
                <w:tcPr>
                  <w:tcW w:w="1135" w:type="pct"/>
                  <w:vMerge w:val="continue"/>
                  <w:vAlign w:val="center"/>
                </w:tcPr>
                <w:p>
                  <w:pPr>
                    <w:jc w:val="center"/>
                    <w:rPr>
                      <w:color w:val="auto"/>
                      <w:kern w:val="0"/>
                      <w:szCs w:val="21"/>
                    </w:rPr>
                  </w:pPr>
                </w:p>
              </w:tc>
              <w:tc>
                <w:tcPr>
                  <w:tcW w:w="890" w:type="pct"/>
                  <w:vMerge w:val="continue"/>
                  <w:vAlign w:val="center"/>
                </w:tcPr>
                <w:p>
                  <w:pPr>
                    <w:jc w:val="center"/>
                    <w:rPr>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1474" w:type="pct"/>
                  <w:gridSpan w:val="2"/>
                  <w:vAlign w:val="center"/>
                </w:tcPr>
                <w:p>
                  <w:pPr>
                    <w:jc w:val="center"/>
                    <w:rPr>
                      <w:color w:val="auto"/>
                      <w:kern w:val="0"/>
                      <w:szCs w:val="21"/>
                    </w:rPr>
                  </w:pPr>
                  <w:r>
                    <w:rPr>
                      <w:color w:val="auto"/>
                      <w:kern w:val="0"/>
                      <w:szCs w:val="21"/>
                    </w:rPr>
                    <w:t>合计</w:t>
                  </w:r>
                </w:p>
              </w:tc>
              <w:tc>
                <w:tcPr>
                  <w:tcW w:w="1102" w:type="pct"/>
                  <w:vAlign w:val="center"/>
                </w:tcPr>
                <w:p>
                  <w:pPr>
                    <w:jc w:val="center"/>
                    <w:rPr>
                      <w:color w:val="auto"/>
                      <w:kern w:val="0"/>
                      <w:szCs w:val="21"/>
                    </w:rPr>
                  </w:pPr>
                  <w:r>
                    <w:rPr>
                      <w:rFonts w:hint="eastAsia"/>
                      <w:color w:val="auto"/>
                      <w:kern w:val="0"/>
                      <w:szCs w:val="21"/>
                    </w:rPr>
                    <w:t>18800</w:t>
                  </w:r>
                </w:p>
              </w:tc>
              <w:tc>
                <w:tcPr>
                  <w:tcW w:w="1532" w:type="pct"/>
                  <w:gridSpan w:val="2"/>
                  <w:vAlign w:val="center"/>
                </w:tcPr>
                <w:p>
                  <w:pPr>
                    <w:jc w:val="center"/>
                    <w:rPr>
                      <w:color w:val="auto"/>
                      <w:kern w:val="0"/>
                      <w:szCs w:val="21"/>
                    </w:rPr>
                  </w:pPr>
                  <w:r>
                    <w:rPr>
                      <w:color w:val="auto"/>
                      <w:kern w:val="0"/>
                      <w:szCs w:val="21"/>
                    </w:rPr>
                    <w:t>合计</w:t>
                  </w:r>
                </w:p>
              </w:tc>
              <w:tc>
                <w:tcPr>
                  <w:tcW w:w="890" w:type="pct"/>
                  <w:vAlign w:val="center"/>
                </w:tcPr>
                <w:p>
                  <w:pPr>
                    <w:jc w:val="center"/>
                    <w:rPr>
                      <w:color w:val="auto"/>
                      <w:kern w:val="0"/>
                      <w:szCs w:val="21"/>
                    </w:rPr>
                  </w:pPr>
                  <w:r>
                    <w:rPr>
                      <w:rFonts w:hint="eastAsia"/>
                      <w:color w:val="auto"/>
                      <w:kern w:val="0"/>
                      <w:szCs w:val="21"/>
                    </w:rPr>
                    <w:t>18800</w:t>
                  </w:r>
                </w:p>
              </w:tc>
            </w:tr>
          </w:tbl>
          <w:p>
            <w:pPr>
              <w:numPr>
                <w:ilvl w:val="0"/>
                <w:numId w:val="8"/>
              </w:numPr>
              <w:tabs>
                <w:tab w:val="left" w:pos="337"/>
              </w:tabs>
              <w:adjustRightInd w:val="0"/>
              <w:snapToGrid w:val="0"/>
              <w:spacing w:line="520" w:lineRule="exact"/>
              <w:ind w:firstLine="482" w:firstLineChars="200"/>
              <w:rPr>
                <w:b/>
                <w:bCs/>
                <w:color w:val="auto"/>
                <w:sz w:val="24"/>
              </w:rPr>
            </w:pPr>
            <w:r>
              <w:rPr>
                <w:b/>
                <w:bCs/>
                <w:color w:val="auto"/>
                <w:sz w:val="24"/>
              </w:rPr>
              <w:t>公用工程</w:t>
            </w:r>
          </w:p>
          <w:p>
            <w:pPr>
              <w:pStyle w:val="14"/>
              <w:adjustRightInd w:val="0"/>
              <w:snapToGrid w:val="0"/>
              <w:spacing w:after="0" w:line="520" w:lineRule="exact"/>
              <w:ind w:left="0" w:leftChars="0" w:firstLine="480" w:firstLineChars="200"/>
              <w:rPr>
                <w:rFonts w:hAnsi="宋体"/>
                <w:bCs/>
                <w:color w:val="auto"/>
                <w:szCs w:val="24"/>
              </w:rPr>
            </w:pPr>
            <w:r>
              <w:rPr>
                <w:rFonts w:hint="eastAsia" w:hAnsi="宋体"/>
                <w:bCs/>
                <w:color w:val="auto"/>
                <w:szCs w:val="24"/>
              </w:rPr>
              <w:t>（1）给排水</w:t>
            </w:r>
          </w:p>
          <w:p>
            <w:pPr>
              <w:pStyle w:val="14"/>
              <w:adjustRightInd w:val="0"/>
              <w:snapToGrid w:val="0"/>
              <w:spacing w:after="0" w:line="520" w:lineRule="exact"/>
              <w:ind w:left="0" w:leftChars="0" w:firstLine="480" w:firstLineChars="200"/>
              <w:rPr>
                <w:bCs/>
                <w:color w:val="auto"/>
                <w:szCs w:val="24"/>
              </w:rPr>
            </w:pPr>
            <w:r>
              <w:rPr>
                <w:rFonts w:hAnsi="宋体"/>
                <w:bCs/>
                <w:color w:val="auto"/>
                <w:szCs w:val="24"/>
              </w:rPr>
              <w:t>本</w:t>
            </w:r>
            <w:r>
              <w:rPr>
                <w:rFonts w:hint="eastAsia" w:hAnsi="宋体"/>
                <w:bCs/>
                <w:color w:val="auto"/>
                <w:szCs w:val="24"/>
              </w:rPr>
              <w:t>扩能</w:t>
            </w:r>
            <w:r>
              <w:rPr>
                <w:rFonts w:hAnsi="宋体"/>
                <w:bCs/>
                <w:color w:val="auto"/>
                <w:szCs w:val="24"/>
              </w:rPr>
              <w:t>项目用水</w:t>
            </w:r>
            <w:r>
              <w:rPr>
                <w:rFonts w:hint="eastAsia" w:hAnsi="宋体"/>
                <w:bCs/>
                <w:color w:val="auto"/>
                <w:szCs w:val="24"/>
              </w:rPr>
              <w:t>设施依托厂区现有设施</w:t>
            </w:r>
            <w:r>
              <w:rPr>
                <w:rFonts w:hAnsi="宋体"/>
                <w:bCs/>
                <w:color w:val="auto"/>
                <w:szCs w:val="24"/>
              </w:rPr>
              <w:t>，能够满足生活、生产用水需求。</w:t>
            </w:r>
          </w:p>
          <w:p>
            <w:pPr>
              <w:pStyle w:val="70"/>
              <w:rPr>
                <w:color w:val="auto"/>
              </w:rPr>
            </w:pPr>
            <w:r>
              <w:rPr>
                <w:rFonts w:hAnsi="宋体"/>
                <w:bCs/>
                <w:color w:val="auto"/>
              </w:rPr>
              <w:t>本</w:t>
            </w:r>
            <w:r>
              <w:rPr>
                <w:rFonts w:hint="eastAsia" w:hAnsi="宋体"/>
                <w:bCs/>
                <w:color w:val="auto"/>
              </w:rPr>
              <w:t>次扩能</w:t>
            </w:r>
            <w:r>
              <w:rPr>
                <w:rFonts w:hAnsi="宋体"/>
                <w:bCs/>
                <w:color w:val="auto"/>
              </w:rPr>
              <w:t>新增劳动人员</w:t>
            </w:r>
            <w:r>
              <w:rPr>
                <w:rFonts w:hint="eastAsia" w:hAnsi="宋体"/>
                <w:bCs/>
                <w:color w:val="auto"/>
              </w:rPr>
              <w:t>10人</w:t>
            </w:r>
            <w:r>
              <w:rPr>
                <w:rFonts w:hint="eastAsia"/>
                <w:color w:val="auto"/>
              </w:rPr>
              <w:t>（均在厂区食宿）</w:t>
            </w:r>
            <w:r>
              <w:rPr>
                <w:color w:val="auto"/>
              </w:rPr>
              <w:t>，</w:t>
            </w:r>
            <w:r>
              <w:rPr>
                <w:rFonts w:hint="eastAsia"/>
                <w:color w:val="auto"/>
              </w:rPr>
              <w:t>年工作时间为250d，</w:t>
            </w:r>
            <w:r>
              <w:rPr>
                <w:rFonts w:hAnsi="宋体"/>
                <w:color w:val="auto"/>
              </w:rPr>
              <w:t>根据《新疆维吾尔自治区生活用水定额》，</w:t>
            </w:r>
            <w:r>
              <w:rPr>
                <w:rFonts w:hint="eastAsia"/>
                <w:color w:val="auto"/>
              </w:rPr>
              <w:t>员工的生活用水按80L/人</w:t>
            </w:r>
            <w:r>
              <w:rPr>
                <w:color w:val="auto"/>
              </w:rPr>
              <w:t>·</w:t>
            </w:r>
            <w:r>
              <w:rPr>
                <w:rFonts w:hint="eastAsia"/>
                <w:color w:val="auto"/>
              </w:rPr>
              <w:t>d计</w:t>
            </w:r>
            <w:r>
              <w:rPr>
                <w:rFonts w:hAnsi="宋体"/>
                <w:color w:val="auto"/>
              </w:rPr>
              <w:t>，故项目生活用水量为</w:t>
            </w:r>
            <w:r>
              <w:rPr>
                <w:rFonts w:hint="eastAsia" w:hAnsi="宋体"/>
                <w:color w:val="auto"/>
              </w:rPr>
              <w:t>0.9</w:t>
            </w:r>
            <w:r>
              <w:rPr>
                <w:color w:val="auto"/>
              </w:rPr>
              <w:t>m</w:t>
            </w:r>
            <w:r>
              <w:rPr>
                <w:color w:val="auto"/>
                <w:vertAlign w:val="superscript"/>
              </w:rPr>
              <w:t>3</w:t>
            </w:r>
            <w:r>
              <w:rPr>
                <w:color w:val="auto"/>
              </w:rPr>
              <w:t>/d</w:t>
            </w:r>
            <w:r>
              <w:rPr>
                <w:rFonts w:hAnsi="宋体"/>
                <w:color w:val="auto"/>
              </w:rPr>
              <w:t>（</w:t>
            </w:r>
            <w:r>
              <w:rPr>
                <w:rFonts w:hint="eastAsia" w:hAnsi="宋体"/>
                <w:color w:val="auto"/>
              </w:rPr>
              <w:t>225</w:t>
            </w:r>
            <w:r>
              <w:rPr>
                <w:color w:val="auto"/>
              </w:rPr>
              <w:t>m</w:t>
            </w:r>
            <w:r>
              <w:rPr>
                <w:color w:val="auto"/>
                <w:vertAlign w:val="superscript"/>
              </w:rPr>
              <w:t>3</w:t>
            </w:r>
            <w:r>
              <w:rPr>
                <w:color w:val="auto"/>
              </w:rPr>
              <w:t>/a</w:t>
            </w:r>
            <w:r>
              <w:rPr>
                <w:rFonts w:hAnsi="宋体"/>
                <w:color w:val="auto"/>
              </w:rPr>
              <w:t>）</w:t>
            </w:r>
            <w:r>
              <w:rPr>
                <w:color w:val="auto"/>
              </w:rPr>
              <w:t>。</w:t>
            </w:r>
            <w:r>
              <w:rPr>
                <w:rFonts w:hint="eastAsia"/>
                <w:color w:val="auto"/>
              </w:rPr>
              <w:t>生活污水按用水量的85%计，则生活污水产生量为0.765</w:t>
            </w:r>
            <w:r>
              <w:rPr>
                <w:color w:val="auto"/>
              </w:rPr>
              <w:t>m</w:t>
            </w:r>
            <w:r>
              <w:rPr>
                <w:color w:val="auto"/>
                <w:vertAlign w:val="superscript"/>
              </w:rPr>
              <w:t>3</w:t>
            </w:r>
            <w:r>
              <w:rPr>
                <w:color w:val="auto"/>
              </w:rPr>
              <w:t>/d</w:t>
            </w:r>
            <w:r>
              <w:rPr>
                <w:rFonts w:hAnsi="宋体"/>
                <w:color w:val="auto"/>
              </w:rPr>
              <w:t>（</w:t>
            </w:r>
            <w:r>
              <w:rPr>
                <w:rFonts w:hint="eastAsia" w:hAnsi="宋体"/>
                <w:color w:val="auto"/>
              </w:rPr>
              <w:t>191.25</w:t>
            </w:r>
            <w:r>
              <w:rPr>
                <w:color w:val="auto"/>
              </w:rPr>
              <w:t>m</w:t>
            </w:r>
            <w:r>
              <w:rPr>
                <w:color w:val="auto"/>
                <w:vertAlign w:val="superscript"/>
              </w:rPr>
              <w:t>3</w:t>
            </w:r>
            <w:r>
              <w:rPr>
                <w:color w:val="auto"/>
              </w:rPr>
              <w:t>/a</w:t>
            </w:r>
            <w:r>
              <w:rPr>
                <w:rFonts w:hAnsi="宋体"/>
                <w:color w:val="auto"/>
              </w:rPr>
              <w:t>）</w:t>
            </w:r>
          </w:p>
          <w:p>
            <w:pPr>
              <w:pStyle w:val="14"/>
              <w:adjustRightInd w:val="0"/>
              <w:snapToGrid w:val="0"/>
              <w:spacing w:after="0" w:line="520" w:lineRule="exact"/>
              <w:ind w:left="0" w:leftChars="0" w:firstLine="480" w:firstLineChars="200"/>
              <w:rPr>
                <w:rFonts w:hAnsi="宋体"/>
                <w:snapToGrid w:val="0"/>
                <w:color w:val="auto"/>
                <w:szCs w:val="24"/>
              </w:rPr>
            </w:pPr>
            <w:r>
              <w:rPr>
                <w:rFonts w:hAnsi="宋体"/>
                <w:snapToGrid w:val="0"/>
                <w:color w:val="auto"/>
                <w:szCs w:val="24"/>
              </w:rPr>
              <w:t>本</w:t>
            </w:r>
            <w:r>
              <w:rPr>
                <w:rFonts w:hint="eastAsia" w:hAnsi="宋体"/>
                <w:snapToGrid w:val="0"/>
                <w:color w:val="auto"/>
                <w:szCs w:val="24"/>
              </w:rPr>
              <w:t>次扩能</w:t>
            </w:r>
            <w:r>
              <w:rPr>
                <w:rFonts w:hAnsi="宋体"/>
                <w:bCs/>
                <w:color w:val="auto"/>
                <w:szCs w:val="24"/>
              </w:rPr>
              <w:t>新增</w:t>
            </w:r>
            <w:r>
              <w:rPr>
                <w:rFonts w:hint="eastAsia"/>
                <w:bCs/>
                <w:color w:val="auto"/>
                <w:szCs w:val="24"/>
              </w:rPr>
              <w:t>10</w:t>
            </w:r>
            <w:r>
              <w:rPr>
                <w:rFonts w:hAnsi="宋体"/>
                <w:bCs/>
                <w:color w:val="auto"/>
                <w:szCs w:val="24"/>
              </w:rPr>
              <w:t>台现场混装车，</w:t>
            </w:r>
            <w:r>
              <w:rPr>
                <w:rFonts w:hint="eastAsia" w:hAnsi="宋体"/>
                <w:bCs/>
                <w:color w:val="auto"/>
                <w:szCs w:val="24"/>
              </w:rPr>
              <w:t>扩能后全厂共有14台</w:t>
            </w:r>
            <w:r>
              <w:rPr>
                <w:rFonts w:hAnsi="宋体"/>
                <w:bCs/>
                <w:color w:val="auto"/>
                <w:szCs w:val="24"/>
              </w:rPr>
              <w:t>现场混装车</w:t>
            </w:r>
            <w:r>
              <w:rPr>
                <w:rFonts w:hint="eastAsia" w:hAnsi="宋体"/>
                <w:bCs/>
                <w:color w:val="auto"/>
                <w:szCs w:val="24"/>
              </w:rPr>
              <w:t>。现场混装车</w:t>
            </w:r>
            <w:r>
              <w:rPr>
                <w:rFonts w:hAnsi="宋体"/>
                <w:snapToGrid w:val="0"/>
                <w:color w:val="auto"/>
                <w:szCs w:val="24"/>
              </w:rPr>
              <w:t>夏季一周洗一次，冬季十天洗一次，每年共洗车</w:t>
            </w:r>
            <w:r>
              <w:rPr>
                <w:rFonts w:hint="eastAsia"/>
                <w:snapToGrid w:val="0"/>
                <w:color w:val="auto"/>
                <w:szCs w:val="24"/>
              </w:rPr>
              <w:t>34</w:t>
            </w:r>
            <w:r>
              <w:rPr>
                <w:rFonts w:hAnsi="宋体"/>
                <w:snapToGrid w:val="0"/>
                <w:color w:val="auto"/>
                <w:szCs w:val="24"/>
              </w:rPr>
              <w:t>次</w:t>
            </w:r>
            <w:r>
              <w:rPr>
                <w:rFonts w:hint="eastAsia" w:hAnsi="宋体"/>
                <w:snapToGrid w:val="0"/>
                <w:color w:val="auto"/>
                <w:szCs w:val="24"/>
              </w:rPr>
              <w:t>/辆（夏季30次、冬季4次）</w:t>
            </w:r>
            <w:r>
              <w:rPr>
                <w:rFonts w:hAnsi="宋体"/>
                <w:snapToGrid w:val="0"/>
                <w:color w:val="auto"/>
                <w:szCs w:val="24"/>
              </w:rPr>
              <w:t>。每次洗车用水按</w:t>
            </w:r>
            <w:r>
              <w:rPr>
                <w:snapToGrid w:val="0"/>
                <w:color w:val="auto"/>
                <w:szCs w:val="24"/>
              </w:rPr>
              <w:t>0.5m</w:t>
            </w:r>
            <w:r>
              <w:rPr>
                <w:snapToGrid w:val="0"/>
                <w:color w:val="auto"/>
                <w:szCs w:val="24"/>
                <w:vertAlign w:val="superscript"/>
              </w:rPr>
              <w:t>3</w:t>
            </w:r>
            <w:r>
              <w:rPr>
                <w:rFonts w:hint="eastAsia" w:hAnsi="宋体"/>
                <w:snapToGrid w:val="0"/>
                <w:color w:val="auto"/>
                <w:szCs w:val="24"/>
              </w:rPr>
              <w:t>/辆</w:t>
            </w:r>
            <w:r>
              <w:rPr>
                <w:rFonts w:hAnsi="宋体"/>
                <w:snapToGrid w:val="0"/>
                <w:color w:val="auto"/>
                <w:szCs w:val="24"/>
              </w:rPr>
              <w:t>，</w:t>
            </w:r>
            <w:r>
              <w:rPr>
                <w:rFonts w:hint="eastAsia" w:hAnsi="宋体"/>
                <w:snapToGrid w:val="0"/>
                <w:color w:val="auto"/>
                <w:szCs w:val="24"/>
              </w:rPr>
              <w:t>本次扩能新增洗车用水约为</w:t>
            </w:r>
            <w:r>
              <w:rPr>
                <w:rFonts w:hint="eastAsia"/>
                <w:snapToGrid w:val="0"/>
                <w:color w:val="auto"/>
                <w:szCs w:val="24"/>
              </w:rPr>
              <w:t>0.68</w:t>
            </w:r>
            <w:r>
              <w:rPr>
                <w:snapToGrid w:val="0"/>
                <w:color w:val="auto"/>
                <w:szCs w:val="24"/>
              </w:rPr>
              <w:t>m</w:t>
            </w:r>
            <w:r>
              <w:rPr>
                <w:snapToGrid w:val="0"/>
                <w:color w:val="auto"/>
                <w:szCs w:val="24"/>
                <w:vertAlign w:val="superscript"/>
              </w:rPr>
              <w:t>3</w:t>
            </w:r>
            <w:r>
              <w:rPr>
                <w:snapToGrid w:val="0"/>
                <w:color w:val="auto"/>
                <w:szCs w:val="24"/>
              </w:rPr>
              <w:t>/d</w:t>
            </w:r>
            <w:r>
              <w:rPr>
                <w:rFonts w:hint="eastAsia"/>
                <w:snapToGrid w:val="0"/>
                <w:color w:val="auto"/>
                <w:szCs w:val="24"/>
              </w:rPr>
              <w:t>（170</w:t>
            </w:r>
            <w:r>
              <w:rPr>
                <w:snapToGrid w:val="0"/>
                <w:color w:val="auto"/>
                <w:szCs w:val="24"/>
              </w:rPr>
              <w:t>m</w:t>
            </w:r>
            <w:r>
              <w:rPr>
                <w:snapToGrid w:val="0"/>
                <w:color w:val="auto"/>
                <w:szCs w:val="24"/>
                <w:vertAlign w:val="superscript"/>
              </w:rPr>
              <w:t>3</w:t>
            </w:r>
            <w:r>
              <w:rPr>
                <w:snapToGrid w:val="0"/>
                <w:color w:val="auto"/>
                <w:szCs w:val="24"/>
              </w:rPr>
              <w:t>/a</w:t>
            </w:r>
            <w:r>
              <w:rPr>
                <w:rFonts w:hint="eastAsia"/>
                <w:snapToGrid w:val="0"/>
                <w:color w:val="auto"/>
                <w:szCs w:val="24"/>
              </w:rPr>
              <w:t>），废水产生量按用水量的90%计，则本次扩能新增洗车废水约为0.612</w:t>
            </w:r>
            <w:r>
              <w:rPr>
                <w:snapToGrid w:val="0"/>
                <w:color w:val="auto"/>
                <w:szCs w:val="24"/>
              </w:rPr>
              <w:t>m</w:t>
            </w:r>
            <w:r>
              <w:rPr>
                <w:snapToGrid w:val="0"/>
                <w:color w:val="auto"/>
                <w:szCs w:val="24"/>
                <w:vertAlign w:val="superscript"/>
              </w:rPr>
              <w:t>3</w:t>
            </w:r>
            <w:r>
              <w:rPr>
                <w:snapToGrid w:val="0"/>
                <w:color w:val="auto"/>
                <w:szCs w:val="24"/>
              </w:rPr>
              <w:t>/d</w:t>
            </w:r>
            <w:r>
              <w:rPr>
                <w:rFonts w:hint="eastAsia"/>
                <w:snapToGrid w:val="0"/>
                <w:color w:val="auto"/>
                <w:szCs w:val="24"/>
              </w:rPr>
              <w:t>（153</w:t>
            </w:r>
            <w:r>
              <w:rPr>
                <w:snapToGrid w:val="0"/>
                <w:color w:val="auto"/>
                <w:szCs w:val="24"/>
              </w:rPr>
              <w:t>m</w:t>
            </w:r>
            <w:r>
              <w:rPr>
                <w:snapToGrid w:val="0"/>
                <w:color w:val="auto"/>
                <w:szCs w:val="24"/>
                <w:vertAlign w:val="superscript"/>
              </w:rPr>
              <w:t>3</w:t>
            </w:r>
            <w:r>
              <w:rPr>
                <w:snapToGrid w:val="0"/>
                <w:color w:val="auto"/>
                <w:szCs w:val="24"/>
              </w:rPr>
              <w:t>/a</w:t>
            </w:r>
            <w:r>
              <w:rPr>
                <w:rFonts w:hint="eastAsia"/>
                <w:snapToGrid w:val="0"/>
                <w:color w:val="auto"/>
                <w:szCs w:val="24"/>
              </w:rPr>
              <w:t>），扩能后全厂</w:t>
            </w:r>
            <w:r>
              <w:rPr>
                <w:rFonts w:hAnsi="宋体"/>
                <w:snapToGrid w:val="0"/>
                <w:color w:val="auto"/>
                <w:szCs w:val="24"/>
              </w:rPr>
              <w:t>洗车</w:t>
            </w:r>
            <w:r>
              <w:rPr>
                <w:rFonts w:hint="eastAsia" w:hAnsi="宋体"/>
                <w:snapToGrid w:val="0"/>
                <w:color w:val="auto"/>
                <w:szCs w:val="24"/>
              </w:rPr>
              <w:t>用水</w:t>
            </w:r>
            <w:r>
              <w:rPr>
                <w:rFonts w:hAnsi="宋体"/>
                <w:snapToGrid w:val="0"/>
                <w:color w:val="auto"/>
                <w:szCs w:val="24"/>
              </w:rPr>
              <w:t>量</w:t>
            </w:r>
            <w:r>
              <w:rPr>
                <w:rFonts w:hint="eastAsia" w:hAnsi="宋体"/>
                <w:snapToGrid w:val="0"/>
                <w:color w:val="auto"/>
                <w:szCs w:val="24"/>
              </w:rPr>
              <w:t>约</w:t>
            </w:r>
            <w:r>
              <w:rPr>
                <w:rFonts w:hAnsi="宋体"/>
                <w:snapToGrid w:val="0"/>
                <w:color w:val="auto"/>
                <w:szCs w:val="24"/>
              </w:rPr>
              <w:t>为</w:t>
            </w:r>
            <w:r>
              <w:rPr>
                <w:rFonts w:hint="eastAsia"/>
                <w:snapToGrid w:val="0"/>
                <w:color w:val="auto"/>
                <w:szCs w:val="24"/>
              </w:rPr>
              <w:t>0.952</w:t>
            </w:r>
            <w:r>
              <w:rPr>
                <w:snapToGrid w:val="0"/>
                <w:color w:val="auto"/>
                <w:szCs w:val="24"/>
              </w:rPr>
              <w:t>m</w:t>
            </w:r>
            <w:r>
              <w:rPr>
                <w:snapToGrid w:val="0"/>
                <w:color w:val="auto"/>
                <w:szCs w:val="24"/>
                <w:vertAlign w:val="superscript"/>
              </w:rPr>
              <w:t>3</w:t>
            </w:r>
            <w:r>
              <w:rPr>
                <w:snapToGrid w:val="0"/>
                <w:color w:val="auto"/>
                <w:szCs w:val="24"/>
              </w:rPr>
              <w:t>/d</w:t>
            </w:r>
            <w:r>
              <w:rPr>
                <w:rFonts w:hint="eastAsia"/>
                <w:snapToGrid w:val="0"/>
                <w:color w:val="auto"/>
                <w:szCs w:val="24"/>
              </w:rPr>
              <w:t>（238</w:t>
            </w:r>
            <w:r>
              <w:rPr>
                <w:snapToGrid w:val="0"/>
                <w:color w:val="auto"/>
                <w:szCs w:val="24"/>
              </w:rPr>
              <w:t>m</w:t>
            </w:r>
            <w:r>
              <w:rPr>
                <w:snapToGrid w:val="0"/>
                <w:color w:val="auto"/>
                <w:szCs w:val="24"/>
                <w:vertAlign w:val="superscript"/>
              </w:rPr>
              <w:t>3</w:t>
            </w:r>
            <w:r>
              <w:rPr>
                <w:snapToGrid w:val="0"/>
                <w:color w:val="auto"/>
                <w:szCs w:val="24"/>
              </w:rPr>
              <w:t>/a</w:t>
            </w:r>
            <w:r>
              <w:rPr>
                <w:rFonts w:hint="eastAsia"/>
                <w:snapToGrid w:val="0"/>
                <w:color w:val="auto"/>
                <w:szCs w:val="24"/>
              </w:rPr>
              <w:t>），废水产生量约为0.857</w:t>
            </w:r>
            <w:r>
              <w:rPr>
                <w:snapToGrid w:val="0"/>
                <w:color w:val="auto"/>
                <w:szCs w:val="24"/>
              </w:rPr>
              <w:t>m</w:t>
            </w:r>
            <w:r>
              <w:rPr>
                <w:snapToGrid w:val="0"/>
                <w:color w:val="auto"/>
                <w:szCs w:val="24"/>
                <w:vertAlign w:val="superscript"/>
              </w:rPr>
              <w:t>3</w:t>
            </w:r>
            <w:r>
              <w:rPr>
                <w:snapToGrid w:val="0"/>
                <w:color w:val="auto"/>
                <w:szCs w:val="24"/>
              </w:rPr>
              <w:t>/d</w:t>
            </w:r>
            <w:r>
              <w:rPr>
                <w:rFonts w:hint="eastAsia"/>
                <w:snapToGrid w:val="0"/>
                <w:color w:val="auto"/>
                <w:szCs w:val="24"/>
              </w:rPr>
              <w:t>（214.2</w:t>
            </w:r>
            <w:r>
              <w:rPr>
                <w:snapToGrid w:val="0"/>
                <w:color w:val="auto"/>
                <w:szCs w:val="24"/>
              </w:rPr>
              <w:t>m</w:t>
            </w:r>
            <w:r>
              <w:rPr>
                <w:snapToGrid w:val="0"/>
                <w:color w:val="auto"/>
                <w:szCs w:val="24"/>
                <w:vertAlign w:val="superscript"/>
              </w:rPr>
              <w:t>3</w:t>
            </w:r>
            <w:r>
              <w:rPr>
                <w:snapToGrid w:val="0"/>
                <w:color w:val="auto"/>
                <w:szCs w:val="24"/>
              </w:rPr>
              <w:t>/a</w:t>
            </w:r>
            <w:r>
              <w:rPr>
                <w:rFonts w:hint="eastAsia"/>
                <w:snapToGrid w:val="0"/>
                <w:color w:val="auto"/>
                <w:szCs w:val="24"/>
              </w:rPr>
              <w:t>）</w:t>
            </w:r>
            <w:r>
              <w:rPr>
                <w:rFonts w:hint="eastAsia" w:hAnsi="宋体"/>
                <w:snapToGrid w:val="0"/>
                <w:color w:val="auto"/>
                <w:szCs w:val="24"/>
              </w:rPr>
              <w:t>。</w:t>
            </w:r>
          </w:p>
          <w:p>
            <w:pPr>
              <w:adjustRightInd w:val="0"/>
              <w:snapToGrid w:val="0"/>
              <w:spacing w:line="520" w:lineRule="exact"/>
              <w:ind w:firstLine="480" w:firstLineChars="200"/>
              <w:rPr>
                <w:color w:val="auto"/>
                <w:sz w:val="24"/>
              </w:rPr>
            </w:pPr>
            <w:r>
              <w:rPr>
                <w:rFonts w:hint="eastAsia"/>
                <w:color w:val="auto"/>
                <w:sz w:val="24"/>
              </w:rPr>
              <w:t>综上，本次扩能项目新增用水量为1.58</w:t>
            </w:r>
            <w:r>
              <w:rPr>
                <w:color w:val="auto"/>
                <w:sz w:val="24"/>
              </w:rPr>
              <w:t>m</w:t>
            </w:r>
            <w:r>
              <w:rPr>
                <w:color w:val="auto"/>
                <w:sz w:val="24"/>
                <w:vertAlign w:val="superscript"/>
              </w:rPr>
              <w:t>3</w:t>
            </w:r>
            <w:r>
              <w:rPr>
                <w:color w:val="auto"/>
                <w:sz w:val="24"/>
              </w:rPr>
              <w:t>/d</w:t>
            </w:r>
            <w:r>
              <w:rPr>
                <w:rFonts w:hAnsi="宋体"/>
                <w:color w:val="auto"/>
                <w:sz w:val="24"/>
              </w:rPr>
              <w:t>（</w:t>
            </w:r>
            <w:r>
              <w:rPr>
                <w:rFonts w:hint="eastAsia" w:hAnsi="宋体"/>
                <w:color w:val="auto"/>
                <w:sz w:val="24"/>
              </w:rPr>
              <w:t>395</w:t>
            </w:r>
            <w:r>
              <w:rPr>
                <w:color w:val="auto"/>
                <w:sz w:val="24"/>
              </w:rPr>
              <w:t>m</w:t>
            </w:r>
            <w:r>
              <w:rPr>
                <w:color w:val="auto"/>
                <w:sz w:val="24"/>
                <w:vertAlign w:val="superscript"/>
              </w:rPr>
              <w:t>3</w:t>
            </w:r>
            <w:r>
              <w:rPr>
                <w:color w:val="auto"/>
                <w:sz w:val="24"/>
              </w:rPr>
              <w:t>/a</w:t>
            </w:r>
            <w:r>
              <w:rPr>
                <w:rFonts w:hAnsi="宋体"/>
                <w:color w:val="auto"/>
                <w:sz w:val="24"/>
              </w:rPr>
              <w:t>）</w:t>
            </w:r>
            <w:r>
              <w:rPr>
                <w:rFonts w:hint="eastAsia" w:hAnsi="宋体"/>
                <w:color w:val="auto"/>
                <w:sz w:val="24"/>
              </w:rPr>
              <w:t>，新增废水产生量为</w:t>
            </w:r>
            <w:r>
              <w:rPr>
                <w:rFonts w:hint="eastAsia"/>
                <w:color w:val="auto"/>
                <w:sz w:val="24"/>
              </w:rPr>
              <w:t>1.377</w:t>
            </w:r>
            <w:r>
              <w:rPr>
                <w:color w:val="auto"/>
                <w:sz w:val="24"/>
              </w:rPr>
              <w:t>m</w:t>
            </w:r>
            <w:r>
              <w:rPr>
                <w:color w:val="auto"/>
                <w:sz w:val="24"/>
                <w:vertAlign w:val="superscript"/>
              </w:rPr>
              <w:t>3</w:t>
            </w:r>
            <w:r>
              <w:rPr>
                <w:color w:val="auto"/>
                <w:sz w:val="24"/>
              </w:rPr>
              <w:t>/d</w:t>
            </w:r>
            <w:r>
              <w:rPr>
                <w:rFonts w:hAnsi="宋体"/>
                <w:color w:val="auto"/>
                <w:sz w:val="24"/>
              </w:rPr>
              <w:t>（</w:t>
            </w:r>
            <w:r>
              <w:rPr>
                <w:rFonts w:hint="eastAsia" w:hAnsi="宋体"/>
                <w:color w:val="auto"/>
                <w:sz w:val="24"/>
              </w:rPr>
              <w:t>344.25</w:t>
            </w:r>
            <w:r>
              <w:rPr>
                <w:color w:val="auto"/>
                <w:sz w:val="24"/>
              </w:rPr>
              <w:t>m</w:t>
            </w:r>
            <w:r>
              <w:rPr>
                <w:color w:val="auto"/>
                <w:sz w:val="24"/>
                <w:vertAlign w:val="superscript"/>
              </w:rPr>
              <w:t>3</w:t>
            </w:r>
            <w:r>
              <w:rPr>
                <w:color w:val="auto"/>
                <w:sz w:val="24"/>
              </w:rPr>
              <w:t>/a</w:t>
            </w:r>
            <w:r>
              <w:rPr>
                <w:rFonts w:hAnsi="宋体"/>
                <w:color w:val="auto"/>
                <w:sz w:val="24"/>
              </w:rPr>
              <w:t>）</w:t>
            </w:r>
            <w:r>
              <w:rPr>
                <w:rFonts w:hint="eastAsia" w:hAnsi="宋体"/>
                <w:color w:val="auto"/>
                <w:sz w:val="24"/>
              </w:rPr>
              <w:t>。</w:t>
            </w:r>
          </w:p>
          <w:p>
            <w:pPr>
              <w:adjustRightInd w:val="0"/>
              <w:snapToGrid w:val="0"/>
              <w:spacing w:line="520" w:lineRule="exact"/>
              <w:ind w:firstLine="480" w:firstLineChars="200"/>
              <w:rPr>
                <w:color w:val="auto"/>
                <w:sz w:val="24"/>
                <w:szCs w:val="32"/>
              </w:rPr>
            </w:pPr>
            <w:r>
              <w:rPr>
                <w:rFonts w:hint="eastAsia"/>
                <w:color w:val="auto"/>
                <w:sz w:val="24"/>
                <w:szCs w:val="32"/>
              </w:rPr>
              <w:t>本次扩能项目洗车废水依托现有工程已建隔油沉淀池处理后与生活污水一同经已建地埋式污水处理厂处理后用于厂区绿化，不外排。</w:t>
            </w:r>
          </w:p>
          <w:p>
            <w:pPr>
              <w:adjustRightInd w:val="0"/>
              <w:snapToGrid w:val="0"/>
              <w:spacing w:line="520" w:lineRule="exact"/>
              <w:ind w:firstLine="480" w:firstLineChars="200"/>
              <w:rPr>
                <w:color w:val="auto"/>
                <w:sz w:val="24"/>
                <w:szCs w:val="32"/>
              </w:rPr>
            </w:pPr>
            <w:r>
              <w:rPr>
                <w:rFonts w:hint="eastAsia"/>
                <w:color w:val="auto"/>
                <w:sz w:val="24"/>
                <w:szCs w:val="32"/>
              </w:rPr>
              <w:t>扩建前后厂区用排水情况详见表2-9。</w:t>
            </w:r>
          </w:p>
          <w:p>
            <w:pPr>
              <w:pStyle w:val="36"/>
              <w:rPr>
                <w:color w:val="auto"/>
              </w:rPr>
            </w:pPr>
            <w:r>
              <w:rPr>
                <w:color w:val="auto"/>
              </w:rPr>
              <w:t>表</w:t>
            </w:r>
            <w:r>
              <w:rPr>
                <w:rFonts w:hint="eastAsia"/>
                <w:color w:val="auto"/>
              </w:rPr>
              <w:t>2-9</w:t>
            </w:r>
            <w:r>
              <w:rPr>
                <w:color w:val="auto"/>
              </w:rPr>
              <w:t xml:space="preserve">   </w:t>
            </w:r>
            <w:r>
              <w:rPr>
                <w:rFonts w:hint="eastAsia"/>
                <w:color w:val="auto"/>
              </w:rPr>
              <w:t xml:space="preserve"> </w:t>
            </w:r>
            <w:r>
              <w:rPr>
                <w:color w:val="auto"/>
              </w:rPr>
              <w:t>厂区用水及排水情况一览表</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94"/>
              <w:gridCol w:w="1131"/>
              <w:gridCol w:w="1104"/>
              <w:gridCol w:w="1104"/>
              <w:gridCol w:w="1253"/>
              <w:gridCol w:w="1241"/>
              <w:gridCol w:w="12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53" w:type="pct"/>
                  <w:vAlign w:val="center"/>
                </w:tcPr>
                <w:p>
                  <w:pPr>
                    <w:pStyle w:val="14"/>
                    <w:adjustRightInd w:val="0"/>
                    <w:snapToGrid w:val="0"/>
                    <w:spacing w:after="0"/>
                    <w:ind w:left="0" w:leftChars="0"/>
                    <w:jc w:val="center"/>
                    <w:rPr>
                      <w:bCs/>
                      <w:color w:val="auto"/>
                      <w:sz w:val="21"/>
                      <w:szCs w:val="21"/>
                    </w:rPr>
                  </w:pPr>
                  <w:r>
                    <w:rPr>
                      <w:rFonts w:hint="eastAsia"/>
                      <w:bCs/>
                      <w:color w:val="auto"/>
                      <w:sz w:val="21"/>
                      <w:szCs w:val="21"/>
                    </w:rPr>
                    <w:t>序号</w:t>
                  </w:r>
                </w:p>
              </w:tc>
              <w:tc>
                <w:tcPr>
                  <w:tcW w:w="533" w:type="pct"/>
                  <w:vAlign w:val="center"/>
                </w:tcPr>
                <w:p>
                  <w:pPr>
                    <w:pStyle w:val="14"/>
                    <w:adjustRightInd w:val="0"/>
                    <w:snapToGrid w:val="0"/>
                    <w:spacing w:after="0"/>
                    <w:ind w:left="0" w:leftChars="0"/>
                    <w:jc w:val="center"/>
                    <w:rPr>
                      <w:bCs/>
                      <w:color w:val="auto"/>
                      <w:sz w:val="21"/>
                      <w:szCs w:val="21"/>
                    </w:rPr>
                  </w:pPr>
                  <w:r>
                    <w:rPr>
                      <w:rFonts w:hint="eastAsia"/>
                      <w:bCs/>
                      <w:color w:val="auto"/>
                      <w:sz w:val="21"/>
                      <w:szCs w:val="21"/>
                    </w:rPr>
                    <w:t>污染源</w:t>
                  </w:r>
                </w:p>
                <w:p>
                  <w:pPr>
                    <w:pStyle w:val="14"/>
                    <w:adjustRightInd w:val="0"/>
                    <w:snapToGrid w:val="0"/>
                    <w:spacing w:after="0"/>
                    <w:ind w:left="0" w:leftChars="0"/>
                    <w:jc w:val="center"/>
                    <w:rPr>
                      <w:bCs/>
                      <w:color w:val="auto"/>
                      <w:sz w:val="21"/>
                      <w:szCs w:val="21"/>
                    </w:rPr>
                  </w:pPr>
                  <w:r>
                    <w:rPr>
                      <w:rFonts w:hint="eastAsia"/>
                      <w:bCs/>
                      <w:color w:val="auto"/>
                      <w:sz w:val="21"/>
                      <w:szCs w:val="21"/>
                    </w:rPr>
                    <w:t>名称</w:t>
                  </w:r>
                </w:p>
              </w:tc>
              <w:tc>
                <w:tcPr>
                  <w:tcW w:w="673" w:type="pct"/>
                  <w:vAlign w:val="center"/>
                </w:tcPr>
                <w:p>
                  <w:pPr>
                    <w:pStyle w:val="14"/>
                    <w:adjustRightInd w:val="0"/>
                    <w:snapToGrid w:val="0"/>
                    <w:spacing w:after="0"/>
                    <w:ind w:left="0" w:leftChars="0"/>
                    <w:jc w:val="center"/>
                    <w:rPr>
                      <w:bCs/>
                      <w:color w:val="auto"/>
                      <w:sz w:val="21"/>
                      <w:szCs w:val="21"/>
                    </w:rPr>
                  </w:pPr>
                  <w:r>
                    <w:rPr>
                      <w:rFonts w:hint="eastAsia"/>
                      <w:bCs/>
                      <w:color w:val="auto"/>
                      <w:sz w:val="21"/>
                      <w:szCs w:val="21"/>
                    </w:rPr>
                    <w:t>现有工程</w:t>
                  </w:r>
                </w:p>
                <w:p>
                  <w:pPr>
                    <w:pStyle w:val="14"/>
                    <w:adjustRightInd w:val="0"/>
                    <w:snapToGrid w:val="0"/>
                    <w:spacing w:after="0"/>
                    <w:ind w:left="0" w:leftChars="0"/>
                    <w:jc w:val="center"/>
                    <w:rPr>
                      <w:bCs/>
                      <w:color w:val="auto"/>
                      <w:sz w:val="21"/>
                      <w:szCs w:val="21"/>
                    </w:rPr>
                  </w:pPr>
                  <w:r>
                    <w:rPr>
                      <w:rFonts w:hint="eastAsia"/>
                      <w:bCs/>
                      <w:color w:val="auto"/>
                      <w:sz w:val="21"/>
                      <w:szCs w:val="21"/>
                    </w:rPr>
                    <w:t>用水量</w:t>
                  </w:r>
                </w:p>
              </w:tc>
              <w:tc>
                <w:tcPr>
                  <w:tcW w:w="657" w:type="pct"/>
                  <w:vAlign w:val="center"/>
                </w:tcPr>
                <w:p>
                  <w:pPr>
                    <w:pStyle w:val="14"/>
                    <w:adjustRightInd w:val="0"/>
                    <w:snapToGrid w:val="0"/>
                    <w:spacing w:after="0"/>
                    <w:ind w:left="0" w:leftChars="0"/>
                    <w:jc w:val="center"/>
                    <w:rPr>
                      <w:bCs/>
                      <w:color w:val="auto"/>
                      <w:sz w:val="21"/>
                      <w:szCs w:val="21"/>
                    </w:rPr>
                  </w:pPr>
                  <w:r>
                    <w:rPr>
                      <w:rFonts w:hint="eastAsia"/>
                      <w:bCs/>
                      <w:color w:val="auto"/>
                      <w:sz w:val="21"/>
                      <w:szCs w:val="21"/>
                    </w:rPr>
                    <w:t>本次扩能新增用水量</w:t>
                  </w:r>
                </w:p>
              </w:tc>
              <w:tc>
                <w:tcPr>
                  <w:tcW w:w="657" w:type="pct"/>
                  <w:vAlign w:val="center"/>
                </w:tcPr>
                <w:p>
                  <w:pPr>
                    <w:pStyle w:val="14"/>
                    <w:adjustRightInd w:val="0"/>
                    <w:snapToGrid w:val="0"/>
                    <w:spacing w:after="0"/>
                    <w:ind w:left="0" w:leftChars="0"/>
                    <w:jc w:val="center"/>
                    <w:rPr>
                      <w:bCs/>
                      <w:color w:val="auto"/>
                      <w:sz w:val="21"/>
                      <w:szCs w:val="21"/>
                    </w:rPr>
                  </w:pPr>
                  <w:r>
                    <w:rPr>
                      <w:rFonts w:hint="eastAsia"/>
                      <w:bCs/>
                      <w:color w:val="auto"/>
                      <w:sz w:val="21"/>
                      <w:szCs w:val="21"/>
                    </w:rPr>
                    <w:t>扩能后全厂用水量</w:t>
                  </w:r>
                </w:p>
              </w:tc>
              <w:tc>
                <w:tcPr>
                  <w:tcW w:w="746" w:type="pct"/>
                  <w:vAlign w:val="center"/>
                </w:tcPr>
                <w:p>
                  <w:pPr>
                    <w:pStyle w:val="14"/>
                    <w:adjustRightInd w:val="0"/>
                    <w:snapToGrid w:val="0"/>
                    <w:spacing w:after="0"/>
                    <w:ind w:left="0" w:leftChars="0"/>
                    <w:jc w:val="center"/>
                    <w:rPr>
                      <w:bCs/>
                      <w:color w:val="auto"/>
                      <w:sz w:val="21"/>
                      <w:szCs w:val="21"/>
                    </w:rPr>
                  </w:pPr>
                  <w:r>
                    <w:rPr>
                      <w:rFonts w:hint="eastAsia"/>
                      <w:bCs/>
                      <w:color w:val="auto"/>
                      <w:sz w:val="21"/>
                      <w:szCs w:val="21"/>
                    </w:rPr>
                    <w:t>现有工程排水量</w:t>
                  </w:r>
                </w:p>
              </w:tc>
              <w:tc>
                <w:tcPr>
                  <w:tcW w:w="739" w:type="pct"/>
                  <w:vAlign w:val="center"/>
                </w:tcPr>
                <w:p>
                  <w:pPr>
                    <w:pStyle w:val="14"/>
                    <w:adjustRightInd w:val="0"/>
                    <w:snapToGrid w:val="0"/>
                    <w:spacing w:after="0"/>
                    <w:ind w:left="0" w:leftChars="0"/>
                    <w:jc w:val="center"/>
                    <w:rPr>
                      <w:bCs/>
                      <w:color w:val="auto"/>
                      <w:sz w:val="21"/>
                      <w:szCs w:val="21"/>
                    </w:rPr>
                  </w:pPr>
                  <w:r>
                    <w:rPr>
                      <w:rFonts w:hint="eastAsia"/>
                      <w:bCs/>
                      <w:color w:val="auto"/>
                      <w:sz w:val="21"/>
                      <w:szCs w:val="21"/>
                    </w:rPr>
                    <w:t>本次扩能新增废水量</w:t>
                  </w:r>
                </w:p>
              </w:tc>
              <w:tc>
                <w:tcPr>
                  <w:tcW w:w="739" w:type="pct"/>
                  <w:vAlign w:val="center"/>
                </w:tcPr>
                <w:p>
                  <w:pPr>
                    <w:pStyle w:val="14"/>
                    <w:adjustRightInd w:val="0"/>
                    <w:snapToGrid w:val="0"/>
                    <w:spacing w:after="0"/>
                    <w:ind w:left="0" w:leftChars="0"/>
                    <w:jc w:val="center"/>
                    <w:rPr>
                      <w:bCs/>
                      <w:color w:val="auto"/>
                      <w:sz w:val="21"/>
                      <w:szCs w:val="21"/>
                    </w:rPr>
                  </w:pPr>
                  <w:r>
                    <w:rPr>
                      <w:rFonts w:hint="eastAsia"/>
                      <w:bCs/>
                      <w:color w:val="auto"/>
                      <w:sz w:val="21"/>
                      <w:szCs w:val="21"/>
                    </w:rPr>
                    <w:t>扩能后全厂排放量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53" w:type="pct"/>
                  <w:vAlign w:val="center"/>
                </w:tcPr>
                <w:p>
                  <w:pPr>
                    <w:pStyle w:val="14"/>
                    <w:adjustRightInd w:val="0"/>
                    <w:snapToGrid w:val="0"/>
                    <w:spacing w:after="0"/>
                    <w:ind w:left="0" w:leftChars="0"/>
                    <w:jc w:val="center"/>
                    <w:rPr>
                      <w:bCs/>
                      <w:color w:val="auto"/>
                      <w:sz w:val="21"/>
                      <w:szCs w:val="21"/>
                    </w:rPr>
                  </w:pPr>
                  <w:r>
                    <w:rPr>
                      <w:rFonts w:hint="eastAsia"/>
                      <w:bCs/>
                      <w:color w:val="auto"/>
                      <w:sz w:val="21"/>
                      <w:szCs w:val="21"/>
                    </w:rPr>
                    <w:t>1</w:t>
                  </w:r>
                </w:p>
              </w:tc>
              <w:tc>
                <w:tcPr>
                  <w:tcW w:w="533" w:type="pct"/>
                  <w:vAlign w:val="center"/>
                </w:tcPr>
                <w:p>
                  <w:pPr>
                    <w:pStyle w:val="14"/>
                    <w:adjustRightInd w:val="0"/>
                    <w:snapToGrid w:val="0"/>
                    <w:spacing w:after="0"/>
                    <w:ind w:left="0" w:leftChars="0"/>
                    <w:rPr>
                      <w:bCs/>
                      <w:color w:val="auto"/>
                      <w:sz w:val="21"/>
                      <w:szCs w:val="21"/>
                    </w:rPr>
                  </w:pPr>
                  <w:r>
                    <w:rPr>
                      <w:rFonts w:hint="eastAsia"/>
                      <w:bCs/>
                      <w:color w:val="auto"/>
                      <w:sz w:val="21"/>
                      <w:szCs w:val="21"/>
                    </w:rPr>
                    <w:t>生活用水</w:t>
                  </w:r>
                </w:p>
              </w:tc>
              <w:tc>
                <w:tcPr>
                  <w:tcW w:w="673" w:type="pct"/>
                  <w:vAlign w:val="center"/>
                </w:tcPr>
                <w:p>
                  <w:pPr>
                    <w:pStyle w:val="14"/>
                    <w:adjustRightInd w:val="0"/>
                    <w:snapToGrid w:val="0"/>
                    <w:spacing w:after="0"/>
                    <w:ind w:left="0" w:leftChars="0"/>
                    <w:jc w:val="center"/>
                    <w:rPr>
                      <w:bCs/>
                      <w:color w:val="auto"/>
                      <w:sz w:val="21"/>
                      <w:szCs w:val="21"/>
                    </w:rPr>
                  </w:pPr>
                  <w:r>
                    <w:rPr>
                      <w:rFonts w:hint="eastAsia"/>
                      <w:bCs/>
                      <w:color w:val="auto"/>
                      <w:sz w:val="21"/>
                      <w:szCs w:val="21"/>
                    </w:rPr>
                    <w:t>3.2</w:t>
                  </w:r>
                  <w:r>
                    <w:rPr>
                      <w:rFonts w:hint="eastAsia" w:cs="宋体"/>
                      <w:snapToGrid w:val="0"/>
                      <w:color w:val="auto"/>
                      <w:sz w:val="21"/>
                      <w:szCs w:val="21"/>
                    </w:rPr>
                    <w:t>m</w:t>
                  </w:r>
                  <w:r>
                    <w:rPr>
                      <w:rFonts w:hint="eastAsia" w:cs="宋体"/>
                      <w:snapToGrid w:val="0"/>
                      <w:color w:val="auto"/>
                      <w:sz w:val="21"/>
                      <w:szCs w:val="21"/>
                      <w:vertAlign w:val="superscript"/>
                    </w:rPr>
                    <w:t>3</w:t>
                  </w:r>
                  <w:r>
                    <w:rPr>
                      <w:rFonts w:hint="eastAsia" w:cs="宋体"/>
                      <w:snapToGrid w:val="0"/>
                      <w:color w:val="auto"/>
                      <w:sz w:val="21"/>
                      <w:szCs w:val="21"/>
                    </w:rPr>
                    <w:t>/d</w:t>
                  </w:r>
                </w:p>
              </w:tc>
              <w:tc>
                <w:tcPr>
                  <w:tcW w:w="1103" w:type="dxa"/>
                  <w:vAlign w:val="center"/>
                </w:tcPr>
                <w:p>
                  <w:pPr>
                    <w:pStyle w:val="14"/>
                    <w:adjustRightInd w:val="0"/>
                    <w:snapToGrid w:val="0"/>
                    <w:spacing w:after="0"/>
                    <w:ind w:left="0" w:leftChars="0"/>
                    <w:jc w:val="center"/>
                    <w:rPr>
                      <w:bCs/>
                      <w:color w:val="auto"/>
                      <w:sz w:val="21"/>
                      <w:szCs w:val="21"/>
                    </w:rPr>
                  </w:pPr>
                  <w:r>
                    <w:rPr>
                      <w:rFonts w:hint="eastAsia"/>
                      <w:bCs/>
                      <w:color w:val="auto"/>
                      <w:sz w:val="21"/>
                      <w:szCs w:val="21"/>
                    </w:rPr>
                    <w:t>0.9</w:t>
                  </w:r>
                  <w:r>
                    <w:rPr>
                      <w:rFonts w:hint="eastAsia" w:cs="宋体"/>
                      <w:snapToGrid w:val="0"/>
                      <w:color w:val="auto"/>
                      <w:sz w:val="21"/>
                      <w:szCs w:val="21"/>
                    </w:rPr>
                    <w:t>m</w:t>
                  </w:r>
                  <w:r>
                    <w:rPr>
                      <w:rFonts w:hint="eastAsia" w:cs="宋体"/>
                      <w:snapToGrid w:val="0"/>
                      <w:color w:val="auto"/>
                      <w:sz w:val="21"/>
                      <w:szCs w:val="21"/>
                      <w:vertAlign w:val="superscript"/>
                    </w:rPr>
                    <w:t>3</w:t>
                  </w:r>
                  <w:r>
                    <w:rPr>
                      <w:rFonts w:hint="eastAsia" w:cs="宋体"/>
                      <w:snapToGrid w:val="0"/>
                      <w:color w:val="auto"/>
                      <w:sz w:val="21"/>
                      <w:szCs w:val="21"/>
                    </w:rPr>
                    <w:t>/d</w:t>
                  </w:r>
                </w:p>
              </w:tc>
              <w:tc>
                <w:tcPr>
                  <w:tcW w:w="657" w:type="pct"/>
                  <w:vAlign w:val="center"/>
                </w:tcPr>
                <w:p>
                  <w:pPr>
                    <w:pStyle w:val="14"/>
                    <w:adjustRightInd w:val="0"/>
                    <w:snapToGrid w:val="0"/>
                    <w:spacing w:after="0"/>
                    <w:ind w:left="0" w:leftChars="0"/>
                    <w:jc w:val="center"/>
                    <w:rPr>
                      <w:bCs/>
                      <w:color w:val="auto"/>
                      <w:sz w:val="21"/>
                      <w:szCs w:val="21"/>
                    </w:rPr>
                  </w:pPr>
                  <w:r>
                    <w:rPr>
                      <w:rFonts w:hint="eastAsia"/>
                      <w:bCs/>
                      <w:color w:val="auto"/>
                      <w:sz w:val="21"/>
                      <w:szCs w:val="21"/>
                    </w:rPr>
                    <w:t>4.1</w:t>
                  </w:r>
                  <w:r>
                    <w:rPr>
                      <w:rFonts w:hint="eastAsia" w:cs="宋体"/>
                      <w:snapToGrid w:val="0"/>
                      <w:color w:val="auto"/>
                      <w:sz w:val="21"/>
                      <w:szCs w:val="21"/>
                    </w:rPr>
                    <w:t>m</w:t>
                  </w:r>
                  <w:r>
                    <w:rPr>
                      <w:rFonts w:hint="eastAsia" w:cs="宋体"/>
                      <w:snapToGrid w:val="0"/>
                      <w:color w:val="auto"/>
                      <w:sz w:val="21"/>
                      <w:szCs w:val="21"/>
                      <w:vertAlign w:val="superscript"/>
                    </w:rPr>
                    <w:t>3</w:t>
                  </w:r>
                  <w:r>
                    <w:rPr>
                      <w:rFonts w:hint="eastAsia" w:cs="宋体"/>
                      <w:snapToGrid w:val="0"/>
                      <w:color w:val="auto"/>
                      <w:sz w:val="21"/>
                      <w:szCs w:val="21"/>
                    </w:rPr>
                    <w:t>/d</w:t>
                  </w:r>
                </w:p>
              </w:tc>
              <w:tc>
                <w:tcPr>
                  <w:tcW w:w="746" w:type="pct"/>
                  <w:vAlign w:val="center"/>
                </w:tcPr>
                <w:p>
                  <w:pPr>
                    <w:pStyle w:val="14"/>
                    <w:adjustRightInd w:val="0"/>
                    <w:snapToGrid w:val="0"/>
                    <w:spacing w:after="0"/>
                    <w:ind w:left="0" w:leftChars="0"/>
                    <w:jc w:val="center"/>
                    <w:rPr>
                      <w:color w:val="auto"/>
                      <w:sz w:val="21"/>
                      <w:szCs w:val="21"/>
                    </w:rPr>
                  </w:pPr>
                  <w:r>
                    <w:rPr>
                      <w:rFonts w:hint="eastAsia"/>
                      <w:color w:val="auto"/>
                      <w:sz w:val="21"/>
                      <w:szCs w:val="21"/>
                    </w:rPr>
                    <w:t>2.72m</w:t>
                  </w:r>
                  <w:r>
                    <w:rPr>
                      <w:rFonts w:hint="eastAsia"/>
                      <w:color w:val="auto"/>
                      <w:sz w:val="21"/>
                      <w:szCs w:val="21"/>
                      <w:vertAlign w:val="superscript"/>
                    </w:rPr>
                    <w:t>3</w:t>
                  </w:r>
                  <w:r>
                    <w:rPr>
                      <w:rFonts w:hint="eastAsia"/>
                      <w:color w:val="auto"/>
                      <w:sz w:val="21"/>
                      <w:szCs w:val="21"/>
                    </w:rPr>
                    <w:t>/d</w:t>
                  </w:r>
                </w:p>
              </w:tc>
              <w:tc>
                <w:tcPr>
                  <w:tcW w:w="1240" w:type="dxa"/>
                  <w:vAlign w:val="center"/>
                </w:tcPr>
                <w:p>
                  <w:pPr>
                    <w:pStyle w:val="14"/>
                    <w:adjustRightInd w:val="0"/>
                    <w:snapToGrid w:val="0"/>
                    <w:spacing w:after="0"/>
                    <w:ind w:left="0" w:leftChars="0"/>
                    <w:jc w:val="center"/>
                    <w:rPr>
                      <w:color w:val="auto"/>
                      <w:sz w:val="21"/>
                      <w:szCs w:val="21"/>
                    </w:rPr>
                  </w:pPr>
                  <w:r>
                    <w:rPr>
                      <w:rFonts w:hint="eastAsia"/>
                      <w:bCs/>
                      <w:color w:val="auto"/>
                      <w:sz w:val="21"/>
                      <w:szCs w:val="21"/>
                    </w:rPr>
                    <w:t>0.765</w:t>
                  </w:r>
                  <w:r>
                    <w:rPr>
                      <w:rFonts w:hint="eastAsia" w:cs="宋体"/>
                      <w:snapToGrid w:val="0"/>
                      <w:color w:val="auto"/>
                      <w:sz w:val="21"/>
                      <w:szCs w:val="21"/>
                    </w:rPr>
                    <w:t>m</w:t>
                  </w:r>
                  <w:r>
                    <w:rPr>
                      <w:rFonts w:hint="eastAsia" w:cs="宋体"/>
                      <w:snapToGrid w:val="0"/>
                      <w:color w:val="auto"/>
                      <w:sz w:val="21"/>
                      <w:szCs w:val="21"/>
                      <w:vertAlign w:val="superscript"/>
                    </w:rPr>
                    <w:t>3</w:t>
                  </w:r>
                  <w:r>
                    <w:rPr>
                      <w:rFonts w:hint="eastAsia" w:cs="宋体"/>
                      <w:snapToGrid w:val="0"/>
                      <w:color w:val="auto"/>
                      <w:sz w:val="21"/>
                      <w:szCs w:val="21"/>
                    </w:rPr>
                    <w:t>/d</w:t>
                  </w:r>
                </w:p>
              </w:tc>
              <w:tc>
                <w:tcPr>
                  <w:tcW w:w="739" w:type="pct"/>
                  <w:vAlign w:val="center"/>
                </w:tcPr>
                <w:p>
                  <w:pPr>
                    <w:pStyle w:val="14"/>
                    <w:adjustRightInd w:val="0"/>
                    <w:snapToGrid w:val="0"/>
                    <w:spacing w:after="0"/>
                    <w:ind w:left="0" w:leftChars="0"/>
                    <w:jc w:val="center"/>
                    <w:rPr>
                      <w:bCs/>
                      <w:color w:val="auto"/>
                      <w:sz w:val="21"/>
                      <w:szCs w:val="21"/>
                    </w:rPr>
                  </w:pPr>
                  <w:r>
                    <w:rPr>
                      <w:rFonts w:hint="eastAsia"/>
                      <w:color w:val="auto"/>
                      <w:sz w:val="21"/>
                      <w:szCs w:val="21"/>
                    </w:rPr>
                    <w:t>3.485m</w:t>
                  </w:r>
                  <w:r>
                    <w:rPr>
                      <w:rFonts w:hint="eastAsia"/>
                      <w:color w:val="auto"/>
                      <w:sz w:val="21"/>
                      <w:szCs w:val="21"/>
                      <w:vertAlign w:val="superscript"/>
                    </w:rPr>
                    <w:t>3</w:t>
                  </w:r>
                  <w:r>
                    <w:rPr>
                      <w:rFonts w:hint="eastAsia"/>
                      <w:color w:val="auto"/>
                      <w:sz w:val="21"/>
                      <w:szCs w:val="21"/>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253" w:type="pct"/>
                  <w:vAlign w:val="center"/>
                </w:tcPr>
                <w:p>
                  <w:pPr>
                    <w:pStyle w:val="14"/>
                    <w:adjustRightInd w:val="0"/>
                    <w:snapToGrid w:val="0"/>
                    <w:spacing w:after="0"/>
                    <w:ind w:left="0" w:leftChars="0"/>
                    <w:jc w:val="center"/>
                    <w:rPr>
                      <w:bCs/>
                      <w:color w:val="auto"/>
                      <w:sz w:val="21"/>
                      <w:szCs w:val="21"/>
                    </w:rPr>
                  </w:pPr>
                  <w:r>
                    <w:rPr>
                      <w:rFonts w:hint="eastAsia"/>
                      <w:bCs/>
                      <w:color w:val="auto"/>
                      <w:sz w:val="21"/>
                      <w:szCs w:val="21"/>
                    </w:rPr>
                    <w:t>2</w:t>
                  </w:r>
                </w:p>
              </w:tc>
              <w:tc>
                <w:tcPr>
                  <w:tcW w:w="533" w:type="pct"/>
                  <w:vAlign w:val="center"/>
                </w:tcPr>
                <w:p>
                  <w:pPr>
                    <w:pStyle w:val="14"/>
                    <w:adjustRightInd w:val="0"/>
                    <w:snapToGrid w:val="0"/>
                    <w:spacing w:after="0"/>
                    <w:ind w:left="0" w:leftChars="0"/>
                    <w:jc w:val="center"/>
                    <w:rPr>
                      <w:bCs/>
                      <w:color w:val="auto"/>
                      <w:sz w:val="21"/>
                      <w:szCs w:val="21"/>
                    </w:rPr>
                  </w:pPr>
                  <w:r>
                    <w:rPr>
                      <w:rFonts w:hint="eastAsia"/>
                      <w:bCs/>
                      <w:color w:val="auto"/>
                      <w:sz w:val="21"/>
                      <w:szCs w:val="21"/>
                    </w:rPr>
                    <w:t>洗车水</w:t>
                  </w:r>
                </w:p>
              </w:tc>
              <w:tc>
                <w:tcPr>
                  <w:tcW w:w="673" w:type="pct"/>
                  <w:vAlign w:val="center"/>
                </w:tcPr>
                <w:p>
                  <w:pPr>
                    <w:pStyle w:val="14"/>
                    <w:adjustRightInd w:val="0"/>
                    <w:snapToGrid w:val="0"/>
                    <w:spacing w:after="0"/>
                    <w:ind w:left="0" w:leftChars="0"/>
                    <w:jc w:val="center"/>
                    <w:rPr>
                      <w:rFonts w:cs="宋体"/>
                      <w:snapToGrid w:val="0"/>
                      <w:color w:val="auto"/>
                      <w:sz w:val="21"/>
                      <w:szCs w:val="21"/>
                    </w:rPr>
                  </w:pPr>
                  <w:r>
                    <w:rPr>
                      <w:rFonts w:hint="eastAsia"/>
                      <w:bCs/>
                      <w:color w:val="auto"/>
                      <w:sz w:val="21"/>
                      <w:szCs w:val="21"/>
                    </w:rPr>
                    <w:t>0.272m</w:t>
                  </w:r>
                  <w:r>
                    <w:rPr>
                      <w:rFonts w:hint="eastAsia"/>
                      <w:bCs/>
                      <w:color w:val="auto"/>
                      <w:sz w:val="21"/>
                      <w:szCs w:val="21"/>
                      <w:vertAlign w:val="superscript"/>
                    </w:rPr>
                    <w:t>3</w:t>
                  </w:r>
                  <w:r>
                    <w:rPr>
                      <w:rFonts w:hint="eastAsia"/>
                      <w:bCs/>
                      <w:color w:val="auto"/>
                      <w:sz w:val="21"/>
                      <w:szCs w:val="21"/>
                    </w:rPr>
                    <w:t>/</w:t>
                  </w:r>
                  <w:r>
                    <w:rPr>
                      <w:rFonts w:hint="eastAsia" w:cs="宋体"/>
                      <w:snapToGrid w:val="0"/>
                      <w:color w:val="auto"/>
                      <w:sz w:val="21"/>
                      <w:szCs w:val="21"/>
                    </w:rPr>
                    <w:t>d</w:t>
                  </w:r>
                </w:p>
                <w:p>
                  <w:pPr>
                    <w:pStyle w:val="14"/>
                    <w:adjustRightInd w:val="0"/>
                    <w:snapToGrid w:val="0"/>
                    <w:spacing w:after="0"/>
                    <w:ind w:left="0" w:leftChars="0"/>
                    <w:rPr>
                      <w:color w:val="auto"/>
                      <w:sz w:val="21"/>
                      <w:szCs w:val="21"/>
                    </w:rPr>
                  </w:pPr>
                  <w:r>
                    <w:rPr>
                      <w:rFonts w:hint="eastAsia"/>
                      <w:bCs/>
                      <w:color w:val="auto"/>
                      <w:sz w:val="18"/>
                      <w:szCs w:val="18"/>
                    </w:rPr>
                    <w:t>（0.03m</w:t>
                  </w:r>
                  <w:r>
                    <w:rPr>
                      <w:rFonts w:hint="eastAsia"/>
                      <w:bCs/>
                      <w:color w:val="auto"/>
                      <w:sz w:val="18"/>
                      <w:szCs w:val="18"/>
                      <w:vertAlign w:val="superscript"/>
                    </w:rPr>
                    <w:t>3</w:t>
                  </w:r>
                  <w:r>
                    <w:rPr>
                      <w:rFonts w:hint="eastAsia"/>
                      <w:bCs/>
                      <w:color w:val="auto"/>
                      <w:sz w:val="18"/>
                      <w:szCs w:val="18"/>
                    </w:rPr>
                    <w:t>/</w:t>
                  </w:r>
                  <w:r>
                    <w:rPr>
                      <w:rFonts w:hint="eastAsia" w:cs="宋体"/>
                      <w:snapToGrid w:val="0"/>
                      <w:color w:val="auto"/>
                      <w:sz w:val="18"/>
                      <w:szCs w:val="18"/>
                    </w:rPr>
                    <w:t>d</w:t>
                  </w:r>
                  <w:r>
                    <w:rPr>
                      <w:rFonts w:hint="eastAsia"/>
                      <w:bCs/>
                      <w:color w:val="auto"/>
                      <w:sz w:val="18"/>
                      <w:szCs w:val="18"/>
                    </w:rPr>
                    <w:t>冬季）</w:t>
                  </w:r>
                </w:p>
              </w:tc>
              <w:tc>
                <w:tcPr>
                  <w:tcW w:w="1103" w:type="dxa"/>
                  <w:vAlign w:val="center"/>
                </w:tcPr>
                <w:p>
                  <w:pPr>
                    <w:pStyle w:val="14"/>
                    <w:adjustRightInd w:val="0"/>
                    <w:snapToGrid w:val="0"/>
                    <w:spacing w:after="0"/>
                    <w:ind w:left="0" w:leftChars="0"/>
                    <w:jc w:val="center"/>
                    <w:rPr>
                      <w:bCs/>
                      <w:color w:val="auto"/>
                      <w:sz w:val="21"/>
                      <w:szCs w:val="21"/>
                    </w:rPr>
                  </w:pPr>
                  <w:r>
                    <w:rPr>
                      <w:rFonts w:hint="eastAsia"/>
                      <w:bCs/>
                      <w:color w:val="auto"/>
                      <w:sz w:val="21"/>
                      <w:szCs w:val="21"/>
                    </w:rPr>
                    <w:t>0.68m</w:t>
                  </w:r>
                  <w:r>
                    <w:rPr>
                      <w:rFonts w:hint="eastAsia"/>
                      <w:bCs/>
                      <w:color w:val="auto"/>
                      <w:sz w:val="21"/>
                      <w:szCs w:val="21"/>
                      <w:vertAlign w:val="superscript"/>
                    </w:rPr>
                    <w:t>3</w:t>
                  </w:r>
                  <w:r>
                    <w:rPr>
                      <w:rFonts w:hint="eastAsia"/>
                      <w:bCs/>
                      <w:color w:val="auto"/>
                      <w:sz w:val="21"/>
                      <w:szCs w:val="21"/>
                    </w:rPr>
                    <w:t>/d</w:t>
                  </w:r>
                </w:p>
                <w:p>
                  <w:pPr>
                    <w:pStyle w:val="14"/>
                    <w:adjustRightInd w:val="0"/>
                    <w:snapToGrid w:val="0"/>
                    <w:spacing w:after="0"/>
                    <w:ind w:left="0" w:leftChars="0"/>
                    <w:jc w:val="center"/>
                    <w:rPr>
                      <w:bCs/>
                      <w:color w:val="auto"/>
                      <w:sz w:val="18"/>
                      <w:szCs w:val="18"/>
                    </w:rPr>
                  </w:pPr>
                  <w:r>
                    <w:rPr>
                      <w:rFonts w:hint="eastAsia"/>
                      <w:bCs/>
                      <w:color w:val="auto"/>
                      <w:sz w:val="18"/>
                      <w:szCs w:val="18"/>
                    </w:rPr>
                    <w:t>（0.08m</w:t>
                  </w:r>
                  <w:r>
                    <w:rPr>
                      <w:rFonts w:hint="eastAsia"/>
                      <w:bCs/>
                      <w:color w:val="auto"/>
                      <w:sz w:val="18"/>
                      <w:szCs w:val="18"/>
                      <w:vertAlign w:val="superscript"/>
                    </w:rPr>
                    <w:t>3</w:t>
                  </w:r>
                  <w:r>
                    <w:rPr>
                      <w:rFonts w:hint="eastAsia"/>
                      <w:bCs/>
                      <w:color w:val="auto"/>
                      <w:sz w:val="18"/>
                      <w:szCs w:val="18"/>
                    </w:rPr>
                    <w:t>/d冬季）</w:t>
                  </w:r>
                </w:p>
              </w:tc>
              <w:tc>
                <w:tcPr>
                  <w:tcW w:w="657" w:type="pct"/>
                  <w:vAlign w:val="center"/>
                </w:tcPr>
                <w:p>
                  <w:pPr>
                    <w:pStyle w:val="14"/>
                    <w:adjustRightInd w:val="0"/>
                    <w:snapToGrid w:val="0"/>
                    <w:spacing w:after="0"/>
                    <w:ind w:left="0" w:leftChars="0"/>
                    <w:jc w:val="center"/>
                    <w:rPr>
                      <w:bCs/>
                      <w:color w:val="auto"/>
                      <w:sz w:val="21"/>
                      <w:szCs w:val="21"/>
                    </w:rPr>
                  </w:pPr>
                  <w:r>
                    <w:rPr>
                      <w:rFonts w:hint="eastAsia"/>
                      <w:bCs/>
                      <w:color w:val="auto"/>
                      <w:sz w:val="21"/>
                      <w:szCs w:val="21"/>
                    </w:rPr>
                    <w:t>0.952m</w:t>
                  </w:r>
                  <w:r>
                    <w:rPr>
                      <w:rFonts w:hint="eastAsia"/>
                      <w:bCs/>
                      <w:color w:val="auto"/>
                      <w:sz w:val="21"/>
                      <w:szCs w:val="21"/>
                      <w:vertAlign w:val="superscript"/>
                    </w:rPr>
                    <w:t>3</w:t>
                  </w:r>
                  <w:r>
                    <w:rPr>
                      <w:rFonts w:hint="eastAsia"/>
                      <w:bCs/>
                      <w:color w:val="auto"/>
                      <w:sz w:val="21"/>
                      <w:szCs w:val="21"/>
                    </w:rPr>
                    <w:t>/d</w:t>
                  </w:r>
                </w:p>
                <w:p>
                  <w:pPr>
                    <w:pStyle w:val="14"/>
                    <w:adjustRightInd w:val="0"/>
                    <w:snapToGrid w:val="0"/>
                    <w:spacing w:after="0"/>
                    <w:ind w:left="0" w:leftChars="0"/>
                    <w:jc w:val="center"/>
                    <w:rPr>
                      <w:bCs/>
                      <w:color w:val="auto"/>
                      <w:sz w:val="21"/>
                      <w:szCs w:val="21"/>
                    </w:rPr>
                  </w:pPr>
                  <w:r>
                    <w:rPr>
                      <w:rFonts w:hint="eastAsia"/>
                      <w:bCs/>
                      <w:color w:val="auto"/>
                      <w:sz w:val="18"/>
                      <w:szCs w:val="18"/>
                    </w:rPr>
                    <w:t>（0.11m</w:t>
                  </w:r>
                  <w:r>
                    <w:rPr>
                      <w:rFonts w:hint="eastAsia"/>
                      <w:bCs/>
                      <w:color w:val="auto"/>
                      <w:sz w:val="18"/>
                      <w:szCs w:val="18"/>
                      <w:vertAlign w:val="superscript"/>
                    </w:rPr>
                    <w:t>3</w:t>
                  </w:r>
                  <w:r>
                    <w:rPr>
                      <w:rFonts w:hint="eastAsia"/>
                      <w:bCs/>
                      <w:color w:val="auto"/>
                      <w:sz w:val="18"/>
                      <w:szCs w:val="18"/>
                    </w:rPr>
                    <w:t>/d冬季）</w:t>
                  </w:r>
                </w:p>
              </w:tc>
              <w:tc>
                <w:tcPr>
                  <w:tcW w:w="746" w:type="pct"/>
                  <w:vAlign w:val="center"/>
                </w:tcPr>
                <w:p>
                  <w:pPr>
                    <w:pStyle w:val="14"/>
                    <w:adjustRightInd w:val="0"/>
                    <w:snapToGrid w:val="0"/>
                    <w:spacing w:after="0"/>
                    <w:ind w:left="0" w:leftChars="0"/>
                    <w:jc w:val="center"/>
                    <w:rPr>
                      <w:rFonts w:cs="宋体"/>
                      <w:snapToGrid w:val="0"/>
                      <w:color w:val="auto"/>
                      <w:sz w:val="21"/>
                      <w:szCs w:val="21"/>
                    </w:rPr>
                  </w:pPr>
                  <w:r>
                    <w:rPr>
                      <w:rFonts w:hint="eastAsia"/>
                      <w:bCs/>
                      <w:color w:val="auto"/>
                      <w:sz w:val="21"/>
                      <w:szCs w:val="21"/>
                    </w:rPr>
                    <w:t>0.245m</w:t>
                  </w:r>
                  <w:r>
                    <w:rPr>
                      <w:rFonts w:hint="eastAsia"/>
                      <w:bCs/>
                      <w:color w:val="auto"/>
                      <w:sz w:val="21"/>
                      <w:szCs w:val="21"/>
                      <w:vertAlign w:val="superscript"/>
                    </w:rPr>
                    <w:t>3</w:t>
                  </w:r>
                  <w:r>
                    <w:rPr>
                      <w:rFonts w:hint="eastAsia"/>
                      <w:bCs/>
                      <w:color w:val="auto"/>
                      <w:sz w:val="21"/>
                      <w:szCs w:val="21"/>
                    </w:rPr>
                    <w:t>/</w:t>
                  </w:r>
                  <w:r>
                    <w:rPr>
                      <w:rFonts w:hint="eastAsia" w:cs="宋体"/>
                      <w:snapToGrid w:val="0"/>
                      <w:color w:val="auto"/>
                      <w:sz w:val="21"/>
                      <w:szCs w:val="21"/>
                    </w:rPr>
                    <w:t>d</w:t>
                  </w:r>
                </w:p>
                <w:p>
                  <w:pPr>
                    <w:pStyle w:val="14"/>
                    <w:adjustRightInd w:val="0"/>
                    <w:snapToGrid w:val="0"/>
                    <w:spacing w:after="0"/>
                    <w:ind w:left="0" w:leftChars="0"/>
                    <w:rPr>
                      <w:bCs/>
                      <w:color w:val="auto"/>
                      <w:sz w:val="21"/>
                      <w:szCs w:val="21"/>
                    </w:rPr>
                  </w:pPr>
                  <w:r>
                    <w:rPr>
                      <w:rFonts w:hint="eastAsia"/>
                      <w:bCs/>
                      <w:color w:val="auto"/>
                      <w:sz w:val="18"/>
                      <w:szCs w:val="18"/>
                    </w:rPr>
                    <w:t>（0.03m</w:t>
                  </w:r>
                  <w:r>
                    <w:rPr>
                      <w:rFonts w:hint="eastAsia"/>
                      <w:bCs/>
                      <w:color w:val="auto"/>
                      <w:sz w:val="18"/>
                      <w:szCs w:val="18"/>
                      <w:vertAlign w:val="superscript"/>
                    </w:rPr>
                    <w:t>3</w:t>
                  </w:r>
                  <w:r>
                    <w:rPr>
                      <w:rFonts w:hint="eastAsia"/>
                      <w:bCs/>
                      <w:color w:val="auto"/>
                      <w:sz w:val="18"/>
                      <w:szCs w:val="18"/>
                    </w:rPr>
                    <w:t>/</w:t>
                  </w:r>
                  <w:r>
                    <w:rPr>
                      <w:rFonts w:hint="eastAsia" w:cs="宋体"/>
                      <w:snapToGrid w:val="0"/>
                      <w:color w:val="auto"/>
                      <w:sz w:val="18"/>
                      <w:szCs w:val="18"/>
                    </w:rPr>
                    <w:t>d</w:t>
                  </w:r>
                  <w:r>
                    <w:rPr>
                      <w:rFonts w:hint="eastAsia"/>
                      <w:bCs/>
                      <w:color w:val="auto"/>
                      <w:sz w:val="18"/>
                      <w:szCs w:val="18"/>
                    </w:rPr>
                    <w:t>冬季）</w:t>
                  </w:r>
                </w:p>
              </w:tc>
              <w:tc>
                <w:tcPr>
                  <w:tcW w:w="1240" w:type="dxa"/>
                  <w:vAlign w:val="center"/>
                </w:tcPr>
                <w:p>
                  <w:pPr>
                    <w:pStyle w:val="14"/>
                    <w:adjustRightInd w:val="0"/>
                    <w:snapToGrid w:val="0"/>
                    <w:spacing w:after="0"/>
                    <w:ind w:left="0" w:leftChars="0"/>
                    <w:jc w:val="center"/>
                    <w:rPr>
                      <w:bCs/>
                      <w:color w:val="auto"/>
                      <w:sz w:val="21"/>
                      <w:szCs w:val="21"/>
                    </w:rPr>
                  </w:pPr>
                  <w:r>
                    <w:rPr>
                      <w:rFonts w:hint="eastAsia"/>
                      <w:bCs/>
                      <w:color w:val="auto"/>
                      <w:sz w:val="21"/>
                      <w:szCs w:val="21"/>
                    </w:rPr>
                    <w:t>0.612m</w:t>
                  </w:r>
                  <w:r>
                    <w:rPr>
                      <w:rFonts w:hint="eastAsia"/>
                      <w:bCs/>
                      <w:color w:val="auto"/>
                      <w:sz w:val="21"/>
                      <w:szCs w:val="21"/>
                      <w:vertAlign w:val="superscript"/>
                    </w:rPr>
                    <w:t>3</w:t>
                  </w:r>
                  <w:r>
                    <w:rPr>
                      <w:rFonts w:hint="eastAsia"/>
                      <w:bCs/>
                      <w:color w:val="auto"/>
                      <w:sz w:val="21"/>
                      <w:szCs w:val="21"/>
                    </w:rPr>
                    <w:t>/d</w:t>
                  </w:r>
                </w:p>
                <w:p>
                  <w:pPr>
                    <w:pStyle w:val="14"/>
                    <w:adjustRightInd w:val="0"/>
                    <w:snapToGrid w:val="0"/>
                    <w:spacing w:after="0"/>
                    <w:ind w:left="0" w:leftChars="0"/>
                    <w:jc w:val="center"/>
                    <w:rPr>
                      <w:bCs/>
                      <w:color w:val="auto"/>
                      <w:sz w:val="18"/>
                      <w:szCs w:val="18"/>
                    </w:rPr>
                  </w:pPr>
                  <w:r>
                    <w:rPr>
                      <w:rFonts w:hint="eastAsia"/>
                      <w:bCs/>
                      <w:color w:val="auto"/>
                      <w:sz w:val="18"/>
                      <w:szCs w:val="18"/>
                    </w:rPr>
                    <w:t>（0.07m</w:t>
                  </w:r>
                  <w:r>
                    <w:rPr>
                      <w:rFonts w:hint="eastAsia"/>
                      <w:bCs/>
                      <w:color w:val="auto"/>
                      <w:sz w:val="18"/>
                      <w:szCs w:val="18"/>
                      <w:vertAlign w:val="superscript"/>
                    </w:rPr>
                    <w:t>3</w:t>
                  </w:r>
                  <w:r>
                    <w:rPr>
                      <w:rFonts w:hint="eastAsia"/>
                      <w:bCs/>
                      <w:color w:val="auto"/>
                      <w:sz w:val="18"/>
                      <w:szCs w:val="18"/>
                    </w:rPr>
                    <w:t>/d冬季）</w:t>
                  </w:r>
                </w:p>
              </w:tc>
              <w:tc>
                <w:tcPr>
                  <w:tcW w:w="739" w:type="pct"/>
                  <w:vAlign w:val="center"/>
                </w:tcPr>
                <w:p>
                  <w:pPr>
                    <w:pStyle w:val="14"/>
                    <w:adjustRightInd w:val="0"/>
                    <w:snapToGrid w:val="0"/>
                    <w:spacing w:after="0"/>
                    <w:ind w:left="0" w:leftChars="0"/>
                    <w:jc w:val="center"/>
                    <w:rPr>
                      <w:color w:val="auto"/>
                      <w:sz w:val="21"/>
                      <w:szCs w:val="21"/>
                    </w:rPr>
                  </w:pPr>
                  <w:r>
                    <w:rPr>
                      <w:rFonts w:hint="eastAsia"/>
                      <w:color w:val="auto"/>
                      <w:sz w:val="21"/>
                      <w:szCs w:val="21"/>
                    </w:rPr>
                    <w:t>0.857m</w:t>
                  </w:r>
                  <w:r>
                    <w:rPr>
                      <w:rFonts w:hint="eastAsia"/>
                      <w:color w:val="auto"/>
                      <w:sz w:val="21"/>
                      <w:szCs w:val="21"/>
                      <w:vertAlign w:val="superscript"/>
                    </w:rPr>
                    <w:t>3</w:t>
                  </w:r>
                  <w:r>
                    <w:rPr>
                      <w:rFonts w:hint="eastAsia"/>
                      <w:color w:val="auto"/>
                      <w:sz w:val="21"/>
                      <w:szCs w:val="21"/>
                    </w:rPr>
                    <w:t>/d</w:t>
                  </w:r>
                </w:p>
                <w:p>
                  <w:pPr>
                    <w:pStyle w:val="14"/>
                    <w:adjustRightInd w:val="0"/>
                    <w:snapToGrid w:val="0"/>
                    <w:spacing w:after="0"/>
                    <w:ind w:left="0" w:leftChars="0"/>
                    <w:rPr>
                      <w:color w:val="auto"/>
                    </w:rPr>
                  </w:pPr>
                  <w:r>
                    <w:rPr>
                      <w:rFonts w:hint="eastAsia"/>
                      <w:bCs/>
                      <w:color w:val="auto"/>
                      <w:sz w:val="18"/>
                      <w:szCs w:val="18"/>
                    </w:rPr>
                    <w:t>（0.10m</w:t>
                  </w:r>
                  <w:r>
                    <w:rPr>
                      <w:rFonts w:hint="eastAsia"/>
                      <w:bCs/>
                      <w:color w:val="auto"/>
                      <w:sz w:val="18"/>
                      <w:szCs w:val="18"/>
                      <w:vertAlign w:val="superscript"/>
                    </w:rPr>
                    <w:t>3</w:t>
                  </w:r>
                  <w:r>
                    <w:rPr>
                      <w:rFonts w:hint="eastAsia"/>
                      <w:bCs/>
                      <w:color w:val="auto"/>
                      <w:sz w:val="18"/>
                      <w:szCs w:val="18"/>
                    </w:rPr>
                    <w:t>/</w:t>
                  </w:r>
                  <w:r>
                    <w:rPr>
                      <w:rFonts w:hint="eastAsia" w:cs="宋体"/>
                      <w:snapToGrid w:val="0"/>
                      <w:color w:val="auto"/>
                      <w:sz w:val="18"/>
                      <w:szCs w:val="18"/>
                    </w:rPr>
                    <w:t>d</w:t>
                  </w:r>
                  <w:r>
                    <w:rPr>
                      <w:rFonts w:hint="eastAsia"/>
                      <w:bCs/>
                      <w:color w:val="auto"/>
                      <w:sz w:val="18"/>
                      <w:szCs w:val="18"/>
                    </w:rPr>
                    <w:t>冬季）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53" w:type="pct"/>
                  <w:vAlign w:val="center"/>
                </w:tcPr>
                <w:p>
                  <w:pPr>
                    <w:pStyle w:val="14"/>
                    <w:adjustRightInd w:val="0"/>
                    <w:snapToGrid w:val="0"/>
                    <w:spacing w:after="0"/>
                    <w:ind w:left="0" w:leftChars="0"/>
                    <w:jc w:val="center"/>
                    <w:rPr>
                      <w:bCs/>
                      <w:color w:val="auto"/>
                      <w:sz w:val="21"/>
                      <w:szCs w:val="21"/>
                    </w:rPr>
                  </w:pPr>
                  <w:r>
                    <w:rPr>
                      <w:rFonts w:hint="eastAsia"/>
                      <w:bCs/>
                      <w:color w:val="auto"/>
                      <w:sz w:val="21"/>
                      <w:szCs w:val="21"/>
                    </w:rPr>
                    <w:t>3</w:t>
                  </w:r>
                </w:p>
              </w:tc>
              <w:tc>
                <w:tcPr>
                  <w:tcW w:w="533" w:type="pct"/>
                  <w:vAlign w:val="center"/>
                </w:tcPr>
                <w:p>
                  <w:pPr>
                    <w:pStyle w:val="14"/>
                    <w:adjustRightInd w:val="0"/>
                    <w:snapToGrid w:val="0"/>
                    <w:spacing w:after="0"/>
                    <w:ind w:left="0" w:leftChars="0"/>
                    <w:jc w:val="center"/>
                    <w:rPr>
                      <w:bCs/>
                      <w:color w:val="auto"/>
                      <w:sz w:val="21"/>
                      <w:szCs w:val="21"/>
                    </w:rPr>
                  </w:pPr>
                  <w:r>
                    <w:rPr>
                      <w:rFonts w:hint="eastAsia"/>
                      <w:bCs/>
                      <w:color w:val="auto"/>
                      <w:sz w:val="21"/>
                      <w:szCs w:val="21"/>
                    </w:rPr>
                    <w:t>合计</w:t>
                  </w:r>
                </w:p>
              </w:tc>
              <w:tc>
                <w:tcPr>
                  <w:tcW w:w="673" w:type="pct"/>
                  <w:vAlign w:val="center"/>
                </w:tcPr>
                <w:p>
                  <w:pPr>
                    <w:pStyle w:val="14"/>
                    <w:adjustRightInd w:val="0"/>
                    <w:snapToGrid w:val="0"/>
                    <w:spacing w:after="0"/>
                    <w:ind w:left="0" w:leftChars="0"/>
                    <w:jc w:val="center"/>
                    <w:rPr>
                      <w:bCs/>
                      <w:color w:val="auto"/>
                      <w:sz w:val="21"/>
                      <w:szCs w:val="21"/>
                    </w:rPr>
                  </w:pPr>
                  <w:r>
                    <w:rPr>
                      <w:rFonts w:hint="eastAsia"/>
                      <w:bCs/>
                      <w:color w:val="auto"/>
                      <w:sz w:val="21"/>
                      <w:szCs w:val="21"/>
                    </w:rPr>
                    <w:t>3.472</w:t>
                  </w:r>
                </w:p>
              </w:tc>
              <w:tc>
                <w:tcPr>
                  <w:tcW w:w="657" w:type="pct"/>
                  <w:vAlign w:val="center"/>
                </w:tcPr>
                <w:p>
                  <w:pPr>
                    <w:pStyle w:val="14"/>
                    <w:adjustRightInd w:val="0"/>
                    <w:snapToGrid w:val="0"/>
                    <w:spacing w:after="0"/>
                    <w:ind w:left="0" w:leftChars="0"/>
                    <w:jc w:val="center"/>
                    <w:rPr>
                      <w:bCs/>
                      <w:color w:val="auto"/>
                      <w:sz w:val="21"/>
                      <w:szCs w:val="21"/>
                    </w:rPr>
                  </w:pPr>
                  <w:r>
                    <w:rPr>
                      <w:rFonts w:hint="eastAsia"/>
                      <w:bCs/>
                      <w:color w:val="auto"/>
                      <w:sz w:val="21"/>
                      <w:szCs w:val="21"/>
                    </w:rPr>
                    <w:t>1.58</w:t>
                  </w:r>
                </w:p>
              </w:tc>
              <w:tc>
                <w:tcPr>
                  <w:tcW w:w="657" w:type="pct"/>
                  <w:vAlign w:val="center"/>
                </w:tcPr>
                <w:p>
                  <w:pPr>
                    <w:pStyle w:val="14"/>
                    <w:adjustRightInd w:val="0"/>
                    <w:snapToGrid w:val="0"/>
                    <w:spacing w:after="0"/>
                    <w:ind w:left="0" w:leftChars="0"/>
                    <w:jc w:val="center"/>
                    <w:rPr>
                      <w:bCs/>
                      <w:color w:val="auto"/>
                      <w:sz w:val="21"/>
                      <w:szCs w:val="21"/>
                    </w:rPr>
                  </w:pPr>
                  <w:r>
                    <w:rPr>
                      <w:rFonts w:hint="eastAsia"/>
                      <w:bCs/>
                      <w:color w:val="auto"/>
                      <w:sz w:val="21"/>
                      <w:szCs w:val="21"/>
                    </w:rPr>
                    <w:t>5.052</w:t>
                  </w:r>
                </w:p>
              </w:tc>
              <w:tc>
                <w:tcPr>
                  <w:tcW w:w="746" w:type="pct"/>
                  <w:vAlign w:val="center"/>
                </w:tcPr>
                <w:p>
                  <w:pPr>
                    <w:pStyle w:val="14"/>
                    <w:adjustRightInd w:val="0"/>
                    <w:snapToGrid w:val="0"/>
                    <w:spacing w:after="0"/>
                    <w:ind w:left="0" w:leftChars="0"/>
                    <w:jc w:val="center"/>
                    <w:rPr>
                      <w:bCs/>
                      <w:color w:val="auto"/>
                      <w:sz w:val="21"/>
                      <w:szCs w:val="21"/>
                    </w:rPr>
                  </w:pPr>
                  <w:r>
                    <w:rPr>
                      <w:rFonts w:hint="eastAsia"/>
                      <w:bCs/>
                      <w:color w:val="auto"/>
                      <w:sz w:val="21"/>
                      <w:szCs w:val="21"/>
                    </w:rPr>
                    <w:t>2.965</w:t>
                  </w:r>
                </w:p>
              </w:tc>
              <w:tc>
                <w:tcPr>
                  <w:tcW w:w="739" w:type="pct"/>
                  <w:vAlign w:val="center"/>
                </w:tcPr>
                <w:p>
                  <w:pPr>
                    <w:pStyle w:val="14"/>
                    <w:adjustRightInd w:val="0"/>
                    <w:snapToGrid w:val="0"/>
                    <w:spacing w:after="0"/>
                    <w:ind w:left="0" w:leftChars="0"/>
                    <w:jc w:val="center"/>
                    <w:rPr>
                      <w:bCs/>
                      <w:color w:val="auto"/>
                      <w:sz w:val="21"/>
                      <w:szCs w:val="21"/>
                    </w:rPr>
                  </w:pPr>
                  <w:r>
                    <w:rPr>
                      <w:rFonts w:hint="eastAsia"/>
                      <w:bCs/>
                      <w:color w:val="auto"/>
                      <w:sz w:val="21"/>
                      <w:szCs w:val="21"/>
                    </w:rPr>
                    <w:t>1.377</w:t>
                  </w:r>
                </w:p>
              </w:tc>
              <w:tc>
                <w:tcPr>
                  <w:tcW w:w="739" w:type="pct"/>
                  <w:vAlign w:val="center"/>
                </w:tcPr>
                <w:p>
                  <w:pPr>
                    <w:pStyle w:val="14"/>
                    <w:adjustRightInd w:val="0"/>
                    <w:snapToGrid w:val="0"/>
                    <w:spacing w:after="0"/>
                    <w:ind w:left="0" w:leftChars="0"/>
                    <w:jc w:val="center"/>
                    <w:rPr>
                      <w:bCs/>
                      <w:color w:val="auto"/>
                      <w:sz w:val="21"/>
                      <w:szCs w:val="21"/>
                    </w:rPr>
                  </w:pPr>
                  <w:r>
                    <w:rPr>
                      <w:rFonts w:hint="eastAsia"/>
                      <w:bCs/>
                      <w:color w:val="auto"/>
                      <w:sz w:val="21"/>
                      <w:szCs w:val="21"/>
                    </w:rPr>
                    <w:t>4.342</w:t>
                  </w:r>
                </w:p>
              </w:tc>
            </w:tr>
          </w:tbl>
          <w:p>
            <w:pPr>
              <w:pStyle w:val="14"/>
              <w:adjustRightInd w:val="0"/>
              <w:snapToGrid w:val="0"/>
              <w:spacing w:line="520" w:lineRule="exact"/>
              <w:ind w:firstLine="561"/>
              <w:rPr>
                <w:rFonts w:cs="宋体"/>
                <w:snapToGrid w:val="0"/>
                <w:color w:val="auto"/>
                <w:szCs w:val="24"/>
              </w:rPr>
            </w:pPr>
            <w:r>
              <w:rPr>
                <w:rFonts w:hint="eastAsia" w:cs="宋体"/>
                <w:snapToGrid w:val="0"/>
                <w:color w:val="auto"/>
                <w:szCs w:val="24"/>
              </w:rPr>
              <w:t>本次扩建后项目水平衡情况详见下图：</w:t>
            </w:r>
          </w:p>
          <w:p>
            <w:pPr>
              <w:pStyle w:val="40"/>
              <w:rPr>
                <w:color w:val="auto"/>
              </w:rPr>
            </w:pPr>
            <w:r>
              <w:rPr>
                <w:rFonts w:hint="eastAsia"/>
                <w:color w:val="auto"/>
              </w:rPr>
              <w:object>
                <v:shape id="_x0000_i1025" o:spt="75" type="#_x0000_t75" style="height:231.75pt;width:354pt;" o:ole="t" filled="f" o:preferrelative="t" stroked="f" coordsize="21600,21600">
                  <v:path/>
                  <v:fill on="f" focussize="0,0"/>
                  <v:stroke on="f" joinstyle="miter"/>
                  <v:imagedata r:id="rId26" o:title=""/>
                  <o:lock v:ext="edit" aspectratio="f"/>
                  <w10:wrap type="none"/>
                  <w10:anchorlock/>
                </v:shape>
                <o:OLEObject Type="Embed" ProgID="Visio.Drawing.11" ShapeID="_x0000_i1025" DrawAspect="Content" ObjectID="_1468075725" r:id="rId25">
                  <o:LockedField>false</o:LockedField>
                </o:OLEObject>
              </w:object>
            </w:r>
          </w:p>
          <w:p>
            <w:pPr>
              <w:pStyle w:val="36"/>
              <w:rPr>
                <w:color w:val="auto"/>
              </w:rPr>
            </w:pPr>
            <w:r>
              <w:rPr>
                <w:rFonts w:hint="eastAsia"/>
                <w:color w:val="auto"/>
              </w:rPr>
              <w:t xml:space="preserve">图2-1 </w:t>
            </w:r>
            <w:r>
              <w:rPr>
                <w:color w:val="auto"/>
              </w:rPr>
              <w:t xml:space="preserve">    </w:t>
            </w:r>
            <w:r>
              <w:rPr>
                <w:rFonts w:hint="eastAsia"/>
                <w:color w:val="auto"/>
              </w:rPr>
              <w:t>项目水平衡图（m</w:t>
            </w:r>
            <w:r>
              <w:rPr>
                <w:rFonts w:hint="eastAsia"/>
                <w:color w:val="auto"/>
                <w:vertAlign w:val="superscript"/>
              </w:rPr>
              <w:t>3</w:t>
            </w:r>
            <w:r>
              <w:rPr>
                <w:rFonts w:hint="eastAsia"/>
                <w:color w:val="auto"/>
              </w:rPr>
              <w:t>/d）</w:t>
            </w:r>
          </w:p>
          <w:p>
            <w:pPr>
              <w:adjustRightInd w:val="0"/>
              <w:snapToGrid w:val="0"/>
              <w:spacing w:line="520" w:lineRule="exact"/>
              <w:ind w:firstLine="480" w:firstLineChars="200"/>
              <w:rPr>
                <w:color w:val="auto"/>
                <w:sz w:val="24"/>
              </w:rPr>
            </w:pPr>
            <w:r>
              <w:rPr>
                <w:rFonts w:hint="eastAsia"/>
                <w:color w:val="auto"/>
                <w:sz w:val="24"/>
              </w:rPr>
              <w:t>（2）</w:t>
            </w:r>
            <w:r>
              <w:rPr>
                <w:color w:val="auto"/>
                <w:sz w:val="24"/>
              </w:rPr>
              <w:t>供电</w:t>
            </w:r>
          </w:p>
          <w:p>
            <w:pPr>
              <w:adjustRightInd w:val="0"/>
              <w:snapToGrid w:val="0"/>
              <w:spacing w:line="520" w:lineRule="exact"/>
              <w:ind w:firstLine="480" w:firstLineChars="200"/>
              <w:rPr>
                <w:bCs/>
                <w:color w:val="auto"/>
                <w:sz w:val="24"/>
              </w:rPr>
            </w:pPr>
            <w:r>
              <w:rPr>
                <w:bCs/>
                <w:color w:val="auto"/>
                <w:sz w:val="24"/>
              </w:rPr>
              <w:t>本项目用电依托</w:t>
            </w:r>
            <w:r>
              <w:rPr>
                <w:rFonts w:hint="eastAsia"/>
                <w:bCs/>
                <w:color w:val="auto"/>
                <w:sz w:val="24"/>
              </w:rPr>
              <w:t>厂区</w:t>
            </w:r>
            <w:r>
              <w:rPr>
                <w:bCs/>
                <w:color w:val="auto"/>
                <w:sz w:val="24"/>
              </w:rPr>
              <w:t>现有</w:t>
            </w:r>
            <w:r>
              <w:rPr>
                <w:rFonts w:hint="eastAsia"/>
                <w:bCs/>
                <w:color w:val="auto"/>
                <w:sz w:val="24"/>
              </w:rPr>
              <w:t>供电设施</w:t>
            </w:r>
            <w:r>
              <w:rPr>
                <w:bCs/>
                <w:color w:val="auto"/>
                <w:sz w:val="24"/>
              </w:rPr>
              <w:t>，</w:t>
            </w:r>
            <w:r>
              <w:rPr>
                <w:rFonts w:hint="eastAsia"/>
                <w:bCs/>
                <w:color w:val="auto"/>
                <w:sz w:val="24"/>
              </w:rPr>
              <w:t>现有用电量为</w:t>
            </w:r>
            <w:r>
              <w:rPr>
                <w:rFonts w:hint="eastAsia"/>
                <w:bCs/>
                <w:color w:val="auto"/>
                <w:sz w:val="24"/>
                <w:lang w:val="en-US" w:eastAsia="zh-CN"/>
              </w:rPr>
              <w:t>2</w:t>
            </w:r>
            <w:r>
              <w:rPr>
                <w:rFonts w:hint="eastAsia"/>
                <w:color w:val="auto"/>
                <w:sz w:val="24"/>
              </w:rPr>
              <w:t>万kW</w:t>
            </w:r>
            <w:r>
              <w:rPr>
                <w:color w:val="auto"/>
                <w:sz w:val="24"/>
              </w:rPr>
              <w:t>·</w:t>
            </w:r>
            <w:r>
              <w:rPr>
                <w:rFonts w:hint="eastAsia"/>
                <w:color w:val="auto"/>
                <w:sz w:val="24"/>
              </w:rPr>
              <w:t>h，本次扩能用电量为</w:t>
            </w:r>
            <w:r>
              <w:rPr>
                <w:rFonts w:hint="eastAsia"/>
                <w:color w:val="auto"/>
                <w:sz w:val="24"/>
                <w:lang w:val="en-US" w:eastAsia="zh-CN"/>
              </w:rPr>
              <w:t>3</w:t>
            </w:r>
            <w:r>
              <w:rPr>
                <w:rFonts w:hint="eastAsia"/>
                <w:color w:val="auto"/>
                <w:sz w:val="24"/>
              </w:rPr>
              <w:t>万kW</w:t>
            </w:r>
            <w:r>
              <w:rPr>
                <w:color w:val="auto"/>
                <w:sz w:val="24"/>
              </w:rPr>
              <w:t>·</w:t>
            </w:r>
            <w:r>
              <w:rPr>
                <w:rFonts w:hint="eastAsia"/>
                <w:color w:val="auto"/>
                <w:sz w:val="24"/>
              </w:rPr>
              <w:t>h，扩能后全厂用电量为</w:t>
            </w:r>
            <w:r>
              <w:rPr>
                <w:rFonts w:hint="eastAsia"/>
                <w:color w:val="auto"/>
                <w:sz w:val="24"/>
                <w:lang w:val="en-US" w:eastAsia="zh-CN"/>
              </w:rPr>
              <w:t>5</w:t>
            </w:r>
            <w:r>
              <w:rPr>
                <w:rFonts w:hint="eastAsia"/>
                <w:color w:val="auto"/>
                <w:sz w:val="24"/>
              </w:rPr>
              <w:t>万kW</w:t>
            </w:r>
            <w:r>
              <w:rPr>
                <w:color w:val="auto"/>
                <w:sz w:val="24"/>
              </w:rPr>
              <w:t>·</w:t>
            </w:r>
            <w:r>
              <w:rPr>
                <w:rFonts w:hint="eastAsia"/>
                <w:color w:val="auto"/>
                <w:sz w:val="24"/>
              </w:rPr>
              <w:t>h，供电设施可满足项目用电需求</w:t>
            </w:r>
            <w:r>
              <w:rPr>
                <w:bCs/>
                <w:color w:val="auto"/>
                <w:sz w:val="24"/>
              </w:rPr>
              <w:t>。</w:t>
            </w:r>
          </w:p>
          <w:p>
            <w:pPr>
              <w:adjustRightInd w:val="0"/>
              <w:snapToGrid w:val="0"/>
              <w:spacing w:line="520" w:lineRule="exact"/>
              <w:ind w:firstLine="480" w:firstLineChars="200"/>
              <w:rPr>
                <w:color w:val="auto"/>
                <w:sz w:val="24"/>
              </w:rPr>
            </w:pPr>
            <w:r>
              <w:rPr>
                <w:rFonts w:hint="eastAsia"/>
                <w:color w:val="auto"/>
                <w:sz w:val="24"/>
              </w:rPr>
              <w:t>（3）</w:t>
            </w:r>
            <w:r>
              <w:rPr>
                <w:color w:val="auto"/>
                <w:sz w:val="24"/>
              </w:rPr>
              <w:t>供暖</w:t>
            </w:r>
          </w:p>
          <w:p>
            <w:pPr>
              <w:adjustRightInd w:val="0"/>
              <w:snapToGrid w:val="0"/>
              <w:spacing w:line="520" w:lineRule="exact"/>
              <w:ind w:firstLine="480" w:firstLineChars="200"/>
              <w:rPr>
                <w:bCs/>
                <w:color w:val="auto"/>
                <w:sz w:val="24"/>
              </w:rPr>
            </w:pPr>
            <w:r>
              <w:rPr>
                <w:bCs/>
                <w:color w:val="auto"/>
                <w:sz w:val="24"/>
              </w:rPr>
              <w:t>本项目</w:t>
            </w:r>
            <w:r>
              <w:rPr>
                <w:rFonts w:hint="eastAsia"/>
                <w:bCs/>
                <w:color w:val="auto"/>
                <w:sz w:val="24"/>
              </w:rPr>
              <w:t>依托现有变频电磁辐射采暖器取暖</w:t>
            </w:r>
            <w:r>
              <w:rPr>
                <w:bCs/>
                <w:color w:val="auto"/>
                <w:sz w:val="24"/>
              </w:rPr>
              <w:t>，</w:t>
            </w:r>
            <w:r>
              <w:rPr>
                <w:rFonts w:hint="eastAsia"/>
                <w:bCs/>
                <w:color w:val="auto"/>
                <w:sz w:val="24"/>
              </w:rPr>
              <w:t>可满足</w:t>
            </w:r>
            <w:r>
              <w:rPr>
                <w:bCs/>
                <w:color w:val="auto"/>
                <w:sz w:val="24"/>
              </w:rPr>
              <w:t>生活</w:t>
            </w:r>
            <w:r>
              <w:rPr>
                <w:rFonts w:hint="eastAsia"/>
                <w:bCs/>
                <w:color w:val="auto"/>
                <w:sz w:val="24"/>
              </w:rPr>
              <w:t>需要</w:t>
            </w:r>
            <w:r>
              <w:rPr>
                <w:bCs/>
                <w:color w:val="auto"/>
                <w:sz w:val="24"/>
              </w:rPr>
              <w:t>。</w:t>
            </w:r>
          </w:p>
          <w:p>
            <w:pPr>
              <w:adjustRightInd w:val="0"/>
              <w:snapToGrid w:val="0"/>
              <w:spacing w:line="520" w:lineRule="exact"/>
              <w:ind w:firstLine="482" w:firstLineChars="200"/>
              <w:rPr>
                <w:color w:val="auto"/>
                <w:sz w:val="24"/>
              </w:rPr>
            </w:pPr>
            <w:r>
              <w:rPr>
                <w:rFonts w:hint="eastAsia"/>
                <w:b/>
                <w:bCs/>
                <w:color w:val="auto"/>
                <w:sz w:val="24"/>
              </w:rPr>
              <w:t>9</w:t>
            </w:r>
            <w:r>
              <w:rPr>
                <w:b/>
                <w:bCs/>
                <w:color w:val="auto"/>
                <w:sz w:val="24"/>
              </w:rPr>
              <w:t>、劳动定员及工作制度</w:t>
            </w:r>
          </w:p>
          <w:p>
            <w:pPr>
              <w:adjustRightInd w:val="0"/>
              <w:snapToGrid w:val="0"/>
              <w:spacing w:line="520" w:lineRule="exact"/>
              <w:ind w:firstLine="480" w:firstLineChars="200"/>
              <w:rPr>
                <w:bCs/>
                <w:color w:val="auto"/>
                <w:sz w:val="24"/>
              </w:rPr>
            </w:pPr>
            <w:r>
              <w:rPr>
                <w:bCs/>
                <w:color w:val="auto"/>
                <w:sz w:val="24"/>
              </w:rPr>
              <w:t>本</w:t>
            </w:r>
            <w:r>
              <w:rPr>
                <w:rFonts w:hint="eastAsia"/>
                <w:bCs/>
                <w:color w:val="auto"/>
                <w:sz w:val="24"/>
              </w:rPr>
              <w:t>项目新增劳动定员10</w:t>
            </w:r>
            <w:r>
              <w:rPr>
                <w:bCs/>
                <w:color w:val="auto"/>
                <w:sz w:val="24"/>
              </w:rPr>
              <w:t>人，</w:t>
            </w:r>
            <w:r>
              <w:rPr>
                <w:rFonts w:hint="eastAsia"/>
                <w:bCs/>
                <w:color w:val="auto"/>
                <w:sz w:val="24"/>
              </w:rPr>
              <w:t>均在厂区食宿，</w:t>
            </w:r>
            <w:r>
              <w:rPr>
                <w:bCs/>
                <w:color w:val="auto"/>
                <w:sz w:val="24"/>
              </w:rPr>
              <w:t>年工作时间为</w:t>
            </w:r>
            <w:r>
              <w:rPr>
                <w:rFonts w:hint="eastAsia"/>
                <w:bCs/>
                <w:color w:val="auto"/>
                <w:sz w:val="24"/>
              </w:rPr>
              <w:t>250</w:t>
            </w:r>
            <w:r>
              <w:rPr>
                <w:bCs/>
                <w:color w:val="auto"/>
                <w:sz w:val="24"/>
              </w:rPr>
              <w:t>天，工作班次采用单班制，每班</w:t>
            </w:r>
            <w:r>
              <w:rPr>
                <w:rFonts w:hint="eastAsia"/>
                <w:bCs/>
                <w:color w:val="auto"/>
                <w:sz w:val="24"/>
              </w:rPr>
              <w:t>8</w:t>
            </w:r>
            <w:r>
              <w:rPr>
                <w:bCs/>
                <w:color w:val="auto"/>
                <w:sz w:val="24"/>
              </w:rPr>
              <w:t>小时。</w:t>
            </w:r>
          </w:p>
          <w:p>
            <w:pPr>
              <w:adjustRightInd w:val="0"/>
              <w:snapToGrid w:val="0"/>
              <w:spacing w:line="520" w:lineRule="exact"/>
              <w:ind w:firstLine="482" w:firstLineChars="200"/>
              <w:rPr>
                <w:color w:val="auto"/>
                <w:sz w:val="24"/>
              </w:rPr>
            </w:pPr>
            <w:r>
              <w:rPr>
                <w:rFonts w:hint="eastAsia"/>
                <w:b/>
                <w:bCs/>
                <w:color w:val="auto"/>
                <w:sz w:val="24"/>
              </w:rPr>
              <w:t>10</w:t>
            </w:r>
            <w:r>
              <w:rPr>
                <w:b/>
                <w:bCs/>
                <w:color w:val="auto"/>
                <w:sz w:val="24"/>
              </w:rPr>
              <w:t>、</w:t>
            </w:r>
            <w:r>
              <w:rPr>
                <w:rFonts w:hint="eastAsia"/>
                <w:b/>
                <w:bCs/>
                <w:color w:val="auto"/>
                <w:sz w:val="24"/>
              </w:rPr>
              <w:t>储运工</w:t>
            </w:r>
            <w:r>
              <w:rPr>
                <w:rFonts w:hint="eastAsia"/>
                <w:color w:val="auto"/>
                <w:sz w:val="24"/>
              </w:rPr>
              <w:t>程</w:t>
            </w:r>
          </w:p>
          <w:p>
            <w:pPr>
              <w:adjustRightInd w:val="0"/>
              <w:snapToGrid w:val="0"/>
              <w:spacing w:line="520" w:lineRule="exact"/>
              <w:ind w:firstLine="480" w:firstLineChars="200"/>
              <w:rPr>
                <w:color w:val="auto"/>
                <w:sz w:val="24"/>
              </w:rPr>
            </w:pPr>
            <w:r>
              <w:rPr>
                <w:rFonts w:hint="eastAsia"/>
                <w:color w:val="auto"/>
                <w:sz w:val="24"/>
              </w:rPr>
              <w:t>现有工程设置有1座硝酸铵库房，占地面积945m</w:t>
            </w:r>
            <w:r>
              <w:rPr>
                <w:rFonts w:hint="eastAsia"/>
                <w:color w:val="auto"/>
                <w:sz w:val="24"/>
                <w:vertAlign w:val="superscript"/>
              </w:rPr>
              <w:t>2</w:t>
            </w:r>
            <w:r>
              <w:rPr>
                <w:rFonts w:hint="eastAsia"/>
                <w:color w:val="auto"/>
                <w:sz w:val="24"/>
              </w:rPr>
              <w:t>，最大储存量600t；1座50m</w:t>
            </w:r>
            <w:r>
              <w:rPr>
                <w:rFonts w:hint="eastAsia"/>
                <w:color w:val="auto"/>
                <w:sz w:val="24"/>
                <w:vertAlign w:val="superscript"/>
              </w:rPr>
              <w:t>3</w:t>
            </w:r>
            <w:r>
              <w:rPr>
                <w:rFonts w:hint="eastAsia"/>
                <w:color w:val="auto"/>
                <w:sz w:val="24"/>
              </w:rPr>
              <w:t>的地埋式双层柴油储罐，50m</w:t>
            </w:r>
            <w:r>
              <w:rPr>
                <w:rFonts w:hint="eastAsia"/>
                <w:color w:val="auto"/>
                <w:sz w:val="24"/>
                <w:vertAlign w:val="superscript"/>
              </w:rPr>
              <w:t>3</w:t>
            </w:r>
            <w:r>
              <w:rPr>
                <w:rFonts w:hint="eastAsia"/>
                <w:color w:val="auto"/>
                <w:sz w:val="24"/>
              </w:rPr>
              <w:t>的地埋式双层柴油储罐的最大储存量约为45t。本次扩能不新建硝酸铵库及柴油储罐，扩能后产能增加，只是增加了原料硝酸铵和柴油的进出库或罐的频次及上料工房运行时间。原料硝酸铵由新疆金象赛瑞煤化工科技有限公司按规定的运输路线运至厂区内；柴油由中石油新疆销售有限公司昌吉分公司用专用油罐车运至厂区。现有工程可满足扩能后的生产需求。</w:t>
            </w:r>
          </w:p>
          <w:p>
            <w:pPr>
              <w:adjustRightInd w:val="0"/>
              <w:snapToGrid w:val="0"/>
              <w:spacing w:line="520" w:lineRule="exact"/>
              <w:ind w:firstLine="480" w:firstLineChars="200"/>
              <w:rPr>
                <w:color w:val="auto"/>
                <w:sz w:val="24"/>
              </w:rPr>
            </w:pPr>
            <w:r>
              <w:rPr>
                <w:rFonts w:hint="eastAsia"/>
                <w:color w:val="auto"/>
                <w:sz w:val="24"/>
              </w:rPr>
              <w:t>现有工程硝酸铵库房内按要求设置有通风设施及消防设施，库房区域为一般防渗区域，采用水泥硬化地面。50m</w:t>
            </w:r>
            <w:r>
              <w:rPr>
                <w:rFonts w:hint="eastAsia"/>
                <w:color w:val="auto"/>
                <w:sz w:val="24"/>
                <w:vertAlign w:val="superscript"/>
              </w:rPr>
              <w:t>3</w:t>
            </w:r>
            <w:r>
              <w:rPr>
                <w:rFonts w:hint="eastAsia"/>
                <w:color w:val="auto"/>
                <w:sz w:val="24"/>
              </w:rPr>
              <w:t>的地埋式双层柴油储罐的最大储存量约为45t，设置有呼吸口，罐区为重点防渗区域，采用高标号水泥混凝土硬化防渗，旁边设置有灭火器、警示牌和消防沙等设施。本次扩能未新增危险源。具体风险防范措施详见现有工程基本情况章节“</w:t>
            </w:r>
            <w:r>
              <w:rPr>
                <w:rFonts w:hint="eastAsia"/>
                <w:color w:val="auto"/>
                <w:kern w:val="0"/>
                <w:sz w:val="24"/>
              </w:rPr>
              <w:t>现有工程采取的风险防范措施</w:t>
            </w:r>
            <w:r>
              <w:rPr>
                <w:rFonts w:hint="eastAsia"/>
                <w:color w:val="auto"/>
                <w:sz w:val="24"/>
              </w:rPr>
              <w:t>”内容。</w:t>
            </w:r>
          </w:p>
          <w:p>
            <w:pPr>
              <w:adjustRightInd w:val="0"/>
              <w:snapToGrid w:val="0"/>
              <w:spacing w:line="520" w:lineRule="exact"/>
              <w:ind w:firstLine="482" w:firstLineChars="200"/>
              <w:rPr>
                <w:color w:val="auto"/>
                <w:sz w:val="24"/>
              </w:rPr>
            </w:pPr>
            <w:r>
              <w:rPr>
                <w:rFonts w:hint="eastAsia"/>
                <w:b/>
                <w:bCs/>
                <w:color w:val="auto"/>
                <w:sz w:val="24"/>
              </w:rPr>
              <w:t>11、</w:t>
            </w:r>
            <w:r>
              <w:rPr>
                <w:b/>
                <w:bCs/>
                <w:color w:val="auto"/>
                <w:sz w:val="24"/>
              </w:rPr>
              <w:t>项目平面布置</w:t>
            </w:r>
          </w:p>
          <w:p>
            <w:pPr>
              <w:adjustRightInd w:val="0"/>
              <w:snapToGrid w:val="0"/>
              <w:spacing w:line="520" w:lineRule="exact"/>
              <w:ind w:firstLine="480" w:firstLineChars="200"/>
              <w:rPr>
                <w:rFonts w:hint="eastAsia" w:ascii="Times New Roman" w:hAnsi="Times New Roman" w:eastAsia="宋体" w:cs="Times New Roman"/>
                <w:bCs/>
                <w:color w:val="auto"/>
                <w:sz w:val="24"/>
                <w:lang w:bidi="en-US"/>
              </w:rPr>
            </w:pPr>
            <w:r>
              <w:rPr>
                <w:rFonts w:hint="eastAsia"/>
                <w:bCs/>
                <w:color w:val="auto"/>
                <w:sz w:val="24"/>
                <w:lang w:bidi="en-US"/>
              </w:rPr>
              <w:t>现有工程总平面布置遵照国家颁布的现行的有关设计规范、规定及技术标准进行布置。从平面布置分析，充分考虑了当地的气象条件，生活办公区与生产区分离，办公区位于厂区东侧，生产区位于厂区的西侧，满足防火、</w:t>
            </w:r>
            <w:r>
              <w:rPr>
                <w:rFonts w:hint="eastAsia" w:ascii="Times New Roman" w:hAnsi="Times New Roman" w:eastAsia="宋体" w:cs="Times New Roman"/>
                <w:bCs/>
                <w:color w:val="auto"/>
                <w:sz w:val="24"/>
                <w:lang w:bidi="en-US"/>
              </w:rPr>
              <w:t>防爆、安全、卫生等有关规范要求</w:t>
            </w:r>
            <w:r>
              <w:rPr>
                <w:rFonts w:hint="eastAsia" w:ascii="Times New Roman" w:hAnsi="Times New Roman" w:eastAsia="宋体" w:cs="Times New Roman"/>
                <w:bCs/>
                <w:color w:val="auto"/>
                <w:sz w:val="24"/>
                <w:lang w:eastAsia="zh-CN" w:bidi="en-US"/>
              </w:rPr>
              <w:t>；</w:t>
            </w:r>
            <w:r>
              <w:rPr>
                <w:rFonts w:hint="eastAsia"/>
                <w:bCs/>
                <w:color w:val="auto"/>
                <w:sz w:val="24"/>
                <w:lang w:bidi="en-US"/>
              </w:rPr>
              <w:t>厂内交通道路分布合理，设有2个出入口，可实现人流物流分离，利于厂内秩序和安全生产要求，各功能区间由道路间隔同时形成厂内道路网，各建筑之间留有足够的安全防护间距，便于检修和人员活动，一旦发生危险时利于消防、安全疏散</w:t>
            </w:r>
            <w:r>
              <w:rPr>
                <w:rFonts w:hint="eastAsia"/>
                <w:bCs/>
                <w:color w:val="auto"/>
                <w:sz w:val="24"/>
                <w:lang w:eastAsia="zh-CN" w:bidi="en-US"/>
              </w:rPr>
              <w:t>，</w:t>
            </w:r>
            <w:r>
              <w:rPr>
                <w:rFonts w:hint="eastAsia" w:ascii="Times New Roman" w:hAnsi="Times New Roman" w:eastAsia="宋体" w:cs="Times New Roman"/>
                <w:bCs/>
                <w:color w:val="auto"/>
                <w:sz w:val="24"/>
                <w:lang w:bidi="en-US"/>
              </w:rPr>
              <w:t>本次</w:t>
            </w:r>
            <w:r>
              <w:rPr>
                <w:rFonts w:hint="default" w:ascii="Times New Roman" w:hAnsi="Times New Roman" w:eastAsia="宋体" w:cs="Times New Roman"/>
                <w:bCs/>
                <w:color w:val="auto"/>
                <w:sz w:val="24"/>
                <w:lang w:bidi="en-US"/>
              </w:rPr>
              <w:t>现有洗车台的东侧新建1座混装车</w:t>
            </w:r>
            <w:r>
              <w:rPr>
                <w:rFonts w:hint="eastAsia" w:ascii="Times New Roman" w:hAnsi="Times New Roman" w:eastAsia="宋体" w:cs="Times New Roman"/>
                <w:bCs/>
                <w:color w:val="auto"/>
                <w:sz w:val="24"/>
                <w:lang w:bidi="en-US"/>
              </w:rPr>
              <w:t>，平面布置较为合理。项目平面布置图见附图4。</w:t>
            </w:r>
          </w:p>
          <w:p>
            <w:pPr>
              <w:pStyle w:val="2"/>
              <w:rPr>
                <w:rFonts w:hint="eastAsia" w:ascii="Times New Roman" w:hAnsi="Times New Roman" w:eastAsia="宋体" w:cs="Times New Roman"/>
                <w:bCs/>
                <w:color w:val="auto"/>
                <w:sz w:val="24"/>
                <w:lang w:bidi="en-US"/>
              </w:rPr>
            </w:pPr>
          </w:p>
          <w:p>
            <w:pPr>
              <w:pStyle w:val="3"/>
              <w:rPr>
                <w:rFonts w:hint="eastAsia" w:ascii="Times New Roman" w:hAnsi="Times New Roman" w:eastAsia="宋体" w:cs="Times New Roman"/>
                <w:bCs/>
                <w:color w:val="auto"/>
                <w:sz w:val="24"/>
                <w:lang w:bidi="en-US"/>
              </w:rPr>
            </w:pPr>
          </w:p>
          <w:p>
            <w:pPr>
              <w:rPr>
                <w:rFonts w:hint="eastAsia" w:ascii="Times New Roman" w:hAnsi="Times New Roman" w:eastAsia="宋体" w:cs="Times New Roman"/>
                <w:bCs/>
                <w:color w:val="auto"/>
                <w:sz w:val="24"/>
                <w:lang w:bidi="en-US"/>
              </w:rPr>
            </w:pPr>
          </w:p>
          <w:p>
            <w:pPr>
              <w:pStyle w:val="2"/>
              <w:rPr>
                <w:rFonts w:hint="eastAsia" w:ascii="Times New Roman" w:hAnsi="Times New Roman" w:eastAsia="宋体" w:cs="Times New Roman"/>
                <w:bCs/>
                <w:color w:val="auto"/>
                <w:sz w:val="24"/>
                <w:lang w:bidi="en-US"/>
              </w:rPr>
            </w:pPr>
          </w:p>
          <w:p>
            <w:pPr>
              <w:pStyle w:val="3"/>
              <w:rPr>
                <w:rFonts w:hint="eastAsia" w:ascii="Times New Roman" w:hAnsi="Times New Roman" w:eastAsia="宋体" w:cs="Times New Roman"/>
                <w:bCs/>
                <w:color w:val="auto"/>
                <w:sz w:val="24"/>
                <w:lang w:bidi="en-US"/>
              </w:rPr>
            </w:pPr>
          </w:p>
          <w:p>
            <w:pPr>
              <w:rPr>
                <w:rFonts w:hint="eastAsia" w:ascii="Times New Roman" w:hAnsi="Times New Roman" w:eastAsia="宋体" w:cs="Times New Roman"/>
                <w:bCs/>
                <w:color w:val="auto"/>
                <w:sz w:val="24"/>
                <w:lang w:bidi="en-US"/>
              </w:rPr>
            </w:pPr>
          </w:p>
          <w:p>
            <w:pPr>
              <w:pStyle w:val="2"/>
              <w:rPr>
                <w:rFonts w:hint="eastAsia" w:ascii="Times New Roman" w:hAnsi="Times New Roman" w:eastAsia="宋体" w:cs="Times New Roman"/>
                <w:bCs/>
                <w:color w:val="auto"/>
                <w:sz w:val="24"/>
                <w:lang w:bidi="en-US"/>
              </w:rPr>
            </w:pPr>
          </w:p>
          <w:p>
            <w:pPr>
              <w:pStyle w:val="3"/>
              <w:rPr>
                <w:rFonts w:hint="eastAsia" w:ascii="Times New Roman" w:hAnsi="Times New Roman" w:eastAsia="宋体" w:cs="Times New Roman"/>
                <w:bCs/>
                <w:color w:val="auto"/>
                <w:sz w:val="24"/>
                <w:lang w:bidi="en-US"/>
              </w:rPr>
            </w:pPr>
          </w:p>
          <w:p>
            <w:pPr>
              <w:rPr>
                <w:rFonts w:hint="eastAsia" w:ascii="Times New Roman" w:hAnsi="Times New Roman" w:eastAsia="宋体" w:cs="Times New Roman"/>
                <w:bCs/>
                <w:color w:val="auto"/>
                <w:sz w:val="24"/>
                <w:lang w:bidi="en-US"/>
              </w:rPr>
            </w:pPr>
          </w:p>
          <w:p>
            <w:pPr>
              <w:pStyle w:val="2"/>
              <w:rPr>
                <w:rFonts w:hint="eastAsia" w:ascii="Times New Roman" w:hAnsi="Times New Roman" w:eastAsia="宋体" w:cs="Times New Roman"/>
                <w:bCs/>
                <w:color w:val="auto"/>
                <w:sz w:val="24"/>
                <w:lang w:bidi="en-US"/>
              </w:rPr>
            </w:pPr>
          </w:p>
          <w:p>
            <w:pPr>
              <w:pStyle w:val="3"/>
              <w:rPr>
                <w:rFonts w:hint="eastAsia" w:ascii="Times New Roman" w:hAnsi="Times New Roman" w:eastAsia="宋体" w:cs="Times New Roman"/>
                <w:bCs/>
                <w:color w:val="auto"/>
                <w:sz w:val="24"/>
                <w:lang w:bidi="en-US"/>
              </w:rPr>
            </w:pPr>
          </w:p>
          <w:p>
            <w:pPr>
              <w:rPr>
                <w:rFonts w:hint="eastAsia" w:ascii="Times New Roman" w:hAnsi="Times New Roman" w:eastAsia="宋体" w:cs="Times New Roman"/>
                <w:bCs/>
                <w:color w:val="auto"/>
                <w:sz w:val="24"/>
                <w:lang w:bidi="en-US"/>
              </w:rPr>
            </w:pPr>
          </w:p>
          <w:p>
            <w:pPr>
              <w:pStyle w:val="2"/>
              <w:rPr>
                <w:rFonts w:hint="eastAsia" w:ascii="Times New Roman" w:hAnsi="Times New Roman" w:eastAsia="宋体" w:cs="Times New Roman"/>
                <w:bCs/>
                <w:color w:val="auto"/>
                <w:sz w:val="24"/>
                <w:lang w:bidi="en-US"/>
              </w:rPr>
            </w:pPr>
          </w:p>
          <w:p>
            <w:pPr>
              <w:pStyle w:val="3"/>
              <w:rPr>
                <w:rFonts w:hint="eastAsia" w:ascii="Times New Roman" w:hAnsi="Times New Roman" w:eastAsia="宋体" w:cs="Times New Roman"/>
                <w:bCs/>
                <w:color w:val="auto"/>
                <w:sz w:val="24"/>
                <w:lang w:bidi="en-US"/>
              </w:rPr>
            </w:pPr>
          </w:p>
          <w:p>
            <w:pPr>
              <w:rPr>
                <w:rFonts w:hint="eastAsia" w:ascii="Times New Roman" w:hAnsi="Times New Roman" w:eastAsia="宋体" w:cs="Times New Roman"/>
                <w:bCs/>
                <w:color w:val="auto"/>
                <w:sz w:val="24"/>
                <w:lang w:bidi="en-US"/>
              </w:rPr>
            </w:pPr>
          </w:p>
          <w:p>
            <w:pPr>
              <w:pStyle w:val="2"/>
              <w:rPr>
                <w:rFonts w:hint="eastAsia" w:ascii="Times New Roman" w:hAnsi="Times New Roman" w:eastAsia="宋体" w:cs="Times New Roman"/>
                <w:bCs/>
                <w:color w:val="auto"/>
                <w:sz w:val="24"/>
                <w:lang w:bidi="en-US"/>
              </w:rPr>
            </w:pPr>
          </w:p>
          <w:p>
            <w:pPr>
              <w:pStyle w:val="3"/>
              <w:rPr>
                <w:rFonts w:hint="eastAsia" w:ascii="Times New Roman" w:hAnsi="Times New Roman" w:eastAsia="宋体" w:cs="Times New Roman"/>
                <w:bCs/>
                <w:color w:val="auto"/>
                <w:sz w:val="24"/>
                <w:lang w:bidi="en-US"/>
              </w:rPr>
            </w:pPr>
          </w:p>
          <w:p>
            <w:pPr>
              <w:rPr>
                <w:rFonts w:hint="eastAsia" w:ascii="Times New Roman" w:hAnsi="Times New Roman" w:eastAsia="宋体" w:cs="Times New Roman"/>
                <w:bCs/>
                <w:color w:val="auto"/>
                <w:sz w:val="24"/>
                <w:lang w:bidi="en-US"/>
              </w:rPr>
            </w:pPr>
          </w:p>
          <w:p>
            <w:pPr>
              <w:pStyle w:val="2"/>
              <w:rPr>
                <w:rFonts w:hint="eastAsia" w:ascii="Times New Roman" w:hAnsi="Times New Roman" w:eastAsia="宋体" w:cs="Times New Roman"/>
                <w:bCs/>
                <w:color w:val="auto"/>
                <w:sz w:val="24"/>
                <w:lang w:bidi="en-US"/>
              </w:rPr>
            </w:pPr>
          </w:p>
          <w:p>
            <w:pPr>
              <w:pStyle w:val="3"/>
              <w:rPr>
                <w:rFonts w:hint="eastAsia" w:ascii="Times New Roman" w:hAnsi="Times New Roman" w:eastAsia="宋体" w:cs="Times New Roman"/>
                <w:bCs/>
                <w:color w:val="auto"/>
                <w:sz w:val="24"/>
                <w:lang w:bidi="en-US"/>
              </w:rPr>
            </w:pPr>
          </w:p>
          <w:p>
            <w:pPr>
              <w:rPr>
                <w:rFonts w:hint="eastAsia" w:ascii="Times New Roman" w:hAnsi="Times New Roman" w:eastAsia="宋体" w:cs="Times New Roman"/>
                <w:bCs/>
                <w:color w:val="auto"/>
                <w:sz w:val="24"/>
                <w:lang w:bidi="en-US"/>
              </w:rPr>
            </w:pPr>
          </w:p>
          <w:p>
            <w:pPr>
              <w:pStyle w:val="2"/>
              <w:rPr>
                <w:rFonts w:hint="eastAsia" w:ascii="Times New Roman" w:hAnsi="Times New Roman" w:eastAsia="宋体" w:cs="Times New Roman"/>
                <w:bCs/>
                <w:color w:val="auto"/>
                <w:sz w:val="24"/>
                <w:lang w:bidi="en-US"/>
              </w:rPr>
            </w:pPr>
          </w:p>
          <w:p>
            <w:pPr>
              <w:pStyle w:val="3"/>
              <w:rPr>
                <w:rFonts w:hint="eastAsia" w:ascii="Times New Roman" w:hAnsi="Times New Roman" w:eastAsia="宋体" w:cs="Times New Roman"/>
                <w:bCs/>
                <w:color w:val="auto"/>
                <w:sz w:val="24"/>
                <w:lang w:bidi="en-US"/>
              </w:rPr>
            </w:pPr>
          </w:p>
          <w:p>
            <w:pPr>
              <w:rPr>
                <w:rFonts w:hint="eastAsia" w:ascii="Times New Roman" w:hAnsi="Times New Roman" w:eastAsia="宋体" w:cs="Times New Roman"/>
                <w:bCs/>
                <w:color w:val="auto"/>
                <w:sz w:val="24"/>
                <w:lang w:bidi="en-US"/>
              </w:rPr>
            </w:pPr>
          </w:p>
          <w:p>
            <w:pPr>
              <w:pStyle w:val="2"/>
              <w:rPr>
                <w:rFonts w:hint="eastAsia" w:ascii="Times New Roman" w:hAnsi="Times New Roman" w:eastAsia="宋体" w:cs="Times New Roman"/>
                <w:bCs/>
                <w:color w:val="auto"/>
                <w:sz w:val="24"/>
                <w:lang w:bidi="en-US"/>
              </w:rPr>
            </w:pPr>
          </w:p>
          <w:p>
            <w:pPr>
              <w:pStyle w:val="3"/>
              <w:rPr>
                <w:rFonts w:hint="eastAsia" w:ascii="Times New Roman" w:hAnsi="Times New Roman" w:eastAsia="宋体" w:cs="Times New Roman"/>
                <w:bCs/>
                <w:color w:val="auto"/>
                <w:sz w:val="24"/>
                <w:lang w:bidi="en-US"/>
              </w:rPr>
            </w:pPr>
          </w:p>
          <w:p>
            <w:pPr>
              <w:rPr>
                <w:rFonts w:hint="eastAsia" w:ascii="Times New Roman" w:hAnsi="Times New Roman" w:eastAsia="宋体" w:cs="Times New Roman"/>
                <w:bCs/>
                <w:color w:val="auto"/>
                <w:sz w:val="24"/>
                <w:lang w:bidi="en-US"/>
              </w:rPr>
            </w:pPr>
          </w:p>
          <w:p>
            <w:pPr>
              <w:pStyle w:val="2"/>
              <w:rPr>
                <w:color w:val="auto"/>
              </w:rPr>
            </w:pPr>
          </w:p>
          <w:p>
            <w:pPr>
              <w:pStyle w:val="46"/>
              <w:ind w:firstLine="0" w:firstLineChars="0"/>
              <w:jc w:val="center"/>
              <w:rPr>
                <w:rFonts w:eastAsia="黑体"/>
                <w:color w:val="auto"/>
                <w:sz w:val="24"/>
                <w:szCs w:val="3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74" w:hRule="atLeast"/>
          <w:jc w:val="center"/>
        </w:trPr>
        <w:tc>
          <w:tcPr>
            <w:tcW w:w="533" w:type="dxa"/>
            <w:vAlign w:val="center"/>
          </w:tcPr>
          <w:p>
            <w:pPr>
              <w:pStyle w:val="24"/>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工艺流程和产排污环节</w:t>
            </w:r>
          </w:p>
        </w:tc>
        <w:tc>
          <w:tcPr>
            <w:tcW w:w="8527" w:type="dxa"/>
          </w:tcPr>
          <w:p>
            <w:pPr>
              <w:adjustRightInd w:val="0"/>
              <w:snapToGrid w:val="0"/>
              <w:spacing w:line="520" w:lineRule="exact"/>
              <w:ind w:firstLine="482" w:firstLineChars="200"/>
              <w:rPr>
                <w:b/>
                <w:bCs/>
                <w:color w:val="auto"/>
                <w:sz w:val="24"/>
              </w:rPr>
            </w:pPr>
            <w:r>
              <w:rPr>
                <w:b/>
                <w:bCs/>
                <w:color w:val="auto"/>
                <w:sz w:val="24"/>
              </w:rPr>
              <w:t>1、施工期</w:t>
            </w:r>
          </w:p>
          <w:p>
            <w:pPr>
              <w:pStyle w:val="37"/>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textAlignment w:val="auto"/>
              <w:rPr>
                <w:rFonts w:hint="eastAsia" w:ascii="Times New Roman" w:hAnsi="Times New Roman" w:eastAsia="宋体" w:cs="宋体"/>
                <w:snapToGrid w:val="0"/>
                <w:color w:val="auto"/>
                <w:kern w:val="2"/>
                <w:sz w:val="24"/>
                <w:szCs w:val="24"/>
                <w:lang w:val="en-US" w:eastAsia="zh-CN" w:bidi="ar-SA"/>
              </w:rPr>
            </w:pPr>
            <w:r>
              <w:rPr>
                <w:rFonts w:hint="eastAsia" w:ascii="Times New Roman" w:hAnsi="Times New Roman" w:eastAsia="宋体" w:cs="宋体"/>
                <w:snapToGrid w:val="0"/>
                <w:color w:val="auto"/>
                <w:kern w:val="2"/>
                <w:sz w:val="24"/>
                <w:szCs w:val="24"/>
                <w:lang w:val="en-US" w:eastAsia="zh-CN" w:bidi="ar-SA"/>
              </w:rPr>
              <w:t>施工期间建筑物拆除、平整场地、建筑物建设、设备安装等，不可避免的对项目区所在地周围环境产生一定的影响。施工期主要是产生噪声、扬尘、固体废物（生活垃圾、建筑垃圾）等。</w:t>
            </w:r>
          </w:p>
          <w:p>
            <w:pPr>
              <w:pStyle w:val="20"/>
              <w:rPr>
                <w:color w:val="auto"/>
              </w:rPr>
            </w:pPr>
            <w:r>
              <w:rPr>
                <w:color w:val="auto"/>
              </w:rPr>
              <w:object>
                <v:shape id="_x0000_i1026" o:spt="75" type="#_x0000_t75" style="height:70.85pt;width:419.2pt;" o:ole="t" filled="f" o:preferrelative="t" stroked="f" coordsize="21600,21600">
                  <v:path/>
                  <v:fill on="f" focussize="0,0"/>
                  <v:stroke on="f"/>
                  <v:imagedata r:id="rId28" o:title=""/>
                  <o:lock v:ext="edit" aspectratio="f"/>
                  <w10:wrap type="none"/>
                  <w10:anchorlock/>
                </v:shape>
                <o:OLEObject Type="Embed" ProgID="Visio.Drawing.11" ShapeID="_x0000_i1026" DrawAspect="Content" ObjectID="_1468075726" r:id="rId27">
                  <o:LockedField>false</o:LockedField>
                </o:OLEObject>
              </w:object>
            </w:r>
          </w:p>
          <w:p>
            <w:pPr>
              <w:pStyle w:val="36"/>
              <w:bidi w:val="0"/>
              <w:rPr>
                <w:color w:val="auto"/>
              </w:rPr>
            </w:pPr>
            <w:r>
              <w:rPr>
                <w:rFonts w:hint="eastAsia"/>
                <w:color w:val="auto"/>
              </w:rPr>
              <w:t>图2-2  施工期工艺流程及产污环节</w:t>
            </w:r>
          </w:p>
          <w:p>
            <w:pPr>
              <w:adjustRightInd w:val="0"/>
              <w:snapToGrid w:val="0"/>
              <w:spacing w:line="520" w:lineRule="exact"/>
              <w:ind w:firstLine="482" w:firstLineChars="200"/>
              <w:rPr>
                <w:b/>
                <w:bCs/>
                <w:color w:val="auto"/>
                <w:sz w:val="24"/>
              </w:rPr>
            </w:pPr>
            <w:r>
              <w:rPr>
                <w:b/>
                <w:bCs/>
                <w:color w:val="auto"/>
                <w:sz w:val="24"/>
              </w:rPr>
              <w:t>2、运营期</w:t>
            </w:r>
          </w:p>
          <w:p>
            <w:pPr>
              <w:pStyle w:val="70"/>
              <w:ind w:firstLine="482"/>
              <w:rPr>
                <w:b/>
                <w:bCs/>
                <w:color w:val="auto"/>
              </w:rPr>
            </w:pPr>
            <w:r>
              <w:rPr>
                <w:rFonts w:hint="eastAsia"/>
                <w:b/>
                <w:bCs/>
                <w:color w:val="auto"/>
              </w:rPr>
              <w:t>2</w:t>
            </w:r>
            <w:r>
              <w:rPr>
                <w:b/>
                <w:bCs/>
                <w:color w:val="auto"/>
              </w:rPr>
              <w:t>.1</w:t>
            </w:r>
            <w:r>
              <w:rPr>
                <w:rFonts w:hint="eastAsia"/>
                <w:b/>
                <w:bCs/>
                <w:color w:val="auto"/>
              </w:rPr>
              <w:t>运营期工艺流程</w:t>
            </w:r>
          </w:p>
          <w:p>
            <w:pPr>
              <w:adjustRightInd w:val="0"/>
              <w:snapToGrid w:val="0"/>
              <w:spacing w:line="520" w:lineRule="exact"/>
              <w:ind w:firstLine="480" w:firstLineChars="200"/>
              <w:rPr>
                <w:rFonts w:cs="宋体"/>
                <w:snapToGrid w:val="0"/>
                <w:color w:val="auto"/>
                <w:sz w:val="24"/>
              </w:rPr>
            </w:pPr>
            <w:r>
              <w:rPr>
                <w:rFonts w:hint="eastAsia" w:cs="宋体"/>
                <w:snapToGrid w:val="0"/>
                <w:color w:val="auto"/>
                <w:sz w:val="24"/>
              </w:rPr>
              <w:t>现场混装多孔粒状铵油炸药的生产包括物料配比、装车工序、爆破现场物料混装阶段，物料经爆破现场按配比混合后形成炸药。多孔粒状铵油炸药现场混装工艺流程如下：</w:t>
            </w:r>
          </w:p>
          <w:p>
            <w:pPr>
              <w:adjustRightInd w:val="0"/>
              <w:snapToGrid w:val="0"/>
              <w:spacing w:line="520" w:lineRule="exact"/>
              <w:ind w:firstLine="480" w:firstLineChars="200"/>
              <w:rPr>
                <w:rFonts w:cs="宋体"/>
                <w:snapToGrid w:val="0"/>
                <w:color w:val="auto"/>
                <w:sz w:val="24"/>
              </w:rPr>
            </w:pPr>
            <w:r>
              <w:rPr>
                <w:rFonts w:hint="eastAsia" w:cs="宋体"/>
                <w:snapToGrid w:val="0"/>
                <w:color w:val="auto"/>
                <w:sz w:val="24"/>
              </w:rPr>
              <w:t>（1）多孔粒状硝酸铵上车</w:t>
            </w:r>
          </w:p>
          <w:p>
            <w:pPr>
              <w:adjustRightInd w:val="0"/>
              <w:snapToGrid w:val="0"/>
              <w:spacing w:line="520" w:lineRule="exact"/>
              <w:ind w:firstLine="480" w:firstLineChars="200"/>
              <w:rPr>
                <w:rFonts w:cs="宋体"/>
                <w:snapToGrid w:val="0"/>
                <w:color w:val="auto"/>
                <w:sz w:val="24"/>
              </w:rPr>
            </w:pPr>
            <w:r>
              <w:rPr>
                <w:rFonts w:hint="eastAsia" w:cs="宋体"/>
                <w:snapToGrid w:val="0"/>
                <w:color w:val="auto"/>
                <w:sz w:val="24"/>
              </w:rPr>
              <w:t>将多孔粒状硝酸铵从库房采用叉车机运输到多孔粒状硝酸铵上料工房的下层，利用</w:t>
            </w:r>
            <w:r>
              <w:rPr>
                <w:rFonts w:hint="eastAsia" w:cs="宋体"/>
                <w:snapToGrid w:val="0"/>
                <w:color w:val="auto"/>
                <w:sz w:val="24"/>
                <w:lang w:val="en-US" w:eastAsia="zh-CN"/>
              </w:rPr>
              <w:t>斗式提升机</w:t>
            </w:r>
            <w:r>
              <w:rPr>
                <w:rFonts w:hint="eastAsia" w:cs="宋体"/>
                <w:snapToGrid w:val="0"/>
                <w:color w:val="auto"/>
                <w:sz w:val="24"/>
              </w:rPr>
              <w:t>提升至上层流</w:t>
            </w:r>
            <w:r>
              <w:rPr>
                <w:rFonts w:hint="eastAsia" w:cs="宋体"/>
                <w:snapToGrid w:val="0"/>
                <w:color w:val="auto"/>
                <w:sz w:val="24"/>
                <w:lang w:val="en-US" w:eastAsia="zh-CN"/>
              </w:rPr>
              <w:t>入</w:t>
            </w:r>
            <w:r>
              <w:rPr>
                <w:rFonts w:hint="eastAsia" w:cs="宋体"/>
                <w:snapToGrid w:val="0"/>
                <w:color w:val="auto"/>
                <w:sz w:val="24"/>
              </w:rPr>
              <w:t>料仓，然后装至混装车。</w:t>
            </w:r>
          </w:p>
          <w:p>
            <w:pPr>
              <w:adjustRightInd w:val="0"/>
              <w:snapToGrid w:val="0"/>
              <w:spacing w:line="520" w:lineRule="exact"/>
              <w:ind w:firstLine="480" w:firstLineChars="200"/>
              <w:rPr>
                <w:rFonts w:cs="宋体"/>
                <w:snapToGrid w:val="0"/>
                <w:color w:val="auto"/>
                <w:sz w:val="24"/>
              </w:rPr>
            </w:pPr>
            <w:r>
              <w:rPr>
                <w:rFonts w:hint="eastAsia" w:cs="宋体"/>
                <w:snapToGrid w:val="0"/>
                <w:color w:val="auto"/>
                <w:sz w:val="24"/>
              </w:rPr>
              <w:t>（2）柴油输送</w:t>
            </w:r>
          </w:p>
          <w:p>
            <w:pPr>
              <w:adjustRightInd w:val="0"/>
              <w:snapToGrid w:val="0"/>
              <w:spacing w:line="520" w:lineRule="exact"/>
              <w:ind w:firstLine="480" w:firstLineChars="200"/>
              <w:rPr>
                <w:rFonts w:cs="宋体"/>
                <w:snapToGrid w:val="0"/>
                <w:color w:val="auto"/>
                <w:sz w:val="24"/>
              </w:rPr>
            </w:pPr>
            <w:r>
              <w:rPr>
                <w:rFonts w:hint="eastAsia" w:cs="宋体"/>
                <w:snapToGrid w:val="0"/>
                <w:color w:val="auto"/>
                <w:sz w:val="24"/>
              </w:rPr>
              <w:t>将柴油用加油机计量泵加到多孔粒状铵油炸药混装车上燃油罐中备用。</w:t>
            </w:r>
          </w:p>
          <w:p>
            <w:pPr>
              <w:adjustRightInd w:val="0"/>
              <w:snapToGrid w:val="0"/>
              <w:spacing w:line="520" w:lineRule="exact"/>
              <w:ind w:firstLine="480" w:firstLineChars="200"/>
              <w:rPr>
                <w:rFonts w:cs="宋体"/>
                <w:snapToGrid w:val="0"/>
                <w:color w:val="auto"/>
                <w:sz w:val="24"/>
              </w:rPr>
            </w:pPr>
            <w:r>
              <w:rPr>
                <w:rFonts w:hint="eastAsia" w:cs="宋体"/>
                <w:snapToGrid w:val="0"/>
                <w:color w:val="auto"/>
                <w:sz w:val="24"/>
              </w:rPr>
              <w:t>（3）多孔粒状铵油炸药混装车生产工艺</w:t>
            </w:r>
          </w:p>
          <w:p>
            <w:pPr>
              <w:adjustRightInd w:val="0"/>
              <w:snapToGrid w:val="0"/>
              <w:spacing w:line="520" w:lineRule="exact"/>
              <w:ind w:firstLine="480" w:firstLineChars="200"/>
              <w:rPr>
                <w:rFonts w:cs="宋体"/>
                <w:snapToGrid w:val="0"/>
                <w:color w:val="auto"/>
                <w:sz w:val="24"/>
              </w:rPr>
            </w:pPr>
            <w:r>
              <w:rPr>
                <w:rFonts w:hint="eastAsia" w:cs="宋体"/>
                <w:snapToGrid w:val="0"/>
                <w:color w:val="auto"/>
                <w:sz w:val="24"/>
              </w:rPr>
              <w:t>多孔粒状铵油炸药混装车由汽车底盘和上盘组成，其中上盘包括氧化剂料仓、燃油箱、配料机构、计量控制系统等；动力来源于汽车发动机，通过取力装置将动力传递给液压油泵，液压马达驱动各工作机构。</w:t>
            </w:r>
          </w:p>
          <w:p>
            <w:pPr>
              <w:pStyle w:val="70"/>
              <w:rPr>
                <w:color w:val="auto"/>
              </w:rPr>
            </w:pPr>
            <w:r>
              <w:rPr>
                <w:rFonts w:hint="eastAsia"/>
                <w:color w:val="auto"/>
              </w:rPr>
              <w:t>多孔粒状铵油炸药混装车在到达爆破施工现场前，在厂区已将多孔粒状硝酸铵、柴油加入混装炸药车上的料仓或箱体内，将现场混装炸药车开至爆破施工现场，启动液压系统，在计量控制器上置入生产工艺参数后，开启工作开关，上盘各工作机构即开始工作。多孔粒状硝酸铵、柴油通过各自的输送和计量系统进入混药螺旋，再经过输药螺旋的充分混合后成为铵油炸药并直接输送到爆破孔内。项目运营期工艺流程及产污环节详见下图。</w:t>
            </w:r>
          </w:p>
          <w:p>
            <w:pPr>
              <w:pStyle w:val="36"/>
              <w:bidi w:val="0"/>
              <w:rPr>
                <w:rFonts w:eastAsia="黑体"/>
                <w:b w:val="0"/>
                <w:bCs w:val="0"/>
                <w:color w:val="auto"/>
              </w:rPr>
            </w:pPr>
            <w:r>
              <w:rPr>
                <w:rFonts w:eastAsia="黑体"/>
                <w:b w:val="0"/>
                <w:bCs w:val="0"/>
                <w:color w:val="auto"/>
              </w:rPr>
              <w:object>
                <v:shape id="_x0000_i1027" o:spt="75" type="#_x0000_t75" style="height:273pt;width:422.25pt;" o:ole="t" filled="f" o:preferrelative="t" stroked="f" coordsize="21600,21600">
                  <v:path/>
                  <v:fill on="f" focussize="0,0"/>
                  <v:stroke on="f" joinstyle="miter"/>
                  <v:imagedata r:id="rId30" o:title=""/>
                  <o:lock v:ext="edit" aspectratio="f"/>
                  <w10:wrap type="none"/>
                  <w10:anchorlock/>
                </v:shape>
                <o:OLEObject Type="Embed" ProgID="Visio.Drawing.11" ShapeID="_x0000_i1027" DrawAspect="Content" ObjectID="_1468075727" r:id="rId29">
                  <o:LockedField>false</o:LockedField>
                </o:OLEObject>
              </w:object>
            </w:r>
            <w:r>
              <w:rPr>
                <w:rFonts w:eastAsia="黑体"/>
                <w:b w:val="0"/>
                <w:bCs w:val="0"/>
                <w:color w:val="auto"/>
              </w:rPr>
              <w:t>图2-</w:t>
            </w:r>
            <w:r>
              <w:rPr>
                <w:rFonts w:hint="eastAsia" w:eastAsia="黑体"/>
                <w:b w:val="0"/>
                <w:bCs w:val="0"/>
                <w:color w:val="auto"/>
                <w:lang w:val="en-US" w:eastAsia="zh-CN"/>
              </w:rPr>
              <w:t>3</w:t>
            </w:r>
            <w:r>
              <w:rPr>
                <w:rFonts w:eastAsia="黑体"/>
                <w:b w:val="0"/>
                <w:bCs w:val="0"/>
                <w:color w:val="auto"/>
              </w:rPr>
              <w:t xml:space="preserve">  运营期工艺流程及产污环节</w:t>
            </w:r>
          </w:p>
          <w:p>
            <w:pPr>
              <w:adjustRightInd w:val="0"/>
              <w:snapToGrid w:val="0"/>
              <w:spacing w:line="520" w:lineRule="exact"/>
              <w:ind w:firstLine="482" w:firstLineChars="200"/>
              <w:rPr>
                <w:b/>
                <w:bCs/>
                <w:color w:val="auto"/>
                <w:sz w:val="24"/>
              </w:rPr>
            </w:pPr>
            <w:r>
              <w:rPr>
                <w:b/>
                <w:bCs/>
                <w:color w:val="auto"/>
                <w:sz w:val="24"/>
              </w:rPr>
              <w:t>2.2</w:t>
            </w:r>
            <w:r>
              <w:rPr>
                <w:rFonts w:hint="eastAsia"/>
                <w:b/>
                <w:bCs/>
                <w:color w:val="auto"/>
                <w:sz w:val="24"/>
              </w:rPr>
              <w:t>运营期</w:t>
            </w:r>
            <w:r>
              <w:rPr>
                <w:b/>
                <w:bCs/>
                <w:color w:val="auto"/>
                <w:sz w:val="24"/>
              </w:rPr>
              <w:t>产污环节</w:t>
            </w:r>
          </w:p>
          <w:p>
            <w:pPr>
              <w:adjustRightInd w:val="0"/>
              <w:snapToGrid w:val="0"/>
              <w:spacing w:line="520" w:lineRule="exact"/>
              <w:ind w:firstLine="482" w:firstLineChars="200"/>
              <w:rPr>
                <w:b/>
                <w:bCs/>
                <w:color w:val="auto"/>
                <w:sz w:val="24"/>
              </w:rPr>
            </w:pPr>
            <w:r>
              <w:rPr>
                <w:rFonts w:hint="eastAsia"/>
                <w:b/>
                <w:bCs/>
                <w:color w:val="auto"/>
                <w:sz w:val="24"/>
              </w:rPr>
              <w:t>2.2.1</w:t>
            </w:r>
            <w:r>
              <w:rPr>
                <w:b/>
                <w:bCs/>
                <w:color w:val="auto"/>
                <w:sz w:val="24"/>
              </w:rPr>
              <w:t>废气</w:t>
            </w:r>
          </w:p>
          <w:p>
            <w:pPr>
              <w:numPr>
                <w:ilvl w:val="0"/>
                <w:numId w:val="9"/>
              </w:numPr>
              <w:adjustRightInd w:val="0"/>
              <w:snapToGrid w:val="0"/>
              <w:spacing w:line="520" w:lineRule="exact"/>
              <w:ind w:firstLine="480" w:firstLineChars="200"/>
              <w:rPr>
                <w:color w:val="auto"/>
                <w:sz w:val="24"/>
              </w:rPr>
            </w:pPr>
            <w:r>
              <w:rPr>
                <w:rFonts w:hint="eastAsia"/>
                <w:color w:val="auto"/>
                <w:sz w:val="24"/>
              </w:rPr>
              <w:t>多孔粒状硝酸铵上料废气</w:t>
            </w:r>
          </w:p>
          <w:p>
            <w:pPr>
              <w:adjustRightInd w:val="0"/>
              <w:snapToGrid w:val="0"/>
              <w:spacing w:line="520" w:lineRule="exact"/>
              <w:ind w:firstLine="480" w:firstLineChars="200"/>
              <w:rPr>
                <w:color w:val="auto"/>
                <w:sz w:val="24"/>
              </w:rPr>
            </w:pPr>
            <w:r>
              <w:rPr>
                <w:rFonts w:hint="eastAsia"/>
                <w:color w:val="auto"/>
                <w:sz w:val="24"/>
              </w:rPr>
              <w:t>将多孔粒状硝酸铵填装至混装车时会产生粉尘。</w:t>
            </w:r>
          </w:p>
          <w:p>
            <w:pPr>
              <w:numPr>
                <w:ilvl w:val="0"/>
                <w:numId w:val="9"/>
              </w:numPr>
              <w:adjustRightInd w:val="0"/>
              <w:snapToGrid w:val="0"/>
              <w:spacing w:line="520" w:lineRule="exact"/>
              <w:ind w:firstLine="480" w:firstLineChars="200"/>
              <w:rPr>
                <w:rFonts w:hAnsi="宋体"/>
                <w:color w:val="auto"/>
                <w:kern w:val="0"/>
                <w:sz w:val="24"/>
              </w:rPr>
            </w:pPr>
            <w:r>
              <w:rPr>
                <w:rFonts w:hint="eastAsia" w:hAnsi="宋体"/>
                <w:color w:val="auto"/>
                <w:kern w:val="0"/>
                <w:sz w:val="24"/>
              </w:rPr>
              <w:t>输送粉尘</w:t>
            </w:r>
          </w:p>
          <w:p>
            <w:pPr>
              <w:adjustRightInd w:val="0"/>
              <w:snapToGrid w:val="0"/>
              <w:spacing w:line="520" w:lineRule="exact"/>
              <w:ind w:firstLine="480" w:firstLineChars="200"/>
              <w:rPr>
                <w:snapToGrid w:val="0"/>
                <w:color w:val="auto"/>
                <w:kern w:val="0"/>
                <w:sz w:val="24"/>
              </w:rPr>
            </w:pPr>
            <w:r>
              <w:rPr>
                <w:rFonts w:hint="eastAsia"/>
                <w:color w:val="auto"/>
                <w:sz w:val="24"/>
              </w:rPr>
              <w:t>物料运输过程中会产生粉尘，本项目采用密闭运输，则产生粉尘量可忽略不计</w:t>
            </w:r>
            <w:r>
              <w:rPr>
                <w:color w:val="auto"/>
                <w:sz w:val="24"/>
              </w:rPr>
              <w:t>。</w:t>
            </w:r>
          </w:p>
          <w:p>
            <w:pPr>
              <w:spacing w:line="520" w:lineRule="exact"/>
              <w:ind w:firstLine="480" w:firstLineChars="200"/>
              <w:rPr>
                <w:rFonts w:hAnsi="宋体"/>
                <w:color w:val="auto"/>
                <w:sz w:val="24"/>
              </w:rPr>
            </w:pPr>
            <w:r>
              <w:rPr>
                <w:rFonts w:hint="eastAsia" w:hAnsi="宋体"/>
                <w:color w:val="auto"/>
                <w:kern w:val="0"/>
                <w:sz w:val="24"/>
              </w:rPr>
              <w:t>（3）柴</w:t>
            </w:r>
            <w:r>
              <w:rPr>
                <w:rFonts w:hint="eastAsia" w:hAnsi="宋体"/>
                <w:color w:val="auto"/>
                <w:sz w:val="24"/>
              </w:rPr>
              <w:t>油装卸、储存废气</w:t>
            </w:r>
          </w:p>
          <w:p>
            <w:pPr>
              <w:spacing w:line="520" w:lineRule="exact"/>
              <w:ind w:firstLine="480" w:firstLineChars="200"/>
              <w:rPr>
                <w:rFonts w:hAnsi="宋体"/>
                <w:color w:val="auto"/>
                <w:sz w:val="24"/>
              </w:rPr>
            </w:pPr>
            <w:r>
              <w:rPr>
                <w:rFonts w:hint="eastAsia" w:hAnsi="宋体"/>
                <w:color w:val="auto"/>
                <w:sz w:val="24"/>
              </w:rPr>
              <w:t>柴油装卸及储罐储存时会产生有机废气。</w:t>
            </w:r>
          </w:p>
          <w:p>
            <w:pPr>
              <w:spacing w:line="520" w:lineRule="exact"/>
              <w:ind w:firstLine="480" w:firstLineChars="200"/>
              <w:rPr>
                <w:rFonts w:hAnsi="宋体"/>
                <w:color w:val="auto"/>
                <w:sz w:val="24"/>
              </w:rPr>
            </w:pPr>
            <w:r>
              <w:rPr>
                <w:rFonts w:hint="eastAsia" w:hAnsi="宋体"/>
                <w:color w:val="auto"/>
                <w:sz w:val="24"/>
              </w:rPr>
              <w:t>（4）硝酸铵库</w:t>
            </w:r>
          </w:p>
          <w:p>
            <w:pPr>
              <w:adjustRightInd w:val="0"/>
              <w:snapToGrid w:val="0"/>
              <w:spacing w:line="520" w:lineRule="exact"/>
              <w:ind w:firstLine="480" w:firstLineChars="200"/>
              <w:rPr>
                <w:rFonts w:hint="eastAsia" w:eastAsia="宋体"/>
                <w:color w:val="auto"/>
                <w:kern w:val="0"/>
                <w:sz w:val="24"/>
                <w:vertAlign w:val="subscript"/>
                <w:lang w:val="en-US" w:eastAsia="zh-CN" w:bidi="ar"/>
              </w:rPr>
            </w:pPr>
            <w:r>
              <w:rPr>
                <w:rFonts w:hint="eastAsia" w:ascii="宋体" w:hAnsi="宋体" w:cs="宋体"/>
                <w:color w:val="auto"/>
                <w:kern w:val="0"/>
                <w:sz w:val="24"/>
                <w:lang w:bidi="ar"/>
              </w:rPr>
              <w:t>硝酸铵在原料库堆存过程中会挥发出少量</w:t>
            </w:r>
            <w:r>
              <w:rPr>
                <w:color w:val="auto"/>
                <w:kern w:val="0"/>
                <w:sz w:val="24"/>
                <w:lang w:bidi="ar"/>
              </w:rPr>
              <w:t>NH</w:t>
            </w:r>
            <w:r>
              <w:rPr>
                <w:rFonts w:hint="eastAsia"/>
                <w:color w:val="auto"/>
                <w:kern w:val="0"/>
                <w:sz w:val="24"/>
                <w:vertAlign w:val="subscript"/>
                <w:lang w:bidi="ar"/>
              </w:rPr>
              <w:t>3</w:t>
            </w:r>
            <w:r>
              <w:rPr>
                <w:rFonts w:hint="eastAsia" w:hAnsi="宋体"/>
                <w:color w:val="auto"/>
                <w:sz w:val="24"/>
              </w:rPr>
              <w:t>。</w:t>
            </w:r>
          </w:p>
          <w:p>
            <w:pPr>
              <w:adjustRightInd w:val="0"/>
              <w:snapToGrid w:val="0"/>
              <w:spacing w:line="520" w:lineRule="exact"/>
              <w:ind w:firstLine="482" w:firstLineChars="200"/>
              <w:rPr>
                <w:color w:val="auto"/>
                <w:sz w:val="24"/>
              </w:rPr>
            </w:pPr>
            <w:r>
              <w:rPr>
                <w:rFonts w:hint="eastAsia"/>
                <w:b/>
                <w:bCs/>
                <w:color w:val="auto"/>
                <w:sz w:val="24"/>
              </w:rPr>
              <w:t>2.2.2</w:t>
            </w:r>
            <w:r>
              <w:rPr>
                <w:b/>
                <w:bCs/>
                <w:color w:val="auto"/>
                <w:sz w:val="24"/>
              </w:rPr>
              <w:t>废水</w:t>
            </w:r>
          </w:p>
          <w:p>
            <w:pPr>
              <w:adjustRightInd w:val="0"/>
              <w:snapToGrid w:val="0"/>
              <w:spacing w:line="520" w:lineRule="exact"/>
              <w:ind w:firstLine="480" w:firstLineChars="200"/>
              <w:rPr>
                <w:color w:val="auto"/>
                <w:sz w:val="24"/>
              </w:rPr>
            </w:pPr>
            <w:r>
              <w:rPr>
                <w:rFonts w:hint="eastAsia"/>
                <w:color w:val="auto"/>
                <w:sz w:val="24"/>
              </w:rPr>
              <w:t>本项目新增废水主要为生活污水和洗车废水。</w:t>
            </w:r>
          </w:p>
          <w:p>
            <w:pPr>
              <w:numPr>
                <w:ilvl w:val="0"/>
                <w:numId w:val="10"/>
              </w:numPr>
              <w:adjustRightInd w:val="0"/>
              <w:snapToGrid w:val="0"/>
              <w:spacing w:line="520" w:lineRule="exact"/>
              <w:ind w:firstLine="480" w:firstLineChars="200"/>
              <w:rPr>
                <w:color w:val="auto"/>
                <w:sz w:val="24"/>
              </w:rPr>
            </w:pPr>
            <w:r>
              <w:rPr>
                <w:rFonts w:hint="eastAsia"/>
                <w:color w:val="auto"/>
                <w:sz w:val="24"/>
              </w:rPr>
              <w:t>生活污水</w:t>
            </w:r>
          </w:p>
          <w:p>
            <w:pPr>
              <w:adjustRightInd w:val="0"/>
              <w:snapToGrid w:val="0"/>
              <w:spacing w:line="520" w:lineRule="exact"/>
              <w:ind w:firstLine="480" w:firstLineChars="200"/>
              <w:rPr>
                <w:color w:val="auto"/>
              </w:rPr>
            </w:pPr>
            <w:r>
              <w:rPr>
                <w:color w:val="auto"/>
                <w:sz w:val="24"/>
              </w:rPr>
              <w:t>生活污水中主要污染因子COD</w:t>
            </w:r>
            <w:r>
              <w:rPr>
                <w:rFonts w:hint="eastAsia"/>
                <w:color w:val="auto"/>
                <w:sz w:val="24"/>
                <w:vertAlign w:val="subscript"/>
              </w:rPr>
              <w:t>Cr</w:t>
            </w:r>
            <w:r>
              <w:rPr>
                <w:color w:val="auto"/>
                <w:sz w:val="24"/>
              </w:rPr>
              <w:t>、BOD</w:t>
            </w:r>
            <w:r>
              <w:rPr>
                <w:rFonts w:hint="eastAsia"/>
                <w:color w:val="auto"/>
                <w:sz w:val="24"/>
                <w:vertAlign w:val="subscript"/>
              </w:rPr>
              <w:t>5</w:t>
            </w:r>
            <w:r>
              <w:rPr>
                <w:color w:val="auto"/>
                <w:sz w:val="24"/>
              </w:rPr>
              <w:t>、SS、氨氮</w:t>
            </w:r>
            <w:r>
              <w:rPr>
                <w:rFonts w:hint="eastAsia"/>
                <w:color w:val="auto"/>
                <w:sz w:val="24"/>
              </w:rPr>
              <w:t>。</w:t>
            </w:r>
          </w:p>
          <w:p>
            <w:pPr>
              <w:adjustRightInd w:val="0"/>
              <w:snapToGrid w:val="0"/>
              <w:spacing w:line="520" w:lineRule="exact"/>
              <w:ind w:firstLine="480" w:firstLineChars="200"/>
              <w:rPr>
                <w:color w:val="auto"/>
                <w:sz w:val="24"/>
              </w:rPr>
            </w:pPr>
            <w:r>
              <w:rPr>
                <w:rFonts w:hint="eastAsia"/>
                <w:color w:val="auto"/>
                <w:sz w:val="24"/>
              </w:rPr>
              <w:t>（2）车辆冲洗废水</w:t>
            </w:r>
          </w:p>
          <w:p>
            <w:pPr>
              <w:adjustRightInd w:val="0"/>
              <w:snapToGrid w:val="0"/>
              <w:spacing w:line="520" w:lineRule="exact"/>
              <w:ind w:firstLine="480" w:firstLineChars="200"/>
              <w:rPr>
                <w:color w:val="auto"/>
                <w:sz w:val="24"/>
              </w:rPr>
            </w:pPr>
            <w:r>
              <w:rPr>
                <w:rFonts w:hint="eastAsia"/>
                <w:color w:val="auto"/>
                <w:sz w:val="24"/>
              </w:rPr>
              <w:t>车辆冲洗废水中主要污染因子为SS、石油类。</w:t>
            </w:r>
          </w:p>
          <w:p>
            <w:pPr>
              <w:adjustRightInd w:val="0"/>
              <w:snapToGrid w:val="0"/>
              <w:spacing w:line="520" w:lineRule="exact"/>
              <w:ind w:firstLine="482" w:firstLineChars="200"/>
              <w:rPr>
                <w:b/>
                <w:bCs/>
                <w:color w:val="auto"/>
                <w:sz w:val="24"/>
              </w:rPr>
            </w:pPr>
            <w:r>
              <w:rPr>
                <w:rFonts w:hint="eastAsia"/>
                <w:b/>
                <w:bCs/>
                <w:color w:val="auto"/>
                <w:sz w:val="24"/>
              </w:rPr>
              <w:t>2.2.3</w:t>
            </w:r>
            <w:r>
              <w:rPr>
                <w:b/>
                <w:bCs/>
                <w:color w:val="auto"/>
                <w:sz w:val="24"/>
              </w:rPr>
              <w:t>噪声</w:t>
            </w:r>
          </w:p>
          <w:p>
            <w:pPr>
              <w:adjustRightInd w:val="0"/>
              <w:snapToGrid w:val="0"/>
              <w:spacing w:line="520" w:lineRule="exact"/>
              <w:ind w:firstLine="480" w:firstLineChars="200"/>
              <w:rPr>
                <w:rFonts w:hint="eastAsia" w:eastAsia="宋体"/>
                <w:color w:val="auto"/>
                <w:sz w:val="24"/>
                <w:lang w:val="en-US" w:eastAsia="zh-CN"/>
              </w:rPr>
            </w:pPr>
            <w:r>
              <w:rPr>
                <w:rFonts w:hint="eastAsia"/>
                <w:color w:val="auto"/>
                <w:sz w:val="24"/>
              </w:rPr>
              <w:t>本项目新增噪声源</w:t>
            </w:r>
            <w:r>
              <w:rPr>
                <w:rFonts w:hint="eastAsia"/>
                <w:color w:val="auto"/>
                <w:sz w:val="24"/>
                <w:lang w:val="en-US" w:eastAsia="zh-CN"/>
              </w:rPr>
              <w:t>主要为提升机及车辆噪声</w:t>
            </w:r>
            <w:r>
              <w:rPr>
                <w:rFonts w:hint="eastAsia"/>
                <w:color w:val="auto"/>
                <w:sz w:val="24"/>
                <w:lang w:eastAsia="zh-CN"/>
              </w:rPr>
              <w:t>，</w:t>
            </w:r>
            <w:r>
              <w:rPr>
                <w:rFonts w:hint="eastAsia"/>
                <w:color w:val="auto"/>
                <w:sz w:val="24"/>
                <w:lang w:val="en-US" w:eastAsia="zh-CN"/>
              </w:rPr>
              <w:t>源强约为</w:t>
            </w:r>
            <w:r>
              <w:rPr>
                <w:rFonts w:hint="eastAsia"/>
                <w:color w:val="auto"/>
                <w:sz w:val="24"/>
              </w:rPr>
              <w:t>70</w:t>
            </w:r>
            <w:r>
              <w:rPr>
                <w:color w:val="auto"/>
                <w:sz w:val="24"/>
              </w:rPr>
              <w:t>~</w:t>
            </w:r>
            <w:r>
              <w:rPr>
                <w:rFonts w:hint="eastAsia"/>
                <w:color w:val="auto"/>
                <w:sz w:val="24"/>
              </w:rPr>
              <w:t>80</w:t>
            </w:r>
            <w:r>
              <w:rPr>
                <w:color w:val="auto"/>
                <w:sz w:val="24"/>
              </w:rPr>
              <w:t>dB（A）</w:t>
            </w:r>
            <w:r>
              <w:rPr>
                <w:rFonts w:hint="eastAsia"/>
                <w:color w:val="auto"/>
                <w:sz w:val="24"/>
                <w:lang w:eastAsia="zh-CN"/>
              </w:rPr>
              <w:t>。</w:t>
            </w:r>
          </w:p>
          <w:p>
            <w:pPr>
              <w:adjustRightInd w:val="0"/>
              <w:snapToGrid w:val="0"/>
              <w:spacing w:line="520" w:lineRule="exact"/>
              <w:ind w:firstLine="482" w:firstLineChars="200"/>
              <w:rPr>
                <w:b/>
                <w:bCs/>
                <w:color w:val="auto"/>
                <w:sz w:val="24"/>
              </w:rPr>
            </w:pPr>
            <w:r>
              <w:rPr>
                <w:rFonts w:hint="eastAsia"/>
                <w:b/>
                <w:bCs/>
                <w:color w:val="auto"/>
                <w:sz w:val="24"/>
              </w:rPr>
              <w:t>2.2.4</w:t>
            </w:r>
            <w:r>
              <w:rPr>
                <w:b/>
                <w:bCs/>
                <w:color w:val="auto"/>
                <w:sz w:val="24"/>
              </w:rPr>
              <w:t>固废</w:t>
            </w:r>
          </w:p>
          <w:p>
            <w:pPr>
              <w:widowControl/>
              <w:spacing w:line="520" w:lineRule="exact"/>
              <w:ind w:firstLine="480" w:firstLineChars="200"/>
              <w:rPr>
                <w:color w:val="auto"/>
                <w:sz w:val="24"/>
              </w:rPr>
            </w:pPr>
            <w:r>
              <w:rPr>
                <w:rFonts w:hint="eastAsia"/>
                <w:color w:val="auto"/>
                <w:sz w:val="24"/>
              </w:rPr>
              <w:t>（1）废包装袋</w:t>
            </w:r>
          </w:p>
          <w:p>
            <w:pPr>
              <w:widowControl/>
              <w:spacing w:line="520" w:lineRule="exact"/>
              <w:ind w:firstLine="480" w:firstLineChars="200"/>
              <w:rPr>
                <w:color w:val="auto"/>
                <w:sz w:val="32"/>
                <w:szCs w:val="32"/>
              </w:rPr>
            </w:pPr>
            <w:r>
              <w:rPr>
                <w:rFonts w:hint="eastAsia"/>
                <w:color w:val="auto"/>
                <w:sz w:val="24"/>
                <w:szCs w:val="32"/>
              </w:rPr>
              <w:t>多孔粒状硝酸铵废弃包装袋。</w:t>
            </w:r>
          </w:p>
          <w:p>
            <w:pPr>
              <w:adjustRightInd w:val="0"/>
              <w:snapToGrid w:val="0"/>
              <w:spacing w:line="520" w:lineRule="exact"/>
              <w:ind w:firstLine="480" w:firstLineChars="200"/>
              <w:rPr>
                <w:bCs/>
                <w:color w:val="auto"/>
                <w:sz w:val="24"/>
              </w:rPr>
            </w:pPr>
            <w:r>
              <w:rPr>
                <w:rFonts w:hint="eastAsia"/>
                <w:bCs/>
                <w:color w:val="auto"/>
                <w:sz w:val="24"/>
              </w:rPr>
              <w:t>（2）废机油</w:t>
            </w:r>
          </w:p>
          <w:p>
            <w:pPr>
              <w:adjustRightInd w:val="0"/>
              <w:snapToGrid w:val="0"/>
              <w:spacing w:line="520" w:lineRule="exact"/>
              <w:ind w:firstLine="480" w:firstLineChars="200"/>
              <w:rPr>
                <w:bCs/>
                <w:color w:val="auto"/>
                <w:sz w:val="24"/>
              </w:rPr>
            </w:pPr>
            <w:r>
              <w:rPr>
                <w:rFonts w:hint="eastAsia"/>
                <w:bCs/>
                <w:color w:val="auto"/>
                <w:sz w:val="24"/>
              </w:rPr>
              <w:t>设备运维过程中产生的废机油。</w:t>
            </w:r>
          </w:p>
          <w:p>
            <w:pPr>
              <w:adjustRightInd w:val="0"/>
              <w:snapToGrid w:val="0"/>
              <w:spacing w:line="520" w:lineRule="exact"/>
              <w:ind w:firstLine="480" w:firstLineChars="200"/>
              <w:rPr>
                <w:bCs/>
                <w:color w:val="auto"/>
                <w:sz w:val="24"/>
              </w:rPr>
            </w:pPr>
            <w:r>
              <w:rPr>
                <w:rFonts w:hint="eastAsia"/>
                <w:bCs/>
                <w:color w:val="auto"/>
                <w:sz w:val="24"/>
              </w:rPr>
              <w:t>（3）浮油渣</w:t>
            </w:r>
          </w:p>
          <w:p>
            <w:pPr>
              <w:pStyle w:val="6"/>
              <w:spacing w:line="520" w:lineRule="exact"/>
              <w:ind w:firstLine="480" w:firstLineChars="200"/>
              <w:rPr>
                <w:b w:val="0"/>
                <w:bCs w:val="0"/>
                <w:color w:val="auto"/>
                <w:sz w:val="24"/>
                <w:szCs w:val="24"/>
              </w:rPr>
            </w:pPr>
            <w:r>
              <w:rPr>
                <w:rFonts w:hint="eastAsia"/>
                <w:b w:val="0"/>
                <w:bCs w:val="0"/>
                <w:color w:val="auto"/>
                <w:sz w:val="24"/>
                <w:szCs w:val="24"/>
              </w:rPr>
              <w:t>隔油沉淀池分离出的浮油渣。</w:t>
            </w:r>
          </w:p>
          <w:p>
            <w:pPr>
              <w:adjustRightInd w:val="0"/>
              <w:snapToGrid w:val="0"/>
              <w:spacing w:line="520" w:lineRule="exact"/>
              <w:ind w:firstLine="480" w:firstLineChars="200"/>
              <w:rPr>
                <w:bCs/>
                <w:color w:val="auto"/>
                <w:sz w:val="24"/>
              </w:rPr>
            </w:pPr>
            <w:r>
              <w:rPr>
                <w:rFonts w:hint="eastAsia"/>
                <w:bCs/>
                <w:color w:val="auto"/>
                <w:sz w:val="24"/>
              </w:rPr>
              <w:t>（4）</w:t>
            </w:r>
            <w:r>
              <w:rPr>
                <w:bCs/>
                <w:color w:val="auto"/>
                <w:sz w:val="24"/>
              </w:rPr>
              <w:t>生活垃圾</w:t>
            </w:r>
          </w:p>
          <w:p>
            <w:pPr>
              <w:adjustRightInd w:val="0"/>
              <w:snapToGrid w:val="0"/>
              <w:spacing w:line="520" w:lineRule="exact"/>
              <w:ind w:firstLine="480" w:firstLineChars="200"/>
              <w:rPr>
                <w:color w:val="auto"/>
                <w:sz w:val="24"/>
              </w:rPr>
            </w:pPr>
            <w:r>
              <w:rPr>
                <w:rFonts w:hint="eastAsia"/>
                <w:bCs/>
                <w:color w:val="auto"/>
                <w:sz w:val="24"/>
              </w:rPr>
              <w:t>员工工作生活中产生的生活垃圾</w:t>
            </w:r>
            <w:r>
              <w:rPr>
                <w:rFonts w:hint="eastAsia"/>
                <w:color w:val="auto"/>
                <w:sz w:val="24"/>
              </w:rPr>
              <w:t>。</w:t>
            </w:r>
          </w:p>
          <w:p>
            <w:pPr>
              <w:adjustRightInd w:val="0"/>
              <w:snapToGrid w:val="0"/>
              <w:spacing w:line="520" w:lineRule="exact"/>
              <w:ind w:firstLine="480" w:firstLineChars="200"/>
              <w:rPr>
                <w:color w:val="auto"/>
                <w:sz w:val="24"/>
              </w:rPr>
            </w:pPr>
            <w:r>
              <w:rPr>
                <w:rFonts w:hint="eastAsia"/>
                <w:color w:val="auto"/>
                <w:sz w:val="24"/>
              </w:rPr>
              <w:t>（5）柴油储罐油泥</w:t>
            </w:r>
          </w:p>
          <w:p>
            <w:pPr>
              <w:adjustRightInd w:val="0"/>
              <w:snapToGrid w:val="0"/>
              <w:spacing w:line="520" w:lineRule="exact"/>
              <w:ind w:firstLine="480" w:firstLineChars="200"/>
              <w:rPr>
                <w:color w:val="auto"/>
                <w:sz w:val="24"/>
              </w:rPr>
            </w:pPr>
            <w:r>
              <w:rPr>
                <w:rFonts w:hint="eastAsia"/>
                <w:color w:val="auto"/>
                <w:sz w:val="24"/>
              </w:rPr>
              <w:t>柴油储存过程中储罐中会产生油泥。</w:t>
            </w:r>
          </w:p>
          <w:p>
            <w:pPr>
              <w:adjustRightInd w:val="0"/>
              <w:snapToGrid w:val="0"/>
              <w:spacing w:line="520" w:lineRule="exact"/>
              <w:ind w:firstLine="480" w:firstLineChars="200"/>
              <w:rPr>
                <w:color w:val="auto"/>
                <w:sz w:val="24"/>
              </w:rPr>
            </w:pPr>
            <w:r>
              <w:rPr>
                <w:rFonts w:hint="eastAsia"/>
                <w:color w:val="auto"/>
                <w:sz w:val="24"/>
              </w:rPr>
              <w:t>综上所述，本项目产污环节见表2-10。</w:t>
            </w:r>
          </w:p>
          <w:p>
            <w:pPr>
              <w:pStyle w:val="36"/>
              <w:rPr>
                <w:color w:val="auto"/>
              </w:rPr>
            </w:pPr>
            <w:r>
              <w:rPr>
                <w:rFonts w:hint="eastAsia"/>
                <w:color w:val="auto"/>
              </w:rPr>
              <w:t>表2-10  运营期主要产污环节一览表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1539"/>
              <w:gridCol w:w="2068"/>
              <w:gridCol w:w="36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tcPr>
                <w:p>
                  <w:pPr>
                    <w:adjustRightInd w:val="0"/>
                    <w:snapToGrid w:val="0"/>
                    <w:jc w:val="center"/>
                    <w:rPr>
                      <w:bCs/>
                      <w:color w:val="auto"/>
                      <w:szCs w:val="21"/>
                    </w:rPr>
                  </w:pPr>
                  <w:r>
                    <w:rPr>
                      <w:bCs/>
                      <w:color w:val="auto"/>
                      <w:szCs w:val="21"/>
                    </w:rPr>
                    <w:t>产污类型</w:t>
                  </w:r>
                </w:p>
              </w:tc>
              <w:tc>
                <w:tcPr>
                  <w:tcW w:w="916" w:type="pct"/>
                </w:tcPr>
                <w:p>
                  <w:pPr>
                    <w:adjustRightInd w:val="0"/>
                    <w:snapToGrid w:val="0"/>
                    <w:jc w:val="center"/>
                    <w:rPr>
                      <w:bCs/>
                      <w:color w:val="auto"/>
                      <w:szCs w:val="21"/>
                    </w:rPr>
                  </w:pPr>
                  <w:r>
                    <w:rPr>
                      <w:bCs/>
                      <w:color w:val="auto"/>
                      <w:szCs w:val="21"/>
                    </w:rPr>
                    <w:t>生产装置</w:t>
                  </w:r>
                </w:p>
              </w:tc>
              <w:tc>
                <w:tcPr>
                  <w:tcW w:w="1231" w:type="pct"/>
                </w:tcPr>
                <w:p>
                  <w:pPr>
                    <w:adjustRightInd w:val="0"/>
                    <w:snapToGrid w:val="0"/>
                    <w:jc w:val="center"/>
                    <w:rPr>
                      <w:bCs/>
                      <w:color w:val="auto"/>
                      <w:szCs w:val="21"/>
                    </w:rPr>
                  </w:pPr>
                  <w:r>
                    <w:rPr>
                      <w:bCs/>
                      <w:color w:val="auto"/>
                      <w:szCs w:val="21"/>
                    </w:rPr>
                    <w:t>污染工序</w:t>
                  </w:r>
                </w:p>
              </w:tc>
              <w:tc>
                <w:tcPr>
                  <w:tcW w:w="2188" w:type="pct"/>
                </w:tcPr>
                <w:p>
                  <w:pPr>
                    <w:adjustRightInd w:val="0"/>
                    <w:snapToGrid w:val="0"/>
                    <w:jc w:val="center"/>
                    <w:rPr>
                      <w:bCs/>
                      <w:color w:val="auto"/>
                      <w:szCs w:val="21"/>
                    </w:rPr>
                  </w:pPr>
                  <w:r>
                    <w:rPr>
                      <w:bCs/>
                      <w:color w:val="auto"/>
                      <w:szCs w:val="21"/>
                    </w:rPr>
                    <w:t>主要污染因子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restart"/>
                </w:tcPr>
                <w:p>
                  <w:pPr>
                    <w:adjustRightInd w:val="0"/>
                    <w:snapToGrid w:val="0"/>
                    <w:jc w:val="center"/>
                    <w:rPr>
                      <w:bCs/>
                      <w:color w:val="auto"/>
                      <w:szCs w:val="21"/>
                    </w:rPr>
                  </w:pPr>
                  <w:r>
                    <w:rPr>
                      <w:rFonts w:hint="eastAsia"/>
                      <w:bCs/>
                      <w:color w:val="auto"/>
                      <w:szCs w:val="21"/>
                    </w:rPr>
                    <w:t>废气</w:t>
                  </w:r>
                </w:p>
              </w:tc>
              <w:tc>
                <w:tcPr>
                  <w:tcW w:w="916" w:type="pct"/>
                </w:tcPr>
                <w:p>
                  <w:pPr>
                    <w:adjustRightInd w:val="0"/>
                    <w:snapToGrid w:val="0"/>
                    <w:jc w:val="center"/>
                    <w:rPr>
                      <w:bCs/>
                      <w:color w:val="auto"/>
                      <w:szCs w:val="21"/>
                    </w:rPr>
                  </w:pPr>
                  <w:r>
                    <w:rPr>
                      <w:rFonts w:hint="eastAsia"/>
                      <w:bCs/>
                      <w:color w:val="auto"/>
                      <w:szCs w:val="21"/>
                    </w:rPr>
                    <w:t>柴油储罐</w:t>
                  </w:r>
                </w:p>
              </w:tc>
              <w:tc>
                <w:tcPr>
                  <w:tcW w:w="1231" w:type="pct"/>
                </w:tcPr>
                <w:p>
                  <w:pPr>
                    <w:adjustRightInd w:val="0"/>
                    <w:snapToGrid w:val="0"/>
                    <w:jc w:val="center"/>
                    <w:rPr>
                      <w:bCs/>
                      <w:color w:val="auto"/>
                      <w:szCs w:val="21"/>
                    </w:rPr>
                  </w:pPr>
                  <w:r>
                    <w:rPr>
                      <w:rFonts w:hint="eastAsia"/>
                      <w:bCs/>
                      <w:color w:val="auto"/>
                      <w:szCs w:val="21"/>
                    </w:rPr>
                    <w:t>柴油储罐</w:t>
                  </w:r>
                </w:p>
              </w:tc>
              <w:tc>
                <w:tcPr>
                  <w:tcW w:w="2188" w:type="pct"/>
                </w:tcPr>
                <w:p>
                  <w:pPr>
                    <w:adjustRightInd w:val="0"/>
                    <w:snapToGrid w:val="0"/>
                    <w:jc w:val="center"/>
                    <w:rPr>
                      <w:bCs/>
                      <w:color w:val="auto"/>
                      <w:szCs w:val="21"/>
                    </w:rPr>
                  </w:pPr>
                  <w:r>
                    <w:rPr>
                      <w:rFonts w:hint="eastAsia"/>
                      <w:bCs/>
                      <w:color w:val="auto"/>
                      <w:szCs w:val="21"/>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continue"/>
                </w:tcPr>
                <w:p>
                  <w:pPr>
                    <w:adjustRightInd w:val="0"/>
                    <w:snapToGrid w:val="0"/>
                    <w:jc w:val="center"/>
                    <w:rPr>
                      <w:bCs/>
                      <w:color w:val="auto"/>
                      <w:szCs w:val="21"/>
                    </w:rPr>
                  </w:pPr>
                </w:p>
              </w:tc>
              <w:tc>
                <w:tcPr>
                  <w:tcW w:w="916" w:type="pct"/>
                </w:tcPr>
                <w:p>
                  <w:pPr>
                    <w:adjustRightInd w:val="0"/>
                    <w:snapToGrid w:val="0"/>
                    <w:jc w:val="center"/>
                    <w:rPr>
                      <w:bCs/>
                      <w:color w:val="auto"/>
                      <w:szCs w:val="21"/>
                    </w:rPr>
                  </w:pPr>
                  <w:r>
                    <w:rPr>
                      <w:rFonts w:hint="eastAsia"/>
                      <w:bCs/>
                      <w:color w:val="auto"/>
                      <w:szCs w:val="21"/>
                    </w:rPr>
                    <w:t>上料工房</w:t>
                  </w:r>
                </w:p>
              </w:tc>
              <w:tc>
                <w:tcPr>
                  <w:tcW w:w="1231" w:type="pct"/>
                </w:tcPr>
                <w:p>
                  <w:pPr>
                    <w:adjustRightInd w:val="0"/>
                    <w:snapToGrid w:val="0"/>
                    <w:jc w:val="center"/>
                    <w:rPr>
                      <w:bCs/>
                      <w:color w:val="auto"/>
                      <w:szCs w:val="21"/>
                    </w:rPr>
                  </w:pPr>
                  <w:r>
                    <w:rPr>
                      <w:rFonts w:hint="eastAsia"/>
                      <w:bCs/>
                      <w:color w:val="auto"/>
                      <w:szCs w:val="21"/>
                    </w:rPr>
                    <w:t>硝酸铵上料工段</w:t>
                  </w:r>
                </w:p>
              </w:tc>
              <w:tc>
                <w:tcPr>
                  <w:tcW w:w="2188" w:type="pct"/>
                </w:tcPr>
                <w:p>
                  <w:pPr>
                    <w:adjustRightInd w:val="0"/>
                    <w:snapToGrid w:val="0"/>
                    <w:jc w:val="center"/>
                    <w:rPr>
                      <w:bCs/>
                      <w:color w:val="auto"/>
                      <w:szCs w:val="21"/>
                    </w:rPr>
                  </w:pPr>
                  <w:r>
                    <w:rPr>
                      <w:rFonts w:hint="eastAsia"/>
                      <w:bCs/>
                      <w:color w:val="auto"/>
                      <w:szCs w:val="21"/>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continue"/>
                </w:tcPr>
                <w:p>
                  <w:pPr>
                    <w:adjustRightInd w:val="0"/>
                    <w:snapToGrid w:val="0"/>
                    <w:jc w:val="center"/>
                    <w:rPr>
                      <w:bCs/>
                      <w:color w:val="auto"/>
                      <w:szCs w:val="21"/>
                    </w:rPr>
                  </w:pPr>
                </w:p>
              </w:tc>
              <w:tc>
                <w:tcPr>
                  <w:tcW w:w="916" w:type="pct"/>
                </w:tcPr>
                <w:p>
                  <w:pPr>
                    <w:adjustRightInd w:val="0"/>
                    <w:snapToGrid w:val="0"/>
                    <w:jc w:val="center"/>
                    <w:rPr>
                      <w:bCs/>
                      <w:color w:val="auto"/>
                      <w:szCs w:val="21"/>
                    </w:rPr>
                  </w:pPr>
                  <w:r>
                    <w:rPr>
                      <w:rFonts w:hint="eastAsia"/>
                      <w:bCs/>
                      <w:color w:val="auto"/>
                      <w:szCs w:val="21"/>
                    </w:rPr>
                    <w:t>硝酸铵库</w:t>
                  </w:r>
                </w:p>
              </w:tc>
              <w:tc>
                <w:tcPr>
                  <w:tcW w:w="1231" w:type="pct"/>
                </w:tcPr>
                <w:p>
                  <w:pPr>
                    <w:adjustRightInd w:val="0"/>
                    <w:snapToGrid w:val="0"/>
                    <w:jc w:val="center"/>
                    <w:rPr>
                      <w:bCs/>
                      <w:color w:val="auto"/>
                      <w:szCs w:val="21"/>
                    </w:rPr>
                  </w:pPr>
                  <w:r>
                    <w:rPr>
                      <w:rFonts w:hint="eastAsia"/>
                      <w:bCs/>
                      <w:color w:val="auto"/>
                      <w:szCs w:val="21"/>
                    </w:rPr>
                    <w:t>硝酸铵库</w:t>
                  </w:r>
                </w:p>
              </w:tc>
              <w:tc>
                <w:tcPr>
                  <w:tcW w:w="2188" w:type="pct"/>
                </w:tcPr>
                <w:p>
                  <w:pPr>
                    <w:adjustRightInd w:val="0"/>
                    <w:snapToGrid w:val="0"/>
                    <w:jc w:val="center"/>
                    <w:rPr>
                      <w:rFonts w:hint="default" w:eastAsia="宋体"/>
                      <w:bCs/>
                      <w:color w:val="auto"/>
                      <w:szCs w:val="21"/>
                      <w:lang w:val="en-US" w:eastAsia="zh-CN"/>
                    </w:rPr>
                  </w:pPr>
                  <w:r>
                    <w:rPr>
                      <w:rFonts w:hint="eastAsia"/>
                      <w:bCs/>
                      <w:color w:val="auto"/>
                      <w:szCs w:val="21"/>
                    </w:rPr>
                    <w:t>氨</w:t>
                  </w:r>
                  <w:r>
                    <w:rPr>
                      <w:rFonts w:hint="eastAsia"/>
                      <w:bCs/>
                      <w:color w:val="auto"/>
                      <w:szCs w:val="21"/>
                      <w:lang w:eastAsia="zh-CN"/>
                    </w:rPr>
                    <w:t>、</w:t>
                  </w:r>
                  <w:r>
                    <w:rPr>
                      <w:rFonts w:hint="eastAsia"/>
                      <w:bCs/>
                      <w:color w:val="auto"/>
                      <w:szCs w:val="21"/>
                      <w:lang w:val="en-US" w:eastAsia="zh-CN"/>
                    </w:rPr>
                    <w:t>臭气浓度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restart"/>
                  <w:vAlign w:val="center"/>
                </w:tcPr>
                <w:p>
                  <w:pPr>
                    <w:adjustRightInd w:val="0"/>
                    <w:snapToGrid w:val="0"/>
                    <w:jc w:val="center"/>
                    <w:rPr>
                      <w:bCs/>
                      <w:color w:val="auto"/>
                      <w:szCs w:val="21"/>
                    </w:rPr>
                  </w:pPr>
                  <w:r>
                    <w:rPr>
                      <w:rFonts w:hint="eastAsia"/>
                      <w:bCs/>
                      <w:color w:val="auto"/>
                      <w:szCs w:val="21"/>
                    </w:rPr>
                    <w:t>废水</w:t>
                  </w:r>
                </w:p>
              </w:tc>
              <w:tc>
                <w:tcPr>
                  <w:tcW w:w="916" w:type="pct"/>
                  <w:vAlign w:val="center"/>
                </w:tcPr>
                <w:p>
                  <w:pPr>
                    <w:adjustRightInd w:val="0"/>
                    <w:snapToGrid w:val="0"/>
                    <w:jc w:val="center"/>
                    <w:rPr>
                      <w:bCs/>
                      <w:color w:val="auto"/>
                      <w:szCs w:val="21"/>
                    </w:rPr>
                  </w:pPr>
                  <w:r>
                    <w:rPr>
                      <w:rFonts w:hint="eastAsia"/>
                      <w:bCs/>
                      <w:color w:val="auto"/>
                      <w:szCs w:val="21"/>
                    </w:rPr>
                    <w:t>洗车场</w:t>
                  </w:r>
                </w:p>
              </w:tc>
              <w:tc>
                <w:tcPr>
                  <w:tcW w:w="1231" w:type="pct"/>
                  <w:vAlign w:val="center"/>
                </w:tcPr>
                <w:p>
                  <w:pPr>
                    <w:adjustRightInd w:val="0"/>
                    <w:snapToGrid w:val="0"/>
                    <w:jc w:val="center"/>
                    <w:rPr>
                      <w:bCs/>
                      <w:color w:val="auto"/>
                      <w:szCs w:val="21"/>
                    </w:rPr>
                  </w:pPr>
                  <w:r>
                    <w:rPr>
                      <w:rFonts w:hint="eastAsia"/>
                      <w:bCs/>
                      <w:color w:val="auto"/>
                      <w:szCs w:val="21"/>
                    </w:rPr>
                    <w:t>车辆冲洗废水</w:t>
                  </w:r>
                </w:p>
              </w:tc>
              <w:tc>
                <w:tcPr>
                  <w:tcW w:w="2188" w:type="pct"/>
                  <w:vAlign w:val="center"/>
                </w:tcPr>
                <w:p>
                  <w:pPr>
                    <w:adjustRightInd w:val="0"/>
                    <w:snapToGrid w:val="0"/>
                    <w:jc w:val="center"/>
                    <w:rPr>
                      <w:bCs/>
                      <w:color w:val="auto"/>
                      <w:szCs w:val="21"/>
                    </w:rPr>
                  </w:pPr>
                  <w:r>
                    <w:rPr>
                      <w:rFonts w:hint="eastAsia"/>
                      <w:bCs/>
                      <w:color w:val="auto"/>
                      <w:szCs w:val="21"/>
                    </w:rPr>
                    <w:t>SS、石油类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continue"/>
                  <w:vAlign w:val="center"/>
                </w:tcPr>
                <w:p>
                  <w:pPr>
                    <w:adjustRightInd w:val="0"/>
                    <w:snapToGrid w:val="0"/>
                    <w:jc w:val="center"/>
                    <w:rPr>
                      <w:bCs/>
                      <w:color w:val="auto"/>
                      <w:szCs w:val="21"/>
                    </w:rPr>
                  </w:pPr>
                </w:p>
              </w:tc>
              <w:tc>
                <w:tcPr>
                  <w:tcW w:w="916" w:type="pct"/>
                  <w:vAlign w:val="center"/>
                </w:tcPr>
                <w:p>
                  <w:pPr>
                    <w:adjustRightInd w:val="0"/>
                    <w:snapToGrid w:val="0"/>
                    <w:jc w:val="center"/>
                    <w:rPr>
                      <w:bCs/>
                      <w:color w:val="auto"/>
                      <w:szCs w:val="21"/>
                    </w:rPr>
                  </w:pPr>
                  <w:r>
                    <w:rPr>
                      <w:rFonts w:hint="eastAsia"/>
                      <w:bCs/>
                      <w:color w:val="auto"/>
                      <w:szCs w:val="21"/>
                    </w:rPr>
                    <w:t>办公生活</w:t>
                  </w:r>
                </w:p>
              </w:tc>
              <w:tc>
                <w:tcPr>
                  <w:tcW w:w="1231" w:type="pct"/>
                  <w:vAlign w:val="center"/>
                </w:tcPr>
                <w:p>
                  <w:pPr>
                    <w:adjustRightInd w:val="0"/>
                    <w:snapToGrid w:val="0"/>
                    <w:jc w:val="center"/>
                    <w:rPr>
                      <w:bCs/>
                      <w:color w:val="auto"/>
                      <w:szCs w:val="21"/>
                    </w:rPr>
                  </w:pPr>
                  <w:r>
                    <w:rPr>
                      <w:rFonts w:hint="eastAsia"/>
                      <w:bCs/>
                      <w:color w:val="auto"/>
                      <w:szCs w:val="21"/>
                    </w:rPr>
                    <w:t>生活污水</w:t>
                  </w:r>
                </w:p>
              </w:tc>
              <w:tc>
                <w:tcPr>
                  <w:tcW w:w="2188" w:type="pct"/>
                  <w:vAlign w:val="center"/>
                </w:tcPr>
                <w:p>
                  <w:pPr>
                    <w:adjustRightInd w:val="0"/>
                    <w:snapToGrid w:val="0"/>
                    <w:jc w:val="center"/>
                    <w:rPr>
                      <w:bCs/>
                      <w:color w:val="auto"/>
                      <w:szCs w:val="21"/>
                    </w:rPr>
                  </w:pPr>
                  <w:r>
                    <w:rPr>
                      <w:rFonts w:hint="eastAsia"/>
                      <w:bCs/>
                      <w:color w:val="auto"/>
                      <w:szCs w:val="21"/>
                    </w:rPr>
                    <w:t>COD、NH</w:t>
                  </w:r>
                  <w:r>
                    <w:rPr>
                      <w:rFonts w:hint="eastAsia"/>
                      <w:bCs/>
                      <w:color w:val="auto"/>
                      <w:szCs w:val="21"/>
                      <w:vertAlign w:val="subscript"/>
                    </w:rPr>
                    <w:t>3</w:t>
                  </w:r>
                  <w:r>
                    <w:rPr>
                      <w:rFonts w:hint="eastAsia"/>
                      <w:bCs/>
                      <w:color w:val="auto"/>
                      <w:szCs w:val="21"/>
                    </w:rPr>
                    <w:t>-N、BOD</w:t>
                  </w:r>
                  <w:r>
                    <w:rPr>
                      <w:rFonts w:hint="eastAsia"/>
                      <w:bCs/>
                      <w:color w:val="auto"/>
                      <w:szCs w:val="21"/>
                      <w:vertAlign w:val="subscript"/>
                    </w:rPr>
                    <w:t>5</w:t>
                  </w:r>
                  <w:r>
                    <w:rPr>
                      <w:rFonts w:hint="eastAsia"/>
                      <w:bCs/>
                      <w:color w:val="auto"/>
                      <w:szCs w:val="21"/>
                    </w:rPr>
                    <w:t>、SS、石油类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Align w:val="center"/>
                </w:tcPr>
                <w:p>
                  <w:pPr>
                    <w:adjustRightInd w:val="0"/>
                    <w:snapToGrid w:val="0"/>
                    <w:jc w:val="center"/>
                    <w:rPr>
                      <w:bCs/>
                      <w:color w:val="auto"/>
                      <w:szCs w:val="21"/>
                    </w:rPr>
                  </w:pPr>
                  <w:r>
                    <w:rPr>
                      <w:rFonts w:hint="eastAsia"/>
                      <w:bCs/>
                      <w:color w:val="auto"/>
                      <w:szCs w:val="21"/>
                    </w:rPr>
                    <w:t>噪声</w:t>
                  </w:r>
                </w:p>
              </w:tc>
              <w:tc>
                <w:tcPr>
                  <w:tcW w:w="916" w:type="pct"/>
                  <w:vAlign w:val="center"/>
                </w:tcPr>
                <w:p>
                  <w:pPr>
                    <w:adjustRightInd w:val="0"/>
                    <w:snapToGrid w:val="0"/>
                    <w:jc w:val="center"/>
                    <w:rPr>
                      <w:bCs/>
                      <w:color w:val="auto"/>
                      <w:szCs w:val="21"/>
                    </w:rPr>
                  </w:pPr>
                  <w:r>
                    <w:rPr>
                      <w:rFonts w:hint="eastAsia"/>
                      <w:bCs/>
                      <w:color w:val="auto"/>
                      <w:szCs w:val="21"/>
                    </w:rPr>
                    <w:t>生产设备</w:t>
                  </w:r>
                </w:p>
              </w:tc>
              <w:tc>
                <w:tcPr>
                  <w:tcW w:w="1231" w:type="pct"/>
                  <w:vAlign w:val="center"/>
                </w:tcPr>
                <w:p>
                  <w:pPr>
                    <w:adjustRightInd w:val="0"/>
                    <w:snapToGrid w:val="0"/>
                    <w:jc w:val="center"/>
                    <w:rPr>
                      <w:bCs/>
                      <w:color w:val="auto"/>
                      <w:szCs w:val="21"/>
                    </w:rPr>
                  </w:pPr>
                  <w:r>
                    <w:rPr>
                      <w:rFonts w:hint="eastAsia"/>
                      <w:bCs/>
                      <w:color w:val="auto"/>
                      <w:szCs w:val="21"/>
                    </w:rPr>
                    <w:t>设备噪声</w:t>
                  </w:r>
                </w:p>
              </w:tc>
              <w:tc>
                <w:tcPr>
                  <w:tcW w:w="2188" w:type="pct"/>
                  <w:vAlign w:val="center"/>
                </w:tcPr>
                <w:p>
                  <w:pPr>
                    <w:adjustRightInd w:val="0"/>
                    <w:snapToGrid w:val="0"/>
                    <w:jc w:val="center"/>
                    <w:rPr>
                      <w:bCs/>
                      <w:color w:val="auto"/>
                      <w:szCs w:val="21"/>
                    </w:rPr>
                  </w:pPr>
                  <w:r>
                    <w:rPr>
                      <w:rFonts w:hint="eastAsia"/>
                      <w:bCs/>
                      <w:color w:val="auto"/>
                      <w:szCs w:val="21"/>
                    </w:rPr>
                    <w:t>等效连续A声级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restart"/>
                  <w:vAlign w:val="center"/>
                </w:tcPr>
                <w:p>
                  <w:pPr>
                    <w:adjustRightInd w:val="0"/>
                    <w:snapToGrid w:val="0"/>
                    <w:jc w:val="center"/>
                    <w:rPr>
                      <w:bCs/>
                      <w:color w:val="auto"/>
                      <w:szCs w:val="21"/>
                    </w:rPr>
                  </w:pPr>
                  <w:r>
                    <w:rPr>
                      <w:rFonts w:hint="eastAsia"/>
                      <w:bCs/>
                      <w:color w:val="auto"/>
                      <w:szCs w:val="21"/>
                    </w:rPr>
                    <w:t>固废</w:t>
                  </w:r>
                </w:p>
              </w:tc>
              <w:tc>
                <w:tcPr>
                  <w:tcW w:w="916" w:type="pct"/>
                  <w:vAlign w:val="center"/>
                </w:tcPr>
                <w:p>
                  <w:pPr>
                    <w:adjustRightInd w:val="0"/>
                    <w:snapToGrid w:val="0"/>
                    <w:jc w:val="center"/>
                    <w:rPr>
                      <w:bCs/>
                      <w:color w:val="auto"/>
                      <w:szCs w:val="21"/>
                    </w:rPr>
                  </w:pPr>
                  <w:r>
                    <w:rPr>
                      <w:rFonts w:hint="eastAsia"/>
                      <w:bCs/>
                      <w:color w:val="auto"/>
                      <w:szCs w:val="21"/>
                    </w:rPr>
                    <w:t>废包装袋</w:t>
                  </w:r>
                </w:p>
              </w:tc>
              <w:tc>
                <w:tcPr>
                  <w:tcW w:w="1231" w:type="pct"/>
                  <w:vAlign w:val="center"/>
                </w:tcPr>
                <w:p>
                  <w:pPr>
                    <w:adjustRightInd w:val="0"/>
                    <w:snapToGrid w:val="0"/>
                    <w:jc w:val="center"/>
                    <w:rPr>
                      <w:bCs/>
                      <w:color w:val="auto"/>
                      <w:szCs w:val="21"/>
                    </w:rPr>
                  </w:pPr>
                  <w:r>
                    <w:rPr>
                      <w:rFonts w:hint="eastAsia"/>
                      <w:bCs/>
                      <w:color w:val="auto"/>
                      <w:szCs w:val="21"/>
                    </w:rPr>
                    <w:t>原材料包装</w:t>
                  </w:r>
                </w:p>
              </w:tc>
              <w:tc>
                <w:tcPr>
                  <w:tcW w:w="2188" w:type="pct"/>
                  <w:vAlign w:val="center"/>
                </w:tcPr>
                <w:p>
                  <w:pPr>
                    <w:adjustRightInd w:val="0"/>
                    <w:snapToGrid w:val="0"/>
                    <w:jc w:val="center"/>
                    <w:rPr>
                      <w:bCs/>
                      <w:color w:val="auto"/>
                      <w:szCs w:val="21"/>
                    </w:rPr>
                  </w:pPr>
                  <w:r>
                    <w:rPr>
                      <w:rFonts w:hint="eastAsia"/>
                      <w:bCs/>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continue"/>
                  <w:vAlign w:val="center"/>
                </w:tcPr>
                <w:p>
                  <w:pPr>
                    <w:adjustRightInd w:val="0"/>
                    <w:snapToGrid w:val="0"/>
                    <w:jc w:val="center"/>
                    <w:rPr>
                      <w:bCs/>
                      <w:color w:val="auto"/>
                      <w:szCs w:val="21"/>
                    </w:rPr>
                  </w:pPr>
                </w:p>
              </w:tc>
              <w:tc>
                <w:tcPr>
                  <w:tcW w:w="916" w:type="pct"/>
                  <w:vAlign w:val="center"/>
                </w:tcPr>
                <w:p>
                  <w:pPr>
                    <w:adjustRightInd w:val="0"/>
                    <w:snapToGrid w:val="0"/>
                    <w:jc w:val="center"/>
                    <w:rPr>
                      <w:bCs/>
                      <w:color w:val="auto"/>
                      <w:szCs w:val="21"/>
                    </w:rPr>
                  </w:pPr>
                  <w:r>
                    <w:rPr>
                      <w:rFonts w:hint="eastAsia"/>
                      <w:bCs/>
                      <w:color w:val="auto"/>
                      <w:szCs w:val="21"/>
                    </w:rPr>
                    <w:t>柴油储罐油泥</w:t>
                  </w:r>
                </w:p>
              </w:tc>
              <w:tc>
                <w:tcPr>
                  <w:tcW w:w="1231" w:type="pct"/>
                  <w:vAlign w:val="center"/>
                </w:tcPr>
                <w:p>
                  <w:pPr>
                    <w:adjustRightInd w:val="0"/>
                    <w:snapToGrid w:val="0"/>
                    <w:jc w:val="center"/>
                    <w:rPr>
                      <w:bCs/>
                      <w:color w:val="auto"/>
                      <w:szCs w:val="21"/>
                    </w:rPr>
                  </w:pPr>
                  <w:r>
                    <w:rPr>
                      <w:rFonts w:hint="eastAsia"/>
                      <w:color w:val="auto"/>
                      <w:szCs w:val="21"/>
                    </w:rPr>
                    <w:t>柴油储存</w:t>
                  </w:r>
                </w:p>
              </w:tc>
              <w:tc>
                <w:tcPr>
                  <w:tcW w:w="2188" w:type="pct"/>
                  <w:vAlign w:val="center"/>
                </w:tcPr>
                <w:p>
                  <w:pPr>
                    <w:adjustRightInd w:val="0"/>
                    <w:snapToGrid w:val="0"/>
                    <w:jc w:val="center"/>
                    <w:rPr>
                      <w:bCs/>
                      <w:color w:val="auto"/>
                      <w:szCs w:val="21"/>
                    </w:rPr>
                  </w:pPr>
                  <w:r>
                    <w:rPr>
                      <w:rFonts w:hint="eastAsia"/>
                      <w:color w:val="auto"/>
                      <w:szCs w:val="21"/>
                    </w:rPr>
                    <w:t>油泥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continue"/>
                  <w:vAlign w:val="center"/>
                </w:tcPr>
                <w:p>
                  <w:pPr>
                    <w:adjustRightInd w:val="0"/>
                    <w:snapToGrid w:val="0"/>
                    <w:jc w:val="center"/>
                    <w:rPr>
                      <w:bCs/>
                      <w:color w:val="auto"/>
                      <w:szCs w:val="21"/>
                    </w:rPr>
                  </w:pPr>
                </w:p>
              </w:tc>
              <w:tc>
                <w:tcPr>
                  <w:tcW w:w="916" w:type="pct"/>
                  <w:vAlign w:val="center"/>
                </w:tcPr>
                <w:p>
                  <w:pPr>
                    <w:adjustRightInd w:val="0"/>
                    <w:snapToGrid w:val="0"/>
                    <w:jc w:val="center"/>
                    <w:rPr>
                      <w:bCs/>
                      <w:color w:val="auto"/>
                      <w:szCs w:val="21"/>
                    </w:rPr>
                  </w:pPr>
                  <w:r>
                    <w:rPr>
                      <w:rFonts w:hint="eastAsia"/>
                      <w:bCs/>
                      <w:color w:val="auto"/>
                      <w:szCs w:val="21"/>
                    </w:rPr>
                    <w:t>废油渣</w:t>
                  </w:r>
                </w:p>
              </w:tc>
              <w:tc>
                <w:tcPr>
                  <w:tcW w:w="1231" w:type="pct"/>
                  <w:vAlign w:val="center"/>
                </w:tcPr>
                <w:p>
                  <w:pPr>
                    <w:adjustRightInd w:val="0"/>
                    <w:snapToGrid w:val="0"/>
                    <w:jc w:val="center"/>
                    <w:rPr>
                      <w:bCs/>
                      <w:color w:val="auto"/>
                      <w:szCs w:val="21"/>
                    </w:rPr>
                  </w:pPr>
                  <w:r>
                    <w:rPr>
                      <w:rFonts w:hint="eastAsia"/>
                      <w:bCs/>
                      <w:color w:val="auto"/>
                      <w:szCs w:val="21"/>
                    </w:rPr>
                    <w:t>隔油沉淀池沉渣</w:t>
                  </w:r>
                </w:p>
              </w:tc>
              <w:tc>
                <w:tcPr>
                  <w:tcW w:w="2188" w:type="pct"/>
                  <w:vAlign w:val="center"/>
                </w:tcPr>
                <w:p>
                  <w:pPr>
                    <w:adjustRightInd w:val="0"/>
                    <w:snapToGrid w:val="0"/>
                    <w:jc w:val="center"/>
                    <w:rPr>
                      <w:bCs/>
                      <w:color w:val="auto"/>
                      <w:szCs w:val="21"/>
                    </w:rPr>
                  </w:pPr>
                  <w:r>
                    <w:rPr>
                      <w:rFonts w:hint="eastAsia"/>
                      <w:bCs/>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continue"/>
                  <w:vAlign w:val="center"/>
                </w:tcPr>
                <w:p>
                  <w:pPr>
                    <w:adjustRightInd w:val="0"/>
                    <w:snapToGrid w:val="0"/>
                    <w:jc w:val="center"/>
                    <w:rPr>
                      <w:bCs/>
                      <w:color w:val="auto"/>
                      <w:szCs w:val="21"/>
                    </w:rPr>
                  </w:pPr>
                </w:p>
              </w:tc>
              <w:tc>
                <w:tcPr>
                  <w:tcW w:w="916" w:type="pct"/>
                  <w:vAlign w:val="center"/>
                </w:tcPr>
                <w:p>
                  <w:pPr>
                    <w:adjustRightInd w:val="0"/>
                    <w:snapToGrid w:val="0"/>
                    <w:jc w:val="center"/>
                    <w:rPr>
                      <w:bCs/>
                      <w:color w:val="auto"/>
                      <w:szCs w:val="21"/>
                    </w:rPr>
                  </w:pPr>
                  <w:r>
                    <w:rPr>
                      <w:rFonts w:hint="eastAsia"/>
                      <w:bCs/>
                      <w:color w:val="auto"/>
                      <w:szCs w:val="21"/>
                    </w:rPr>
                    <w:t>废机油</w:t>
                  </w:r>
                </w:p>
              </w:tc>
              <w:tc>
                <w:tcPr>
                  <w:tcW w:w="1231" w:type="pct"/>
                  <w:vAlign w:val="center"/>
                </w:tcPr>
                <w:p>
                  <w:pPr>
                    <w:adjustRightInd w:val="0"/>
                    <w:snapToGrid w:val="0"/>
                    <w:jc w:val="center"/>
                    <w:rPr>
                      <w:bCs/>
                      <w:color w:val="auto"/>
                      <w:szCs w:val="21"/>
                    </w:rPr>
                  </w:pPr>
                  <w:r>
                    <w:rPr>
                      <w:rFonts w:hint="eastAsia"/>
                      <w:bCs/>
                      <w:color w:val="auto"/>
                      <w:szCs w:val="21"/>
                    </w:rPr>
                    <w:t>设备维修保养</w:t>
                  </w:r>
                </w:p>
              </w:tc>
              <w:tc>
                <w:tcPr>
                  <w:tcW w:w="2188" w:type="pct"/>
                  <w:vAlign w:val="center"/>
                </w:tcPr>
                <w:p>
                  <w:pPr>
                    <w:adjustRightInd w:val="0"/>
                    <w:snapToGrid w:val="0"/>
                    <w:jc w:val="center"/>
                    <w:rPr>
                      <w:bCs/>
                      <w:color w:val="auto"/>
                      <w:szCs w:val="21"/>
                    </w:rPr>
                  </w:pPr>
                  <w:r>
                    <w:rPr>
                      <w:rFonts w:hint="eastAsia"/>
                      <w:bCs/>
                      <w:color w:val="auto"/>
                      <w:szCs w:val="21"/>
                    </w:rPr>
                    <w:t>废机油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continue"/>
                  <w:vAlign w:val="center"/>
                </w:tcPr>
                <w:p>
                  <w:pPr>
                    <w:adjustRightInd w:val="0"/>
                    <w:snapToGrid w:val="0"/>
                    <w:jc w:val="center"/>
                    <w:rPr>
                      <w:bCs/>
                      <w:color w:val="auto"/>
                      <w:szCs w:val="21"/>
                    </w:rPr>
                  </w:pPr>
                </w:p>
              </w:tc>
              <w:tc>
                <w:tcPr>
                  <w:tcW w:w="916" w:type="pct"/>
                  <w:vAlign w:val="center"/>
                </w:tcPr>
                <w:p>
                  <w:pPr>
                    <w:adjustRightInd w:val="0"/>
                    <w:snapToGrid w:val="0"/>
                    <w:jc w:val="center"/>
                    <w:rPr>
                      <w:bCs/>
                      <w:color w:val="auto"/>
                      <w:szCs w:val="21"/>
                    </w:rPr>
                  </w:pPr>
                  <w:r>
                    <w:rPr>
                      <w:rFonts w:hint="eastAsia"/>
                      <w:bCs/>
                      <w:color w:val="auto"/>
                      <w:szCs w:val="21"/>
                    </w:rPr>
                    <w:t>办公生活</w:t>
                  </w:r>
                </w:p>
              </w:tc>
              <w:tc>
                <w:tcPr>
                  <w:tcW w:w="1231" w:type="pct"/>
                  <w:vAlign w:val="center"/>
                </w:tcPr>
                <w:p>
                  <w:pPr>
                    <w:adjustRightInd w:val="0"/>
                    <w:snapToGrid w:val="0"/>
                    <w:jc w:val="center"/>
                    <w:rPr>
                      <w:bCs/>
                      <w:color w:val="auto"/>
                      <w:szCs w:val="21"/>
                    </w:rPr>
                  </w:pPr>
                  <w:r>
                    <w:rPr>
                      <w:rFonts w:hint="eastAsia"/>
                      <w:bCs/>
                      <w:color w:val="auto"/>
                      <w:szCs w:val="21"/>
                    </w:rPr>
                    <w:t>办公生活</w:t>
                  </w:r>
                </w:p>
              </w:tc>
              <w:tc>
                <w:tcPr>
                  <w:tcW w:w="2188" w:type="pct"/>
                  <w:vAlign w:val="center"/>
                </w:tcPr>
                <w:p>
                  <w:pPr>
                    <w:adjustRightInd w:val="0"/>
                    <w:snapToGrid w:val="0"/>
                    <w:jc w:val="center"/>
                    <w:rPr>
                      <w:bCs/>
                      <w:color w:val="auto"/>
                      <w:szCs w:val="21"/>
                    </w:rPr>
                  </w:pPr>
                  <w:r>
                    <w:rPr>
                      <w:rFonts w:hint="eastAsia"/>
                      <w:bCs/>
                      <w:color w:val="auto"/>
                      <w:szCs w:val="21"/>
                    </w:rPr>
                    <w:t>生活垃圾</w:t>
                  </w:r>
                </w:p>
              </w:tc>
            </w:tr>
          </w:tbl>
          <w:p>
            <w:pPr>
              <w:pStyle w:val="27"/>
              <w:ind w:left="0" w:leftChars="0" w:firstLine="0" w:firstLineChars="0"/>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71" w:hRule="atLeast"/>
          <w:jc w:val="center"/>
        </w:trPr>
        <w:tc>
          <w:tcPr>
            <w:tcW w:w="533" w:type="dxa"/>
            <w:vAlign w:val="center"/>
          </w:tcPr>
          <w:p>
            <w:pPr>
              <w:pStyle w:val="24"/>
              <w:adjustRightInd w:val="0"/>
              <w:snapToGrid w:val="0"/>
              <w:spacing w:before="0" w:beforeAutospacing="0" w:after="0" w:afterAutospacing="0"/>
              <w:jc w:val="center"/>
              <w:rPr>
                <w:rFonts w:ascii="Times New Roman" w:hAnsi="Times New Roman"/>
                <w:bCs/>
                <w:color w:val="auto"/>
                <w:kern w:val="2"/>
                <w:szCs w:val="24"/>
              </w:rPr>
            </w:pPr>
            <w:r>
              <w:rPr>
                <w:rFonts w:ascii="Times New Roman" w:hAnsi="Times New Roman"/>
                <w:bCs/>
                <w:color w:val="auto"/>
                <w:kern w:val="2"/>
                <w:szCs w:val="24"/>
              </w:rPr>
              <w:t>与项目有关的原有环境污染问题</w:t>
            </w:r>
          </w:p>
        </w:tc>
        <w:tc>
          <w:tcPr>
            <w:tcW w:w="8527" w:type="dxa"/>
          </w:tcPr>
          <w:p>
            <w:pPr>
              <w:adjustRightInd w:val="0"/>
              <w:snapToGrid w:val="0"/>
              <w:spacing w:line="520" w:lineRule="exact"/>
              <w:rPr>
                <w:color w:val="auto"/>
                <w:sz w:val="28"/>
                <w:szCs w:val="28"/>
              </w:rPr>
            </w:pPr>
            <w:r>
              <w:rPr>
                <w:rFonts w:hint="eastAsia"/>
                <w:b/>
                <w:color w:val="auto"/>
                <w:sz w:val="28"/>
                <w:szCs w:val="28"/>
              </w:rPr>
              <w:t>1</w:t>
            </w:r>
            <w:r>
              <w:rPr>
                <w:rFonts w:hint="eastAsia"/>
                <w:b/>
                <w:color w:val="auto"/>
                <w:sz w:val="28"/>
                <w:szCs w:val="28"/>
                <w:lang w:val="en-US" w:eastAsia="zh-CN"/>
              </w:rPr>
              <w:t>.</w:t>
            </w:r>
            <w:r>
              <w:rPr>
                <w:rFonts w:hint="eastAsia"/>
                <w:b/>
                <w:color w:val="auto"/>
                <w:sz w:val="28"/>
                <w:szCs w:val="28"/>
              </w:rPr>
              <w:t>原有污染物产排放情况</w:t>
            </w:r>
          </w:p>
          <w:p>
            <w:pPr>
              <w:adjustRightInd w:val="0"/>
              <w:snapToGrid w:val="0"/>
              <w:spacing w:line="520" w:lineRule="exact"/>
              <w:ind w:firstLine="482" w:firstLineChars="200"/>
              <w:rPr>
                <w:b/>
                <w:bCs/>
                <w:color w:val="auto"/>
                <w:kern w:val="0"/>
                <w:sz w:val="24"/>
              </w:rPr>
            </w:pPr>
            <w:r>
              <w:rPr>
                <w:rFonts w:hint="eastAsia"/>
                <w:b/>
                <w:bCs/>
                <w:color w:val="auto"/>
                <w:kern w:val="0"/>
                <w:sz w:val="24"/>
              </w:rPr>
              <w:t>1.1现有工程基本情况</w:t>
            </w:r>
          </w:p>
          <w:p>
            <w:pPr>
              <w:adjustRightInd w:val="0"/>
              <w:snapToGrid w:val="0"/>
              <w:spacing w:line="520" w:lineRule="exact"/>
              <w:ind w:firstLine="480" w:firstLineChars="200"/>
              <w:rPr>
                <w:rFonts w:hAnsi="宋体"/>
                <w:color w:val="auto"/>
                <w:sz w:val="24"/>
              </w:rPr>
            </w:pPr>
            <w:r>
              <w:rPr>
                <w:rFonts w:hint="eastAsia" w:hAnsi="宋体"/>
                <w:color w:val="auto"/>
                <w:sz w:val="24"/>
              </w:rPr>
              <w:t>现有工程即为</w:t>
            </w:r>
            <w:r>
              <w:rPr>
                <w:rFonts w:hint="eastAsia"/>
                <w:bCs/>
                <w:color w:val="auto"/>
                <w:sz w:val="24"/>
              </w:rPr>
              <w:t>现场混装多孔粒状铵油炸药生产系统及危险品储存库区搬迁改造项目，项</w:t>
            </w:r>
            <w:r>
              <w:rPr>
                <w:color w:val="auto"/>
                <w:kern w:val="0"/>
                <w:sz w:val="24"/>
              </w:rPr>
              <w:t>目</w:t>
            </w:r>
            <w:r>
              <w:rPr>
                <w:rFonts w:hint="eastAsia"/>
                <w:color w:val="auto"/>
                <w:kern w:val="0"/>
                <w:sz w:val="24"/>
              </w:rPr>
              <w:t>建设有1座多孔粒状硝酸铵装车工房（132.6</w:t>
            </w:r>
            <w:r>
              <w:rPr>
                <w:rFonts w:hint="eastAsia" w:eastAsiaTheme="minorEastAsia"/>
                <w:color w:val="auto"/>
                <w:sz w:val="24"/>
              </w:rPr>
              <w:t>m</w:t>
            </w:r>
            <w:r>
              <w:rPr>
                <w:rFonts w:hint="eastAsia" w:eastAsiaTheme="minorEastAsia"/>
                <w:color w:val="auto"/>
                <w:sz w:val="24"/>
                <w:vertAlign w:val="superscript"/>
              </w:rPr>
              <w:t>2</w:t>
            </w:r>
            <w:r>
              <w:rPr>
                <w:rFonts w:hint="eastAsia"/>
                <w:color w:val="auto"/>
                <w:kern w:val="0"/>
                <w:sz w:val="24"/>
              </w:rPr>
              <w:t>）、1座硝酸铵库房（945</w:t>
            </w:r>
            <w:r>
              <w:rPr>
                <w:rFonts w:hint="eastAsia" w:eastAsiaTheme="minorEastAsia"/>
                <w:color w:val="auto"/>
                <w:sz w:val="24"/>
              </w:rPr>
              <w:t>m</w:t>
            </w:r>
            <w:r>
              <w:rPr>
                <w:rFonts w:hint="eastAsia" w:eastAsiaTheme="minorEastAsia"/>
                <w:color w:val="auto"/>
                <w:sz w:val="24"/>
                <w:vertAlign w:val="superscript"/>
              </w:rPr>
              <w:t>2</w:t>
            </w:r>
            <w:r>
              <w:rPr>
                <w:rFonts w:hint="eastAsia"/>
                <w:color w:val="auto"/>
                <w:kern w:val="0"/>
                <w:sz w:val="24"/>
              </w:rPr>
              <w:t>）、一台双层柴油罐（50m</w:t>
            </w:r>
            <w:r>
              <w:rPr>
                <w:rFonts w:hint="eastAsia"/>
                <w:color w:val="auto"/>
                <w:kern w:val="0"/>
                <w:sz w:val="24"/>
                <w:vertAlign w:val="superscript"/>
              </w:rPr>
              <w:t>3</w:t>
            </w:r>
            <w:r>
              <w:rPr>
                <w:rFonts w:hint="eastAsia"/>
                <w:color w:val="auto"/>
                <w:kern w:val="0"/>
                <w:sz w:val="24"/>
              </w:rPr>
              <w:t>）1座综合楼（</w:t>
            </w:r>
            <w:r>
              <w:rPr>
                <w:rFonts w:hint="eastAsia" w:eastAsiaTheme="minorEastAsia"/>
                <w:color w:val="auto"/>
                <w:sz w:val="24"/>
              </w:rPr>
              <w:t>1152m</w:t>
            </w:r>
            <w:r>
              <w:rPr>
                <w:rFonts w:hint="eastAsia" w:eastAsiaTheme="minorEastAsia"/>
                <w:color w:val="auto"/>
                <w:sz w:val="24"/>
                <w:vertAlign w:val="superscript"/>
              </w:rPr>
              <w:t>2</w:t>
            </w:r>
            <w:r>
              <w:rPr>
                <w:rFonts w:hint="eastAsia"/>
                <w:color w:val="auto"/>
                <w:kern w:val="0"/>
                <w:sz w:val="24"/>
              </w:rPr>
              <w:t>）、1座职工食堂（</w:t>
            </w:r>
            <w:r>
              <w:rPr>
                <w:rFonts w:hint="eastAsia" w:eastAsiaTheme="minorEastAsia"/>
                <w:color w:val="auto"/>
                <w:sz w:val="24"/>
              </w:rPr>
              <w:t>540m</w:t>
            </w:r>
            <w:r>
              <w:rPr>
                <w:rFonts w:hint="eastAsia" w:eastAsiaTheme="minorEastAsia"/>
                <w:color w:val="auto"/>
                <w:sz w:val="24"/>
                <w:vertAlign w:val="superscript"/>
              </w:rPr>
              <w:t>2</w:t>
            </w:r>
            <w:r>
              <w:rPr>
                <w:rFonts w:hint="eastAsia"/>
                <w:color w:val="auto"/>
                <w:kern w:val="0"/>
                <w:sz w:val="24"/>
              </w:rPr>
              <w:t>）、1座混装车库房（</w:t>
            </w:r>
            <w:r>
              <w:rPr>
                <w:rFonts w:hint="eastAsia" w:eastAsiaTheme="minorEastAsia"/>
                <w:color w:val="auto"/>
                <w:sz w:val="24"/>
              </w:rPr>
              <w:t>600m</w:t>
            </w:r>
            <w:r>
              <w:rPr>
                <w:rFonts w:hint="eastAsia" w:eastAsiaTheme="minorEastAsia"/>
                <w:color w:val="auto"/>
                <w:sz w:val="24"/>
                <w:vertAlign w:val="superscript"/>
              </w:rPr>
              <w:t>2</w:t>
            </w:r>
            <w:r>
              <w:rPr>
                <w:rFonts w:hint="eastAsia"/>
                <w:color w:val="auto"/>
                <w:kern w:val="0"/>
                <w:sz w:val="24"/>
              </w:rPr>
              <w:t>）及配套的公用工程、辅助工程、环保设施等。</w:t>
            </w:r>
            <w:r>
              <w:rPr>
                <w:rFonts w:hint="eastAsia" w:hAnsi="宋体"/>
                <w:color w:val="auto"/>
                <w:sz w:val="24"/>
              </w:rPr>
              <w:t>现有员工40人。生产期采用单班制，每班有效工作时数</w:t>
            </w:r>
            <w:r>
              <w:rPr>
                <w:rFonts w:hint="eastAsia" w:hAnsi="宋体"/>
                <w:color w:val="auto"/>
                <w:sz w:val="24"/>
                <w:lang w:val="en-US" w:eastAsia="zh-CN"/>
              </w:rPr>
              <w:t>7</w:t>
            </w:r>
            <w:r>
              <w:rPr>
                <w:rFonts w:hint="eastAsia" w:hAnsi="宋体"/>
                <w:color w:val="auto"/>
                <w:sz w:val="24"/>
              </w:rPr>
              <w:t>h，年工作日250天，年工作时数1500h，职工均在厂区食宿，</w:t>
            </w:r>
            <w:r>
              <w:rPr>
                <w:rFonts w:hint="eastAsia"/>
                <w:color w:val="auto"/>
                <w:sz w:val="24"/>
              </w:rPr>
              <w:t>现场混装多孔粒状铵油炸药产能7200吨/年，配备现场混装车4台</w:t>
            </w:r>
            <w:r>
              <w:rPr>
                <w:rFonts w:hint="eastAsia" w:hAnsi="宋体"/>
                <w:color w:val="auto"/>
                <w:sz w:val="24"/>
              </w:rPr>
              <w:t>。</w:t>
            </w:r>
          </w:p>
          <w:p>
            <w:pPr>
              <w:spacing w:line="520" w:lineRule="exact"/>
              <w:ind w:firstLine="480" w:firstLineChars="200"/>
              <w:rPr>
                <w:color w:val="auto"/>
                <w:sz w:val="24"/>
              </w:rPr>
            </w:pPr>
            <w:r>
              <w:rPr>
                <w:color w:val="auto"/>
                <w:sz w:val="24"/>
              </w:rPr>
              <w:t>具体建设内容详见表</w:t>
            </w:r>
            <w:r>
              <w:rPr>
                <w:rFonts w:hint="eastAsia"/>
                <w:color w:val="auto"/>
                <w:sz w:val="24"/>
              </w:rPr>
              <w:t>2-11</w:t>
            </w:r>
            <w:r>
              <w:rPr>
                <w:color w:val="auto"/>
                <w:sz w:val="24"/>
              </w:rPr>
              <w:t>。</w:t>
            </w:r>
          </w:p>
          <w:p>
            <w:pPr>
              <w:pStyle w:val="36"/>
              <w:rPr>
                <w:color w:val="auto"/>
              </w:rPr>
            </w:pPr>
            <w:r>
              <w:rPr>
                <w:color w:val="auto"/>
              </w:rPr>
              <w:t>表2-</w:t>
            </w:r>
            <w:r>
              <w:rPr>
                <w:rFonts w:hint="eastAsia"/>
                <w:color w:val="auto"/>
              </w:rPr>
              <w:t>11</w:t>
            </w:r>
            <w:r>
              <w:rPr>
                <w:color w:val="auto"/>
              </w:rPr>
              <w:t xml:space="preserve">    </w:t>
            </w:r>
            <w:r>
              <w:rPr>
                <w:rFonts w:hint="eastAsia"/>
                <w:color w:val="auto"/>
              </w:rPr>
              <w:t>现有工程</w:t>
            </w:r>
            <w:r>
              <w:rPr>
                <w:color w:val="auto"/>
              </w:rPr>
              <w:t>建设内容组成一览表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438"/>
              <w:gridCol w:w="702"/>
              <w:gridCol w:w="3319"/>
              <w:gridCol w:w="2197"/>
              <w:gridCol w:w="13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5" w:type="pct"/>
                  <w:gridSpan w:val="3"/>
                  <w:vAlign w:val="center"/>
                </w:tcPr>
                <w:p>
                  <w:pPr>
                    <w:widowControl/>
                    <w:jc w:val="center"/>
                    <w:rPr>
                      <w:color w:val="auto"/>
                      <w:kern w:val="0"/>
                      <w:szCs w:val="21"/>
                    </w:rPr>
                  </w:pPr>
                  <w:r>
                    <w:rPr>
                      <w:color w:val="auto"/>
                      <w:kern w:val="0"/>
                      <w:szCs w:val="21"/>
                    </w:rPr>
                    <w:t>项目组成</w:t>
                  </w:r>
                </w:p>
              </w:tc>
              <w:tc>
                <w:tcPr>
                  <w:tcW w:w="1976" w:type="pct"/>
                  <w:vAlign w:val="center"/>
                </w:tcPr>
                <w:p>
                  <w:pPr>
                    <w:widowControl/>
                    <w:jc w:val="center"/>
                    <w:rPr>
                      <w:color w:val="auto"/>
                      <w:kern w:val="0"/>
                      <w:szCs w:val="21"/>
                    </w:rPr>
                  </w:pPr>
                  <w:r>
                    <w:rPr>
                      <w:rFonts w:hint="eastAsia"/>
                      <w:color w:val="auto"/>
                      <w:kern w:val="0"/>
                      <w:szCs w:val="21"/>
                    </w:rPr>
                    <w:t>环评阶段</w:t>
                  </w:r>
                  <w:r>
                    <w:rPr>
                      <w:color w:val="auto"/>
                      <w:kern w:val="0"/>
                      <w:szCs w:val="21"/>
                    </w:rPr>
                    <w:t>工程内容及规模</w:t>
                  </w:r>
                </w:p>
              </w:tc>
              <w:tc>
                <w:tcPr>
                  <w:tcW w:w="1308" w:type="pct"/>
                  <w:vAlign w:val="center"/>
                </w:tcPr>
                <w:p>
                  <w:pPr>
                    <w:widowControl/>
                    <w:jc w:val="center"/>
                    <w:rPr>
                      <w:color w:val="auto"/>
                      <w:kern w:val="0"/>
                      <w:szCs w:val="21"/>
                    </w:rPr>
                  </w:pPr>
                  <w:r>
                    <w:rPr>
                      <w:color w:val="auto"/>
                      <w:kern w:val="0"/>
                      <w:szCs w:val="21"/>
                    </w:rPr>
                    <w:t>实际建设内容</w:t>
                  </w:r>
                </w:p>
              </w:tc>
              <w:tc>
                <w:tcPr>
                  <w:tcW w:w="779" w:type="pct"/>
                  <w:vAlign w:val="center"/>
                </w:tcPr>
                <w:p>
                  <w:pPr>
                    <w:widowControl/>
                    <w:jc w:val="center"/>
                    <w:rPr>
                      <w:color w:val="auto"/>
                      <w:kern w:val="0"/>
                      <w:szCs w:val="21"/>
                    </w:rPr>
                  </w:pPr>
                  <w:r>
                    <w:rPr>
                      <w:color w:val="auto"/>
                      <w:kern w:val="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6" w:type="pct"/>
                  <w:vAlign w:val="center"/>
                </w:tcPr>
                <w:p>
                  <w:pPr>
                    <w:widowControl/>
                    <w:rPr>
                      <w:color w:val="auto"/>
                      <w:kern w:val="0"/>
                      <w:szCs w:val="21"/>
                    </w:rPr>
                  </w:pPr>
                  <w:r>
                    <w:rPr>
                      <w:color w:val="auto"/>
                      <w:kern w:val="0"/>
                      <w:szCs w:val="21"/>
                    </w:rPr>
                    <w:t>主体工程</w:t>
                  </w:r>
                </w:p>
              </w:tc>
              <w:tc>
                <w:tcPr>
                  <w:tcW w:w="679" w:type="pct"/>
                  <w:gridSpan w:val="2"/>
                  <w:vAlign w:val="center"/>
                </w:tcPr>
                <w:p>
                  <w:pPr>
                    <w:widowControl/>
                    <w:rPr>
                      <w:color w:val="auto"/>
                      <w:kern w:val="0"/>
                      <w:szCs w:val="21"/>
                    </w:rPr>
                  </w:pPr>
                  <w:r>
                    <w:rPr>
                      <w:color w:val="auto"/>
                      <w:kern w:val="0"/>
                      <w:szCs w:val="21"/>
                    </w:rPr>
                    <w:t>多孔粒状硝酸铵装车工房</w:t>
                  </w:r>
                </w:p>
              </w:tc>
              <w:tc>
                <w:tcPr>
                  <w:tcW w:w="1976" w:type="pct"/>
                  <w:vAlign w:val="center"/>
                </w:tcPr>
                <w:p>
                  <w:pPr>
                    <w:widowControl/>
                    <w:rPr>
                      <w:color w:val="auto"/>
                      <w:kern w:val="0"/>
                      <w:szCs w:val="21"/>
                    </w:rPr>
                  </w:pPr>
                  <w:r>
                    <w:rPr>
                      <w:color w:val="auto"/>
                      <w:kern w:val="0"/>
                      <w:szCs w:val="21"/>
                    </w:rPr>
                    <w:t>位于现场混装炸药生产区占地面积81m</w:t>
                  </w:r>
                  <w:r>
                    <w:rPr>
                      <w:color w:val="auto"/>
                      <w:kern w:val="0"/>
                      <w:szCs w:val="21"/>
                      <w:vertAlign w:val="superscript"/>
                    </w:rPr>
                    <w:t>2</w:t>
                  </w:r>
                  <w:r>
                    <w:rPr>
                      <w:color w:val="auto"/>
                      <w:kern w:val="0"/>
                      <w:szCs w:val="21"/>
                    </w:rPr>
                    <w:t>，砖混结构，多孔粒状硝酸铵在该工房内进行装车工序；</w:t>
                  </w:r>
                </w:p>
              </w:tc>
              <w:tc>
                <w:tcPr>
                  <w:tcW w:w="1308" w:type="pct"/>
                  <w:vAlign w:val="center"/>
                </w:tcPr>
                <w:p>
                  <w:pPr>
                    <w:widowControl/>
                    <w:rPr>
                      <w:color w:val="auto"/>
                      <w:kern w:val="0"/>
                      <w:szCs w:val="21"/>
                    </w:rPr>
                  </w:pPr>
                  <w:r>
                    <w:rPr>
                      <w:color w:val="auto"/>
                      <w:kern w:val="0"/>
                      <w:szCs w:val="21"/>
                    </w:rPr>
                    <w:t>建设硝酸铵装车工房1座，占地面积为</w:t>
                  </w:r>
                  <w:r>
                    <w:rPr>
                      <w:rFonts w:hint="eastAsia"/>
                      <w:color w:val="auto"/>
                      <w:kern w:val="0"/>
                      <w:szCs w:val="21"/>
                    </w:rPr>
                    <w:t>132.6</w:t>
                  </w:r>
                  <w:r>
                    <w:rPr>
                      <w:color w:val="auto"/>
                      <w:kern w:val="0"/>
                      <w:szCs w:val="21"/>
                    </w:rPr>
                    <w:t>m</w:t>
                  </w:r>
                  <w:r>
                    <w:rPr>
                      <w:color w:val="auto"/>
                      <w:kern w:val="0"/>
                      <w:szCs w:val="21"/>
                      <w:vertAlign w:val="superscript"/>
                    </w:rPr>
                    <w:t>2</w:t>
                  </w:r>
                  <w:r>
                    <w:rPr>
                      <w:color w:val="auto"/>
                      <w:kern w:val="0"/>
                      <w:szCs w:val="21"/>
                    </w:rPr>
                    <w:t>；</w:t>
                  </w:r>
                </w:p>
              </w:tc>
              <w:tc>
                <w:tcPr>
                  <w:tcW w:w="779" w:type="pct"/>
                  <w:vAlign w:val="center"/>
                </w:tcPr>
                <w:p>
                  <w:pPr>
                    <w:widowControl/>
                    <w:rPr>
                      <w:color w:val="auto"/>
                      <w:kern w:val="0"/>
                      <w:szCs w:val="21"/>
                    </w:rPr>
                  </w:pPr>
                  <w:r>
                    <w:rPr>
                      <w:rFonts w:hint="eastAsia"/>
                      <w:color w:val="auto"/>
                      <w:kern w:val="0"/>
                      <w:szCs w:val="21"/>
                    </w:rPr>
                    <w:t>增加51.6</w:t>
                  </w:r>
                  <w:r>
                    <w:rPr>
                      <w:rFonts w:eastAsiaTheme="minorEastAsia"/>
                      <w:color w:val="auto"/>
                      <w:szCs w:val="21"/>
                    </w:rPr>
                    <w:t>m</w:t>
                  </w:r>
                  <w:r>
                    <w:rPr>
                      <w:rFonts w:eastAsiaTheme="minorEastAsia"/>
                      <w:color w:val="auto"/>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256" w:type="pct"/>
                  <w:vMerge w:val="restart"/>
                  <w:vAlign w:val="center"/>
                </w:tcPr>
                <w:p>
                  <w:pPr>
                    <w:widowControl/>
                    <w:rPr>
                      <w:color w:val="auto"/>
                      <w:kern w:val="0"/>
                      <w:szCs w:val="21"/>
                    </w:rPr>
                  </w:pPr>
                  <w:r>
                    <w:rPr>
                      <w:color w:val="auto"/>
                      <w:kern w:val="0"/>
                      <w:szCs w:val="21"/>
                    </w:rPr>
                    <w:t>辅助工程</w:t>
                  </w:r>
                </w:p>
              </w:tc>
              <w:tc>
                <w:tcPr>
                  <w:tcW w:w="679" w:type="pct"/>
                  <w:gridSpan w:val="2"/>
                  <w:vAlign w:val="center"/>
                </w:tcPr>
                <w:p>
                  <w:pPr>
                    <w:widowControl/>
                    <w:rPr>
                      <w:color w:val="auto"/>
                      <w:kern w:val="0"/>
                      <w:szCs w:val="21"/>
                    </w:rPr>
                  </w:pPr>
                  <w:r>
                    <w:rPr>
                      <w:color w:val="auto"/>
                      <w:kern w:val="0"/>
                      <w:szCs w:val="21"/>
                    </w:rPr>
                    <w:t>综合楼</w:t>
                  </w:r>
                </w:p>
              </w:tc>
              <w:tc>
                <w:tcPr>
                  <w:tcW w:w="1976" w:type="pct"/>
                  <w:vAlign w:val="center"/>
                </w:tcPr>
                <w:p>
                  <w:pPr>
                    <w:widowControl/>
                    <w:rPr>
                      <w:rFonts w:eastAsiaTheme="minorEastAsia"/>
                      <w:color w:val="auto"/>
                      <w:kern w:val="0"/>
                      <w:szCs w:val="21"/>
                    </w:rPr>
                  </w:pPr>
                  <w:r>
                    <w:rPr>
                      <w:rFonts w:eastAsiaTheme="minorEastAsia"/>
                      <w:color w:val="auto"/>
                      <w:szCs w:val="21"/>
                    </w:rPr>
                    <w:t>占地面积1152m</w:t>
                  </w:r>
                  <w:r>
                    <w:rPr>
                      <w:rFonts w:eastAsiaTheme="minorEastAsia"/>
                      <w:color w:val="auto"/>
                      <w:szCs w:val="21"/>
                      <w:vertAlign w:val="superscript"/>
                    </w:rPr>
                    <w:t>2</w:t>
                  </w:r>
                  <w:r>
                    <w:rPr>
                      <w:rFonts w:eastAsiaTheme="minorEastAsia"/>
                      <w:color w:val="auto"/>
                      <w:szCs w:val="21"/>
                    </w:rPr>
                    <w:t>，砖混结构，主要用于办公及员工休息；</w:t>
                  </w:r>
                </w:p>
              </w:tc>
              <w:tc>
                <w:tcPr>
                  <w:tcW w:w="1308" w:type="pct"/>
                  <w:vAlign w:val="center"/>
                </w:tcPr>
                <w:p>
                  <w:pPr>
                    <w:widowControl/>
                    <w:rPr>
                      <w:rFonts w:eastAsiaTheme="minorEastAsia"/>
                      <w:color w:val="auto"/>
                      <w:szCs w:val="21"/>
                    </w:rPr>
                  </w:pPr>
                  <w:r>
                    <w:rPr>
                      <w:rFonts w:eastAsiaTheme="minorEastAsia"/>
                      <w:color w:val="auto"/>
                      <w:szCs w:val="21"/>
                    </w:rPr>
                    <w:t>占地面积1152m</w:t>
                  </w:r>
                  <w:r>
                    <w:rPr>
                      <w:rFonts w:eastAsiaTheme="minorEastAsia"/>
                      <w:color w:val="auto"/>
                      <w:szCs w:val="21"/>
                      <w:vertAlign w:val="superscript"/>
                    </w:rPr>
                    <w:t>2</w:t>
                  </w:r>
                  <w:r>
                    <w:rPr>
                      <w:rFonts w:eastAsiaTheme="minorEastAsia"/>
                      <w:color w:val="auto"/>
                      <w:szCs w:val="21"/>
                    </w:rPr>
                    <w:t>，砖混结构；</w:t>
                  </w:r>
                </w:p>
              </w:tc>
              <w:tc>
                <w:tcPr>
                  <w:tcW w:w="779" w:type="pct"/>
                  <w:vAlign w:val="center"/>
                </w:tcPr>
                <w:p>
                  <w:pPr>
                    <w:widowControl/>
                    <w:rPr>
                      <w:rFonts w:eastAsiaTheme="minorEastAsia"/>
                      <w:color w:val="auto"/>
                      <w:szCs w:val="21"/>
                    </w:rPr>
                  </w:pPr>
                  <w:r>
                    <w:rPr>
                      <w:color w:val="auto"/>
                      <w:kern w:val="0"/>
                      <w:szCs w:val="21"/>
                    </w:rPr>
                    <w:t>与环评设计一致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256" w:type="pct"/>
                  <w:vMerge w:val="continue"/>
                  <w:vAlign w:val="center"/>
                </w:tcPr>
                <w:p>
                  <w:pPr>
                    <w:widowControl/>
                    <w:jc w:val="center"/>
                    <w:rPr>
                      <w:color w:val="auto"/>
                      <w:szCs w:val="21"/>
                    </w:rPr>
                  </w:pPr>
                </w:p>
              </w:tc>
              <w:tc>
                <w:tcPr>
                  <w:tcW w:w="679" w:type="pct"/>
                  <w:gridSpan w:val="2"/>
                  <w:vAlign w:val="center"/>
                </w:tcPr>
                <w:p>
                  <w:pPr>
                    <w:widowControl/>
                    <w:rPr>
                      <w:color w:val="auto"/>
                      <w:kern w:val="0"/>
                      <w:szCs w:val="21"/>
                    </w:rPr>
                  </w:pPr>
                  <w:r>
                    <w:rPr>
                      <w:color w:val="auto"/>
                      <w:kern w:val="0"/>
                      <w:szCs w:val="21"/>
                    </w:rPr>
                    <w:t>职工食堂</w:t>
                  </w:r>
                </w:p>
              </w:tc>
              <w:tc>
                <w:tcPr>
                  <w:tcW w:w="1976" w:type="pct"/>
                  <w:vAlign w:val="center"/>
                </w:tcPr>
                <w:p>
                  <w:pPr>
                    <w:widowControl/>
                    <w:jc w:val="center"/>
                    <w:rPr>
                      <w:color w:val="auto"/>
                      <w:kern w:val="0"/>
                      <w:szCs w:val="21"/>
                    </w:rPr>
                  </w:pPr>
                  <w:r>
                    <w:rPr>
                      <w:color w:val="auto"/>
                      <w:kern w:val="0"/>
                      <w:szCs w:val="21"/>
                    </w:rPr>
                    <w:t>占地面积540</w:t>
                  </w:r>
                  <w:r>
                    <w:rPr>
                      <w:rFonts w:eastAsiaTheme="minorEastAsia"/>
                      <w:color w:val="auto"/>
                      <w:szCs w:val="21"/>
                    </w:rPr>
                    <w:t>m</w:t>
                  </w:r>
                  <w:r>
                    <w:rPr>
                      <w:rFonts w:eastAsiaTheme="minorEastAsia"/>
                      <w:color w:val="auto"/>
                      <w:szCs w:val="21"/>
                      <w:vertAlign w:val="superscript"/>
                    </w:rPr>
                    <w:t>2</w:t>
                  </w:r>
                  <w:r>
                    <w:rPr>
                      <w:rFonts w:eastAsiaTheme="minorEastAsia"/>
                      <w:color w:val="auto"/>
                      <w:szCs w:val="21"/>
                    </w:rPr>
                    <w:t>，砖混结构；</w:t>
                  </w:r>
                </w:p>
              </w:tc>
              <w:tc>
                <w:tcPr>
                  <w:tcW w:w="1308" w:type="pct"/>
                  <w:vAlign w:val="center"/>
                </w:tcPr>
                <w:p>
                  <w:pPr>
                    <w:widowControl/>
                    <w:rPr>
                      <w:color w:val="auto"/>
                      <w:kern w:val="0"/>
                      <w:szCs w:val="21"/>
                    </w:rPr>
                  </w:pPr>
                  <w:r>
                    <w:rPr>
                      <w:color w:val="auto"/>
                      <w:kern w:val="0"/>
                      <w:szCs w:val="21"/>
                    </w:rPr>
                    <w:t>占地面积</w:t>
                  </w:r>
                  <w:r>
                    <w:rPr>
                      <w:rFonts w:hint="eastAsia"/>
                      <w:color w:val="auto"/>
                      <w:kern w:val="0"/>
                      <w:szCs w:val="21"/>
                    </w:rPr>
                    <w:t>567</w:t>
                  </w:r>
                  <w:r>
                    <w:rPr>
                      <w:rFonts w:eastAsiaTheme="minorEastAsia"/>
                      <w:color w:val="auto"/>
                      <w:szCs w:val="21"/>
                    </w:rPr>
                    <w:t>m</w:t>
                  </w:r>
                  <w:r>
                    <w:rPr>
                      <w:rFonts w:eastAsiaTheme="minorEastAsia"/>
                      <w:color w:val="auto"/>
                      <w:szCs w:val="21"/>
                      <w:vertAlign w:val="superscript"/>
                    </w:rPr>
                    <w:t>2</w:t>
                  </w:r>
                  <w:r>
                    <w:rPr>
                      <w:rFonts w:eastAsiaTheme="minorEastAsia"/>
                      <w:color w:val="auto"/>
                      <w:szCs w:val="21"/>
                    </w:rPr>
                    <w:t>，砖混结构；</w:t>
                  </w:r>
                </w:p>
              </w:tc>
              <w:tc>
                <w:tcPr>
                  <w:tcW w:w="779" w:type="pct"/>
                  <w:vAlign w:val="center"/>
                </w:tcPr>
                <w:p>
                  <w:pPr>
                    <w:widowControl/>
                    <w:rPr>
                      <w:color w:val="auto"/>
                      <w:kern w:val="0"/>
                      <w:szCs w:val="21"/>
                    </w:rPr>
                  </w:pPr>
                  <w:r>
                    <w:rPr>
                      <w:rFonts w:hint="eastAsia"/>
                      <w:color w:val="auto"/>
                      <w:kern w:val="0"/>
                      <w:szCs w:val="21"/>
                    </w:rPr>
                    <w:t>增加27</w:t>
                  </w:r>
                  <w:r>
                    <w:rPr>
                      <w:rFonts w:eastAsiaTheme="minorEastAsia"/>
                      <w:color w:val="auto"/>
                      <w:szCs w:val="21"/>
                    </w:rPr>
                    <w:t>m</w:t>
                  </w:r>
                  <w:r>
                    <w:rPr>
                      <w:rFonts w:eastAsiaTheme="minorEastAsia"/>
                      <w:color w:val="auto"/>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256" w:type="pct"/>
                  <w:vMerge w:val="continue"/>
                  <w:vAlign w:val="center"/>
                </w:tcPr>
                <w:p>
                  <w:pPr>
                    <w:widowControl/>
                    <w:jc w:val="center"/>
                    <w:rPr>
                      <w:color w:val="auto"/>
                      <w:szCs w:val="21"/>
                    </w:rPr>
                  </w:pPr>
                </w:p>
              </w:tc>
              <w:tc>
                <w:tcPr>
                  <w:tcW w:w="679" w:type="pct"/>
                  <w:gridSpan w:val="2"/>
                  <w:vAlign w:val="center"/>
                </w:tcPr>
                <w:p>
                  <w:pPr>
                    <w:widowControl/>
                    <w:rPr>
                      <w:color w:val="auto"/>
                      <w:kern w:val="0"/>
                      <w:szCs w:val="21"/>
                    </w:rPr>
                  </w:pPr>
                  <w:r>
                    <w:rPr>
                      <w:color w:val="auto"/>
                      <w:kern w:val="0"/>
                      <w:szCs w:val="21"/>
                    </w:rPr>
                    <w:t>混装车库</w:t>
                  </w:r>
                </w:p>
              </w:tc>
              <w:tc>
                <w:tcPr>
                  <w:tcW w:w="1976" w:type="pct"/>
                  <w:vAlign w:val="center"/>
                </w:tcPr>
                <w:p>
                  <w:pPr>
                    <w:widowControl/>
                    <w:jc w:val="center"/>
                    <w:rPr>
                      <w:color w:val="auto"/>
                      <w:kern w:val="0"/>
                      <w:szCs w:val="21"/>
                    </w:rPr>
                  </w:pPr>
                  <w:r>
                    <w:rPr>
                      <w:color w:val="auto"/>
                      <w:kern w:val="0"/>
                      <w:szCs w:val="21"/>
                    </w:rPr>
                    <w:t>占地面积</w:t>
                  </w:r>
                  <w:r>
                    <w:rPr>
                      <w:rFonts w:eastAsiaTheme="minorEastAsia"/>
                      <w:color w:val="auto"/>
                      <w:szCs w:val="21"/>
                    </w:rPr>
                    <w:t>600m</w:t>
                  </w:r>
                  <w:r>
                    <w:rPr>
                      <w:rFonts w:eastAsiaTheme="minorEastAsia"/>
                      <w:color w:val="auto"/>
                      <w:szCs w:val="21"/>
                      <w:vertAlign w:val="superscript"/>
                    </w:rPr>
                    <w:t>2</w:t>
                  </w:r>
                  <w:r>
                    <w:rPr>
                      <w:rFonts w:eastAsiaTheme="minorEastAsia"/>
                      <w:color w:val="auto"/>
                      <w:szCs w:val="21"/>
                    </w:rPr>
                    <w:t>，砖混结构；</w:t>
                  </w:r>
                </w:p>
              </w:tc>
              <w:tc>
                <w:tcPr>
                  <w:tcW w:w="1308" w:type="pct"/>
                  <w:vAlign w:val="center"/>
                </w:tcPr>
                <w:p>
                  <w:pPr>
                    <w:widowControl/>
                    <w:rPr>
                      <w:color w:val="auto"/>
                      <w:kern w:val="0"/>
                      <w:szCs w:val="21"/>
                    </w:rPr>
                  </w:pPr>
                  <w:r>
                    <w:rPr>
                      <w:color w:val="auto"/>
                      <w:kern w:val="0"/>
                      <w:szCs w:val="21"/>
                    </w:rPr>
                    <w:t>占地面积</w:t>
                  </w:r>
                  <w:r>
                    <w:rPr>
                      <w:rFonts w:eastAsiaTheme="minorEastAsia"/>
                      <w:color w:val="auto"/>
                      <w:szCs w:val="21"/>
                    </w:rPr>
                    <w:t>6</w:t>
                  </w:r>
                  <w:r>
                    <w:rPr>
                      <w:rFonts w:hint="eastAsia" w:eastAsiaTheme="minorEastAsia"/>
                      <w:color w:val="auto"/>
                      <w:szCs w:val="21"/>
                    </w:rPr>
                    <w:t>3</w:t>
                  </w:r>
                  <w:r>
                    <w:rPr>
                      <w:rFonts w:eastAsiaTheme="minorEastAsia"/>
                      <w:color w:val="auto"/>
                      <w:szCs w:val="21"/>
                    </w:rPr>
                    <w:t>0m</w:t>
                  </w:r>
                  <w:r>
                    <w:rPr>
                      <w:rFonts w:eastAsiaTheme="minorEastAsia"/>
                      <w:color w:val="auto"/>
                      <w:szCs w:val="21"/>
                      <w:vertAlign w:val="superscript"/>
                    </w:rPr>
                    <w:t>2</w:t>
                  </w:r>
                  <w:r>
                    <w:rPr>
                      <w:rFonts w:eastAsiaTheme="minorEastAsia"/>
                      <w:color w:val="auto"/>
                      <w:szCs w:val="21"/>
                    </w:rPr>
                    <w:t>，砖混结构；</w:t>
                  </w:r>
                </w:p>
              </w:tc>
              <w:tc>
                <w:tcPr>
                  <w:tcW w:w="779" w:type="pct"/>
                  <w:vAlign w:val="center"/>
                </w:tcPr>
                <w:p>
                  <w:pPr>
                    <w:widowControl/>
                    <w:rPr>
                      <w:color w:val="auto"/>
                      <w:kern w:val="0"/>
                      <w:szCs w:val="21"/>
                    </w:rPr>
                  </w:pPr>
                  <w:r>
                    <w:rPr>
                      <w:rFonts w:hint="eastAsia"/>
                      <w:color w:val="auto"/>
                      <w:kern w:val="0"/>
                      <w:szCs w:val="21"/>
                    </w:rPr>
                    <w:t>增加30</w:t>
                  </w:r>
                  <w:r>
                    <w:rPr>
                      <w:rFonts w:eastAsiaTheme="minorEastAsia"/>
                      <w:color w:val="auto"/>
                      <w:szCs w:val="21"/>
                    </w:rPr>
                    <w:t>m</w:t>
                  </w:r>
                  <w:r>
                    <w:rPr>
                      <w:rFonts w:eastAsiaTheme="minorEastAsia"/>
                      <w:color w:val="auto"/>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256" w:type="pct"/>
                  <w:vMerge w:val="continue"/>
                  <w:vAlign w:val="center"/>
                </w:tcPr>
                <w:p>
                  <w:pPr>
                    <w:widowControl/>
                    <w:jc w:val="center"/>
                    <w:rPr>
                      <w:color w:val="auto"/>
                      <w:szCs w:val="21"/>
                    </w:rPr>
                  </w:pPr>
                </w:p>
              </w:tc>
              <w:tc>
                <w:tcPr>
                  <w:tcW w:w="679" w:type="pct"/>
                  <w:gridSpan w:val="2"/>
                  <w:vAlign w:val="center"/>
                </w:tcPr>
                <w:p>
                  <w:pPr>
                    <w:widowControl/>
                    <w:rPr>
                      <w:color w:val="auto"/>
                      <w:kern w:val="0"/>
                      <w:szCs w:val="21"/>
                    </w:rPr>
                  </w:pPr>
                  <w:r>
                    <w:rPr>
                      <w:color w:val="auto"/>
                      <w:kern w:val="0"/>
                      <w:szCs w:val="21"/>
                    </w:rPr>
                    <w:t>叉车库及维修间</w:t>
                  </w:r>
                </w:p>
              </w:tc>
              <w:tc>
                <w:tcPr>
                  <w:tcW w:w="1976" w:type="pct"/>
                  <w:vAlign w:val="center"/>
                </w:tcPr>
                <w:p>
                  <w:pPr>
                    <w:widowControl/>
                    <w:jc w:val="center"/>
                    <w:rPr>
                      <w:color w:val="auto"/>
                      <w:kern w:val="0"/>
                      <w:szCs w:val="21"/>
                    </w:rPr>
                  </w:pPr>
                  <w:r>
                    <w:rPr>
                      <w:color w:val="auto"/>
                      <w:kern w:val="0"/>
                      <w:szCs w:val="21"/>
                    </w:rPr>
                    <w:t>占地面积15</w:t>
                  </w:r>
                  <w:r>
                    <w:rPr>
                      <w:rFonts w:eastAsiaTheme="minorEastAsia"/>
                      <w:color w:val="auto"/>
                      <w:szCs w:val="21"/>
                    </w:rPr>
                    <w:t>0m</w:t>
                  </w:r>
                  <w:r>
                    <w:rPr>
                      <w:rFonts w:eastAsiaTheme="minorEastAsia"/>
                      <w:color w:val="auto"/>
                      <w:szCs w:val="21"/>
                      <w:vertAlign w:val="superscript"/>
                    </w:rPr>
                    <w:t>2</w:t>
                  </w:r>
                  <w:r>
                    <w:rPr>
                      <w:rFonts w:eastAsiaTheme="minorEastAsia"/>
                      <w:color w:val="auto"/>
                      <w:szCs w:val="21"/>
                    </w:rPr>
                    <w:t>，砖混结构；</w:t>
                  </w:r>
                </w:p>
              </w:tc>
              <w:tc>
                <w:tcPr>
                  <w:tcW w:w="1308" w:type="pct"/>
                  <w:vAlign w:val="center"/>
                </w:tcPr>
                <w:p>
                  <w:pPr>
                    <w:widowControl/>
                    <w:rPr>
                      <w:color w:val="auto"/>
                      <w:kern w:val="0"/>
                      <w:szCs w:val="21"/>
                    </w:rPr>
                  </w:pPr>
                  <w:r>
                    <w:rPr>
                      <w:color w:val="auto"/>
                      <w:kern w:val="0"/>
                      <w:szCs w:val="21"/>
                    </w:rPr>
                    <w:t>占地面积</w:t>
                  </w:r>
                  <w:r>
                    <w:rPr>
                      <w:rFonts w:hint="eastAsia"/>
                      <w:color w:val="auto"/>
                      <w:kern w:val="0"/>
                      <w:szCs w:val="21"/>
                    </w:rPr>
                    <w:t>157.5</w:t>
                  </w:r>
                  <w:r>
                    <w:rPr>
                      <w:rFonts w:eastAsiaTheme="minorEastAsia"/>
                      <w:color w:val="auto"/>
                      <w:szCs w:val="21"/>
                    </w:rPr>
                    <w:t>m</w:t>
                  </w:r>
                  <w:r>
                    <w:rPr>
                      <w:rFonts w:eastAsiaTheme="minorEastAsia"/>
                      <w:color w:val="auto"/>
                      <w:szCs w:val="21"/>
                      <w:vertAlign w:val="superscript"/>
                    </w:rPr>
                    <w:t>2</w:t>
                  </w:r>
                  <w:r>
                    <w:rPr>
                      <w:rFonts w:eastAsiaTheme="minorEastAsia"/>
                      <w:color w:val="auto"/>
                      <w:szCs w:val="21"/>
                    </w:rPr>
                    <w:t>，砖混结构；</w:t>
                  </w:r>
                </w:p>
              </w:tc>
              <w:tc>
                <w:tcPr>
                  <w:tcW w:w="779" w:type="pct"/>
                  <w:vAlign w:val="center"/>
                </w:tcPr>
                <w:p>
                  <w:pPr>
                    <w:widowControl/>
                    <w:rPr>
                      <w:color w:val="auto"/>
                      <w:kern w:val="0"/>
                      <w:szCs w:val="21"/>
                    </w:rPr>
                  </w:pPr>
                  <w:r>
                    <w:rPr>
                      <w:rFonts w:hint="eastAsia"/>
                      <w:color w:val="auto"/>
                      <w:kern w:val="0"/>
                      <w:szCs w:val="21"/>
                    </w:rPr>
                    <w:t>增加7.5</w:t>
                  </w:r>
                  <w:r>
                    <w:rPr>
                      <w:rFonts w:eastAsiaTheme="minorEastAsia"/>
                      <w:color w:val="auto"/>
                      <w:szCs w:val="21"/>
                    </w:rPr>
                    <w:t>m</w:t>
                  </w:r>
                  <w:r>
                    <w:rPr>
                      <w:rFonts w:eastAsiaTheme="minorEastAsia"/>
                      <w:color w:val="auto"/>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6" w:type="pct"/>
                  <w:vMerge w:val="restart"/>
                  <w:vAlign w:val="center"/>
                </w:tcPr>
                <w:p>
                  <w:pPr>
                    <w:widowControl/>
                    <w:rPr>
                      <w:color w:val="auto"/>
                      <w:kern w:val="0"/>
                      <w:szCs w:val="21"/>
                    </w:rPr>
                  </w:pPr>
                  <w:r>
                    <w:rPr>
                      <w:color w:val="auto"/>
                      <w:kern w:val="0"/>
                      <w:szCs w:val="21"/>
                    </w:rPr>
                    <w:t>公用工程</w:t>
                  </w:r>
                </w:p>
              </w:tc>
              <w:tc>
                <w:tcPr>
                  <w:tcW w:w="679" w:type="pct"/>
                  <w:gridSpan w:val="2"/>
                  <w:vAlign w:val="center"/>
                </w:tcPr>
                <w:p>
                  <w:pPr>
                    <w:widowControl/>
                    <w:rPr>
                      <w:color w:val="auto"/>
                      <w:kern w:val="0"/>
                      <w:szCs w:val="21"/>
                    </w:rPr>
                  </w:pPr>
                  <w:r>
                    <w:rPr>
                      <w:color w:val="auto"/>
                      <w:kern w:val="0"/>
                      <w:szCs w:val="21"/>
                    </w:rPr>
                    <w:t>供水</w:t>
                  </w:r>
                </w:p>
              </w:tc>
              <w:tc>
                <w:tcPr>
                  <w:tcW w:w="1976" w:type="pct"/>
                  <w:vAlign w:val="center"/>
                </w:tcPr>
                <w:p>
                  <w:pPr>
                    <w:widowControl/>
                    <w:jc w:val="center"/>
                    <w:rPr>
                      <w:color w:val="auto"/>
                      <w:kern w:val="0"/>
                      <w:szCs w:val="21"/>
                    </w:rPr>
                  </w:pPr>
                  <w:r>
                    <w:rPr>
                      <w:color w:val="auto"/>
                      <w:szCs w:val="21"/>
                    </w:rPr>
                    <w:t>项目用水由供水管网供给；</w:t>
                  </w:r>
                </w:p>
              </w:tc>
              <w:tc>
                <w:tcPr>
                  <w:tcW w:w="1308" w:type="pct"/>
                  <w:vAlign w:val="center"/>
                </w:tcPr>
                <w:p>
                  <w:pPr>
                    <w:widowControl/>
                    <w:rPr>
                      <w:color w:val="auto"/>
                      <w:szCs w:val="21"/>
                    </w:rPr>
                  </w:pPr>
                  <w:r>
                    <w:rPr>
                      <w:color w:val="auto"/>
                      <w:szCs w:val="21"/>
                    </w:rPr>
                    <w:t>项目用水由供水管网供给；</w:t>
                  </w:r>
                </w:p>
              </w:tc>
              <w:tc>
                <w:tcPr>
                  <w:tcW w:w="779" w:type="pct"/>
                  <w:vAlign w:val="center"/>
                </w:tcPr>
                <w:p>
                  <w:pPr>
                    <w:widowControl/>
                    <w:rPr>
                      <w:color w:val="auto"/>
                      <w:szCs w:val="21"/>
                    </w:rPr>
                  </w:pPr>
                  <w:r>
                    <w:rPr>
                      <w:color w:val="auto"/>
                      <w:kern w:val="0"/>
                      <w:szCs w:val="21"/>
                    </w:rPr>
                    <w:t>与环评设计一致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256" w:type="pct"/>
                  <w:vMerge w:val="continue"/>
                  <w:vAlign w:val="center"/>
                </w:tcPr>
                <w:p>
                  <w:pPr>
                    <w:widowControl/>
                    <w:jc w:val="center"/>
                    <w:rPr>
                      <w:color w:val="auto"/>
                      <w:kern w:val="0"/>
                      <w:szCs w:val="21"/>
                    </w:rPr>
                  </w:pPr>
                </w:p>
              </w:tc>
              <w:tc>
                <w:tcPr>
                  <w:tcW w:w="679" w:type="pct"/>
                  <w:gridSpan w:val="2"/>
                  <w:vAlign w:val="center"/>
                </w:tcPr>
                <w:p>
                  <w:pPr>
                    <w:widowControl/>
                    <w:rPr>
                      <w:color w:val="auto"/>
                      <w:kern w:val="0"/>
                      <w:szCs w:val="21"/>
                    </w:rPr>
                  </w:pPr>
                  <w:r>
                    <w:rPr>
                      <w:color w:val="auto"/>
                      <w:kern w:val="0"/>
                      <w:szCs w:val="21"/>
                    </w:rPr>
                    <w:t>供电</w:t>
                  </w:r>
                </w:p>
              </w:tc>
              <w:tc>
                <w:tcPr>
                  <w:tcW w:w="1976" w:type="pct"/>
                  <w:vAlign w:val="center"/>
                </w:tcPr>
                <w:p>
                  <w:pPr>
                    <w:widowControl/>
                    <w:rPr>
                      <w:color w:val="auto"/>
                      <w:kern w:val="0"/>
                      <w:szCs w:val="21"/>
                    </w:rPr>
                  </w:pPr>
                  <w:r>
                    <w:rPr>
                      <w:color w:val="auto"/>
                      <w:kern w:val="0"/>
                      <w:szCs w:val="21"/>
                    </w:rPr>
                    <w:t>项目用</w:t>
                  </w:r>
                  <w:r>
                    <w:rPr>
                      <w:rFonts w:hint="eastAsia"/>
                      <w:color w:val="auto"/>
                      <w:kern w:val="0"/>
                      <w:szCs w:val="21"/>
                    </w:rPr>
                    <w:t>电</w:t>
                  </w:r>
                  <w:r>
                    <w:rPr>
                      <w:color w:val="auto"/>
                      <w:kern w:val="0"/>
                      <w:szCs w:val="21"/>
                    </w:rPr>
                    <w:t>由</w:t>
                  </w:r>
                  <w:r>
                    <w:rPr>
                      <w:rFonts w:hint="eastAsia"/>
                      <w:color w:val="auto"/>
                      <w:kern w:val="0"/>
                      <w:szCs w:val="21"/>
                    </w:rPr>
                    <w:t>市政用电</w:t>
                  </w:r>
                  <w:r>
                    <w:rPr>
                      <w:color w:val="auto"/>
                      <w:kern w:val="0"/>
                      <w:szCs w:val="21"/>
                    </w:rPr>
                    <w:t>网供给；</w:t>
                  </w:r>
                </w:p>
              </w:tc>
              <w:tc>
                <w:tcPr>
                  <w:tcW w:w="1308" w:type="pct"/>
                  <w:vAlign w:val="center"/>
                </w:tcPr>
                <w:p>
                  <w:pPr>
                    <w:widowControl/>
                    <w:rPr>
                      <w:color w:val="auto"/>
                      <w:kern w:val="0"/>
                      <w:szCs w:val="21"/>
                    </w:rPr>
                  </w:pPr>
                  <w:r>
                    <w:rPr>
                      <w:color w:val="auto"/>
                      <w:kern w:val="0"/>
                      <w:szCs w:val="21"/>
                    </w:rPr>
                    <w:t>项目用</w:t>
                  </w:r>
                  <w:r>
                    <w:rPr>
                      <w:rFonts w:hint="eastAsia"/>
                      <w:color w:val="auto"/>
                      <w:kern w:val="0"/>
                      <w:szCs w:val="21"/>
                    </w:rPr>
                    <w:t>电</w:t>
                  </w:r>
                  <w:r>
                    <w:rPr>
                      <w:color w:val="auto"/>
                      <w:kern w:val="0"/>
                      <w:szCs w:val="21"/>
                    </w:rPr>
                    <w:t>由</w:t>
                  </w:r>
                  <w:r>
                    <w:rPr>
                      <w:rFonts w:hint="eastAsia"/>
                      <w:color w:val="auto"/>
                      <w:kern w:val="0"/>
                      <w:szCs w:val="21"/>
                    </w:rPr>
                    <w:t>市政用电</w:t>
                  </w:r>
                  <w:r>
                    <w:rPr>
                      <w:color w:val="auto"/>
                      <w:kern w:val="0"/>
                      <w:szCs w:val="21"/>
                    </w:rPr>
                    <w:t>网供给；</w:t>
                  </w:r>
                </w:p>
              </w:tc>
              <w:tc>
                <w:tcPr>
                  <w:tcW w:w="779" w:type="pct"/>
                  <w:vAlign w:val="center"/>
                </w:tcPr>
                <w:p>
                  <w:pPr>
                    <w:widowControl/>
                    <w:rPr>
                      <w:color w:val="auto"/>
                      <w:szCs w:val="21"/>
                    </w:rPr>
                  </w:pPr>
                  <w:r>
                    <w:rPr>
                      <w:color w:val="auto"/>
                      <w:kern w:val="0"/>
                      <w:szCs w:val="21"/>
                    </w:rPr>
                    <w:t>与环评设计一致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56" w:type="pct"/>
                  <w:vMerge w:val="continue"/>
                  <w:vAlign w:val="center"/>
                </w:tcPr>
                <w:p>
                  <w:pPr>
                    <w:widowControl/>
                    <w:jc w:val="center"/>
                    <w:rPr>
                      <w:color w:val="auto"/>
                      <w:kern w:val="0"/>
                      <w:szCs w:val="21"/>
                    </w:rPr>
                  </w:pPr>
                </w:p>
              </w:tc>
              <w:tc>
                <w:tcPr>
                  <w:tcW w:w="679" w:type="pct"/>
                  <w:gridSpan w:val="2"/>
                  <w:vAlign w:val="center"/>
                </w:tcPr>
                <w:p>
                  <w:pPr>
                    <w:widowControl/>
                    <w:rPr>
                      <w:color w:val="auto"/>
                      <w:kern w:val="0"/>
                      <w:szCs w:val="21"/>
                    </w:rPr>
                  </w:pPr>
                  <w:r>
                    <w:rPr>
                      <w:color w:val="auto"/>
                      <w:kern w:val="0"/>
                      <w:szCs w:val="21"/>
                    </w:rPr>
                    <w:t>排水</w:t>
                  </w:r>
                </w:p>
              </w:tc>
              <w:tc>
                <w:tcPr>
                  <w:tcW w:w="1976" w:type="pct"/>
                  <w:vAlign w:val="center"/>
                </w:tcPr>
                <w:p>
                  <w:pPr>
                    <w:widowControl/>
                    <w:rPr>
                      <w:color w:val="auto"/>
                      <w:szCs w:val="21"/>
                    </w:rPr>
                  </w:pPr>
                  <w:r>
                    <w:rPr>
                      <w:color w:val="auto"/>
                      <w:szCs w:val="21"/>
                    </w:rPr>
                    <w:t>冲洗废水经隔油沉淀池处理后同生活污水一起排入地埋式一体化污水处理设施处理后用于厂区和周围绿化带绿化；</w:t>
                  </w:r>
                </w:p>
              </w:tc>
              <w:tc>
                <w:tcPr>
                  <w:tcW w:w="1308" w:type="pct"/>
                  <w:vAlign w:val="center"/>
                </w:tcPr>
                <w:p>
                  <w:pPr>
                    <w:widowControl/>
                    <w:rPr>
                      <w:color w:val="auto"/>
                      <w:szCs w:val="21"/>
                    </w:rPr>
                  </w:pPr>
                  <w:r>
                    <w:rPr>
                      <w:color w:val="auto"/>
                      <w:szCs w:val="21"/>
                    </w:rPr>
                    <w:t>洗车废水经隔油沉淀池处理后，排入地埋式一体化污水处理设施，同生活污水一起处理达标后用于厂区和周围绿化带绿化；</w:t>
                  </w:r>
                </w:p>
              </w:tc>
              <w:tc>
                <w:tcPr>
                  <w:tcW w:w="779" w:type="pct"/>
                  <w:vAlign w:val="center"/>
                </w:tcPr>
                <w:p>
                  <w:pPr>
                    <w:widowControl/>
                    <w:rPr>
                      <w:color w:val="auto"/>
                      <w:szCs w:val="21"/>
                    </w:rPr>
                  </w:pPr>
                  <w:r>
                    <w:rPr>
                      <w:color w:val="auto"/>
                      <w:kern w:val="0"/>
                      <w:szCs w:val="21"/>
                    </w:rPr>
                    <w:t>与环评设计一致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6" w:type="pct"/>
                  <w:vMerge w:val="continue"/>
                  <w:vAlign w:val="center"/>
                </w:tcPr>
                <w:p>
                  <w:pPr>
                    <w:widowControl/>
                    <w:jc w:val="center"/>
                    <w:rPr>
                      <w:color w:val="auto"/>
                      <w:kern w:val="0"/>
                      <w:szCs w:val="21"/>
                    </w:rPr>
                  </w:pPr>
                </w:p>
              </w:tc>
              <w:tc>
                <w:tcPr>
                  <w:tcW w:w="679" w:type="pct"/>
                  <w:gridSpan w:val="2"/>
                  <w:vAlign w:val="center"/>
                </w:tcPr>
                <w:p>
                  <w:pPr>
                    <w:widowControl/>
                    <w:rPr>
                      <w:color w:val="auto"/>
                      <w:kern w:val="0"/>
                      <w:szCs w:val="21"/>
                    </w:rPr>
                  </w:pPr>
                  <w:r>
                    <w:rPr>
                      <w:color w:val="auto"/>
                      <w:kern w:val="0"/>
                      <w:szCs w:val="21"/>
                    </w:rPr>
                    <w:t>供热</w:t>
                  </w:r>
                </w:p>
              </w:tc>
              <w:tc>
                <w:tcPr>
                  <w:tcW w:w="1976" w:type="pct"/>
                  <w:vAlign w:val="center"/>
                </w:tcPr>
                <w:p>
                  <w:pPr>
                    <w:widowControl/>
                    <w:jc w:val="center"/>
                    <w:rPr>
                      <w:color w:val="auto"/>
                      <w:kern w:val="0"/>
                      <w:szCs w:val="21"/>
                    </w:rPr>
                  </w:pPr>
                  <w:r>
                    <w:rPr>
                      <w:color w:val="auto"/>
                      <w:kern w:val="0"/>
                      <w:szCs w:val="21"/>
                    </w:rPr>
                    <w:t>冬季供暖依托电采暖；</w:t>
                  </w:r>
                </w:p>
              </w:tc>
              <w:tc>
                <w:tcPr>
                  <w:tcW w:w="1308" w:type="pct"/>
                  <w:vAlign w:val="center"/>
                </w:tcPr>
                <w:p>
                  <w:pPr>
                    <w:widowControl/>
                    <w:rPr>
                      <w:color w:val="auto"/>
                      <w:kern w:val="0"/>
                      <w:szCs w:val="21"/>
                    </w:rPr>
                  </w:pPr>
                  <w:r>
                    <w:rPr>
                      <w:color w:val="auto"/>
                      <w:kern w:val="0"/>
                      <w:szCs w:val="21"/>
                    </w:rPr>
                    <w:t>供暖由电采暖供给；</w:t>
                  </w:r>
                </w:p>
              </w:tc>
              <w:tc>
                <w:tcPr>
                  <w:tcW w:w="779" w:type="pct"/>
                  <w:vAlign w:val="center"/>
                </w:tcPr>
                <w:p>
                  <w:pPr>
                    <w:widowControl/>
                    <w:rPr>
                      <w:color w:val="auto"/>
                      <w:kern w:val="0"/>
                      <w:szCs w:val="21"/>
                    </w:rPr>
                  </w:pPr>
                  <w:r>
                    <w:rPr>
                      <w:color w:val="auto"/>
                      <w:kern w:val="0"/>
                      <w:szCs w:val="21"/>
                    </w:rPr>
                    <w:t>与环评设计一致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256" w:type="pct"/>
                  <w:vMerge w:val="restart"/>
                  <w:vAlign w:val="center"/>
                </w:tcPr>
                <w:p>
                  <w:pPr>
                    <w:widowControl/>
                    <w:rPr>
                      <w:color w:val="auto"/>
                      <w:kern w:val="0"/>
                      <w:szCs w:val="21"/>
                    </w:rPr>
                  </w:pPr>
                  <w:r>
                    <w:rPr>
                      <w:color w:val="auto"/>
                      <w:kern w:val="0"/>
                      <w:szCs w:val="21"/>
                    </w:rPr>
                    <w:t>环保工程</w:t>
                  </w:r>
                </w:p>
              </w:tc>
              <w:tc>
                <w:tcPr>
                  <w:tcW w:w="679" w:type="pct"/>
                  <w:gridSpan w:val="2"/>
                  <w:vAlign w:val="center"/>
                </w:tcPr>
                <w:p>
                  <w:pPr>
                    <w:widowControl/>
                    <w:rPr>
                      <w:color w:val="auto"/>
                      <w:kern w:val="0"/>
                      <w:szCs w:val="21"/>
                    </w:rPr>
                  </w:pPr>
                  <w:r>
                    <w:rPr>
                      <w:color w:val="auto"/>
                      <w:kern w:val="0"/>
                      <w:szCs w:val="21"/>
                    </w:rPr>
                    <w:t>废气</w:t>
                  </w:r>
                </w:p>
              </w:tc>
              <w:tc>
                <w:tcPr>
                  <w:tcW w:w="1976" w:type="pct"/>
                  <w:vAlign w:val="center"/>
                </w:tcPr>
                <w:p>
                  <w:pPr>
                    <w:widowControl/>
                    <w:rPr>
                      <w:color w:val="auto"/>
                      <w:kern w:val="0"/>
                      <w:szCs w:val="21"/>
                    </w:rPr>
                  </w:pPr>
                  <w:r>
                    <w:rPr>
                      <w:color w:val="auto"/>
                      <w:kern w:val="0"/>
                      <w:szCs w:val="21"/>
                    </w:rPr>
                    <w:t>上料环节设置密闭上料仓（抑尘效率99%）；</w:t>
                  </w:r>
                </w:p>
              </w:tc>
              <w:tc>
                <w:tcPr>
                  <w:tcW w:w="1308" w:type="pct"/>
                  <w:vAlign w:val="center"/>
                </w:tcPr>
                <w:p>
                  <w:pPr>
                    <w:widowControl/>
                    <w:rPr>
                      <w:color w:val="auto"/>
                      <w:kern w:val="0"/>
                      <w:szCs w:val="21"/>
                    </w:rPr>
                  </w:pPr>
                  <w:r>
                    <w:rPr>
                      <w:color w:val="auto"/>
                      <w:kern w:val="0"/>
                      <w:szCs w:val="21"/>
                    </w:rPr>
                    <w:t>上料仓为密闭设施</w:t>
                  </w:r>
                  <w:r>
                    <w:rPr>
                      <w:rFonts w:hint="eastAsia"/>
                      <w:color w:val="auto"/>
                      <w:kern w:val="0"/>
                      <w:szCs w:val="21"/>
                    </w:rPr>
                    <w:t>；</w:t>
                  </w:r>
                </w:p>
              </w:tc>
              <w:tc>
                <w:tcPr>
                  <w:tcW w:w="779" w:type="pct"/>
                  <w:vAlign w:val="center"/>
                </w:tcPr>
                <w:p>
                  <w:pPr>
                    <w:widowControl/>
                    <w:rPr>
                      <w:color w:val="auto"/>
                      <w:kern w:val="0"/>
                      <w:szCs w:val="21"/>
                    </w:rPr>
                  </w:pPr>
                  <w:r>
                    <w:rPr>
                      <w:color w:val="auto"/>
                      <w:kern w:val="0"/>
                      <w:szCs w:val="21"/>
                    </w:rPr>
                    <w:t>与环评设计一致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56" w:type="pct"/>
                  <w:vMerge w:val="continue"/>
                  <w:vAlign w:val="center"/>
                </w:tcPr>
                <w:p>
                  <w:pPr>
                    <w:widowControl/>
                    <w:jc w:val="center"/>
                    <w:rPr>
                      <w:color w:val="auto"/>
                      <w:kern w:val="0"/>
                      <w:szCs w:val="21"/>
                    </w:rPr>
                  </w:pPr>
                </w:p>
              </w:tc>
              <w:tc>
                <w:tcPr>
                  <w:tcW w:w="679" w:type="pct"/>
                  <w:gridSpan w:val="2"/>
                  <w:vMerge w:val="restart"/>
                  <w:vAlign w:val="center"/>
                </w:tcPr>
                <w:p>
                  <w:pPr>
                    <w:widowControl/>
                    <w:rPr>
                      <w:color w:val="auto"/>
                      <w:kern w:val="0"/>
                      <w:szCs w:val="21"/>
                    </w:rPr>
                  </w:pPr>
                  <w:r>
                    <w:rPr>
                      <w:color w:val="auto"/>
                      <w:kern w:val="0"/>
                      <w:szCs w:val="21"/>
                    </w:rPr>
                    <w:t>废水</w:t>
                  </w:r>
                </w:p>
              </w:tc>
              <w:tc>
                <w:tcPr>
                  <w:tcW w:w="1976" w:type="pct"/>
                  <w:vAlign w:val="center"/>
                </w:tcPr>
                <w:p>
                  <w:pPr>
                    <w:widowControl/>
                    <w:rPr>
                      <w:color w:val="auto"/>
                      <w:kern w:val="0"/>
                      <w:szCs w:val="21"/>
                    </w:rPr>
                  </w:pPr>
                  <w:r>
                    <w:rPr>
                      <w:color w:val="auto"/>
                      <w:kern w:val="0"/>
                      <w:szCs w:val="21"/>
                    </w:rPr>
                    <w:t>地面冲洗废水、车辆冲洗废水经隔油沉淀池处理后</w:t>
                  </w:r>
                  <w:r>
                    <w:rPr>
                      <w:color w:val="auto"/>
                      <w:szCs w:val="21"/>
                    </w:rPr>
                    <w:t>排入地埋式一体化污水处理设施经处理后用于厂区和周围绿化带；</w:t>
                  </w:r>
                </w:p>
              </w:tc>
              <w:tc>
                <w:tcPr>
                  <w:tcW w:w="1308" w:type="pct"/>
                  <w:vMerge w:val="restart"/>
                  <w:vAlign w:val="center"/>
                </w:tcPr>
                <w:p>
                  <w:pPr>
                    <w:widowControl/>
                    <w:rPr>
                      <w:color w:val="auto"/>
                      <w:kern w:val="0"/>
                      <w:szCs w:val="21"/>
                    </w:rPr>
                  </w:pPr>
                  <w:r>
                    <w:rPr>
                      <w:rFonts w:hint="eastAsia"/>
                      <w:color w:val="auto"/>
                      <w:kern w:val="0"/>
                      <w:szCs w:val="21"/>
                    </w:rPr>
                    <w:t>洗车</w:t>
                  </w:r>
                  <w:r>
                    <w:rPr>
                      <w:color w:val="auto"/>
                      <w:kern w:val="0"/>
                      <w:szCs w:val="21"/>
                    </w:rPr>
                    <w:t>废水经隔油沉淀池处理后</w:t>
                  </w:r>
                  <w:r>
                    <w:rPr>
                      <w:color w:val="auto"/>
                      <w:szCs w:val="21"/>
                    </w:rPr>
                    <w:t>排入地埋式一体化污水处理设施</w:t>
                  </w:r>
                  <w:r>
                    <w:rPr>
                      <w:rFonts w:hint="eastAsia"/>
                      <w:color w:val="auto"/>
                      <w:szCs w:val="21"/>
                    </w:rPr>
                    <w:t>、同生活污水一同处理，</w:t>
                  </w:r>
                  <w:r>
                    <w:rPr>
                      <w:color w:val="auto"/>
                      <w:szCs w:val="21"/>
                    </w:rPr>
                    <w:t>经处理</w:t>
                  </w:r>
                  <w:r>
                    <w:rPr>
                      <w:rFonts w:hint="eastAsia"/>
                      <w:color w:val="auto"/>
                      <w:szCs w:val="21"/>
                    </w:rPr>
                    <w:t>达标后</w:t>
                  </w:r>
                  <w:r>
                    <w:rPr>
                      <w:color w:val="auto"/>
                      <w:szCs w:val="21"/>
                    </w:rPr>
                    <w:t>用于厂区和周围绿化带；</w:t>
                  </w:r>
                </w:p>
              </w:tc>
              <w:tc>
                <w:tcPr>
                  <w:tcW w:w="779" w:type="pct"/>
                  <w:vMerge w:val="restart"/>
                  <w:vAlign w:val="center"/>
                </w:tcPr>
                <w:p>
                  <w:pPr>
                    <w:widowControl/>
                    <w:rPr>
                      <w:color w:val="auto"/>
                      <w:kern w:val="0"/>
                      <w:szCs w:val="21"/>
                    </w:rPr>
                  </w:pPr>
                  <w:r>
                    <w:rPr>
                      <w:color w:val="auto"/>
                      <w:kern w:val="0"/>
                      <w:szCs w:val="21"/>
                    </w:rPr>
                    <w:t>与环评设计一致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56" w:type="pct"/>
                  <w:vMerge w:val="continue"/>
                  <w:vAlign w:val="center"/>
                </w:tcPr>
                <w:p>
                  <w:pPr>
                    <w:widowControl/>
                    <w:jc w:val="center"/>
                    <w:rPr>
                      <w:color w:val="auto"/>
                      <w:kern w:val="0"/>
                      <w:szCs w:val="21"/>
                    </w:rPr>
                  </w:pPr>
                </w:p>
              </w:tc>
              <w:tc>
                <w:tcPr>
                  <w:tcW w:w="679" w:type="pct"/>
                  <w:gridSpan w:val="2"/>
                  <w:vMerge w:val="continue"/>
                  <w:vAlign w:val="center"/>
                </w:tcPr>
                <w:p>
                  <w:pPr>
                    <w:widowControl/>
                    <w:jc w:val="center"/>
                    <w:rPr>
                      <w:color w:val="auto"/>
                      <w:kern w:val="0"/>
                      <w:szCs w:val="21"/>
                    </w:rPr>
                  </w:pPr>
                </w:p>
              </w:tc>
              <w:tc>
                <w:tcPr>
                  <w:tcW w:w="1976" w:type="pct"/>
                  <w:vAlign w:val="center"/>
                </w:tcPr>
                <w:p>
                  <w:pPr>
                    <w:widowControl/>
                    <w:rPr>
                      <w:color w:val="auto"/>
                      <w:kern w:val="0"/>
                      <w:szCs w:val="21"/>
                    </w:rPr>
                  </w:pPr>
                  <w:r>
                    <w:rPr>
                      <w:color w:val="auto"/>
                      <w:kern w:val="0"/>
                      <w:szCs w:val="21"/>
                    </w:rPr>
                    <w:t>生活污水排入</w:t>
                  </w:r>
                  <w:r>
                    <w:rPr>
                      <w:color w:val="auto"/>
                      <w:szCs w:val="21"/>
                    </w:rPr>
                    <w:t>地埋式一体化污水处理设施经处理后用于厂区绿化；</w:t>
                  </w:r>
                </w:p>
              </w:tc>
              <w:tc>
                <w:tcPr>
                  <w:tcW w:w="1308" w:type="pct"/>
                  <w:vMerge w:val="continue"/>
                  <w:vAlign w:val="center"/>
                </w:tcPr>
                <w:p>
                  <w:pPr>
                    <w:widowControl/>
                    <w:jc w:val="center"/>
                    <w:rPr>
                      <w:color w:val="auto"/>
                      <w:kern w:val="0"/>
                      <w:szCs w:val="21"/>
                    </w:rPr>
                  </w:pPr>
                </w:p>
              </w:tc>
              <w:tc>
                <w:tcPr>
                  <w:tcW w:w="779" w:type="pct"/>
                  <w:vMerge w:val="continue"/>
                  <w:vAlign w:val="center"/>
                </w:tcPr>
                <w:p>
                  <w:pPr>
                    <w:widowControl/>
                    <w:jc w:val="center"/>
                    <w:rPr>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56" w:type="pct"/>
                  <w:vMerge w:val="continue"/>
                  <w:vAlign w:val="center"/>
                </w:tcPr>
                <w:p>
                  <w:pPr>
                    <w:widowControl/>
                    <w:jc w:val="center"/>
                    <w:rPr>
                      <w:color w:val="auto"/>
                      <w:kern w:val="0"/>
                      <w:szCs w:val="21"/>
                    </w:rPr>
                  </w:pPr>
                </w:p>
              </w:tc>
              <w:tc>
                <w:tcPr>
                  <w:tcW w:w="679" w:type="pct"/>
                  <w:gridSpan w:val="2"/>
                  <w:vMerge w:val="continue"/>
                  <w:vAlign w:val="center"/>
                </w:tcPr>
                <w:p>
                  <w:pPr>
                    <w:widowControl/>
                    <w:jc w:val="center"/>
                    <w:rPr>
                      <w:color w:val="auto"/>
                      <w:kern w:val="0"/>
                      <w:szCs w:val="21"/>
                    </w:rPr>
                  </w:pPr>
                </w:p>
              </w:tc>
              <w:tc>
                <w:tcPr>
                  <w:tcW w:w="1976" w:type="pct"/>
                  <w:vAlign w:val="center"/>
                </w:tcPr>
                <w:p>
                  <w:pPr>
                    <w:widowControl/>
                    <w:rPr>
                      <w:color w:val="auto"/>
                      <w:kern w:val="0"/>
                      <w:szCs w:val="21"/>
                    </w:rPr>
                  </w:pPr>
                  <w:r>
                    <w:rPr>
                      <w:color w:val="auto"/>
                      <w:kern w:val="0"/>
                      <w:szCs w:val="21"/>
                    </w:rPr>
                    <w:t>食堂废水经隔油池处理后</w:t>
                  </w:r>
                  <w:r>
                    <w:rPr>
                      <w:color w:val="auto"/>
                      <w:szCs w:val="21"/>
                    </w:rPr>
                    <w:t>排入地埋式一体化污水处理设施经处理后用于厂区绿化；</w:t>
                  </w:r>
                </w:p>
              </w:tc>
              <w:tc>
                <w:tcPr>
                  <w:tcW w:w="1308" w:type="pct"/>
                  <w:vAlign w:val="center"/>
                </w:tcPr>
                <w:p>
                  <w:pPr>
                    <w:widowControl/>
                    <w:rPr>
                      <w:color w:val="auto"/>
                      <w:kern w:val="0"/>
                      <w:szCs w:val="21"/>
                    </w:rPr>
                  </w:pPr>
                  <w:r>
                    <w:rPr>
                      <w:color w:val="auto"/>
                      <w:kern w:val="0"/>
                      <w:szCs w:val="21"/>
                    </w:rPr>
                    <w:t>食堂废水经隔油池处理后</w:t>
                  </w:r>
                  <w:r>
                    <w:rPr>
                      <w:color w:val="auto"/>
                      <w:szCs w:val="21"/>
                    </w:rPr>
                    <w:t>排入地埋式一体化污水处理设施经处理后用于厂区绿化；</w:t>
                  </w:r>
                </w:p>
              </w:tc>
              <w:tc>
                <w:tcPr>
                  <w:tcW w:w="779" w:type="pct"/>
                  <w:vAlign w:val="center"/>
                </w:tcPr>
                <w:p>
                  <w:pPr>
                    <w:widowControl/>
                    <w:rPr>
                      <w:color w:val="auto"/>
                      <w:kern w:val="0"/>
                      <w:szCs w:val="21"/>
                    </w:rPr>
                  </w:pPr>
                  <w:r>
                    <w:rPr>
                      <w:color w:val="auto"/>
                      <w:kern w:val="0"/>
                      <w:szCs w:val="21"/>
                    </w:rPr>
                    <w:t>与环评设计一致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6" w:type="pct"/>
                  <w:vMerge w:val="continue"/>
                  <w:vAlign w:val="center"/>
                </w:tcPr>
                <w:p>
                  <w:pPr>
                    <w:widowControl/>
                    <w:jc w:val="center"/>
                    <w:rPr>
                      <w:color w:val="auto"/>
                      <w:kern w:val="0"/>
                      <w:szCs w:val="21"/>
                    </w:rPr>
                  </w:pPr>
                </w:p>
              </w:tc>
              <w:tc>
                <w:tcPr>
                  <w:tcW w:w="679" w:type="pct"/>
                  <w:gridSpan w:val="2"/>
                  <w:vMerge w:val="restart"/>
                  <w:vAlign w:val="center"/>
                </w:tcPr>
                <w:p>
                  <w:pPr>
                    <w:widowControl/>
                    <w:rPr>
                      <w:color w:val="auto"/>
                      <w:kern w:val="0"/>
                      <w:szCs w:val="21"/>
                    </w:rPr>
                  </w:pPr>
                  <w:r>
                    <w:rPr>
                      <w:color w:val="auto"/>
                      <w:kern w:val="0"/>
                      <w:szCs w:val="21"/>
                    </w:rPr>
                    <w:t>固废</w:t>
                  </w:r>
                </w:p>
              </w:tc>
              <w:tc>
                <w:tcPr>
                  <w:tcW w:w="1976" w:type="pct"/>
                  <w:vAlign w:val="center"/>
                </w:tcPr>
                <w:p>
                  <w:pPr>
                    <w:widowControl/>
                    <w:rPr>
                      <w:color w:val="auto"/>
                      <w:kern w:val="0"/>
                      <w:szCs w:val="21"/>
                    </w:rPr>
                  </w:pPr>
                  <w:r>
                    <w:rPr>
                      <w:color w:val="auto"/>
                      <w:kern w:val="0"/>
                      <w:szCs w:val="21"/>
                    </w:rPr>
                    <w:t>废</w:t>
                  </w:r>
                  <w:r>
                    <w:rPr>
                      <w:rFonts w:hint="eastAsia"/>
                      <w:color w:val="auto"/>
                      <w:kern w:val="0"/>
                      <w:szCs w:val="21"/>
                      <w:lang w:val="en-US" w:eastAsia="zh-CN"/>
                    </w:rPr>
                    <w:t>硝酸铵</w:t>
                  </w:r>
                  <w:r>
                    <w:rPr>
                      <w:color w:val="auto"/>
                      <w:kern w:val="0"/>
                      <w:szCs w:val="21"/>
                    </w:rPr>
                    <w:t>包装袋由厂家回收</w:t>
                  </w:r>
                  <w:r>
                    <w:rPr>
                      <w:rFonts w:hint="eastAsia"/>
                      <w:color w:val="auto"/>
                      <w:kern w:val="0"/>
                      <w:szCs w:val="21"/>
                    </w:rPr>
                    <w:t>；</w:t>
                  </w:r>
                </w:p>
              </w:tc>
              <w:tc>
                <w:tcPr>
                  <w:tcW w:w="1308" w:type="pct"/>
                  <w:vAlign w:val="center"/>
                </w:tcPr>
                <w:p>
                  <w:pPr>
                    <w:widowControl/>
                    <w:rPr>
                      <w:color w:val="auto"/>
                      <w:kern w:val="0"/>
                      <w:szCs w:val="21"/>
                    </w:rPr>
                  </w:pPr>
                  <w:r>
                    <w:rPr>
                      <w:rFonts w:hint="eastAsia"/>
                      <w:color w:val="auto"/>
                      <w:kern w:val="0"/>
                      <w:szCs w:val="21"/>
                    </w:rPr>
                    <w:t>硝酸铵废包装袋集中收集，</w:t>
                  </w:r>
                  <w:r>
                    <w:rPr>
                      <w:rFonts w:hint="eastAsia"/>
                      <w:color w:val="auto"/>
                      <w:kern w:val="0"/>
                      <w:szCs w:val="21"/>
                      <w:lang w:val="en-US" w:eastAsia="zh-CN"/>
                    </w:rPr>
                    <w:t>暂存于危废暂存间，定期交有资质单位处置</w:t>
                  </w:r>
                  <w:r>
                    <w:rPr>
                      <w:rFonts w:hint="eastAsia"/>
                      <w:color w:val="auto"/>
                      <w:kern w:val="0"/>
                      <w:szCs w:val="21"/>
                    </w:rPr>
                    <w:t>；</w:t>
                  </w:r>
                </w:p>
              </w:tc>
              <w:tc>
                <w:tcPr>
                  <w:tcW w:w="779" w:type="pct"/>
                  <w:vAlign w:val="center"/>
                </w:tcPr>
                <w:p>
                  <w:pPr>
                    <w:widowControl/>
                    <w:rPr>
                      <w:rFonts w:hint="default" w:eastAsia="宋体"/>
                      <w:color w:val="auto"/>
                      <w:kern w:val="0"/>
                      <w:szCs w:val="21"/>
                      <w:lang w:val="en-US" w:eastAsia="zh-CN"/>
                    </w:rPr>
                  </w:pPr>
                  <w:r>
                    <w:rPr>
                      <w:rFonts w:hint="eastAsia"/>
                      <w:color w:val="auto"/>
                      <w:kern w:val="0"/>
                      <w:szCs w:val="21"/>
                      <w:lang w:val="en-US" w:eastAsia="zh-CN"/>
                    </w:rPr>
                    <w:t>按危险废物进行管理、处置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56" w:type="pct"/>
                  <w:vMerge w:val="continue"/>
                  <w:vAlign w:val="center"/>
                </w:tcPr>
                <w:p>
                  <w:pPr>
                    <w:widowControl/>
                    <w:jc w:val="center"/>
                    <w:rPr>
                      <w:color w:val="auto"/>
                      <w:szCs w:val="21"/>
                    </w:rPr>
                  </w:pPr>
                </w:p>
              </w:tc>
              <w:tc>
                <w:tcPr>
                  <w:tcW w:w="679" w:type="pct"/>
                  <w:gridSpan w:val="2"/>
                  <w:vMerge w:val="continue"/>
                  <w:vAlign w:val="center"/>
                </w:tcPr>
                <w:p>
                  <w:pPr>
                    <w:widowControl/>
                    <w:jc w:val="center"/>
                    <w:rPr>
                      <w:color w:val="auto"/>
                      <w:szCs w:val="21"/>
                    </w:rPr>
                  </w:pPr>
                </w:p>
              </w:tc>
              <w:tc>
                <w:tcPr>
                  <w:tcW w:w="1976" w:type="pct"/>
                  <w:vAlign w:val="center"/>
                </w:tcPr>
                <w:p>
                  <w:pPr>
                    <w:widowControl/>
                    <w:rPr>
                      <w:color w:val="auto"/>
                      <w:kern w:val="0"/>
                      <w:szCs w:val="21"/>
                    </w:rPr>
                  </w:pPr>
                  <w:r>
                    <w:rPr>
                      <w:color w:val="auto"/>
                      <w:kern w:val="0"/>
                      <w:szCs w:val="21"/>
                    </w:rPr>
                    <w:t>生活垃圾</w:t>
                  </w:r>
                  <w:r>
                    <w:rPr>
                      <w:color w:val="auto"/>
                      <w:szCs w:val="21"/>
                    </w:rPr>
                    <w:t>收集后交由环卫部门统一清理</w:t>
                  </w:r>
                  <w:r>
                    <w:rPr>
                      <w:rFonts w:hint="eastAsia"/>
                      <w:color w:val="auto"/>
                      <w:szCs w:val="21"/>
                    </w:rPr>
                    <w:t>；</w:t>
                  </w:r>
                </w:p>
              </w:tc>
              <w:tc>
                <w:tcPr>
                  <w:tcW w:w="1308" w:type="pct"/>
                  <w:vAlign w:val="center"/>
                </w:tcPr>
                <w:p>
                  <w:pPr>
                    <w:widowControl/>
                    <w:rPr>
                      <w:color w:val="auto"/>
                      <w:kern w:val="0"/>
                      <w:szCs w:val="21"/>
                    </w:rPr>
                  </w:pPr>
                  <w:r>
                    <w:rPr>
                      <w:rFonts w:hint="eastAsia"/>
                      <w:color w:val="auto"/>
                      <w:kern w:val="0"/>
                      <w:szCs w:val="21"/>
                    </w:rPr>
                    <w:t>生活垃圾集中收集，委托成都瑞鑫环卫有限公司清运处理；</w:t>
                  </w:r>
                </w:p>
              </w:tc>
              <w:tc>
                <w:tcPr>
                  <w:tcW w:w="779" w:type="pct"/>
                  <w:vAlign w:val="center"/>
                </w:tcPr>
                <w:p>
                  <w:pPr>
                    <w:widowControl/>
                    <w:rPr>
                      <w:color w:val="auto"/>
                      <w:kern w:val="0"/>
                      <w:szCs w:val="21"/>
                    </w:rPr>
                  </w:pPr>
                  <w:r>
                    <w:rPr>
                      <w:color w:val="auto"/>
                      <w:kern w:val="0"/>
                      <w:szCs w:val="21"/>
                    </w:rPr>
                    <w:t>与环评设计一致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31" w:hRule="atLeast"/>
              </w:trPr>
              <w:tc>
                <w:tcPr>
                  <w:tcW w:w="256" w:type="pct"/>
                  <w:vMerge w:val="continue"/>
                  <w:vAlign w:val="center"/>
                </w:tcPr>
                <w:p>
                  <w:pPr>
                    <w:widowControl/>
                    <w:jc w:val="center"/>
                    <w:rPr>
                      <w:color w:val="auto"/>
                      <w:szCs w:val="21"/>
                    </w:rPr>
                  </w:pPr>
                </w:p>
              </w:tc>
              <w:tc>
                <w:tcPr>
                  <w:tcW w:w="679" w:type="pct"/>
                  <w:gridSpan w:val="2"/>
                  <w:vMerge w:val="continue"/>
                  <w:vAlign w:val="center"/>
                </w:tcPr>
                <w:p>
                  <w:pPr>
                    <w:widowControl/>
                    <w:jc w:val="center"/>
                    <w:rPr>
                      <w:color w:val="auto"/>
                      <w:szCs w:val="21"/>
                    </w:rPr>
                  </w:pPr>
                </w:p>
              </w:tc>
              <w:tc>
                <w:tcPr>
                  <w:tcW w:w="1976" w:type="pct"/>
                  <w:vAlign w:val="center"/>
                </w:tcPr>
                <w:p>
                  <w:pPr>
                    <w:widowControl/>
                    <w:rPr>
                      <w:color w:val="auto"/>
                      <w:kern w:val="0"/>
                      <w:szCs w:val="21"/>
                    </w:rPr>
                  </w:pPr>
                  <w:r>
                    <w:rPr>
                      <w:color w:val="auto"/>
                      <w:szCs w:val="21"/>
                    </w:rPr>
                    <w:t>厨余垃圾收集后交由厨余垃圾处理单位统一处置</w:t>
                  </w:r>
                  <w:r>
                    <w:rPr>
                      <w:rFonts w:hint="eastAsia"/>
                      <w:color w:val="auto"/>
                      <w:szCs w:val="21"/>
                    </w:rPr>
                    <w:t>；</w:t>
                  </w:r>
                </w:p>
              </w:tc>
              <w:tc>
                <w:tcPr>
                  <w:tcW w:w="1308" w:type="pct"/>
                  <w:vAlign w:val="center"/>
                </w:tcPr>
                <w:p>
                  <w:pPr>
                    <w:widowControl/>
                    <w:rPr>
                      <w:color w:val="auto"/>
                      <w:szCs w:val="21"/>
                    </w:rPr>
                  </w:pPr>
                  <w:r>
                    <w:rPr>
                      <w:color w:val="auto"/>
                      <w:szCs w:val="21"/>
                    </w:rPr>
                    <w:t>厨余垃圾收集后</w:t>
                  </w:r>
                  <w:r>
                    <w:rPr>
                      <w:rFonts w:hint="eastAsia"/>
                      <w:color w:val="auto"/>
                      <w:szCs w:val="21"/>
                    </w:rPr>
                    <w:t>，</w:t>
                  </w:r>
                  <w:r>
                    <w:rPr>
                      <w:rFonts w:hint="eastAsia"/>
                      <w:color w:val="auto"/>
                      <w:kern w:val="0"/>
                      <w:szCs w:val="21"/>
                    </w:rPr>
                    <w:t>委托成都瑞鑫环卫有限公司清运处理；</w:t>
                  </w:r>
                </w:p>
              </w:tc>
              <w:tc>
                <w:tcPr>
                  <w:tcW w:w="779" w:type="pct"/>
                  <w:vAlign w:val="center"/>
                </w:tcPr>
                <w:p>
                  <w:pPr>
                    <w:widowControl/>
                    <w:rPr>
                      <w:color w:val="auto"/>
                      <w:szCs w:val="21"/>
                    </w:rPr>
                  </w:pPr>
                  <w:r>
                    <w:rPr>
                      <w:color w:val="auto"/>
                      <w:kern w:val="0"/>
                      <w:szCs w:val="21"/>
                    </w:rPr>
                    <w:t>与环评设计一致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56" w:type="pct"/>
                  <w:vMerge w:val="continue"/>
                  <w:vAlign w:val="center"/>
                </w:tcPr>
                <w:p>
                  <w:pPr>
                    <w:widowControl/>
                    <w:jc w:val="center"/>
                    <w:rPr>
                      <w:color w:val="auto"/>
                      <w:szCs w:val="21"/>
                    </w:rPr>
                  </w:pPr>
                </w:p>
              </w:tc>
              <w:tc>
                <w:tcPr>
                  <w:tcW w:w="679" w:type="pct"/>
                  <w:gridSpan w:val="2"/>
                  <w:vMerge w:val="continue"/>
                  <w:vAlign w:val="center"/>
                </w:tcPr>
                <w:p>
                  <w:pPr>
                    <w:widowControl/>
                    <w:jc w:val="center"/>
                    <w:rPr>
                      <w:color w:val="auto"/>
                      <w:szCs w:val="21"/>
                    </w:rPr>
                  </w:pPr>
                </w:p>
              </w:tc>
              <w:tc>
                <w:tcPr>
                  <w:tcW w:w="1976" w:type="pct"/>
                  <w:vAlign w:val="center"/>
                </w:tcPr>
                <w:p>
                  <w:pPr>
                    <w:widowControl/>
                    <w:rPr>
                      <w:color w:val="auto"/>
                      <w:szCs w:val="21"/>
                    </w:rPr>
                  </w:pPr>
                  <w:r>
                    <w:rPr>
                      <w:color w:val="auto"/>
                      <w:szCs w:val="21"/>
                    </w:rPr>
                    <w:t>设立危废暂存间暂存，暂存废机油、浮油渣，委托具有处理资质的单位处理</w:t>
                  </w:r>
                </w:p>
              </w:tc>
              <w:tc>
                <w:tcPr>
                  <w:tcW w:w="1308" w:type="pct"/>
                  <w:vAlign w:val="center"/>
                </w:tcPr>
                <w:p>
                  <w:pPr>
                    <w:widowControl/>
                    <w:rPr>
                      <w:color w:val="auto"/>
                      <w:szCs w:val="21"/>
                    </w:rPr>
                  </w:pPr>
                  <w:r>
                    <w:rPr>
                      <w:rFonts w:hint="eastAsia"/>
                      <w:color w:val="auto"/>
                      <w:szCs w:val="21"/>
                    </w:rPr>
                    <w:t>厂区建设危废暂存间，</w:t>
                  </w:r>
                </w:p>
              </w:tc>
              <w:tc>
                <w:tcPr>
                  <w:tcW w:w="779" w:type="pct"/>
                  <w:vAlign w:val="center"/>
                </w:tcPr>
                <w:p>
                  <w:pPr>
                    <w:widowControl/>
                    <w:rPr>
                      <w:color w:val="auto"/>
                      <w:szCs w:val="21"/>
                    </w:rPr>
                  </w:pPr>
                  <w:r>
                    <w:rPr>
                      <w:color w:val="auto"/>
                      <w:kern w:val="0"/>
                      <w:szCs w:val="21"/>
                    </w:rPr>
                    <w:t>与环评设计一致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6" w:type="pct"/>
                  <w:vMerge w:val="continue"/>
                  <w:vAlign w:val="center"/>
                </w:tcPr>
                <w:p>
                  <w:pPr>
                    <w:widowControl/>
                    <w:jc w:val="center"/>
                    <w:rPr>
                      <w:color w:val="auto"/>
                      <w:kern w:val="0"/>
                      <w:szCs w:val="21"/>
                    </w:rPr>
                  </w:pPr>
                </w:p>
              </w:tc>
              <w:tc>
                <w:tcPr>
                  <w:tcW w:w="679" w:type="pct"/>
                  <w:gridSpan w:val="2"/>
                  <w:vAlign w:val="center"/>
                </w:tcPr>
                <w:p>
                  <w:pPr>
                    <w:widowControl/>
                    <w:rPr>
                      <w:color w:val="auto"/>
                      <w:kern w:val="0"/>
                      <w:szCs w:val="21"/>
                    </w:rPr>
                  </w:pPr>
                  <w:r>
                    <w:rPr>
                      <w:color w:val="auto"/>
                      <w:kern w:val="0"/>
                      <w:szCs w:val="21"/>
                    </w:rPr>
                    <w:t>噪声</w:t>
                  </w:r>
                </w:p>
              </w:tc>
              <w:tc>
                <w:tcPr>
                  <w:tcW w:w="1976" w:type="pct"/>
                  <w:vAlign w:val="center"/>
                </w:tcPr>
                <w:p>
                  <w:pPr>
                    <w:widowControl/>
                    <w:rPr>
                      <w:color w:val="auto"/>
                      <w:kern w:val="0"/>
                      <w:szCs w:val="21"/>
                    </w:rPr>
                  </w:pPr>
                  <w:r>
                    <w:rPr>
                      <w:color w:val="auto"/>
                      <w:szCs w:val="21"/>
                    </w:rPr>
                    <w:t>橡胶</w:t>
                  </w:r>
                  <w:r>
                    <w:rPr>
                      <w:rFonts w:hint="eastAsia"/>
                      <w:color w:val="auto"/>
                      <w:szCs w:val="21"/>
                      <w:lang w:eastAsia="zh-CN"/>
                    </w:rPr>
                    <w:t>减振</w:t>
                  </w:r>
                  <w:r>
                    <w:rPr>
                      <w:color w:val="auto"/>
                      <w:szCs w:val="21"/>
                    </w:rPr>
                    <w:t>接头、</w:t>
                  </w:r>
                  <w:r>
                    <w:rPr>
                      <w:rFonts w:hint="eastAsia"/>
                      <w:color w:val="auto"/>
                      <w:szCs w:val="21"/>
                      <w:lang w:eastAsia="zh-CN"/>
                    </w:rPr>
                    <w:t>减振</w:t>
                  </w:r>
                  <w:r>
                    <w:rPr>
                      <w:color w:val="auto"/>
                      <w:szCs w:val="21"/>
                    </w:rPr>
                    <w:t>垫、消声、隔声门窗、选用低噪声设备</w:t>
                  </w:r>
                </w:p>
              </w:tc>
              <w:tc>
                <w:tcPr>
                  <w:tcW w:w="1308" w:type="pct"/>
                  <w:vAlign w:val="center"/>
                </w:tcPr>
                <w:p>
                  <w:pPr>
                    <w:widowControl/>
                    <w:rPr>
                      <w:color w:val="auto"/>
                      <w:szCs w:val="21"/>
                    </w:rPr>
                  </w:pPr>
                  <w:r>
                    <w:rPr>
                      <w:color w:val="auto"/>
                      <w:szCs w:val="21"/>
                    </w:rPr>
                    <w:t>选用低噪声设备</w:t>
                  </w:r>
                  <w:r>
                    <w:rPr>
                      <w:rFonts w:hint="eastAsia"/>
                      <w:color w:val="auto"/>
                      <w:szCs w:val="21"/>
                    </w:rPr>
                    <w:t>、</w:t>
                  </w:r>
                  <w:r>
                    <w:rPr>
                      <w:rFonts w:hint="eastAsia"/>
                      <w:color w:val="auto"/>
                      <w:szCs w:val="21"/>
                      <w:lang w:eastAsia="zh-CN"/>
                    </w:rPr>
                    <w:t>减振</w:t>
                  </w:r>
                  <w:r>
                    <w:rPr>
                      <w:color w:val="auto"/>
                      <w:szCs w:val="21"/>
                    </w:rPr>
                    <w:t>垫</w:t>
                  </w:r>
                  <w:r>
                    <w:rPr>
                      <w:rFonts w:hint="eastAsia"/>
                      <w:color w:val="auto"/>
                      <w:szCs w:val="21"/>
                    </w:rPr>
                    <w:t>、</w:t>
                  </w:r>
                  <w:r>
                    <w:rPr>
                      <w:color w:val="auto"/>
                      <w:szCs w:val="21"/>
                    </w:rPr>
                    <w:t>隔声门窗</w:t>
                  </w:r>
                  <w:r>
                    <w:rPr>
                      <w:rFonts w:hint="eastAsia"/>
                      <w:color w:val="auto"/>
                      <w:szCs w:val="21"/>
                    </w:rPr>
                    <w:t>等。</w:t>
                  </w:r>
                </w:p>
              </w:tc>
              <w:tc>
                <w:tcPr>
                  <w:tcW w:w="779" w:type="pct"/>
                  <w:vAlign w:val="center"/>
                </w:tcPr>
                <w:p>
                  <w:pPr>
                    <w:widowControl/>
                    <w:rPr>
                      <w:color w:val="auto"/>
                      <w:szCs w:val="21"/>
                    </w:rPr>
                  </w:pPr>
                  <w:r>
                    <w:rPr>
                      <w:color w:val="auto"/>
                      <w:kern w:val="0"/>
                      <w:szCs w:val="21"/>
                    </w:rPr>
                    <w:t>与环评设计一致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6" w:type="pct"/>
                  <w:vMerge w:val="continue"/>
                  <w:vAlign w:val="center"/>
                </w:tcPr>
                <w:p>
                  <w:pPr>
                    <w:widowControl/>
                    <w:jc w:val="center"/>
                    <w:rPr>
                      <w:color w:val="auto"/>
                      <w:kern w:val="0"/>
                      <w:szCs w:val="21"/>
                    </w:rPr>
                  </w:pPr>
                </w:p>
              </w:tc>
              <w:tc>
                <w:tcPr>
                  <w:tcW w:w="679" w:type="pct"/>
                  <w:gridSpan w:val="2"/>
                  <w:vAlign w:val="center"/>
                </w:tcPr>
                <w:p>
                  <w:pPr>
                    <w:widowControl/>
                    <w:rPr>
                      <w:color w:val="auto"/>
                      <w:kern w:val="0"/>
                      <w:szCs w:val="21"/>
                    </w:rPr>
                  </w:pPr>
                  <w:r>
                    <w:rPr>
                      <w:color w:val="auto"/>
                      <w:kern w:val="0"/>
                      <w:szCs w:val="21"/>
                    </w:rPr>
                    <w:t>生态</w:t>
                  </w:r>
                </w:p>
              </w:tc>
              <w:tc>
                <w:tcPr>
                  <w:tcW w:w="1976" w:type="pct"/>
                  <w:vAlign w:val="center"/>
                </w:tcPr>
                <w:p>
                  <w:pPr>
                    <w:widowControl/>
                    <w:rPr>
                      <w:color w:val="auto"/>
                      <w:kern w:val="0"/>
                      <w:szCs w:val="21"/>
                    </w:rPr>
                  </w:pPr>
                  <w:r>
                    <w:rPr>
                      <w:color w:val="auto"/>
                      <w:kern w:val="0"/>
                      <w:szCs w:val="21"/>
                    </w:rPr>
                    <w:t>厂区内设置绿化带，总绿化面积2000m</w:t>
                  </w:r>
                  <w:r>
                    <w:rPr>
                      <w:color w:val="auto"/>
                      <w:kern w:val="0"/>
                      <w:szCs w:val="21"/>
                      <w:vertAlign w:val="superscript"/>
                    </w:rPr>
                    <w:t>2</w:t>
                  </w:r>
                  <w:r>
                    <w:rPr>
                      <w:color w:val="auto"/>
                      <w:kern w:val="0"/>
                      <w:szCs w:val="21"/>
                    </w:rPr>
                    <w:t>；</w:t>
                  </w:r>
                </w:p>
              </w:tc>
              <w:tc>
                <w:tcPr>
                  <w:tcW w:w="1308" w:type="pct"/>
                  <w:vAlign w:val="center"/>
                </w:tcPr>
                <w:p>
                  <w:pPr>
                    <w:widowControl/>
                    <w:rPr>
                      <w:color w:val="auto"/>
                      <w:kern w:val="0"/>
                      <w:szCs w:val="21"/>
                    </w:rPr>
                  </w:pPr>
                  <w:r>
                    <w:rPr>
                      <w:color w:val="auto"/>
                      <w:kern w:val="0"/>
                      <w:szCs w:val="21"/>
                    </w:rPr>
                    <w:t>厂区内设置绿化带，总绿化面积2000m</w:t>
                  </w:r>
                  <w:r>
                    <w:rPr>
                      <w:color w:val="auto"/>
                      <w:kern w:val="0"/>
                      <w:szCs w:val="21"/>
                      <w:vertAlign w:val="superscript"/>
                    </w:rPr>
                    <w:t>2</w:t>
                  </w:r>
                  <w:r>
                    <w:rPr>
                      <w:rFonts w:hint="eastAsia"/>
                      <w:color w:val="auto"/>
                      <w:kern w:val="0"/>
                      <w:szCs w:val="21"/>
                    </w:rPr>
                    <w:t>。</w:t>
                  </w:r>
                </w:p>
              </w:tc>
              <w:tc>
                <w:tcPr>
                  <w:tcW w:w="779" w:type="pct"/>
                  <w:vAlign w:val="center"/>
                </w:tcPr>
                <w:p>
                  <w:pPr>
                    <w:widowControl/>
                    <w:rPr>
                      <w:color w:val="auto"/>
                      <w:kern w:val="0"/>
                      <w:szCs w:val="21"/>
                    </w:rPr>
                  </w:pPr>
                  <w:r>
                    <w:rPr>
                      <w:color w:val="auto"/>
                      <w:kern w:val="0"/>
                      <w:szCs w:val="21"/>
                    </w:rPr>
                    <w:t>与环评设计一致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6" w:type="pct"/>
                  <w:vMerge w:val="restart"/>
                  <w:vAlign w:val="center"/>
                </w:tcPr>
                <w:p>
                  <w:pPr>
                    <w:widowControl/>
                    <w:rPr>
                      <w:color w:val="auto"/>
                      <w:kern w:val="0"/>
                      <w:szCs w:val="21"/>
                    </w:rPr>
                  </w:pPr>
                  <w:r>
                    <w:rPr>
                      <w:color w:val="auto"/>
                      <w:kern w:val="0"/>
                      <w:szCs w:val="21"/>
                    </w:rPr>
                    <w:t>储运工程</w:t>
                  </w:r>
                </w:p>
              </w:tc>
              <w:tc>
                <w:tcPr>
                  <w:tcW w:w="261" w:type="pct"/>
                  <w:vMerge w:val="restart"/>
                  <w:vAlign w:val="center"/>
                </w:tcPr>
                <w:p>
                  <w:pPr>
                    <w:widowControl/>
                    <w:rPr>
                      <w:color w:val="auto"/>
                      <w:kern w:val="0"/>
                      <w:szCs w:val="21"/>
                    </w:rPr>
                  </w:pPr>
                  <w:r>
                    <w:rPr>
                      <w:color w:val="auto"/>
                      <w:szCs w:val="21"/>
                    </w:rPr>
                    <w:t>危险品储存库区</w:t>
                  </w:r>
                </w:p>
              </w:tc>
              <w:tc>
                <w:tcPr>
                  <w:tcW w:w="418" w:type="pct"/>
                  <w:vAlign w:val="center"/>
                </w:tcPr>
                <w:p>
                  <w:pPr>
                    <w:widowControl/>
                    <w:rPr>
                      <w:color w:val="auto"/>
                      <w:kern w:val="0"/>
                      <w:szCs w:val="21"/>
                    </w:rPr>
                  </w:pPr>
                  <w:r>
                    <w:rPr>
                      <w:color w:val="auto"/>
                      <w:kern w:val="0"/>
                      <w:szCs w:val="21"/>
                    </w:rPr>
                    <w:t>工业炸药库</w:t>
                  </w:r>
                </w:p>
              </w:tc>
              <w:tc>
                <w:tcPr>
                  <w:tcW w:w="1976" w:type="pct"/>
                  <w:vAlign w:val="center"/>
                </w:tcPr>
                <w:p>
                  <w:pPr>
                    <w:widowControl/>
                    <w:rPr>
                      <w:color w:val="auto"/>
                      <w:kern w:val="0"/>
                      <w:szCs w:val="21"/>
                    </w:rPr>
                  </w:pPr>
                  <w:r>
                    <w:rPr>
                      <w:color w:val="auto"/>
                      <w:kern w:val="0"/>
                      <w:szCs w:val="21"/>
                    </w:rPr>
                    <w:t>位于危险品储存库区，占地面积36m</w:t>
                  </w:r>
                  <w:r>
                    <w:rPr>
                      <w:color w:val="auto"/>
                      <w:kern w:val="0"/>
                      <w:szCs w:val="21"/>
                      <w:vertAlign w:val="superscript"/>
                    </w:rPr>
                    <w:t>2</w:t>
                  </w:r>
                  <w:r>
                    <w:rPr>
                      <w:color w:val="auto"/>
                      <w:kern w:val="0"/>
                      <w:szCs w:val="21"/>
                    </w:rPr>
                    <w:t>，砖混结构，用于储存炸药，最大储存量</w:t>
                  </w:r>
                  <w:r>
                    <w:rPr>
                      <w:rFonts w:hint="eastAsia"/>
                      <w:color w:val="auto"/>
                      <w:kern w:val="0"/>
                      <w:szCs w:val="21"/>
                    </w:rPr>
                    <w:t>10</w:t>
                  </w:r>
                  <w:r>
                    <w:rPr>
                      <w:color w:val="auto"/>
                      <w:kern w:val="0"/>
                      <w:szCs w:val="21"/>
                    </w:rPr>
                    <w:t>t；</w:t>
                  </w:r>
                </w:p>
              </w:tc>
              <w:tc>
                <w:tcPr>
                  <w:tcW w:w="1308" w:type="pct"/>
                  <w:vAlign w:val="center"/>
                </w:tcPr>
                <w:p>
                  <w:pPr>
                    <w:widowControl/>
                    <w:rPr>
                      <w:color w:val="auto"/>
                      <w:kern w:val="0"/>
                      <w:szCs w:val="21"/>
                    </w:rPr>
                  </w:pPr>
                  <w:r>
                    <w:rPr>
                      <w:color w:val="auto"/>
                      <w:kern w:val="0"/>
                      <w:szCs w:val="21"/>
                    </w:rPr>
                    <w:t>位于危险品储存库区，占地面积36m</w:t>
                  </w:r>
                  <w:r>
                    <w:rPr>
                      <w:color w:val="auto"/>
                      <w:kern w:val="0"/>
                      <w:szCs w:val="21"/>
                      <w:vertAlign w:val="superscript"/>
                    </w:rPr>
                    <w:t>2</w:t>
                  </w:r>
                  <w:r>
                    <w:rPr>
                      <w:color w:val="auto"/>
                      <w:kern w:val="0"/>
                      <w:szCs w:val="21"/>
                    </w:rPr>
                    <w:t>，砖混结构，用于储存炸药，最大储存量</w:t>
                  </w:r>
                  <w:r>
                    <w:rPr>
                      <w:rFonts w:hint="eastAsia"/>
                      <w:color w:val="auto"/>
                      <w:kern w:val="0"/>
                      <w:szCs w:val="21"/>
                    </w:rPr>
                    <w:t>10</w:t>
                  </w:r>
                  <w:r>
                    <w:rPr>
                      <w:color w:val="auto"/>
                      <w:kern w:val="0"/>
                      <w:szCs w:val="21"/>
                    </w:rPr>
                    <w:t>t；</w:t>
                  </w:r>
                </w:p>
              </w:tc>
              <w:tc>
                <w:tcPr>
                  <w:tcW w:w="779" w:type="pct"/>
                  <w:vAlign w:val="center"/>
                </w:tcPr>
                <w:p>
                  <w:pPr>
                    <w:widowControl/>
                    <w:jc w:val="center"/>
                    <w:rPr>
                      <w:color w:val="auto"/>
                      <w:kern w:val="0"/>
                      <w:szCs w:val="21"/>
                    </w:rPr>
                  </w:pPr>
                  <w:r>
                    <w:rPr>
                      <w:rFonts w:hint="eastAsia"/>
                      <w:color w:val="auto"/>
                      <w:kern w:val="0"/>
                      <w:szCs w:val="21"/>
                    </w:rPr>
                    <w:t>未建设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6" w:type="pct"/>
                  <w:vMerge w:val="continue"/>
                  <w:vAlign w:val="center"/>
                </w:tcPr>
                <w:p>
                  <w:pPr>
                    <w:widowControl/>
                    <w:jc w:val="center"/>
                    <w:rPr>
                      <w:color w:val="auto"/>
                      <w:kern w:val="0"/>
                      <w:szCs w:val="21"/>
                    </w:rPr>
                  </w:pPr>
                </w:p>
              </w:tc>
              <w:tc>
                <w:tcPr>
                  <w:tcW w:w="261" w:type="pct"/>
                  <w:vMerge w:val="continue"/>
                  <w:vAlign w:val="center"/>
                </w:tcPr>
                <w:p>
                  <w:pPr>
                    <w:widowControl/>
                    <w:jc w:val="center"/>
                    <w:rPr>
                      <w:color w:val="auto"/>
                      <w:kern w:val="0"/>
                      <w:szCs w:val="21"/>
                    </w:rPr>
                  </w:pPr>
                </w:p>
              </w:tc>
              <w:tc>
                <w:tcPr>
                  <w:tcW w:w="418" w:type="pct"/>
                  <w:vAlign w:val="center"/>
                </w:tcPr>
                <w:p>
                  <w:pPr>
                    <w:widowControl/>
                    <w:rPr>
                      <w:color w:val="auto"/>
                      <w:kern w:val="0"/>
                      <w:szCs w:val="21"/>
                    </w:rPr>
                  </w:pPr>
                  <w:r>
                    <w:rPr>
                      <w:color w:val="auto"/>
                      <w:kern w:val="0"/>
                      <w:szCs w:val="21"/>
                    </w:rPr>
                    <w:t>工业雷管库</w:t>
                  </w:r>
                </w:p>
              </w:tc>
              <w:tc>
                <w:tcPr>
                  <w:tcW w:w="1976" w:type="pct"/>
                  <w:vAlign w:val="center"/>
                </w:tcPr>
                <w:p>
                  <w:pPr>
                    <w:widowControl/>
                    <w:rPr>
                      <w:color w:val="auto"/>
                      <w:kern w:val="0"/>
                      <w:szCs w:val="21"/>
                    </w:rPr>
                  </w:pPr>
                  <w:r>
                    <w:rPr>
                      <w:color w:val="auto"/>
                      <w:kern w:val="0"/>
                      <w:szCs w:val="21"/>
                    </w:rPr>
                    <w:t>位于危险品储存库区，占地面积36m</w:t>
                  </w:r>
                  <w:r>
                    <w:rPr>
                      <w:color w:val="auto"/>
                      <w:kern w:val="0"/>
                      <w:szCs w:val="21"/>
                      <w:vertAlign w:val="superscript"/>
                    </w:rPr>
                    <w:t>2</w:t>
                  </w:r>
                  <w:r>
                    <w:rPr>
                      <w:color w:val="auto"/>
                      <w:kern w:val="0"/>
                      <w:szCs w:val="21"/>
                    </w:rPr>
                    <w:t>，砖混结构，用于储存雷管，最大储存量1万发；</w:t>
                  </w:r>
                </w:p>
              </w:tc>
              <w:tc>
                <w:tcPr>
                  <w:tcW w:w="1308" w:type="pct"/>
                  <w:vAlign w:val="center"/>
                </w:tcPr>
                <w:p>
                  <w:pPr>
                    <w:widowControl/>
                    <w:rPr>
                      <w:color w:val="auto"/>
                      <w:kern w:val="0"/>
                      <w:szCs w:val="21"/>
                    </w:rPr>
                  </w:pPr>
                  <w:r>
                    <w:rPr>
                      <w:color w:val="auto"/>
                      <w:kern w:val="0"/>
                      <w:szCs w:val="21"/>
                    </w:rPr>
                    <w:t>占地面积36m</w:t>
                  </w:r>
                  <w:r>
                    <w:rPr>
                      <w:color w:val="auto"/>
                      <w:kern w:val="0"/>
                      <w:szCs w:val="21"/>
                      <w:vertAlign w:val="superscript"/>
                    </w:rPr>
                    <w:t>2</w:t>
                  </w:r>
                  <w:r>
                    <w:rPr>
                      <w:color w:val="auto"/>
                      <w:kern w:val="0"/>
                      <w:szCs w:val="21"/>
                    </w:rPr>
                    <w:t>，砖混结构，用于储存雷管，最大储存量1万发；</w:t>
                  </w:r>
                </w:p>
              </w:tc>
              <w:tc>
                <w:tcPr>
                  <w:tcW w:w="779" w:type="pct"/>
                  <w:vAlign w:val="center"/>
                </w:tcPr>
                <w:p>
                  <w:pPr>
                    <w:widowControl/>
                    <w:jc w:val="center"/>
                    <w:rPr>
                      <w:color w:val="auto"/>
                      <w:kern w:val="0"/>
                      <w:szCs w:val="21"/>
                    </w:rPr>
                  </w:pPr>
                  <w:r>
                    <w:rPr>
                      <w:rFonts w:hint="eastAsia"/>
                      <w:color w:val="auto"/>
                      <w:kern w:val="0"/>
                      <w:szCs w:val="21"/>
                    </w:rPr>
                    <w:t>未建设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6" w:type="pct"/>
                  <w:vMerge w:val="continue"/>
                  <w:vAlign w:val="center"/>
                </w:tcPr>
                <w:p>
                  <w:pPr>
                    <w:widowControl/>
                    <w:jc w:val="center"/>
                    <w:rPr>
                      <w:color w:val="auto"/>
                      <w:kern w:val="0"/>
                      <w:szCs w:val="21"/>
                    </w:rPr>
                  </w:pPr>
                </w:p>
              </w:tc>
              <w:tc>
                <w:tcPr>
                  <w:tcW w:w="679" w:type="pct"/>
                  <w:gridSpan w:val="2"/>
                  <w:vAlign w:val="center"/>
                </w:tcPr>
                <w:p>
                  <w:pPr>
                    <w:widowControl/>
                    <w:rPr>
                      <w:color w:val="auto"/>
                      <w:kern w:val="0"/>
                      <w:szCs w:val="21"/>
                    </w:rPr>
                  </w:pPr>
                  <w:r>
                    <w:rPr>
                      <w:color w:val="auto"/>
                      <w:kern w:val="0"/>
                      <w:szCs w:val="21"/>
                    </w:rPr>
                    <w:t>硝酸铵库</w:t>
                  </w:r>
                </w:p>
              </w:tc>
              <w:tc>
                <w:tcPr>
                  <w:tcW w:w="1976" w:type="pct"/>
                  <w:vAlign w:val="center"/>
                </w:tcPr>
                <w:p>
                  <w:pPr>
                    <w:widowControl/>
                    <w:rPr>
                      <w:color w:val="auto"/>
                      <w:kern w:val="0"/>
                      <w:szCs w:val="21"/>
                    </w:rPr>
                  </w:pPr>
                  <w:r>
                    <w:rPr>
                      <w:color w:val="auto"/>
                      <w:kern w:val="0"/>
                      <w:szCs w:val="21"/>
                    </w:rPr>
                    <w:t>位于现场混装炸药生产区，占地面积900m</w:t>
                  </w:r>
                  <w:r>
                    <w:rPr>
                      <w:color w:val="auto"/>
                      <w:kern w:val="0"/>
                      <w:szCs w:val="21"/>
                      <w:vertAlign w:val="superscript"/>
                    </w:rPr>
                    <w:t>2</w:t>
                  </w:r>
                  <w:r>
                    <w:rPr>
                      <w:color w:val="auto"/>
                      <w:kern w:val="0"/>
                      <w:szCs w:val="21"/>
                    </w:rPr>
                    <w:t>，砖混结构，用于储存硝酸铵，最大储存量600t；</w:t>
                  </w:r>
                </w:p>
              </w:tc>
              <w:tc>
                <w:tcPr>
                  <w:tcW w:w="1308" w:type="pct"/>
                  <w:vAlign w:val="center"/>
                </w:tcPr>
                <w:p>
                  <w:pPr>
                    <w:widowControl/>
                    <w:rPr>
                      <w:color w:val="auto"/>
                      <w:kern w:val="0"/>
                      <w:szCs w:val="21"/>
                    </w:rPr>
                  </w:pPr>
                  <w:r>
                    <w:rPr>
                      <w:color w:val="auto"/>
                      <w:kern w:val="0"/>
                      <w:szCs w:val="21"/>
                    </w:rPr>
                    <w:t>位于现场混装炸药生产区，占地面积9</w:t>
                  </w:r>
                  <w:r>
                    <w:rPr>
                      <w:rFonts w:hint="eastAsia"/>
                      <w:color w:val="auto"/>
                      <w:kern w:val="0"/>
                      <w:szCs w:val="21"/>
                    </w:rPr>
                    <w:t>45</w:t>
                  </w:r>
                  <w:r>
                    <w:rPr>
                      <w:color w:val="auto"/>
                      <w:kern w:val="0"/>
                      <w:szCs w:val="21"/>
                    </w:rPr>
                    <w:t>m</w:t>
                  </w:r>
                  <w:r>
                    <w:rPr>
                      <w:color w:val="auto"/>
                      <w:kern w:val="0"/>
                      <w:szCs w:val="21"/>
                      <w:vertAlign w:val="superscript"/>
                    </w:rPr>
                    <w:t>2</w:t>
                  </w:r>
                  <w:r>
                    <w:rPr>
                      <w:color w:val="auto"/>
                      <w:kern w:val="0"/>
                      <w:szCs w:val="21"/>
                    </w:rPr>
                    <w:t>，砖混结构，用于储存硝酸铵，最大储存量600t；</w:t>
                  </w:r>
                </w:p>
              </w:tc>
              <w:tc>
                <w:tcPr>
                  <w:tcW w:w="779" w:type="pct"/>
                  <w:vAlign w:val="center"/>
                </w:tcPr>
                <w:p>
                  <w:pPr>
                    <w:widowControl/>
                    <w:rPr>
                      <w:color w:val="auto"/>
                      <w:kern w:val="0"/>
                      <w:szCs w:val="21"/>
                    </w:rPr>
                  </w:pPr>
                  <w:r>
                    <w:rPr>
                      <w:rFonts w:hint="eastAsia"/>
                      <w:color w:val="auto"/>
                      <w:kern w:val="0"/>
                      <w:szCs w:val="21"/>
                    </w:rPr>
                    <w:t>增加45</w:t>
                  </w:r>
                  <w:r>
                    <w:rPr>
                      <w:rFonts w:eastAsiaTheme="minorEastAsia"/>
                      <w:color w:val="auto"/>
                      <w:szCs w:val="21"/>
                    </w:rPr>
                    <w:t>m</w:t>
                  </w:r>
                  <w:r>
                    <w:rPr>
                      <w:rFonts w:eastAsiaTheme="minorEastAsia"/>
                      <w:color w:val="auto"/>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6" w:type="pct"/>
                  <w:vMerge w:val="continue"/>
                  <w:vAlign w:val="center"/>
                </w:tcPr>
                <w:p>
                  <w:pPr>
                    <w:widowControl/>
                    <w:jc w:val="center"/>
                    <w:rPr>
                      <w:color w:val="auto"/>
                      <w:kern w:val="0"/>
                      <w:szCs w:val="21"/>
                    </w:rPr>
                  </w:pPr>
                </w:p>
              </w:tc>
              <w:tc>
                <w:tcPr>
                  <w:tcW w:w="679" w:type="pct"/>
                  <w:gridSpan w:val="2"/>
                  <w:vAlign w:val="center"/>
                </w:tcPr>
                <w:p>
                  <w:pPr>
                    <w:widowControl/>
                    <w:rPr>
                      <w:color w:val="auto"/>
                      <w:kern w:val="0"/>
                      <w:szCs w:val="21"/>
                    </w:rPr>
                  </w:pPr>
                  <w:r>
                    <w:rPr>
                      <w:color w:val="auto"/>
                      <w:kern w:val="0"/>
                      <w:szCs w:val="21"/>
                    </w:rPr>
                    <w:t>综合材料库房</w:t>
                  </w:r>
                </w:p>
              </w:tc>
              <w:tc>
                <w:tcPr>
                  <w:tcW w:w="1976" w:type="pct"/>
                  <w:vAlign w:val="center"/>
                </w:tcPr>
                <w:p>
                  <w:pPr>
                    <w:widowControl/>
                    <w:rPr>
                      <w:color w:val="auto"/>
                      <w:kern w:val="0"/>
                      <w:szCs w:val="21"/>
                    </w:rPr>
                  </w:pPr>
                  <w:r>
                    <w:rPr>
                      <w:color w:val="auto"/>
                      <w:kern w:val="0"/>
                      <w:szCs w:val="21"/>
                    </w:rPr>
                    <w:t>位于现场混装炸药生产区，占地面积360m</w:t>
                  </w:r>
                  <w:r>
                    <w:rPr>
                      <w:color w:val="auto"/>
                      <w:kern w:val="0"/>
                      <w:szCs w:val="21"/>
                      <w:vertAlign w:val="superscript"/>
                    </w:rPr>
                    <w:t>2</w:t>
                  </w:r>
                  <w:r>
                    <w:rPr>
                      <w:color w:val="auto"/>
                      <w:kern w:val="0"/>
                      <w:szCs w:val="21"/>
                    </w:rPr>
                    <w:t>；</w:t>
                  </w:r>
                </w:p>
              </w:tc>
              <w:tc>
                <w:tcPr>
                  <w:tcW w:w="1308" w:type="pct"/>
                  <w:vAlign w:val="center"/>
                </w:tcPr>
                <w:p>
                  <w:pPr>
                    <w:widowControl/>
                    <w:rPr>
                      <w:color w:val="auto"/>
                      <w:kern w:val="0"/>
                      <w:szCs w:val="21"/>
                    </w:rPr>
                  </w:pPr>
                  <w:r>
                    <w:rPr>
                      <w:color w:val="auto"/>
                      <w:kern w:val="0"/>
                      <w:szCs w:val="21"/>
                    </w:rPr>
                    <w:t>位于现场混装炸药生产区，占地面积360m</w:t>
                  </w:r>
                  <w:r>
                    <w:rPr>
                      <w:color w:val="auto"/>
                      <w:kern w:val="0"/>
                      <w:szCs w:val="21"/>
                      <w:vertAlign w:val="superscript"/>
                    </w:rPr>
                    <w:t>2</w:t>
                  </w:r>
                  <w:r>
                    <w:rPr>
                      <w:color w:val="auto"/>
                      <w:kern w:val="0"/>
                      <w:szCs w:val="21"/>
                    </w:rPr>
                    <w:t>；</w:t>
                  </w:r>
                </w:p>
              </w:tc>
              <w:tc>
                <w:tcPr>
                  <w:tcW w:w="779" w:type="pct"/>
                  <w:vAlign w:val="center"/>
                </w:tcPr>
                <w:p>
                  <w:pPr>
                    <w:widowControl/>
                    <w:rPr>
                      <w:color w:val="auto"/>
                      <w:kern w:val="0"/>
                      <w:szCs w:val="21"/>
                    </w:rPr>
                  </w:pPr>
                  <w:r>
                    <w:rPr>
                      <w:color w:val="auto"/>
                      <w:kern w:val="0"/>
                      <w:szCs w:val="21"/>
                    </w:rPr>
                    <w:t>与环评设计一致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6" w:type="pct"/>
                  <w:vMerge w:val="continue"/>
                  <w:vAlign w:val="center"/>
                </w:tcPr>
                <w:p>
                  <w:pPr>
                    <w:widowControl/>
                    <w:jc w:val="center"/>
                    <w:rPr>
                      <w:color w:val="auto"/>
                      <w:kern w:val="0"/>
                      <w:szCs w:val="21"/>
                    </w:rPr>
                  </w:pPr>
                </w:p>
              </w:tc>
              <w:tc>
                <w:tcPr>
                  <w:tcW w:w="679" w:type="pct"/>
                  <w:gridSpan w:val="2"/>
                  <w:vAlign w:val="center"/>
                </w:tcPr>
                <w:p>
                  <w:pPr>
                    <w:widowControl/>
                    <w:rPr>
                      <w:color w:val="auto"/>
                      <w:kern w:val="0"/>
                      <w:szCs w:val="21"/>
                    </w:rPr>
                  </w:pPr>
                  <w:r>
                    <w:rPr>
                      <w:color w:val="auto"/>
                      <w:kern w:val="0"/>
                      <w:szCs w:val="21"/>
                    </w:rPr>
                    <w:t>双层柴油储罐</w:t>
                  </w:r>
                </w:p>
              </w:tc>
              <w:tc>
                <w:tcPr>
                  <w:tcW w:w="1976" w:type="pct"/>
                  <w:vAlign w:val="center"/>
                </w:tcPr>
                <w:p>
                  <w:pPr>
                    <w:widowControl/>
                    <w:rPr>
                      <w:color w:val="auto"/>
                      <w:kern w:val="0"/>
                      <w:szCs w:val="21"/>
                    </w:rPr>
                  </w:pPr>
                  <w:r>
                    <w:rPr>
                      <w:color w:val="auto"/>
                      <w:kern w:val="0"/>
                      <w:szCs w:val="21"/>
                    </w:rPr>
                    <w:t>位于现场混装炸药生产区，容积50m</w:t>
                  </w:r>
                  <w:r>
                    <w:rPr>
                      <w:color w:val="auto"/>
                      <w:kern w:val="0"/>
                      <w:szCs w:val="21"/>
                      <w:vertAlign w:val="superscript"/>
                    </w:rPr>
                    <w:t>3</w:t>
                  </w:r>
                  <w:r>
                    <w:rPr>
                      <w:rFonts w:hint="eastAsia"/>
                      <w:color w:val="auto"/>
                      <w:kern w:val="0"/>
                      <w:szCs w:val="21"/>
                    </w:rPr>
                    <w:t>。</w:t>
                  </w:r>
                </w:p>
              </w:tc>
              <w:tc>
                <w:tcPr>
                  <w:tcW w:w="1308" w:type="pct"/>
                  <w:vAlign w:val="center"/>
                </w:tcPr>
                <w:p>
                  <w:pPr>
                    <w:widowControl/>
                    <w:rPr>
                      <w:color w:val="auto"/>
                      <w:kern w:val="0"/>
                      <w:szCs w:val="21"/>
                    </w:rPr>
                  </w:pPr>
                  <w:r>
                    <w:rPr>
                      <w:color w:val="auto"/>
                      <w:kern w:val="0"/>
                      <w:szCs w:val="21"/>
                    </w:rPr>
                    <w:t>位于现场混装炸药生产区，容积50m</w:t>
                  </w:r>
                  <w:r>
                    <w:rPr>
                      <w:color w:val="auto"/>
                      <w:kern w:val="0"/>
                      <w:szCs w:val="21"/>
                      <w:vertAlign w:val="superscript"/>
                    </w:rPr>
                    <w:t>3</w:t>
                  </w:r>
                  <w:r>
                    <w:rPr>
                      <w:rFonts w:hint="eastAsia"/>
                      <w:color w:val="auto"/>
                      <w:kern w:val="0"/>
                      <w:szCs w:val="21"/>
                    </w:rPr>
                    <w:t>。</w:t>
                  </w:r>
                </w:p>
              </w:tc>
              <w:tc>
                <w:tcPr>
                  <w:tcW w:w="779" w:type="pct"/>
                  <w:vAlign w:val="center"/>
                </w:tcPr>
                <w:p>
                  <w:pPr>
                    <w:widowControl/>
                    <w:rPr>
                      <w:color w:val="auto"/>
                      <w:kern w:val="0"/>
                      <w:szCs w:val="21"/>
                    </w:rPr>
                  </w:pPr>
                  <w:r>
                    <w:rPr>
                      <w:color w:val="auto"/>
                      <w:kern w:val="0"/>
                      <w:szCs w:val="21"/>
                    </w:rPr>
                    <w:t>与环评设计一致</w:t>
                  </w:r>
                </w:p>
              </w:tc>
            </w:tr>
          </w:tbl>
          <w:p>
            <w:pPr>
              <w:adjustRightInd w:val="0"/>
              <w:snapToGrid w:val="0"/>
              <w:spacing w:line="520" w:lineRule="exact"/>
              <w:ind w:firstLine="482" w:firstLineChars="200"/>
              <w:rPr>
                <w:b/>
                <w:bCs/>
                <w:color w:val="auto"/>
                <w:kern w:val="0"/>
                <w:sz w:val="24"/>
              </w:rPr>
            </w:pPr>
            <w:r>
              <w:rPr>
                <w:rFonts w:hint="eastAsia"/>
                <w:b/>
                <w:bCs/>
                <w:color w:val="auto"/>
                <w:kern w:val="0"/>
                <w:sz w:val="24"/>
              </w:rPr>
              <w:t>1.2现有工程环保手续履行情况</w:t>
            </w:r>
          </w:p>
          <w:p>
            <w:pPr>
              <w:adjustRightInd w:val="0"/>
              <w:snapToGrid w:val="0"/>
              <w:spacing w:line="520" w:lineRule="exact"/>
              <w:ind w:firstLine="480" w:firstLineChars="200"/>
              <w:rPr>
                <w:color w:val="auto"/>
                <w:kern w:val="0"/>
                <w:sz w:val="24"/>
              </w:rPr>
            </w:pPr>
            <w:r>
              <w:rPr>
                <w:rFonts w:hint="eastAsia"/>
                <w:color w:val="auto"/>
                <w:kern w:val="0"/>
                <w:sz w:val="24"/>
              </w:rPr>
              <w:t>现有工程于2</w:t>
            </w:r>
            <w:r>
              <w:rPr>
                <w:color w:val="auto"/>
                <w:kern w:val="0"/>
                <w:sz w:val="24"/>
              </w:rPr>
              <w:t>0</w:t>
            </w:r>
            <w:r>
              <w:rPr>
                <w:rFonts w:hint="eastAsia"/>
                <w:color w:val="auto"/>
                <w:kern w:val="0"/>
                <w:sz w:val="24"/>
              </w:rPr>
              <w:t>22</w:t>
            </w:r>
            <w:r>
              <w:rPr>
                <w:color w:val="auto"/>
                <w:kern w:val="0"/>
                <w:sz w:val="24"/>
              </w:rPr>
              <w:t>年</w:t>
            </w:r>
            <w:r>
              <w:rPr>
                <w:rFonts w:hint="eastAsia"/>
                <w:color w:val="auto"/>
                <w:kern w:val="0"/>
                <w:sz w:val="24"/>
              </w:rPr>
              <w:t>5</w:t>
            </w:r>
            <w:r>
              <w:rPr>
                <w:color w:val="auto"/>
                <w:kern w:val="0"/>
                <w:sz w:val="24"/>
              </w:rPr>
              <w:t>月</w:t>
            </w:r>
            <w:r>
              <w:rPr>
                <w:rFonts w:hint="eastAsia"/>
                <w:color w:val="auto"/>
                <w:kern w:val="0"/>
                <w:sz w:val="24"/>
              </w:rPr>
              <w:t>24</w:t>
            </w:r>
            <w:r>
              <w:rPr>
                <w:color w:val="auto"/>
                <w:kern w:val="0"/>
                <w:sz w:val="24"/>
              </w:rPr>
              <w:t>日</w:t>
            </w:r>
            <w:r>
              <w:rPr>
                <w:rFonts w:hint="eastAsia"/>
                <w:color w:val="auto"/>
                <w:kern w:val="0"/>
                <w:sz w:val="24"/>
              </w:rPr>
              <w:t>由昌吉回族自治州生态环境局以“昌州环评</w:t>
            </w:r>
            <w:r>
              <w:rPr>
                <w:rFonts w:hint="eastAsia" w:ascii="宋体" w:hAnsi="宋体"/>
                <w:color w:val="auto"/>
                <w:kern w:val="0"/>
                <w:sz w:val="24"/>
              </w:rPr>
              <w:t>﹝</w:t>
            </w:r>
            <w:r>
              <w:rPr>
                <w:rFonts w:hint="eastAsia"/>
                <w:color w:val="auto"/>
                <w:kern w:val="0"/>
                <w:sz w:val="24"/>
              </w:rPr>
              <w:t>2022</w:t>
            </w:r>
            <w:r>
              <w:rPr>
                <w:rFonts w:hint="eastAsia" w:ascii="宋体" w:hAnsi="宋体"/>
                <w:color w:val="auto"/>
                <w:kern w:val="0"/>
                <w:sz w:val="24"/>
              </w:rPr>
              <w:t>﹞</w:t>
            </w:r>
            <w:r>
              <w:rPr>
                <w:rFonts w:hint="eastAsia"/>
                <w:color w:val="auto"/>
                <w:kern w:val="0"/>
                <w:sz w:val="24"/>
              </w:rPr>
              <w:t>81</w:t>
            </w:r>
            <w:r>
              <w:rPr>
                <w:color w:val="auto"/>
                <w:kern w:val="0"/>
                <w:sz w:val="24"/>
              </w:rPr>
              <w:t>号</w:t>
            </w:r>
            <w:r>
              <w:rPr>
                <w:rFonts w:hint="eastAsia"/>
                <w:color w:val="auto"/>
                <w:kern w:val="0"/>
                <w:sz w:val="24"/>
              </w:rPr>
              <w:t>”批复通过，2012年8月开工建设，2013年6月建成。2024年3月24通过竣工环境保护验收。</w:t>
            </w:r>
          </w:p>
          <w:p>
            <w:pPr>
              <w:adjustRightInd w:val="0"/>
              <w:snapToGrid w:val="0"/>
              <w:spacing w:line="520" w:lineRule="exact"/>
              <w:ind w:firstLine="480" w:firstLineChars="200"/>
              <w:rPr>
                <w:color w:val="auto"/>
                <w:kern w:val="0"/>
                <w:sz w:val="24"/>
              </w:rPr>
            </w:pPr>
            <w:r>
              <w:rPr>
                <w:rFonts w:hint="eastAsia"/>
                <w:color w:val="auto"/>
                <w:kern w:val="0"/>
                <w:sz w:val="24"/>
              </w:rPr>
              <w:t>公司于2023年12月编制了《昌吉天宝混装炸药制造有限公司突发环境事件应急预案》并在当地生态环境局备案，备案编号为：652327-2024-001-L。</w:t>
            </w:r>
          </w:p>
          <w:p>
            <w:pPr>
              <w:adjustRightInd w:val="0"/>
              <w:snapToGrid w:val="0"/>
              <w:spacing w:line="520" w:lineRule="exact"/>
              <w:ind w:firstLine="480" w:firstLineChars="200"/>
              <w:rPr>
                <w:color w:val="auto"/>
                <w:kern w:val="0"/>
                <w:sz w:val="24"/>
              </w:rPr>
            </w:pPr>
            <w:r>
              <w:rPr>
                <w:rFonts w:hint="eastAsia"/>
                <w:color w:val="auto"/>
                <w:kern w:val="0"/>
                <w:sz w:val="24"/>
              </w:rPr>
              <w:t>公司于2023年12月在排污许可证申请平台进行了登记，载明了项目主要建设内容及采取的环保措施等，登记编号为：91652327MABM87F13A001X。</w:t>
            </w:r>
          </w:p>
          <w:p>
            <w:pPr>
              <w:adjustRightInd w:val="0"/>
              <w:snapToGrid w:val="0"/>
              <w:spacing w:line="520" w:lineRule="exact"/>
              <w:ind w:firstLine="482" w:firstLineChars="200"/>
              <w:rPr>
                <w:b/>
                <w:bCs/>
                <w:color w:val="auto"/>
                <w:kern w:val="0"/>
                <w:sz w:val="24"/>
              </w:rPr>
            </w:pPr>
            <w:r>
              <w:rPr>
                <w:rFonts w:hint="eastAsia"/>
                <w:b/>
                <w:bCs/>
                <w:color w:val="auto"/>
                <w:kern w:val="0"/>
                <w:sz w:val="24"/>
              </w:rPr>
              <w:t>1.3主要污染物及处置措施、达标分析</w:t>
            </w:r>
          </w:p>
          <w:p>
            <w:pPr>
              <w:adjustRightInd w:val="0"/>
              <w:snapToGrid w:val="0"/>
              <w:spacing w:line="520" w:lineRule="exact"/>
              <w:ind w:firstLine="480" w:firstLineChars="200"/>
              <w:rPr>
                <w:bCs/>
                <w:color w:val="auto"/>
                <w:sz w:val="24"/>
              </w:rPr>
            </w:pPr>
            <w:r>
              <w:rPr>
                <w:rFonts w:hint="eastAsia"/>
                <w:bCs/>
                <w:color w:val="auto"/>
                <w:sz w:val="24"/>
              </w:rPr>
              <w:t>通过对现有生产工艺的分析，运营期主要污染源为：硝酸铵上料过程产生的粉尘；柴油储罐区挥发的少量有机废气；现场混装车洗车废水；混装车装料和运输车辆等产生的噪声；硝酸铵废包装袋及隔油池废渣等。</w:t>
            </w:r>
          </w:p>
          <w:p>
            <w:pPr>
              <w:adjustRightInd w:val="0"/>
              <w:snapToGrid w:val="0"/>
              <w:spacing w:line="520" w:lineRule="exact"/>
              <w:ind w:firstLine="480" w:firstLineChars="200"/>
              <w:rPr>
                <w:bCs/>
                <w:color w:val="auto"/>
                <w:sz w:val="24"/>
              </w:rPr>
            </w:pPr>
            <w:r>
              <w:rPr>
                <w:rFonts w:hint="eastAsia"/>
                <w:bCs/>
                <w:color w:val="auto"/>
                <w:sz w:val="24"/>
              </w:rPr>
              <w:t>（1）大气污染物</w:t>
            </w:r>
          </w:p>
          <w:p>
            <w:pPr>
              <w:adjustRightInd w:val="0"/>
              <w:snapToGrid w:val="0"/>
              <w:spacing w:line="520" w:lineRule="exact"/>
              <w:ind w:firstLine="480" w:firstLineChars="200"/>
              <w:rPr>
                <w:bCs/>
                <w:color w:val="auto"/>
                <w:sz w:val="24"/>
                <w:highlight w:val="yellow"/>
              </w:rPr>
            </w:pPr>
            <w:r>
              <w:rPr>
                <w:rFonts w:hint="eastAsia"/>
                <w:bCs/>
                <w:color w:val="auto"/>
                <w:sz w:val="24"/>
              </w:rPr>
              <w:t>现有工程废气项目废气为硝酸铵在投料时产生的粉尘、柴油储罐区挥发的少量非甲烷总烃；通过加强操作管理以及上料车间通风有效地减少无组织废气的排放。污染源治理措施详情见表2-12。</w:t>
            </w:r>
          </w:p>
          <w:p>
            <w:pPr>
              <w:pStyle w:val="36"/>
              <w:rPr>
                <w:color w:val="auto"/>
              </w:rPr>
            </w:pPr>
            <w:r>
              <w:rPr>
                <w:color w:val="auto"/>
              </w:rPr>
              <w:t>表</w:t>
            </w:r>
            <w:r>
              <w:rPr>
                <w:rFonts w:hint="eastAsia"/>
                <w:color w:val="auto"/>
              </w:rPr>
              <w:t>2</w:t>
            </w:r>
            <w:r>
              <w:rPr>
                <w:color w:val="auto"/>
              </w:rPr>
              <w:t>-1</w:t>
            </w:r>
            <w:r>
              <w:rPr>
                <w:rFonts w:hint="eastAsia"/>
                <w:color w:val="auto"/>
              </w:rPr>
              <w:t>2</w:t>
            </w:r>
            <w:r>
              <w:rPr>
                <w:color w:val="auto"/>
              </w:rPr>
              <w:t xml:space="preserve">  </w:t>
            </w:r>
            <w:r>
              <w:rPr>
                <w:rFonts w:hint="eastAsia"/>
                <w:color w:val="auto"/>
              </w:rPr>
              <w:t>现有工程</w:t>
            </w:r>
            <w:r>
              <w:rPr>
                <w:color w:val="auto"/>
              </w:rPr>
              <w:t>废气</w:t>
            </w:r>
            <w:r>
              <w:rPr>
                <w:rFonts w:hint="eastAsia"/>
                <w:color w:val="auto"/>
              </w:rPr>
              <w:t>排放及治理措施</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91"/>
              <w:gridCol w:w="2136"/>
              <w:gridCol w:w="1909"/>
              <w:gridCol w:w="1289"/>
              <w:gridCol w:w="10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85" w:type="pct"/>
                  <w:vAlign w:val="center"/>
                </w:tcPr>
                <w:p>
                  <w:pPr>
                    <w:pStyle w:val="81"/>
                    <w:rPr>
                      <w:color w:val="auto"/>
                    </w:rPr>
                  </w:pPr>
                  <w:r>
                    <w:rPr>
                      <w:rFonts w:hint="eastAsia"/>
                      <w:color w:val="auto"/>
                    </w:rPr>
                    <w:t>污染工序</w:t>
                  </w:r>
                </w:p>
              </w:tc>
              <w:tc>
                <w:tcPr>
                  <w:tcW w:w="1271" w:type="pct"/>
                  <w:vAlign w:val="center"/>
                </w:tcPr>
                <w:p>
                  <w:pPr>
                    <w:pStyle w:val="81"/>
                    <w:rPr>
                      <w:color w:val="auto"/>
                    </w:rPr>
                  </w:pPr>
                  <w:r>
                    <w:rPr>
                      <w:rFonts w:hint="eastAsia"/>
                      <w:color w:val="auto"/>
                    </w:rPr>
                    <w:t>污染因子</w:t>
                  </w:r>
                </w:p>
              </w:tc>
              <w:tc>
                <w:tcPr>
                  <w:tcW w:w="1136" w:type="pct"/>
                </w:tcPr>
                <w:p>
                  <w:pPr>
                    <w:pStyle w:val="81"/>
                    <w:rPr>
                      <w:color w:val="auto"/>
                    </w:rPr>
                  </w:pPr>
                  <w:r>
                    <w:rPr>
                      <w:rFonts w:hint="eastAsia"/>
                      <w:color w:val="auto"/>
                    </w:rPr>
                    <w:t>治理</w:t>
                  </w:r>
                  <w:r>
                    <w:rPr>
                      <w:color w:val="auto"/>
                    </w:rPr>
                    <w:t>措施</w:t>
                  </w:r>
                </w:p>
              </w:tc>
              <w:tc>
                <w:tcPr>
                  <w:tcW w:w="767" w:type="pct"/>
                </w:tcPr>
                <w:p>
                  <w:pPr>
                    <w:pStyle w:val="81"/>
                    <w:rPr>
                      <w:color w:val="auto"/>
                    </w:rPr>
                  </w:pPr>
                  <w:r>
                    <w:rPr>
                      <w:rFonts w:hint="eastAsia"/>
                      <w:color w:val="auto"/>
                    </w:rPr>
                    <w:t>运行时间</w:t>
                  </w:r>
                </w:p>
              </w:tc>
              <w:tc>
                <w:tcPr>
                  <w:tcW w:w="639" w:type="pct"/>
                  <w:vAlign w:val="center"/>
                </w:tcPr>
                <w:p>
                  <w:pPr>
                    <w:pStyle w:val="81"/>
                    <w:rPr>
                      <w:color w:val="auto"/>
                    </w:rPr>
                  </w:pPr>
                  <w:r>
                    <w:rPr>
                      <w:rFonts w:hint="eastAsia"/>
                      <w:color w:val="auto"/>
                    </w:rPr>
                    <w:t>排放规律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185" w:type="pct"/>
                  <w:vAlign w:val="center"/>
                </w:tcPr>
                <w:p>
                  <w:pPr>
                    <w:pStyle w:val="81"/>
                    <w:rPr>
                      <w:color w:val="auto"/>
                    </w:rPr>
                  </w:pPr>
                  <w:r>
                    <w:rPr>
                      <w:color w:val="auto"/>
                    </w:rPr>
                    <w:t>硝酸铵</w:t>
                  </w:r>
                  <w:r>
                    <w:rPr>
                      <w:rFonts w:hint="eastAsia"/>
                      <w:color w:val="auto"/>
                    </w:rPr>
                    <w:t>投料、柴油储罐区</w:t>
                  </w:r>
                </w:p>
              </w:tc>
              <w:tc>
                <w:tcPr>
                  <w:tcW w:w="1271" w:type="pct"/>
                  <w:vAlign w:val="center"/>
                </w:tcPr>
                <w:p>
                  <w:pPr>
                    <w:pStyle w:val="81"/>
                    <w:rPr>
                      <w:color w:val="auto"/>
                    </w:rPr>
                  </w:pPr>
                  <w:r>
                    <w:rPr>
                      <w:rFonts w:hint="eastAsia"/>
                      <w:color w:val="auto"/>
                    </w:rPr>
                    <w:t>颗粒物、非甲烷总烃</w:t>
                  </w:r>
                </w:p>
              </w:tc>
              <w:tc>
                <w:tcPr>
                  <w:tcW w:w="1136" w:type="pct"/>
                  <w:vAlign w:val="center"/>
                </w:tcPr>
                <w:p>
                  <w:pPr>
                    <w:pStyle w:val="81"/>
                    <w:rPr>
                      <w:color w:val="auto"/>
                    </w:rPr>
                  </w:pPr>
                  <w:r>
                    <w:rPr>
                      <w:color w:val="auto"/>
                    </w:rPr>
                    <w:t>加强操作管理以及车间通风</w:t>
                  </w:r>
                </w:p>
              </w:tc>
              <w:tc>
                <w:tcPr>
                  <w:tcW w:w="767" w:type="pct"/>
                  <w:vAlign w:val="center"/>
                </w:tcPr>
                <w:p>
                  <w:pPr>
                    <w:pStyle w:val="81"/>
                    <w:rPr>
                      <w:color w:val="auto"/>
                    </w:rPr>
                  </w:pPr>
                  <w:r>
                    <w:rPr>
                      <w:rFonts w:hint="eastAsia"/>
                      <w:color w:val="auto"/>
                    </w:rPr>
                    <w:t>1500h/a</w:t>
                  </w:r>
                </w:p>
              </w:tc>
              <w:tc>
                <w:tcPr>
                  <w:tcW w:w="639" w:type="pct"/>
                  <w:vAlign w:val="center"/>
                </w:tcPr>
                <w:p>
                  <w:pPr>
                    <w:pStyle w:val="81"/>
                    <w:rPr>
                      <w:color w:val="auto"/>
                    </w:rPr>
                  </w:pPr>
                  <w:r>
                    <w:rPr>
                      <w:rFonts w:hint="eastAsia"/>
                      <w:color w:val="auto"/>
                    </w:rPr>
                    <w:t>间歇</w:t>
                  </w:r>
                </w:p>
              </w:tc>
            </w:tr>
          </w:tbl>
          <w:p>
            <w:pPr>
              <w:adjustRightInd w:val="0"/>
              <w:snapToGrid w:val="0"/>
              <w:spacing w:line="520" w:lineRule="exact"/>
              <w:ind w:firstLine="480" w:firstLineChars="200"/>
              <w:rPr>
                <w:color w:val="auto"/>
                <w:kern w:val="0"/>
                <w:sz w:val="24"/>
              </w:rPr>
            </w:pPr>
            <w:r>
              <w:rPr>
                <w:color w:val="auto"/>
                <w:kern w:val="0"/>
                <w:sz w:val="24"/>
              </w:rPr>
              <w:t>根据</w:t>
            </w:r>
            <w:r>
              <w:rPr>
                <w:rFonts w:hint="eastAsia"/>
                <w:bCs/>
                <w:color w:val="auto"/>
                <w:sz w:val="24"/>
              </w:rPr>
              <w:t>《现场混装多孔粒状铵油炸药生产系统及危险品储存库区搬迁改造项目（一期工程）竣工环境保护验收监测报告表</w:t>
            </w:r>
            <w:r>
              <w:rPr>
                <w:rFonts w:hint="eastAsia"/>
                <w:color w:val="auto"/>
                <w:kern w:val="0"/>
                <w:sz w:val="24"/>
              </w:rPr>
              <w:t>》</w:t>
            </w:r>
            <w:r>
              <w:rPr>
                <w:color w:val="auto"/>
                <w:kern w:val="0"/>
                <w:sz w:val="24"/>
              </w:rPr>
              <w:t>监测报告可知，厂界无组织排放颗粒物、非甲烷总烃最大排放浓度</w:t>
            </w:r>
            <w:r>
              <w:rPr>
                <w:rFonts w:hint="eastAsia"/>
                <w:color w:val="auto"/>
                <w:kern w:val="0"/>
                <w:sz w:val="24"/>
              </w:rPr>
              <w:t>0.291</w:t>
            </w:r>
            <w:r>
              <w:rPr>
                <w:color w:val="auto"/>
                <w:kern w:val="0"/>
                <w:sz w:val="24"/>
              </w:rPr>
              <w:t>mg/m</w:t>
            </w:r>
            <w:r>
              <w:rPr>
                <w:color w:val="auto"/>
                <w:kern w:val="0"/>
                <w:sz w:val="24"/>
                <w:vertAlign w:val="superscript"/>
              </w:rPr>
              <w:t>3</w:t>
            </w:r>
            <w:r>
              <w:rPr>
                <w:color w:val="auto"/>
                <w:kern w:val="0"/>
                <w:sz w:val="24"/>
              </w:rPr>
              <w:t>、</w:t>
            </w:r>
            <w:r>
              <w:rPr>
                <w:rFonts w:hint="eastAsia"/>
                <w:color w:val="auto"/>
                <w:kern w:val="0"/>
                <w:sz w:val="24"/>
              </w:rPr>
              <w:t>0.68</w:t>
            </w:r>
            <w:r>
              <w:rPr>
                <w:color w:val="auto"/>
                <w:kern w:val="0"/>
                <w:sz w:val="24"/>
              </w:rPr>
              <w:t>mg/m</w:t>
            </w:r>
            <w:r>
              <w:rPr>
                <w:color w:val="auto"/>
                <w:kern w:val="0"/>
                <w:sz w:val="24"/>
                <w:vertAlign w:val="superscript"/>
              </w:rPr>
              <w:t>3</w:t>
            </w:r>
            <w:r>
              <w:rPr>
                <w:color w:val="auto"/>
                <w:kern w:val="0"/>
                <w:sz w:val="24"/>
              </w:rPr>
              <w:t>，均满足《大气污染物综合排放标准》（GB16297-1996）中新污染源二级排放标准要求。</w:t>
            </w:r>
            <w:r>
              <w:rPr>
                <w:rFonts w:hint="eastAsia"/>
                <w:color w:val="auto"/>
                <w:sz w:val="24"/>
              </w:rPr>
              <w:t>厂区内VOCs无组织排放监控点最大浓度为0.78mg/m</w:t>
            </w:r>
            <w:r>
              <w:rPr>
                <w:rFonts w:hint="eastAsia"/>
                <w:color w:val="auto"/>
                <w:sz w:val="24"/>
                <w:vertAlign w:val="superscript"/>
              </w:rPr>
              <w:t>3</w:t>
            </w:r>
            <w:r>
              <w:rPr>
                <w:rFonts w:hint="eastAsia"/>
                <w:color w:val="auto"/>
                <w:sz w:val="24"/>
              </w:rPr>
              <w:t>，满足《挥发性有机物无组织排放控制标准》（GB37822-2019）表A.1规定的排放限值要求。</w:t>
            </w:r>
          </w:p>
          <w:p>
            <w:pPr>
              <w:adjustRightInd w:val="0"/>
              <w:snapToGrid w:val="0"/>
              <w:spacing w:line="520" w:lineRule="exact"/>
              <w:ind w:firstLine="480" w:firstLineChars="200"/>
              <w:rPr>
                <w:rFonts w:hAnsi="宋体"/>
                <w:color w:val="auto"/>
                <w:kern w:val="0"/>
                <w:sz w:val="24"/>
              </w:rPr>
            </w:pPr>
            <w:r>
              <w:rPr>
                <w:rFonts w:hint="eastAsia"/>
                <w:color w:val="auto"/>
                <w:kern w:val="0"/>
                <w:sz w:val="24"/>
              </w:rPr>
              <w:t>（2）</w:t>
            </w:r>
            <w:r>
              <w:rPr>
                <w:rFonts w:hint="eastAsia" w:hAnsi="宋体"/>
                <w:color w:val="auto"/>
                <w:kern w:val="0"/>
                <w:sz w:val="24"/>
              </w:rPr>
              <w:t>废水</w:t>
            </w:r>
            <w:r>
              <w:rPr>
                <w:rFonts w:hAnsi="宋体"/>
                <w:color w:val="auto"/>
                <w:kern w:val="0"/>
                <w:sz w:val="24"/>
              </w:rPr>
              <w:t>污染</w:t>
            </w:r>
          </w:p>
          <w:p>
            <w:pPr>
              <w:adjustRightInd w:val="0"/>
              <w:snapToGrid w:val="0"/>
              <w:spacing w:line="520" w:lineRule="exact"/>
              <w:ind w:firstLine="480" w:firstLineChars="200"/>
              <w:rPr>
                <w:color w:val="auto"/>
                <w:kern w:val="0"/>
                <w:sz w:val="24"/>
              </w:rPr>
            </w:pPr>
            <w:r>
              <w:rPr>
                <w:rFonts w:hint="eastAsia"/>
                <w:color w:val="auto"/>
                <w:kern w:val="0"/>
                <w:sz w:val="24"/>
              </w:rPr>
              <w:t>现有工程废水主要为</w:t>
            </w:r>
            <w:r>
              <w:rPr>
                <w:rFonts w:hint="eastAsia"/>
                <w:color w:val="auto"/>
                <w:kern w:val="0"/>
                <w:sz w:val="24"/>
                <w:lang w:eastAsia="zh-CN"/>
              </w:rPr>
              <w:t>生活污水</w:t>
            </w:r>
            <w:r>
              <w:rPr>
                <w:rFonts w:hint="eastAsia"/>
                <w:color w:val="auto"/>
                <w:kern w:val="0"/>
                <w:sz w:val="24"/>
              </w:rPr>
              <w:t>和洗车废水，</w:t>
            </w:r>
            <w:r>
              <w:rPr>
                <w:color w:val="auto"/>
                <w:sz w:val="24"/>
              </w:rPr>
              <w:t>洗车废水经隔油沉淀池处理后与生活污水</w:t>
            </w:r>
            <w:r>
              <w:rPr>
                <w:rFonts w:hint="eastAsia"/>
                <w:color w:val="auto"/>
                <w:sz w:val="24"/>
              </w:rPr>
              <w:t>一同厂区地埋式一体化污水处理设施</w:t>
            </w:r>
            <w:r>
              <w:rPr>
                <w:color w:val="auto"/>
                <w:sz w:val="24"/>
              </w:rPr>
              <w:t>处理</w:t>
            </w:r>
            <w:r>
              <w:rPr>
                <w:rFonts w:hint="eastAsia"/>
                <w:color w:val="auto"/>
                <w:sz w:val="24"/>
              </w:rPr>
              <w:t>后用于厂区周围绿化</w:t>
            </w:r>
            <w:r>
              <w:rPr>
                <w:color w:val="auto"/>
                <w:sz w:val="24"/>
              </w:rPr>
              <w:t>。</w:t>
            </w:r>
            <w:r>
              <w:rPr>
                <w:rFonts w:hint="eastAsia"/>
                <w:bCs/>
                <w:color w:val="auto"/>
                <w:sz w:val="24"/>
              </w:rPr>
              <w:t>《现场混装多孔粒状铵油炸药生产系统及危险品储存库区搬迁改造项目（一期工程）竣工环境保护验收监测报告表</w:t>
            </w:r>
            <w:r>
              <w:rPr>
                <w:rFonts w:hint="eastAsia"/>
                <w:color w:val="auto"/>
                <w:kern w:val="0"/>
                <w:sz w:val="24"/>
              </w:rPr>
              <w:t>》，污水处理站出水监测情况如下表。</w:t>
            </w:r>
          </w:p>
          <w:p>
            <w:pPr>
              <w:pStyle w:val="36"/>
              <w:rPr>
                <w:color w:val="auto"/>
              </w:rPr>
            </w:pPr>
            <w:r>
              <w:rPr>
                <w:rFonts w:hint="eastAsia"/>
                <w:color w:val="auto"/>
              </w:rPr>
              <w:t>表2-13  废水监测结果与评价  单位：</w:t>
            </w:r>
            <w:r>
              <w:rPr>
                <w:color w:val="auto"/>
              </w:rPr>
              <w:t>mg/L</w:t>
            </w:r>
            <w:r>
              <w:rPr>
                <w:rFonts w:hint="eastAsia"/>
                <w:color w:val="auto"/>
              </w:rPr>
              <w:t>，</w:t>
            </w:r>
            <w:r>
              <w:rPr>
                <w:color w:val="auto"/>
              </w:rPr>
              <w:t>pH</w:t>
            </w:r>
            <w:r>
              <w:rPr>
                <w:rFonts w:hint="eastAsia"/>
                <w:color w:val="auto"/>
              </w:rPr>
              <w:t>无量纲</w:t>
            </w:r>
          </w:p>
          <w:tbl>
            <w:tblPr>
              <w:tblStyle w:val="28"/>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299"/>
              <w:gridCol w:w="950"/>
              <w:gridCol w:w="652"/>
              <w:gridCol w:w="628"/>
              <w:gridCol w:w="568"/>
              <w:gridCol w:w="616"/>
              <w:gridCol w:w="638"/>
              <w:gridCol w:w="603"/>
              <w:gridCol w:w="613"/>
              <w:gridCol w:w="641"/>
              <w:gridCol w:w="628"/>
              <w:gridCol w:w="601"/>
              <w:gridCol w:w="468"/>
              <w:gridCol w:w="49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60" w:hRule="atLeast"/>
                <w:jc w:val="center"/>
              </w:trPr>
              <w:tc>
                <w:tcPr>
                  <w:tcW w:w="178" w:type="pct"/>
                  <w:vMerge w:val="restart"/>
                  <w:tcBorders>
                    <w:tl2br w:val="nil"/>
                    <w:tr2bl w:val="nil"/>
                  </w:tcBorders>
                  <w:vAlign w:val="center"/>
                </w:tcPr>
                <w:p>
                  <w:pPr>
                    <w:jc w:val="center"/>
                    <w:rPr>
                      <w:bCs/>
                      <w:color w:val="auto"/>
                      <w:kern w:val="0"/>
                      <w:sz w:val="18"/>
                      <w:szCs w:val="18"/>
                    </w:rPr>
                  </w:pPr>
                  <w:r>
                    <w:rPr>
                      <w:bCs/>
                      <w:color w:val="auto"/>
                      <w:kern w:val="0"/>
                      <w:sz w:val="18"/>
                      <w:szCs w:val="18"/>
                    </w:rPr>
                    <w:t>采样</w:t>
                  </w:r>
                </w:p>
                <w:p>
                  <w:pPr>
                    <w:jc w:val="center"/>
                    <w:rPr>
                      <w:bCs/>
                      <w:color w:val="auto"/>
                      <w:kern w:val="0"/>
                      <w:sz w:val="18"/>
                      <w:szCs w:val="18"/>
                    </w:rPr>
                  </w:pPr>
                  <w:r>
                    <w:rPr>
                      <w:bCs/>
                      <w:color w:val="auto"/>
                      <w:kern w:val="0"/>
                      <w:sz w:val="18"/>
                      <w:szCs w:val="18"/>
                    </w:rPr>
                    <w:t>点位</w:t>
                  </w:r>
                </w:p>
              </w:tc>
              <w:tc>
                <w:tcPr>
                  <w:tcW w:w="566" w:type="pct"/>
                  <w:vMerge w:val="restart"/>
                  <w:tcBorders>
                    <w:tl2br w:val="nil"/>
                    <w:tr2bl w:val="nil"/>
                  </w:tcBorders>
                  <w:vAlign w:val="center"/>
                </w:tcPr>
                <w:p>
                  <w:pPr>
                    <w:jc w:val="center"/>
                    <w:rPr>
                      <w:bCs/>
                      <w:color w:val="auto"/>
                      <w:sz w:val="18"/>
                      <w:szCs w:val="18"/>
                    </w:rPr>
                  </w:pPr>
                  <w:r>
                    <w:rPr>
                      <w:bCs/>
                      <w:color w:val="auto"/>
                      <w:sz w:val="18"/>
                      <w:szCs w:val="18"/>
                    </w:rPr>
                    <w:t>检测</w:t>
                  </w:r>
                </w:p>
                <w:p>
                  <w:pPr>
                    <w:jc w:val="center"/>
                    <w:rPr>
                      <w:bCs/>
                      <w:color w:val="auto"/>
                      <w:sz w:val="18"/>
                      <w:szCs w:val="18"/>
                    </w:rPr>
                  </w:pPr>
                  <w:r>
                    <w:rPr>
                      <w:bCs/>
                      <w:color w:val="auto"/>
                      <w:sz w:val="18"/>
                      <w:szCs w:val="18"/>
                    </w:rPr>
                    <w:t>项目</w:t>
                  </w:r>
                </w:p>
              </w:tc>
              <w:tc>
                <w:tcPr>
                  <w:tcW w:w="4255" w:type="pct"/>
                  <w:gridSpan w:val="12"/>
                  <w:tcBorders>
                    <w:tl2br w:val="nil"/>
                    <w:tr2bl w:val="nil"/>
                  </w:tcBorders>
                  <w:vAlign w:val="center"/>
                </w:tcPr>
                <w:p>
                  <w:pPr>
                    <w:ind w:firstLine="420"/>
                    <w:jc w:val="center"/>
                    <w:rPr>
                      <w:bCs/>
                      <w:color w:val="auto"/>
                      <w:sz w:val="18"/>
                      <w:szCs w:val="18"/>
                    </w:rPr>
                  </w:pPr>
                  <w:r>
                    <w:rPr>
                      <w:bCs/>
                      <w:color w:val="auto"/>
                      <w:sz w:val="18"/>
                      <w:szCs w:val="18"/>
                    </w:rPr>
                    <w:t>检测结果</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18" w:hRule="atLeast"/>
                <w:jc w:val="center"/>
              </w:trPr>
              <w:tc>
                <w:tcPr>
                  <w:tcW w:w="178" w:type="pct"/>
                  <w:vMerge w:val="continue"/>
                  <w:tcBorders>
                    <w:tl2br w:val="nil"/>
                    <w:tr2bl w:val="nil"/>
                  </w:tcBorders>
                  <w:vAlign w:val="center"/>
                </w:tcPr>
                <w:p>
                  <w:pPr>
                    <w:ind w:firstLine="420"/>
                    <w:jc w:val="center"/>
                    <w:rPr>
                      <w:color w:val="auto"/>
                      <w:sz w:val="18"/>
                      <w:szCs w:val="18"/>
                    </w:rPr>
                  </w:pPr>
                </w:p>
              </w:tc>
              <w:tc>
                <w:tcPr>
                  <w:tcW w:w="566" w:type="pct"/>
                  <w:vMerge w:val="continue"/>
                  <w:tcBorders>
                    <w:tl2br w:val="nil"/>
                    <w:tr2bl w:val="nil"/>
                  </w:tcBorders>
                  <w:vAlign w:val="center"/>
                </w:tcPr>
                <w:p>
                  <w:pPr>
                    <w:ind w:firstLine="420"/>
                    <w:jc w:val="center"/>
                    <w:rPr>
                      <w:color w:val="auto"/>
                      <w:sz w:val="18"/>
                      <w:szCs w:val="18"/>
                    </w:rPr>
                  </w:pPr>
                </w:p>
              </w:tc>
              <w:tc>
                <w:tcPr>
                  <w:tcW w:w="1847" w:type="pct"/>
                  <w:gridSpan w:val="5"/>
                  <w:tcBorders>
                    <w:tl2br w:val="nil"/>
                    <w:tr2bl w:val="nil"/>
                  </w:tcBorders>
                  <w:vAlign w:val="center"/>
                </w:tcPr>
                <w:p>
                  <w:pPr>
                    <w:jc w:val="center"/>
                    <w:rPr>
                      <w:bCs/>
                      <w:color w:val="auto"/>
                      <w:sz w:val="18"/>
                      <w:szCs w:val="18"/>
                    </w:rPr>
                  </w:pPr>
                  <w:r>
                    <w:rPr>
                      <w:bCs/>
                      <w:color w:val="auto"/>
                      <w:sz w:val="18"/>
                      <w:szCs w:val="18"/>
                    </w:rPr>
                    <w:t>11月26日</w:t>
                  </w:r>
                </w:p>
              </w:tc>
              <w:tc>
                <w:tcPr>
                  <w:tcW w:w="1838" w:type="pct"/>
                  <w:gridSpan w:val="5"/>
                  <w:tcBorders>
                    <w:right w:val="single" w:color="auto" w:sz="4" w:space="0"/>
                    <w:tl2br w:val="nil"/>
                    <w:tr2bl w:val="nil"/>
                  </w:tcBorders>
                  <w:vAlign w:val="center"/>
                </w:tcPr>
                <w:p>
                  <w:pPr>
                    <w:jc w:val="center"/>
                    <w:rPr>
                      <w:bCs/>
                      <w:color w:val="auto"/>
                      <w:sz w:val="18"/>
                      <w:szCs w:val="18"/>
                    </w:rPr>
                  </w:pPr>
                  <w:r>
                    <w:rPr>
                      <w:bCs/>
                      <w:color w:val="auto"/>
                      <w:sz w:val="18"/>
                      <w:szCs w:val="18"/>
                    </w:rPr>
                    <w:t>11月27日</w:t>
                  </w:r>
                </w:p>
              </w:tc>
              <w:tc>
                <w:tcPr>
                  <w:tcW w:w="279" w:type="pct"/>
                  <w:tcBorders>
                    <w:left w:val="single" w:color="auto" w:sz="4" w:space="0"/>
                    <w:tl2br w:val="nil"/>
                    <w:tr2bl w:val="nil"/>
                  </w:tcBorders>
                  <w:vAlign w:val="center"/>
                </w:tcPr>
                <w:p>
                  <w:pPr>
                    <w:jc w:val="center"/>
                    <w:rPr>
                      <w:bCs/>
                      <w:color w:val="auto"/>
                      <w:sz w:val="18"/>
                      <w:szCs w:val="18"/>
                    </w:rPr>
                  </w:pPr>
                  <w:r>
                    <w:rPr>
                      <w:rFonts w:hint="eastAsia"/>
                      <w:bCs/>
                      <w:color w:val="auto"/>
                      <w:sz w:val="18"/>
                      <w:szCs w:val="18"/>
                    </w:rPr>
                    <w:t>标准限值</w:t>
                  </w:r>
                </w:p>
              </w:tc>
              <w:tc>
                <w:tcPr>
                  <w:tcW w:w="288" w:type="pct"/>
                  <w:tcBorders>
                    <w:tl2br w:val="nil"/>
                    <w:tr2bl w:val="nil"/>
                  </w:tcBorders>
                  <w:vAlign w:val="center"/>
                </w:tcPr>
                <w:p>
                  <w:pPr>
                    <w:jc w:val="center"/>
                    <w:rPr>
                      <w:bCs/>
                      <w:color w:val="auto"/>
                      <w:sz w:val="18"/>
                      <w:szCs w:val="18"/>
                    </w:rPr>
                  </w:pPr>
                  <w:r>
                    <w:rPr>
                      <w:bCs/>
                      <w:color w:val="auto"/>
                      <w:sz w:val="18"/>
                      <w:szCs w:val="18"/>
                    </w:rPr>
                    <w:t>达标</w:t>
                  </w:r>
                </w:p>
                <w:p>
                  <w:pPr>
                    <w:jc w:val="center"/>
                    <w:rPr>
                      <w:bCs/>
                      <w:color w:val="auto"/>
                      <w:sz w:val="18"/>
                      <w:szCs w:val="18"/>
                    </w:rPr>
                  </w:pPr>
                  <w:r>
                    <w:rPr>
                      <w:bCs/>
                      <w:color w:val="auto"/>
                      <w:sz w:val="18"/>
                      <w:szCs w:val="18"/>
                    </w:rPr>
                    <w:t>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98" w:hRule="atLeast"/>
                <w:jc w:val="center"/>
              </w:trPr>
              <w:tc>
                <w:tcPr>
                  <w:tcW w:w="178" w:type="pct"/>
                  <w:vMerge w:val="continue"/>
                  <w:tcBorders>
                    <w:tl2br w:val="nil"/>
                    <w:tr2bl w:val="nil"/>
                  </w:tcBorders>
                  <w:vAlign w:val="center"/>
                </w:tcPr>
                <w:p>
                  <w:pPr>
                    <w:ind w:firstLine="420"/>
                    <w:jc w:val="center"/>
                    <w:rPr>
                      <w:bCs/>
                      <w:color w:val="auto"/>
                      <w:sz w:val="18"/>
                      <w:szCs w:val="18"/>
                    </w:rPr>
                  </w:pPr>
                </w:p>
              </w:tc>
              <w:tc>
                <w:tcPr>
                  <w:tcW w:w="566" w:type="pct"/>
                  <w:vMerge w:val="continue"/>
                  <w:tcBorders>
                    <w:tl2br w:val="nil"/>
                    <w:tr2bl w:val="nil"/>
                  </w:tcBorders>
                  <w:vAlign w:val="center"/>
                </w:tcPr>
                <w:p>
                  <w:pPr>
                    <w:ind w:firstLine="420"/>
                    <w:jc w:val="center"/>
                    <w:rPr>
                      <w:bCs/>
                      <w:color w:val="auto"/>
                      <w:sz w:val="18"/>
                      <w:szCs w:val="18"/>
                    </w:rPr>
                  </w:pPr>
                </w:p>
              </w:tc>
              <w:tc>
                <w:tcPr>
                  <w:tcW w:w="388" w:type="pct"/>
                  <w:tcBorders>
                    <w:tl2br w:val="nil"/>
                    <w:tr2bl w:val="nil"/>
                  </w:tcBorders>
                  <w:vAlign w:val="center"/>
                </w:tcPr>
                <w:p>
                  <w:pPr>
                    <w:jc w:val="center"/>
                    <w:rPr>
                      <w:bCs/>
                      <w:color w:val="auto"/>
                      <w:sz w:val="18"/>
                      <w:szCs w:val="18"/>
                    </w:rPr>
                  </w:pPr>
                  <w:r>
                    <w:rPr>
                      <w:bCs/>
                      <w:color w:val="auto"/>
                      <w:sz w:val="18"/>
                      <w:szCs w:val="18"/>
                    </w:rPr>
                    <w:t>1</w:t>
                  </w:r>
                </w:p>
              </w:tc>
              <w:tc>
                <w:tcPr>
                  <w:tcW w:w="374" w:type="pct"/>
                  <w:tcBorders>
                    <w:tl2br w:val="nil"/>
                    <w:tr2bl w:val="nil"/>
                  </w:tcBorders>
                  <w:vAlign w:val="center"/>
                </w:tcPr>
                <w:p>
                  <w:pPr>
                    <w:jc w:val="center"/>
                    <w:rPr>
                      <w:bCs/>
                      <w:color w:val="auto"/>
                      <w:sz w:val="18"/>
                      <w:szCs w:val="18"/>
                    </w:rPr>
                  </w:pPr>
                  <w:r>
                    <w:rPr>
                      <w:bCs/>
                      <w:color w:val="auto"/>
                      <w:sz w:val="18"/>
                      <w:szCs w:val="18"/>
                    </w:rPr>
                    <w:t>2</w:t>
                  </w:r>
                </w:p>
              </w:tc>
              <w:tc>
                <w:tcPr>
                  <w:tcW w:w="338" w:type="pct"/>
                  <w:tcBorders>
                    <w:tl2br w:val="nil"/>
                    <w:tr2bl w:val="nil"/>
                  </w:tcBorders>
                  <w:vAlign w:val="center"/>
                </w:tcPr>
                <w:p>
                  <w:pPr>
                    <w:jc w:val="center"/>
                    <w:rPr>
                      <w:bCs/>
                      <w:color w:val="auto"/>
                      <w:sz w:val="18"/>
                      <w:szCs w:val="18"/>
                    </w:rPr>
                  </w:pPr>
                  <w:r>
                    <w:rPr>
                      <w:bCs/>
                      <w:color w:val="auto"/>
                      <w:sz w:val="18"/>
                      <w:szCs w:val="18"/>
                    </w:rPr>
                    <w:t>3</w:t>
                  </w:r>
                </w:p>
              </w:tc>
              <w:tc>
                <w:tcPr>
                  <w:tcW w:w="367" w:type="pct"/>
                  <w:tcBorders>
                    <w:right w:val="single" w:color="auto" w:sz="4" w:space="0"/>
                    <w:tl2br w:val="nil"/>
                    <w:tr2bl w:val="nil"/>
                  </w:tcBorders>
                  <w:vAlign w:val="center"/>
                </w:tcPr>
                <w:p>
                  <w:pPr>
                    <w:jc w:val="center"/>
                    <w:rPr>
                      <w:bCs/>
                      <w:color w:val="auto"/>
                      <w:sz w:val="18"/>
                      <w:szCs w:val="18"/>
                    </w:rPr>
                  </w:pPr>
                  <w:r>
                    <w:rPr>
                      <w:bCs/>
                      <w:color w:val="auto"/>
                      <w:sz w:val="18"/>
                      <w:szCs w:val="18"/>
                    </w:rPr>
                    <w:t>4</w:t>
                  </w:r>
                </w:p>
              </w:tc>
              <w:tc>
                <w:tcPr>
                  <w:tcW w:w="379" w:type="pct"/>
                  <w:tcBorders>
                    <w:left w:val="single" w:color="auto" w:sz="4" w:space="0"/>
                    <w:tl2br w:val="nil"/>
                    <w:tr2bl w:val="nil"/>
                  </w:tcBorders>
                  <w:vAlign w:val="center"/>
                </w:tcPr>
                <w:p>
                  <w:pPr>
                    <w:jc w:val="center"/>
                    <w:rPr>
                      <w:bCs/>
                      <w:color w:val="auto"/>
                      <w:sz w:val="18"/>
                      <w:szCs w:val="18"/>
                    </w:rPr>
                  </w:pPr>
                  <w:r>
                    <w:rPr>
                      <w:bCs/>
                      <w:color w:val="auto"/>
                      <w:sz w:val="18"/>
                      <w:szCs w:val="18"/>
                    </w:rPr>
                    <w:t>均值</w:t>
                  </w:r>
                </w:p>
              </w:tc>
              <w:tc>
                <w:tcPr>
                  <w:tcW w:w="359" w:type="pct"/>
                  <w:tcBorders>
                    <w:tl2br w:val="nil"/>
                    <w:tr2bl w:val="nil"/>
                  </w:tcBorders>
                  <w:vAlign w:val="center"/>
                </w:tcPr>
                <w:p>
                  <w:pPr>
                    <w:jc w:val="center"/>
                    <w:rPr>
                      <w:bCs/>
                      <w:color w:val="auto"/>
                      <w:sz w:val="18"/>
                      <w:szCs w:val="18"/>
                    </w:rPr>
                  </w:pPr>
                  <w:r>
                    <w:rPr>
                      <w:bCs/>
                      <w:color w:val="auto"/>
                      <w:sz w:val="18"/>
                      <w:szCs w:val="18"/>
                    </w:rPr>
                    <w:t>5</w:t>
                  </w:r>
                </w:p>
              </w:tc>
              <w:tc>
                <w:tcPr>
                  <w:tcW w:w="365" w:type="pct"/>
                  <w:tcBorders>
                    <w:tl2br w:val="nil"/>
                    <w:tr2bl w:val="nil"/>
                  </w:tcBorders>
                  <w:vAlign w:val="center"/>
                </w:tcPr>
                <w:p>
                  <w:pPr>
                    <w:jc w:val="center"/>
                    <w:rPr>
                      <w:bCs/>
                      <w:color w:val="auto"/>
                      <w:sz w:val="18"/>
                      <w:szCs w:val="18"/>
                    </w:rPr>
                  </w:pPr>
                  <w:r>
                    <w:rPr>
                      <w:bCs/>
                      <w:color w:val="auto"/>
                      <w:sz w:val="18"/>
                      <w:szCs w:val="18"/>
                    </w:rPr>
                    <w:t>6</w:t>
                  </w:r>
                </w:p>
              </w:tc>
              <w:tc>
                <w:tcPr>
                  <w:tcW w:w="382" w:type="pct"/>
                  <w:tcBorders>
                    <w:tl2br w:val="nil"/>
                    <w:tr2bl w:val="nil"/>
                  </w:tcBorders>
                  <w:vAlign w:val="center"/>
                </w:tcPr>
                <w:p>
                  <w:pPr>
                    <w:jc w:val="center"/>
                    <w:rPr>
                      <w:bCs/>
                      <w:color w:val="auto"/>
                      <w:sz w:val="18"/>
                      <w:szCs w:val="18"/>
                    </w:rPr>
                  </w:pPr>
                  <w:r>
                    <w:rPr>
                      <w:bCs/>
                      <w:color w:val="auto"/>
                      <w:sz w:val="18"/>
                      <w:szCs w:val="18"/>
                    </w:rPr>
                    <w:t>7</w:t>
                  </w:r>
                </w:p>
              </w:tc>
              <w:tc>
                <w:tcPr>
                  <w:tcW w:w="374" w:type="pct"/>
                  <w:tcBorders>
                    <w:right w:val="single" w:color="auto" w:sz="4" w:space="0"/>
                    <w:tl2br w:val="nil"/>
                    <w:tr2bl w:val="nil"/>
                  </w:tcBorders>
                  <w:vAlign w:val="center"/>
                </w:tcPr>
                <w:p>
                  <w:pPr>
                    <w:jc w:val="center"/>
                    <w:rPr>
                      <w:bCs/>
                      <w:color w:val="auto"/>
                      <w:sz w:val="18"/>
                      <w:szCs w:val="18"/>
                    </w:rPr>
                  </w:pPr>
                  <w:r>
                    <w:rPr>
                      <w:bCs/>
                      <w:color w:val="auto"/>
                      <w:sz w:val="18"/>
                      <w:szCs w:val="18"/>
                    </w:rPr>
                    <w:t>8</w:t>
                  </w:r>
                </w:p>
              </w:tc>
              <w:tc>
                <w:tcPr>
                  <w:tcW w:w="356" w:type="pct"/>
                  <w:tcBorders>
                    <w:left w:val="single" w:color="auto" w:sz="4" w:space="0"/>
                    <w:tl2br w:val="nil"/>
                    <w:tr2bl w:val="nil"/>
                  </w:tcBorders>
                  <w:vAlign w:val="center"/>
                </w:tcPr>
                <w:p>
                  <w:pPr>
                    <w:jc w:val="center"/>
                    <w:rPr>
                      <w:bCs/>
                      <w:color w:val="auto"/>
                      <w:sz w:val="18"/>
                      <w:szCs w:val="18"/>
                    </w:rPr>
                  </w:pPr>
                  <w:r>
                    <w:rPr>
                      <w:bCs/>
                      <w:color w:val="auto"/>
                      <w:sz w:val="18"/>
                      <w:szCs w:val="18"/>
                    </w:rPr>
                    <w:t>均值</w:t>
                  </w:r>
                </w:p>
              </w:tc>
              <w:tc>
                <w:tcPr>
                  <w:tcW w:w="279" w:type="pct"/>
                  <w:tcBorders>
                    <w:tl2br w:val="nil"/>
                    <w:tr2bl w:val="nil"/>
                  </w:tcBorders>
                  <w:vAlign w:val="center"/>
                </w:tcPr>
                <w:p>
                  <w:pPr>
                    <w:jc w:val="center"/>
                    <w:rPr>
                      <w:bCs/>
                      <w:color w:val="auto"/>
                      <w:sz w:val="18"/>
                      <w:szCs w:val="18"/>
                    </w:rPr>
                  </w:pPr>
                </w:p>
              </w:tc>
              <w:tc>
                <w:tcPr>
                  <w:tcW w:w="288" w:type="pct"/>
                  <w:tcBorders>
                    <w:tl2br w:val="nil"/>
                    <w:tr2bl w:val="nil"/>
                  </w:tcBorders>
                  <w:vAlign w:val="center"/>
                </w:tcPr>
                <w:p>
                  <w:pPr>
                    <w:jc w:val="center"/>
                    <w:rPr>
                      <w:bCs/>
                      <w:color w:val="auto"/>
                      <w:sz w:val="18"/>
                      <w:szCs w:val="18"/>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178" w:type="pct"/>
                  <w:vMerge w:val="restart"/>
                  <w:tcBorders>
                    <w:tl2br w:val="nil"/>
                    <w:tr2bl w:val="nil"/>
                  </w:tcBorders>
                  <w:vAlign w:val="center"/>
                </w:tcPr>
                <w:p>
                  <w:pPr>
                    <w:widowControl/>
                    <w:jc w:val="center"/>
                    <w:rPr>
                      <w:bCs/>
                      <w:color w:val="auto"/>
                      <w:kern w:val="0"/>
                      <w:sz w:val="18"/>
                      <w:szCs w:val="18"/>
                    </w:rPr>
                  </w:pPr>
                  <w:r>
                    <w:rPr>
                      <w:bCs/>
                      <w:color w:val="auto"/>
                      <w:kern w:val="0"/>
                      <w:sz w:val="18"/>
                      <w:szCs w:val="18"/>
                    </w:rPr>
                    <w:t>污水处理设施总排口</w:t>
                  </w:r>
                </w:p>
              </w:tc>
              <w:tc>
                <w:tcPr>
                  <w:tcW w:w="566" w:type="pct"/>
                  <w:tcBorders>
                    <w:tl2br w:val="nil"/>
                    <w:tr2bl w:val="nil"/>
                  </w:tcBorders>
                  <w:vAlign w:val="center"/>
                </w:tcPr>
                <w:p>
                  <w:pPr>
                    <w:widowControl/>
                    <w:jc w:val="center"/>
                    <w:rPr>
                      <w:bCs/>
                      <w:color w:val="auto"/>
                      <w:kern w:val="0"/>
                      <w:sz w:val="18"/>
                      <w:szCs w:val="18"/>
                    </w:rPr>
                  </w:pPr>
                  <w:r>
                    <w:rPr>
                      <w:bCs/>
                      <w:color w:val="auto"/>
                      <w:kern w:val="0"/>
                      <w:sz w:val="18"/>
                      <w:szCs w:val="18"/>
                    </w:rPr>
                    <w:t>pH</w:t>
                  </w:r>
                </w:p>
              </w:tc>
              <w:tc>
                <w:tcPr>
                  <w:tcW w:w="388" w:type="pct"/>
                  <w:tcBorders>
                    <w:tl2br w:val="nil"/>
                    <w:tr2bl w:val="nil"/>
                  </w:tcBorders>
                  <w:vAlign w:val="center"/>
                </w:tcPr>
                <w:p>
                  <w:pPr>
                    <w:jc w:val="center"/>
                    <w:rPr>
                      <w:bCs/>
                      <w:color w:val="auto"/>
                      <w:sz w:val="18"/>
                      <w:szCs w:val="18"/>
                    </w:rPr>
                  </w:pPr>
                  <w:r>
                    <w:rPr>
                      <w:bCs/>
                      <w:color w:val="auto"/>
                      <w:sz w:val="18"/>
                      <w:szCs w:val="18"/>
                    </w:rPr>
                    <w:t>7.</w:t>
                  </w:r>
                  <w:r>
                    <w:rPr>
                      <w:rFonts w:hint="eastAsia"/>
                      <w:bCs/>
                      <w:color w:val="auto"/>
                      <w:sz w:val="18"/>
                      <w:szCs w:val="18"/>
                    </w:rPr>
                    <w:t>4</w:t>
                  </w:r>
                </w:p>
              </w:tc>
              <w:tc>
                <w:tcPr>
                  <w:tcW w:w="374" w:type="pct"/>
                  <w:tcBorders>
                    <w:tl2br w:val="nil"/>
                    <w:tr2bl w:val="nil"/>
                  </w:tcBorders>
                  <w:vAlign w:val="center"/>
                </w:tcPr>
                <w:p>
                  <w:pPr>
                    <w:jc w:val="center"/>
                    <w:rPr>
                      <w:bCs/>
                      <w:color w:val="auto"/>
                      <w:sz w:val="18"/>
                      <w:szCs w:val="18"/>
                    </w:rPr>
                  </w:pPr>
                  <w:r>
                    <w:rPr>
                      <w:bCs/>
                      <w:color w:val="auto"/>
                      <w:sz w:val="18"/>
                      <w:szCs w:val="18"/>
                    </w:rPr>
                    <w:t>7.</w:t>
                  </w:r>
                  <w:r>
                    <w:rPr>
                      <w:rFonts w:hint="eastAsia"/>
                      <w:bCs/>
                      <w:color w:val="auto"/>
                      <w:sz w:val="18"/>
                      <w:szCs w:val="18"/>
                    </w:rPr>
                    <w:t>5</w:t>
                  </w:r>
                </w:p>
              </w:tc>
              <w:tc>
                <w:tcPr>
                  <w:tcW w:w="338" w:type="pct"/>
                  <w:tcBorders>
                    <w:tl2br w:val="nil"/>
                    <w:tr2bl w:val="nil"/>
                  </w:tcBorders>
                  <w:vAlign w:val="center"/>
                </w:tcPr>
                <w:p>
                  <w:pPr>
                    <w:jc w:val="center"/>
                    <w:rPr>
                      <w:bCs/>
                      <w:color w:val="auto"/>
                      <w:sz w:val="18"/>
                      <w:szCs w:val="18"/>
                    </w:rPr>
                  </w:pPr>
                  <w:r>
                    <w:rPr>
                      <w:rFonts w:hint="eastAsia"/>
                      <w:bCs/>
                      <w:color w:val="auto"/>
                      <w:sz w:val="18"/>
                      <w:szCs w:val="18"/>
                    </w:rPr>
                    <w:t>7.6</w:t>
                  </w:r>
                </w:p>
              </w:tc>
              <w:tc>
                <w:tcPr>
                  <w:tcW w:w="367" w:type="pct"/>
                  <w:tcBorders>
                    <w:right w:val="single" w:color="auto" w:sz="4" w:space="0"/>
                    <w:tl2br w:val="nil"/>
                    <w:tr2bl w:val="nil"/>
                  </w:tcBorders>
                  <w:vAlign w:val="center"/>
                </w:tcPr>
                <w:p>
                  <w:pPr>
                    <w:jc w:val="center"/>
                    <w:rPr>
                      <w:bCs/>
                      <w:color w:val="auto"/>
                      <w:sz w:val="18"/>
                      <w:szCs w:val="18"/>
                    </w:rPr>
                  </w:pPr>
                  <w:r>
                    <w:rPr>
                      <w:bCs/>
                      <w:color w:val="auto"/>
                      <w:sz w:val="18"/>
                      <w:szCs w:val="18"/>
                    </w:rPr>
                    <w:t>7.</w:t>
                  </w:r>
                  <w:r>
                    <w:rPr>
                      <w:rFonts w:hint="eastAsia"/>
                      <w:bCs/>
                      <w:color w:val="auto"/>
                      <w:sz w:val="18"/>
                      <w:szCs w:val="18"/>
                    </w:rPr>
                    <w:t>4</w:t>
                  </w:r>
                </w:p>
              </w:tc>
              <w:tc>
                <w:tcPr>
                  <w:tcW w:w="379" w:type="pct"/>
                  <w:tcBorders>
                    <w:left w:val="single" w:color="auto" w:sz="4" w:space="0"/>
                    <w:tl2br w:val="nil"/>
                    <w:tr2bl w:val="nil"/>
                  </w:tcBorders>
                  <w:vAlign w:val="center"/>
                </w:tcPr>
                <w:p>
                  <w:pPr>
                    <w:jc w:val="center"/>
                    <w:rPr>
                      <w:bCs/>
                      <w:color w:val="auto"/>
                      <w:sz w:val="18"/>
                      <w:szCs w:val="18"/>
                    </w:rPr>
                  </w:pPr>
                  <w:r>
                    <w:rPr>
                      <w:bCs/>
                      <w:color w:val="auto"/>
                      <w:sz w:val="18"/>
                      <w:szCs w:val="18"/>
                    </w:rPr>
                    <w:t>7.</w:t>
                  </w:r>
                  <w:r>
                    <w:rPr>
                      <w:rFonts w:hint="eastAsia"/>
                      <w:bCs/>
                      <w:color w:val="auto"/>
                      <w:sz w:val="18"/>
                      <w:szCs w:val="18"/>
                    </w:rPr>
                    <w:t>4</w:t>
                  </w:r>
                  <w:r>
                    <w:rPr>
                      <w:bCs/>
                      <w:color w:val="auto"/>
                      <w:sz w:val="18"/>
                      <w:szCs w:val="18"/>
                    </w:rPr>
                    <w:t>~7.</w:t>
                  </w:r>
                  <w:r>
                    <w:rPr>
                      <w:rFonts w:hint="eastAsia"/>
                      <w:bCs/>
                      <w:color w:val="auto"/>
                      <w:sz w:val="18"/>
                      <w:szCs w:val="18"/>
                    </w:rPr>
                    <w:t>6</w:t>
                  </w:r>
                </w:p>
              </w:tc>
              <w:tc>
                <w:tcPr>
                  <w:tcW w:w="359" w:type="pct"/>
                  <w:tcBorders>
                    <w:tl2br w:val="nil"/>
                    <w:tr2bl w:val="nil"/>
                  </w:tcBorders>
                  <w:vAlign w:val="center"/>
                </w:tcPr>
                <w:p>
                  <w:pPr>
                    <w:jc w:val="center"/>
                    <w:rPr>
                      <w:bCs/>
                      <w:color w:val="auto"/>
                      <w:sz w:val="18"/>
                      <w:szCs w:val="18"/>
                    </w:rPr>
                  </w:pPr>
                  <w:r>
                    <w:rPr>
                      <w:bCs/>
                      <w:color w:val="auto"/>
                      <w:sz w:val="18"/>
                      <w:szCs w:val="18"/>
                    </w:rPr>
                    <w:t>7.</w:t>
                  </w:r>
                  <w:r>
                    <w:rPr>
                      <w:rFonts w:hint="eastAsia"/>
                      <w:bCs/>
                      <w:color w:val="auto"/>
                      <w:sz w:val="18"/>
                      <w:szCs w:val="18"/>
                    </w:rPr>
                    <w:t>6</w:t>
                  </w:r>
                </w:p>
              </w:tc>
              <w:tc>
                <w:tcPr>
                  <w:tcW w:w="365" w:type="pct"/>
                  <w:tcBorders>
                    <w:tl2br w:val="nil"/>
                    <w:tr2bl w:val="nil"/>
                  </w:tcBorders>
                  <w:vAlign w:val="center"/>
                </w:tcPr>
                <w:p>
                  <w:pPr>
                    <w:jc w:val="center"/>
                    <w:rPr>
                      <w:bCs/>
                      <w:color w:val="auto"/>
                      <w:sz w:val="18"/>
                      <w:szCs w:val="18"/>
                    </w:rPr>
                  </w:pPr>
                  <w:r>
                    <w:rPr>
                      <w:bCs/>
                      <w:color w:val="auto"/>
                      <w:sz w:val="18"/>
                      <w:szCs w:val="18"/>
                    </w:rPr>
                    <w:t>7.</w:t>
                  </w:r>
                  <w:r>
                    <w:rPr>
                      <w:rFonts w:hint="eastAsia"/>
                      <w:bCs/>
                      <w:color w:val="auto"/>
                      <w:sz w:val="18"/>
                      <w:szCs w:val="18"/>
                    </w:rPr>
                    <w:t>4</w:t>
                  </w:r>
                </w:p>
              </w:tc>
              <w:tc>
                <w:tcPr>
                  <w:tcW w:w="382" w:type="pct"/>
                  <w:tcBorders>
                    <w:tl2br w:val="nil"/>
                    <w:tr2bl w:val="nil"/>
                  </w:tcBorders>
                  <w:vAlign w:val="center"/>
                </w:tcPr>
                <w:p>
                  <w:pPr>
                    <w:jc w:val="center"/>
                    <w:rPr>
                      <w:bCs/>
                      <w:color w:val="auto"/>
                      <w:sz w:val="18"/>
                      <w:szCs w:val="18"/>
                    </w:rPr>
                  </w:pPr>
                  <w:r>
                    <w:rPr>
                      <w:bCs/>
                      <w:color w:val="auto"/>
                      <w:sz w:val="18"/>
                      <w:szCs w:val="18"/>
                    </w:rPr>
                    <w:t>7.</w:t>
                  </w:r>
                  <w:r>
                    <w:rPr>
                      <w:rFonts w:hint="eastAsia"/>
                      <w:bCs/>
                      <w:color w:val="auto"/>
                      <w:sz w:val="18"/>
                      <w:szCs w:val="18"/>
                    </w:rPr>
                    <w:t>6</w:t>
                  </w:r>
                </w:p>
              </w:tc>
              <w:tc>
                <w:tcPr>
                  <w:tcW w:w="374" w:type="pct"/>
                  <w:tcBorders>
                    <w:right w:val="single" w:color="auto" w:sz="4" w:space="0"/>
                    <w:tl2br w:val="nil"/>
                    <w:tr2bl w:val="nil"/>
                  </w:tcBorders>
                  <w:vAlign w:val="center"/>
                </w:tcPr>
                <w:p>
                  <w:pPr>
                    <w:jc w:val="center"/>
                    <w:rPr>
                      <w:bCs/>
                      <w:color w:val="auto"/>
                      <w:sz w:val="18"/>
                      <w:szCs w:val="18"/>
                    </w:rPr>
                  </w:pPr>
                  <w:r>
                    <w:rPr>
                      <w:bCs/>
                      <w:color w:val="auto"/>
                      <w:sz w:val="18"/>
                      <w:szCs w:val="18"/>
                    </w:rPr>
                    <w:t>7.</w:t>
                  </w:r>
                  <w:r>
                    <w:rPr>
                      <w:rFonts w:hint="eastAsia"/>
                      <w:bCs/>
                      <w:color w:val="auto"/>
                      <w:sz w:val="18"/>
                      <w:szCs w:val="18"/>
                    </w:rPr>
                    <w:t>5</w:t>
                  </w:r>
                </w:p>
              </w:tc>
              <w:tc>
                <w:tcPr>
                  <w:tcW w:w="356" w:type="pct"/>
                  <w:tcBorders>
                    <w:left w:val="single" w:color="auto" w:sz="4" w:space="0"/>
                    <w:tl2br w:val="nil"/>
                    <w:tr2bl w:val="nil"/>
                  </w:tcBorders>
                  <w:vAlign w:val="center"/>
                </w:tcPr>
                <w:p>
                  <w:pPr>
                    <w:jc w:val="center"/>
                    <w:rPr>
                      <w:bCs/>
                      <w:color w:val="auto"/>
                      <w:sz w:val="18"/>
                      <w:szCs w:val="18"/>
                    </w:rPr>
                  </w:pPr>
                  <w:r>
                    <w:rPr>
                      <w:bCs/>
                      <w:color w:val="auto"/>
                      <w:sz w:val="18"/>
                      <w:szCs w:val="18"/>
                    </w:rPr>
                    <w:t>7.</w:t>
                  </w:r>
                  <w:r>
                    <w:rPr>
                      <w:rFonts w:hint="eastAsia"/>
                      <w:bCs/>
                      <w:color w:val="auto"/>
                      <w:sz w:val="18"/>
                      <w:szCs w:val="18"/>
                    </w:rPr>
                    <w:t>5</w:t>
                  </w:r>
                  <w:r>
                    <w:rPr>
                      <w:bCs/>
                      <w:color w:val="auto"/>
                      <w:sz w:val="18"/>
                      <w:szCs w:val="18"/>
                    </w:rPr>
                    <w:t>~7.</w:t>
                  </w:r>
                  <w:r>
                    <w:rPr>
                      <w:rFonts w:hint="eastAsia"/>
                      <w:bCs/>
                      <w:color w:val="auto"/>
                      <w:sz w:val="18"/>
                      <w:szCs w:val="18"/>
                    </w:rPr>
                    <w:t>6</w:t>
                  </w:r>
                </w:p>
              </w:tc>
              <w:tc>
                <w:tcPr>
                  <w:tcW w:w="279" w:type="pct"/>
                  <w:tcBorders>
                    <w:left w:val="single" w:color="auto" w:sz="4" w:space="0"/>
                    <w:tl2br w:val="nil"/>
                    <w:tr2bl w:val="nil"/>
                  </w:tcBorders>
                  <w:vAlign w:val="center"/>
                </w:tcPr>
                <w:p>
                  <w:pPr>
                    <w:jc w:val="center"/>
                    <w:rPr>
                      <w:bCs/>
                      <w:color w:val="auto"/>
                      <w:sz w:val="18"/>
                      <w:szCs w:val="18"/>
                    </w:rPr>
                  </w:pPr>
                  <w:r>
                    <w:rPr>
                      <w:rFonts w:hint="eastAsia"/>
                      <w:bCs/>
                      <w:color w:val="auto"/>
                      <w:sz w:val="18"/>
                      <w:szCs w:val="18"/>
                    </w:rPr>
                    <w:t>6-9</w:t>
                  </w:r>
                </w:p>
              </w:tc>
              <w:tc>
                <w:tcPr>
                  <w:tcW w:w="288" w:type="pct"/>
                  <w:tcBorders>
                    <w:left w:val="single" w:color="auto" w:sz="4" w:space="0"/>
                    <w:tl2br w:val="nil"/>
                    <w:tr2bl w:val="nil"/>
                  </w:tcBorders>
                  <w:vAlign w:val="center"/>
                </w:tcPr>
                <w:p>
                  <w:pPr>
                    <w:jc w:val="center"/>
                    <w:rPr>
                      <w:bCs/>
                      <w:color w:val="auto"/>
                      <w:sz w:val="18"/>
                      <w:szCs w:val="18"/>
                    </w:rPr>
                  </w:pPr>
                  <w:r>
                    <w:rPr>
                      <w:bCs/>
                      <w:color w:val="auto"/>
                      <w:sz w:val="18"/>
                      <w:szCs w:val="18"/>
                    </w:rPr>
                    <w:t>达标</w:t>
                  </w:r>
                </w:p>
                <w:p>
                  <w:pPr>
                    <w:jc w:val="center"/>
                    <w:rPr>
                      <w:bCs/>
                      <w:color w:val="auto"/>
                      <w:sz w:val="18"/>
                      <w:szCs w:val="18"/>
                    </w:rPr>
                  </w:pPr>
                  <w:r>
                    <w:rPr>
                      <w:bCs/>
                      <w:color w:val="auto"/>
                      <w:sz w:val="18"/>
                      <w:szCs w:val="18"/>
                    </w:rPr>
                    <w:t>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178" w:type="pct"/>
                  <w:vMerge w:val="continue"/>
                  <w:tcBorders>
                    <w:tl2br w:val="nil"/>
                    <w:tr2bl w:val="nil"/>
                  </w:tcBorders>
                  <w:vAlign w:val="center"/>
                </w:tcPr>
                <w:p>
                  <w:pPr>
                    <w:widowControl/>
                    <w:ind w:firstLine="420"/>
                    <w:jc w:val="center"/>
                    <w:rPr>
                      <w:bCs/>
                      <w:color w:val="auto"/>
                      <w:kern w:val="0"/>
                      <w:sz w:val="18"/>
                      <w:szCs w:val="18"/>
                    </w:rPr>
                  </w:pPr>
                </w:p>
              </w:tc>
              <w:tc>
                <w:tcPr>
                  <w:tcW w:w="566" w:type="pct"/>
                  <w:tcBorders>
                    <w:tl2br w:val="nil"/>
                    <w:tr2bl w:val="nil"/>
                  </w:tcBorders>
                  <w:vAlign w:val="center"/>
                </w:tcPr>
                <w:p>
                  <w:pPr>
                    <w:widowControl/>
                    <w:jc w:val="center"/>
                    <w:rPr>
                      <w:bCs/>
                      <w:color w:val="auto"/>
                      <w:kern w:val="0"/>
                      <w:sz w:val="18"/>
                      <w:szCs w:val="18"/>
                    </w:rPr>
                  </w:pPr>
                  <w:r>
                    <w:rPr>
                      <w:rFonts w:hint="eastAsia"/>
                      <w:bCs/>
                      <w:color w:val="auto"/>
                      <w:kern w:val="0"/>
                      <w:sz w:val="18"/>
                      <w:szCs w:val="18"/>
                    </w:rPr>
                    <w:t>溶解性总固体</w:t>
                  </w:r>
                </w:p>
              </w:tc>
              <w:tc>
                <w:tcPr>
                  <w:tcW w:w="388" w:type="pct"/>
                  <w:tcBorders>
                    <w:tl2br w:val="nil"/>
                    <w:tr2bl w:val="nil"/>
                  </w:tcBorders>
                  <w:vAlign w:val="center"/>
                </w:tcPr>
                <w:p>
                  <w:pPr>
                    <w:jc w:val="center"/>
                    <w:rPr>
                      <w:bCs/>
                      <w:color w:val="auto"/>
                      <w:sz w:val="18"/>
                      <w:szCs w:val="18"/>
                    </w:rPr>
                  </w:pPr>
                  <w:r>
                    <w:rPr>
                      <w:rFonts w:hint="eastAsia"/>
                      <w:bCs/>
                      <w:color w:val="auto"/>
                      <w:sz w:val="18"/>
                      <w:szCs w:val="18"/>
                    </w:rPr>
                    <w:t>818</w:t>
                  </w:r>
                </w:p>
              </w:tc>
              <w:tc>
                <w:tcPr>
                  <w:tcW w:w="374" w:type="pct"/>
                  <w:tcBorders>
                    <w:tl2br w:val="nil"/>
                    <w:tr2bl w:val="nil"/>
                  </w:tcBorders>
                  <w:vAlign w:val="center"/>
                </w:tcPr>
                <w:p>
                  <w:pPr>
                    <w:jc w:val="center"/>
                    <w:rPr>
                      <w:bCs/>
                      <w:color w:val="auto"/>
                      <w:sz w:val="18"/>
                      <w:szCs w:val="18"/>
                    </w:rPr>
                  </w:pPr>
                  <w:r>
                    <w:rPr>
                      <w:rFonts w:hint="eastAsia"/>
                      <w:bCs/>
                      <w:color w:val="auto"/>
                      <w:sz w:val="18"/>
                      <w:szCs w:val="18"/>
                    </w:rPr>
                    <w:t>813</w:t>
                  </w:r>
                </w:p>
              </w:tc>
              <w:tc>
                <w:tcPr>
                  <w:tcW w:w="338" w:type="pct"/>
                  <w:tcBorders>
                    <w:tl2br w:val="nil"/>
                    <w:tr2bl w:val="nil"/>
                  </w:tcBorders>
                  <w:vAlign w:val="center"/>
                </w:tcPr>
                <w:p>
                  <w:pPr>
                    <w:jc w:val="center"/>
                    <w:rPr>
                      <w:bCs/>
                      <w:color w:val="auto"/>
                      <w:sz w:val="18"/>
                      <w:szCs w:val="18"/>
                    </w:rPr>
                  </w:pPr>
                  <w:r>
                    <w:rPr>
                      <w:rFonts w:hint="eastAsia"/>
                      <w:bCs/>
                      <w:color w:val="auto"/>
                      <w:sz w:val="18"/>
                      <w:szCs w:val="18"/>
                    </w:rPr>
                    <w:t>788</w:t>
                  </w:r>
                </w:p>
              </w:tc>
              <w:tc>
                <w:tcPr>
                  <w:tcW w:w="367" w:type="pct"/>
                  <w:tcBorders>
                    <w:right w:val="single" w:color="auto" w:sz="4" w:space="0"/>
                    <w:tl2br w:val="nil"/>
                    <w:tr2bl w:val="nil"/>
                  </w:tcBorders>
                  <w:vAlign w:val="center"/>
                </w:tcPr>
                <w:p>
                  <w:pPr>
                    <w:jc w:val="center"/>
                    <w:rPr>
                      <w:bCs/>
                      <w:color w:val="auto"/>
                      <w:sz w:val="18"/>
                      <w:szCs w:val="18"/>
                    </w:rPr>
                  </w:pPr>
                  <w:r>
                    <w:rPr>
                      <w:rFonts w:hint="eastAsia"/>
                      <w:bCs/>
                      <w:color w:val="auto"/>
                      <w:sz w:val="18"/>
                      <w:szCs w:val="18"/>
                    </w:rPr>
                    <w:t>827</w:t>
                  </w:r>
                </w:p>
              </w:tc>
              <w:tc>
                <w:tcPr>
                  <w:tcW w:w="379" w:type="pct"/>
                  <w:tcBorders>
                    <w:left w:val="single" w:color="auto" w:sz="4" w:space="0"/>
                    <w:tl2br w:val="nil"/>
                    <w:tr2bl w:val="nil"/>
                  </w:tcBorders>
                  <w:vAlign w:val="center"/>
                </w:tcPr>
                <w:p>
                  <w:pPr>
                    <w:jc w:val="center"/>
                    <w:rPr>
                      <w:bCs/>
                      <w:color w:val="auto"/>
                      <w:sz w:val="18"/>
                      <w:szCs w:val="18"/>
                    </w:rPr>
                  </w:pPr>
                  <w:r>
                    <w:rPr>
                      <w:rFonts w:hint="eastAsia"/>
                      <w:bCs/>
                      <w:color w:val="auto"/>
                      <w:sz w:val="18"/>
                      <w:szCs w:val="18"/>
                    </w:rPr>
                    <w:t>811</w:t>
                  </w:r>
                </w:p>
              </w:tc>
              <w:tc>
                <w:tcPr>
                  <w:tcW w:w="359" w:type="pct"/>
                  <w:tcBorders>
                    <w:tl2br w:val="nil"/>
                    <w:tr2bl w:val="nil"/>
                  </w:tcBorders>
                  <w:vAlign w:val="center"/>
                </w:tcPr>
                <w:p>
                  <w:pPr>
                    <w:jc w:val="center"/>
                    <w:rPr>
                      <w:bCs/>
                      <w:color w:val="auto"/>
                      <w:sz w:val="18"/>
                      <w:szCs w:val="18"/>
                    </w:rPr>
                  </w:pPr>
                  <w:r>
                    <w:rPr>
                      <w:rFonts w:hint="eastAsia"/>
                      <w:bCs/>
                      <w:color w:val="auto"/>
                      <w:sz w:val="18"/>
                      <w:szCs w:val="18"/>
                    </w:rPr>
                    <w:t>831</w:t>
                  </w:r>
                </w:p>
              </w:tc>
              <w:tc>
                <w:tcPr>
                  <w:tcW w:w="365" w:type="pct"/>
                  <w:tcBorders>
                    <w:tl2br w:val="nil"/>
                    <w:tr2bl w:val="nil"/>
                  </w:tcBorders>
                  <w:vAlign w:val="center"/>
                </w:tcPr>
                <w:p>
                  <w:pPr>
                    <w:jc w:val="center"/>
                    <w:rPr>
                      <w:bCs/>
                      <w:color w:val="auto"/>
                      <w:sz w:val="18"/>
                      <w:szCs w:val="18"/>
                    </w:rPr>
                  </w:pPr>
                  <w:r>
                    <w:rPr>
                      <w:rFonts w:hint="eastAsia"/>
                      <w:bCs/>
                      <w:color w:val="auto"/>
                      <w:sz w:val="18"/>
                      <w:szCs w:val="18"/>
                    </w:rPr>
                    <w:t>814</w:t>
                  </w:r>
                </w:p>
              </w:tc>
              <w:tc>
                <w:tcPr>
                  <w:tcW w:w="382" w:type="pct"/>
                  <w:tcBorders>
                    <w:tl2br w:val="nil"/>
                    <w:tr2bl w:val="nil"/>
                  </w:tcBorders>
                  <w:vAlign w:val="center"/>
                </w:tcPr>
                <w:p>
                  <w:pPr>
                    <w:jc w:val="center"/>
                    <w:rPr>
                      <w:bCs/>
                      <w:color w:val="auto"/>
                      <w:sz w:val="18"/>
                      <w:szCs w:val="18"/>
                    </w:rPr>
                  </w:pPr>
                  <w:r>
                    <w:rPr>
                      <w:rFonts w:hint="eastAsia"/>
                      <w:bCs/>
                      <w:color w:val="auto"/>
                      <w:sz w:val="18"/>
                      <w:szCs w:val="18"/>
                    </w:rPr>
                    <w:t>836</w:t>
                  </w:r>
                </w:p>
              </w:tc>
              <w:tc>
                <w:tcPr>
                  <w:tcW w:w="374" w:type="pct"/>
                  <w:tcBorders>
                    <w:right w:val="single" w:color="auto" w:sz="4" w:space="0"/>
                    <w:tl2br w:val="nil"/>
                    <w:tr2bl w:val="nil"/>
                  </w:tcBorders>
                  <w:vAlign w:val="center"/>
                </w:tcPr>
                <w:p>
                  <w:pPr>
                    <w:jc w:val="center"/>
                    <w:rPr>
                      <w:bCs/>
                      <w:color w:val="auto"/>
                      <w:sz w:val="18"/>
                      <w:szCs w:val="18"/>
                    </w:rPr>
                  </w:pPr>
                  <w:r>
                    <w:rPr>
                      <w:rFonts w:hint="eastAsia"/>
                      <w:bCs/>
                      <w:color w:val="auto"/>
                      <w:sz w:val="18"/>
                      <w:szCs w:val="18"/>
                    </w:rPr>
                    <w:t>795</w:t>
                  </w:r>
                </w:p>
              </w:tc>
              <w:tc>
                <w:tcPr>
                  <w:tcW w:w="356" w:type="pct"/>
                  <w:tcBorders>
                    <w:left w:val="single" w:color="auto" w:sz="4" w:space="0"/>
                    <w:tl2br w:val="nil"/>
                    <w:tr2bl w:val="nil"/>
                  </w:tcBorders>
                  <w:vAlign w:val="center"/>
                </w:tcPr>
                <w:p>
                  <w:pPr>
                    <w:jc w:val="center"/>
                    <w:rPr>
                      <w:bCs/>
                      <w:color w:val="auto"/>
                      <w:sz w:val="18"/>
                      <w:szCs w:val="18"/>
                    </w:rPr>
                  </w:pPr>
                  <w:r>
                    <w:rPr>
                      <w:rFonts w:hint="eastAsia"/>
                      <w:bCs/>
                      <w:color w:val="auto"/>
                      <w:sz w:val="18"/>
                      <w:szCs w:val="18"/>
                    </w:rPr>
                    <w:t>819</w:t>
                  </w:r>
                </w:p>
              </w:tc>
              <w:tc>
                <w:tcPr>
                  <w:tcW w:w="279" w:type="pct"/>
                  <w:tcBorders>
                    <w:left w:val="single" w:color="auto" w:sz="4" w:space="0"/>
                    <w:tl2br w:val="nil"/>
                    <w:tr2bl w:val="nil"/>
                  </w:tcBorders>
                  <w:vAlign w:val="center"/>
                </w:tcPr>
                <w:p>
                  <w:pPr>
                    <w:jc w:val="center"/>
                    <w:rPr>
                      <w:bCs/>
                      <w:color w:val="auto"/>
                      <w:sz w:val="18"/>
                      <w:szCs w:val="18"/>
                    </w:rPr>
                  </w:pPr>
                  <w:r>
                    <w:rPr>
                      <w:rFonts w:hint="eastAsia"/>
                      <w:bCs/>
                      <w:color w:val="auto"/>
                      <w:sz w:val="18"/>
                      <w:szCs w:val="18"/>
                    </w:rPr>
                    <w:t>1000</w:t>
                  </w:r>
                </w:p>
              </w:tc>
              <w:tc>
                <w:tcPr>
                  <w:tcW w:w="288" w:type="pct"/>
                  <w:tcBorders>
                    <w:left w:val="single" w:color="auto" w:sz="4" w:space="0"/>
                    <w:tl2br w:val="nil"/>
                    <w:tr2bl w:val="nil"/>
                  </w:tcBorders>
                  <w:vAlign w:val="center"/>
                </w:tcPr>
                <w:p>
                  <w:pPr>
                    <w:jc w:val="center"/>
                    <w:rPr>
                      <w:bCs/>
                      <w:color w:val="auto"/>
                      <w:sz w:val="18"/>
                      <w:szCs w:val="18"/>
                    </w:rPr>
                  </w:pPr>
                  <w:r>
                    <w:rPr>
                      <w:bCs/>
                      <w:color w:val="auto"/>
                      <w:sz w:val="18"/>
                      <w:szCs w:val="18"/>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178" w:type="pct"/>
                  <w:vMerge w:val="continue"/>
                  <w:tcBorders>
                    <w:tl2br w:val="nil"/>
                    <w:tr2bl w:val="nil"/>
                  </w:tcBorders>
                  <w:vAlign w:val="center"/>
                </w:tcPr>
                <w:p>
                  <w:pPr>
                    <w:widowControl/>
                    <w:ind w:firstLine="420"/>
                    <w:jc w:val="center"/>
                    <w:rPr>
                      <w:bCs/>
                      <w:color w:val="auto"/>
                      <w:kern w:val="0"/>
                      <w:sz w:val="18"/>
                      <w:szCs w:val="18"/>
                    </w:rPr>
                  </w:pPr>
                </w:p>
              </w:tc>
              <w:tc>
                <w:tcPr>
                  <w:tcW w:w="566" w:type="pct"/>
                  <w:tcBorders>
                    <w:tl2br w:val="nil"/>
                    <w:tr2bl w:val="nil"/>
                  </w:tcBorders>
                  <w:vAlign w:val="center"/>
                </w:tcPr>
                <w:p>
                  <w:pPr>
                    <w:widowControl/>
                    <w:jc w:val="center"/>
                    <w:rPr>
                      <w:bCs/>
                      <w:color w:val="auto"/>
                      <w:kern w:val="0"/>
                      <w:sz w:val="18"/>
                      <w:szCs w:val="18"/>
                    </w:rPr>
                  </w:pPr>
                  <w:r>
                    <w:rPr>
                      <w:rFonts w:hint="eastAsia"/>
                      <w:bCs/>
                      <w:color w:val="auto"/>
                      <w:kern w:val="0"/>
                      <w:sz w:val="18"/>
                      <w:szCs w:val="18"/>
                    </w:rPr>
                    <w:t>嗅</w:t>
                  </w:r>
                </w:p>
              </w:tc>
              <w:tc>
                <w:tcPr>
                  <w:tcW w:w="388" w:type="pct"/>
                  <w:tcBorders>
                    <w:tl2br w:val="nil"/>
                    <w:tr2bl w:val="nil"/>
                  </w:tcBorders>
                  <w:vAlign w:val="center"/>
                </w:tcPr>
                <w:p>
                  <w:pPr>
                    <w:jc w:val="center"/>
                    <w:rPr>
                      <w:bCs/>
                      <w:color w:val="auto"/>
                      <w:sz w:val="15"/>
                      <w:szCs w:val="15"/>
                    </w:rPr>
                  </w:pPr>
                  <w:r>
                    <w:rPr>
                      <w:rFonts w:hint="eastAsia"/>
                      <w:bCs/>
                      <w:color w:val="auto"/>
                      <w:sz w:val="15"/>
                      <w:szCs w:val="15"/>
                    </w:rPr>
                    <w:t>无不</w:t>
                  </w:r>
                </w:p>
                <w:p>
                  <w:pPr>
                    <w:jc w:val="center"/>
                    <w:rPr>
                      <w:bCs/>
                      <w:color w:val="auto"/>
                      <w:sz w:val="15"/>
                      <w:szCs w:val="15"/>
                    </w:rPr>
                  </w:pPr>
                  <w:r>
                    <w:rPr>
                      <w:rFonts w:hint="eastAsia"/>
                      <w:bCs/>
                      <w:color w:val="auto"/>
                      <w:sz w:val="15"/>
                      <w:szCs w:val="15"/>
                    </w:rPr>
                    <w:t>快感</w:t>
                  </w:r>
                </w:p>
              </w:tc>
              <w:tc>
                <w:tcPr>
                  <w:tcW w:w="374" w:type="pct"/>
                  <w:tcBorders>
                    <w:tl2br w:val="nil"/>
                    <w:tr2bl w:val="nil"/>
                  </w:tcBorders>
                  <w:vAlign w:val="center"/>
                </w:tcPr>
                <w:p>
                  <w:pPr>
                    <w:jc w:val="center"/>
                    <w:rPr>
                      <w:bCs/>
                      <w:color w:val="auto"/>
                      <w:sz w:val="15"/>
                      <w:szCs w:val="15"/>
                    </w:rPr>
                  </w:pPr>
                  <w:r>
                    <w:rPr>
                      <w:rFonts w:hint="eastAsia"/>
                      <w:bCs/>
                      <w:color w:val="auto"/>
                      <w:sz w:val="15"/>
                      <w:szCs w:val="15"/>
                    </w:rPr>
                    <w:t>无不</w:t>
                  </w:r>
                </w:p>
                <w:p>
                  <w:pPr>
                    <w:jc w:val="center"/>
                    <w:rPr>
                      <w:bCs/>
                      <w:color w:val="auto"/>
                      <w:sz w:val="15"/>
                      <w:szCs w:val="15"/>
                    </w:rPr>
                  </w:pPr>
                  <w:r>
                    <w:rPr>
                      <w:rFonts w:hint="eastAsia"/>
                      <w:bCs/>
                      <w:color w:val="auto"/>
                      <w:sz w:val="15"/>
                      <w:szCs w:val="15"/>
                    </w:rPr>
                    <w:t>快感</w:t>
                  </w:r>
                </w:p>
              </w:tc>
              <w:tc>
                <w:tcPr>
                  <w:tcW w:w="338" w:type="pct"/>
                  <w:tcBorders>
                    <w:tl2br w:val="nil"/>
                    <w:tr2bl w:val="nil"/>
                  </w:tcBorders>
                  <w:vAlign w:val="center"/>
                </w:tcPr>
                <w:p>
                  <w:pPr>
                    <w:jc w:val="center"/>
                    <w:rPr>
                      <w:bCs/>
                      <w:color w:val="auto"/>
                      <w:sz w:val="15"/>
                      <w:szCs w:val="15"/>
                    </w:rPr>
                  </w:pPr>
                  <w:r>
                    <w:rPr>
                      <w:rFonts w:hint="eastAsia"/>
                      <w:bCs/>
                      <w:color w:val="auto"/>
                      <w:sz w:val="15"/>
                      <w:szCs w:val="15"/>
                    </w:rPr>
                    <w:t>无不</w:t>
                  </w:r>
                </w:p>
                <w:p>
                  <w:pPr>
                    <w:jc w:val="center"/>
                    <w:rPr>
                      <w:bCs/>
                      <w:color w:val="auto"/>
                      <w:sz w:val="15"/>
                      <w:szCs w:val="15"/>
                    </w:rPr>
                  </w:pPr>
                  <w:r>
                    <w:rPr>
                      <w:rFonts w:hint="eastAsia"/>
                      <w:bCs/>
                      <w:color w:val="auto"/>
                      <w:sz w:val="15"/>
                      <w:szCs w:val="15"/>
                    </w:rPr>
                    <w:t>快感</w:t>
                  </w:r>
                </w:p>
              </w:tc>
              <w:tc>
                <w:tcPr>
                  <w:tcW w:w="367" w:type="pct"/>
                  <w:tcBorders>
                    <w:right w:val="single" w:color="auto" w:sz="4" w:space="0"/>
                    <w:tl2br w:val="nil"/>
                    <w:tr2bl w:val="nil"/>
                  </w:tcBorders>
                  <w:vAlign w:val="center"/>
                </w:tcPr>
                <w:p>
                  <w:pPr>
                    <w:jc w:val="center"/>
                    <w:rPr>
                      <w:bCs/>
                      <w:color w:val="auto"/>
                      <w:sz w:val="15"/>
                      <w:szCs w:val="15"/>
                    </w:rPr>
                  </w:pPr>
                  <w:r>
                    <w:rPr>
                      <w:rFonts w:hint="eastAsia"/>
                      <w:bCs/>
                      <w:color w:val="auto"/>
                      <w:sz w:val="15"/>
                      <w:szCs w:val="15"/>
                    </w:rPr>
                    <w:t>无不</w:t>
                  </w:r>
                </w:p>
                <w:p>
                  <w:pPr>
                    <w:jc w:val="center"/>
                    <w:rPr>
                      <w:bCs/>
                      <w:color w:val="auto"/>
                      <w:sz w:val="15"/>
                      <w:szCs w:val="15"/>
                    </w:rPr>
                  </w:pPr>
                  <w:r>
                    <w:rPr>
                      <w:rFonts w:hint="eastAsia"/>
                      <w:bCs/>
                      <w:color w:val="auto"/>
                      <w:sz w:val="15"/>
                      <w:szCs w:val="15"/>
                    </w:rPr>
                    <w:t>快感</w:t>
                  </w:r>
                </w:p>
              </w:tc>
              <w:tc>
                <w:tcPr>
                  <w:tcW w:w="379" w:type="pct"/>
                  <w:tcBorders>
                    <w:left w:val="single" w:color="auto" w:sz="4" w:space="0"/>
                    <w:tl2br w:val="nil"/>
                    <w:tr2bl w:val="nil"/>
                  </w:tcBorders>
                  <w:vAlign w:val="center"/>
                </w:tcPr>
                <w:p>
                  <w:pPr>
                    <w:jc w:val="center"/>
                    <w:rPr>
                      <w:bCs/>
                      <w:color w:val="auto"/>
                      <w:sz w:val="15"/>
                      <w:szCs w:val="15"/>
                    </w:rPr>
                  </w:pPr>
                  <w:r>
                    <w:rPr>
                      <w:rFonts w:hint="eastAsia"/>
                      <w:bCs/>
                      <w:color w:val="auto"/>
                      <w:sz w:val="15"/>
                      <w:szCs w:val="15"/>
                    </w:rPr>
                    <w:t>无不</w:t>
                  </w:r>
                </w:p>
                <w:p>
                  <w:pPr>
                    <w:jc w:val="center"/>
                    <w:rPr>
                      <w:bCs/>
                      <w:color w:val="auto"/>
                      <w:sz w:val="15"/>
                      <w:szCs w:val="15"/>
                    </w:rPr>
                  </w:pPr>
                  <w:r>
                    <w:rPr>
                      <w:rFonts w:hint="eastAsia"/>
                      <w:bCs/>
                      <w:color w:val="auto"/>
                      <w:sz w:val="15"/>
                      <w:szCs w:val="15"/>
                    </w:rPr>
                    <w:t>快感</w:t>
                  </w:r>
                </w:p>
              </w:tc>
              <w:tc>
                <w:tcPr>
                  <w:tcW w:w="359" w:type="pct"/>
                  <w:tcBorders>
                    <w:tl2br w:val="nil"/>
                    <w:tr2bl w:val="nil"/>
                  </w:tcBorders>
                  <w:vAlign w:val="center"/>
                </w:tcPr>
                <w:p>
                  <w:pPr>
                    <w:jc w:val="center"/>
                    <w:rPr>
                      <w:bCs/>
                      <w:color w:val="auto"/>
                      <w:sz w:val="15"/>
                      <w:szCs w:val="15"/>
                    </w:rPr>
                  </w:pPr>
                  <w:r>
                    <w:rPr>
                      <w:rFonts w:hint="eastAsia"/>
                      <w:bCs/>
                      <w:color w:val="auto"/>
                      <w:sz w:val="15"/>
                      <w:szCs w:val="15"/>
                    </w:rPr>
                    <w:t>无不</w:t>
                  </w:r>
                </w:p>
                <w:p>
                  <w:pPr>
                    <w:jc w:val="center"/>
                    <w:rPr>
                      <w:bCs/>
                      <w:color w:val="auto"/>
                      <w:sz w:val="15"/>
                      <w:szCs w:val="15"/>
                    </w:rPr>
                  </w:pPr>
                  <w:r>
                    <w:rPr>
                      <w:rFonts w:hint="eastAsia"/>
                      <w:bCs/>
                      <w:color w:val="auto"/>
                      <w:sz w:val="15"/>
                      <w:szCs w:val="15"/>
                    </w:rPr>
                    <w:t>快感</w:t>
                  </w:r>
                </w:p>
              </w:tc>
              <w:tc>
                <w:tcPr>
                  <w:tcW w:w="365" w:type="pct"/>
                  <w:tcBorders>
                    <w:tl2br w:val="nil"/>
                    <w:tr2bl w:val="nil"/>
                  </w:tcBorders>
                  <w:vAlign w:val="center"/>
                </w:tcPr>
                <w:p>
                  <w:pPr>
                    <w:jc w:val="center"/>
                    <w:rPr>
                      <w:bCs/>
                      <w:color w:val="auto"/>
                      <w:sz w:val="15"/>
                      <w:szCs w:val="15"/>
                    </w:rPr>
                  </w:pPr>
                  <w:r>
                    <w:rPr>
                      <w:rFonts w:hint="eastAsia"/>
                      <w:bCs/>
                      <w:color w:val="auto"/>
                      <w:sz w:val="15"/>
                      <w:szCs w:val="15"/>
                    </w:rPr>
                    <w:t>无不</w:t>
                  </w:r>
                </w:p>
                <w:p>
                  <w:pPr>
                    <w:jc w:val="center"/>
                    <w:rPr>
                      <w:bCs/>
                      <w:color w:val="auto"/>
                      <w:sz w:val="15"/>
                      <w:szCs w:val="15"/>
                    </w:rPr>
                  </w:pPr>
                  <w:r>
                    <w:rPr>
                      <w:rFonts w:hint="eastAsia"/>
                      <w:bCs/>
                      <w:color w:val="auto"/>
                      <w:sz w:val="15"/>
                      <w:szCs w:val="15"/>
                    </w:rPr>
                    <w:t>快感</w:t>
                  </w:r>
                </w:p>
              </w:tc>
              <w:tc>
                <w:tcPr>
                  <w:tcW w:w="382" w:type="pct"/>
                  <w:tcBorders>
                    <w:tl2br w:val="nil"/>
                    <w:tr2bl w:val="nil"/>
                  </w:tcBorders>
                  <w:vAlign w:val="center"/>
                </w:tcPr>
                <w:p>
                  <w:pPr>
                    <w:jc w:val="center"/>
                    <w:rPr>
                      <w:bCs/>
                      <w:color w:val="auto"/>
                      <w:sz w:val="15"/>
                      <w:szCs w:val="15"/>
                    </w:rPr>
                  </w:pPr>
                  <w:r>
                    <w:rPr>
                      <w:rFonts w:hint="eastAsia"/>
                      <w:bCs/>
                      <w:color w:val="auto"/>
                      <w:sz w:val="15"/>
                      <w:szCs w:val="15"/>
                    </w:rPr>
                    <w:t>无不</w:t>
                  </w:r>
                </w:p>
                <w:p>
                  <w:pPr>
                    <w:jc w:val="center"/>
                    <w:rPr>
                      <w:bCs/>
                      <w:color w:val="auto"/>
                      <w:sz w:val="15"/>
                      <w:szCs w:val="15"/>
                    </w:rPr>
                  </w:pPr>
                  <w:r>
                    <w:rPr>
                      <w:rFonts w:hint="eastAsia"/>
                      <w:bCs/>
                      <w:color w:val="auto"/>
                      <w:sz w:val="15"/>
                      <w:szCs w:val="15"/>
                    </w:rPr>
                    <w:t>快感</w:t>
                  </w:r>
                </w:p>
              </w:tc>
              <w:tc>
                <w:tcPr>
                  <w:tcW w:w="374" w:type="pct"/>
                  <w:tcBorders>
                    <w:right w:val="single" w:color="auto" w:sz="4" w:space="0"/>
                    <w:tl2br w:val="nil"/>
                    <w:tr2bl w:val="nil"/>
                  </w:tcBorders>
                  <w:vAlign w:val="center"/>
                </w:tcPr>
                <w:p>
                  <w:pPr>
                    <w:jc w:val="center"/>
                    <w:rPr>
                      <w:bCs/>
                      <w:color w:val="auto"/>
                      <w:sz w:val="15"/>
                      <w:szCs w:val="15"/>
                    </w:rPr>
                  </w:pPr>
                  <w:r>
                    <w:rPr>
                      <w:rFonts w:hint="eastAsia"/>
                      <w:bCs/>
                      <w:color w:val="auto"/>
                      <w:sz w:val="15"/>
                      <w:szCs w:val="15"/>
                    </w:rPr>
                    <w:t>无不</w:t>
                  </w:r>
                </w:p>
                <w:p>
                  <w:pPr>
                    <w:jc w:val="center"/>
                    <w:rPr>
                      <w:bCs/>
                      <w:color w:val="auto"/>
                      <w:sz w:val="15"/>
                      <w:szCs w:val="15"/>
                    </w:rPr>
                  </w:pPr>
                  <w:r>
                    <w:rPr>
                      <w:rFonts w:hint="eastAsia"/>
                      <w:bCs/>
                      <w:color w:val="auto"/>
                      <w:sz w:val="15"/>
                      <w:szCs w:val="15"/>
                    </w:rPr>
                    <w:t>快感</w:t>
                  </w:r>
                </w:p>
              </w:tc>
              <w:tc>
                <w:tcPr>
                  <w:tcW w:w="356" w:type="pct"/>
                  <w:tcBorders>
                    <w:left w:val="single" w:color="auto" w:sz="4" w:space="0"/>
                    <w:tl2br w:val="nil"/>
                    <w:tr2bl w:val="nil"/>
                  </w:tcBorders>
                  <w:vAlign w:val="center"/>
                </w:tcPr>
                <w:p>
                  <w:pPr>
                    <w:jc w:val="center"/>
                    <w:rPr>
                      <w:bCs/>
                      <w:color w:val="auto"/>
                      <w:sz w:val="15"/>
                      <w:szCs w:val="15"/>
                    </w:rPr>
                  </w:pPr>
                  <w:r>
                    <w:rPr>
                      <w:rFonts w:hint="eastAsia"/>
                      <w:bCs/>
                      <w:color w:val="auto"/>
                      <w:sz w:val="15"/>
                      <w:szCs w:val="15"/>
                    </w:rPr>
                    <w:t>无不</w:t>
                  </w:r>
                </w:p>
                <w:p>
                  <w:pPr>
                    <w:jc w:val="center"/>
                    <w:rPr>
                      <w:bCs/>
                      <w:color w:val="auto"/>
                      <w:sz w:val="15"/>
                      <w:szCs w:val="15"/>
                    </w:rPr>
                  </w:pPr>
                  <w:r>
                    <w:rPr>
                      <w:rFonts w:hint="eastAsia"/>
                      <w:bCs/>
                      <w:color w:val="auto"/>
                      <w:sz w:val="15"/>
                      <w:szCs w:val="15"/>
                    </w:rPr>
                    <w:t>快感</w:t>
                  </w:r>
                </w:p>
              </w:tc>
              <w:tc>
                <w:tcPr>
                  <w:tcW w:w="279" w:type="pct"/>
                  <w:tcBorders>
                    <w:left w:val="single" w:color="auto" w:sz="4" w:space="0"/>
                    <w:tl2br w:val="nil"/>
                    <w:tr2bl w:val="nil"/>
                  </w:tcBorders>
                  <w:vAlign w:val="center"/>
                </w:tcPr>
                <w:p>
                  <w:pPr>
                    <w:jc w:val="center"/>
                    <w:rPr>
                      <w:bCs/>
                      <w:color w:val="auto"/>
                      <w:sz w:val="15"/>
                      <w:szCs w:val="15"/>
                    </w:rPr>
                  </w:pPr>
                  <w:r>
                    <w:rPr>
                      <w:rFonts w:hint="eastAsia"/>
                      <w:bCs/>
                      <w:color w:val="auto"/>
                      <w:sz w:val="15"/>
                      <w:szCs w:val="15"/>
                    </w:rPr>
                    <w:t>无不</w:t>
                  </w:r>
                </w:p>
                <w:p>
                  <w:pPr>
                    <w:jc w:val="center"/>
                    <w:rPr>
                      <w:bCs/>
                      <w:color w:val="auto"/>
                      <w:sz w:val="18"/>
                      <w:szCs w:val="18"/>
                    </w:rPr>
                  </w:pPr>
                  <w:r>
                    <w:rPr>
                      <w:rFonts w:hint="eastAsia"/>
                      <w:bCs/>
                      <w:color w:val="auto"/>
                      <w:sz w:val="15"/>
                      <w:szCs w:val="15"/>
                    </w:rPr>
                    <w:t>快感</w:t>
                  </w:r>
                </w:p>
              </w:tc>
              <w:tc>
                <w:tcPr>
                  <w:tcW w:w="288" w:type="pct"/>
                  <w:tcBorders>
                    <w:left w:val="single" w:color="auto" w:sz="4" w:space="0"/>
                    <w:tl2br w:val="nil"/>
                    <w:tr2bl w:val="nil"/>
                  </w:tcBorders>
                  <w:vAlign w:val="center"/>
                </w:tcPr>
                <w:p>
                  <w:pPr>
                    <w:jc w:val="center"/>
                    <w:rPr>
                      <w:bCs/>
                      <w:color w:val="auto"/>
                      <w:sz w:val="18"/>
                      <w:szCs w:val="18"/>
                    </w:rPr>
                  </w:pPr>
                  <w:r>
                    <w:rPr>
                      <w:bCs/>
                      <w:color w:val="auto"/>
                      <w:sz w:val="18"/>
                      <w:szCs w:val="18"/>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178" w:type="pct"/>
                  <w:vMerge w:val="continue"/>
                  <w:tcBorders>
                    <w:tl2br w:val="nil"/>
                    <w:tr2bl w:val="nil"/>
                  </w:tcBorders>
                  <w:vAlign w:val="center"/>
                </w:tcPr>
                <w:p>
                  <w:pPr>
                    <w:widowControl/>
                    <w:ind w:firstLine="420"/>
                    <w:jc w:val="center"/>
                    <w:rPr>
                      <w:bCs/>
                      <w:color w:val="auto"/>
                      <w:kern w:val="0"/>
                      <w:sz w:val="18"/>
                      <w:szCs w:val="18"/>
                    </w:rPr>
                  </w:pPr>
                </w:p>
              </w:tc>
              <w:tc>
                <w:tcPr>
                  <w:tcW w:w="566" w:type="pct"/>
                  <w:tcBorders>
                    <w:tl2br w:val="nil"/>
                    <w:tr2bl w:val="nil"/>
                  </w:tcBorders>
                  <w:vAlign w:val="center"/>
                </w:tcPr>
                <w:p>
                  <w:pPr>
                    <w:widowControl/>
                    <w:jc w:val="center"/>
                    <w:rPr>
                      <w:bCs/>
                      <w:color w:val="auto"/>
                      <w:kern w:val="0"/>
                      <w:sz w:val="18"/>
                      <w:szCs w:val="18"/>
                    </w:rPr>
                  </w:pPr>
                  <w:r>
                    <w:rPr>
                      <w:rFonts w:hint="eastAsia"/>
                      <w:bCs/>
                      <w:color w:val="auto"/>
                      <w:kern w:val="0"/>
                      <w:sz w:val="18"/>
                      <w:szCs w:val="18"/>
                    </w:rPr>
                    <w:t>浊度</w:t>
                  </w:r>
                </w:p>
              </w:tc>
              <w:tc>
                <w:tcPr>
                  <w:tcW w:w="388" w:type="pct"/>
                  <w:tcBorders>
                    <w:tl2br w:val="nil"/>
                    <w:tr2bl w:val="nil"/>
                  </w:tcBorders>
                  <w:vAlign w:val="center"/>
                </w:tcPr>
                <w:p>
                  <w:pPr>
                    <w:jc w:val="center"/>
                    <w:rPr>
                      <w:bCs/>
                      <w:color w:val="auto"/>
                      <w:sz w:val="18"/>
                      <w:szCs w:val="18"/>
                    </w:rPr>
                  </w:pPr>
                  <w:r>
                    <w:rPr>
                      <w:rFonts w:hint="eastAsia"/>
                      <w:bCs/>
                      <w:color w:val="auto"/>
                      <w:sz w:val="18"/>
                      <w:szCs w:val="18"/>
                    </w:rPr>
                    <w:t>＜0.5</w:t>
                  </w:r>
                </w:p>
              </w:tc>
              <w:tc>
                <w:tcPr>
                  <w:tcW w:w="374" w:type="pct"/>
                  <w:tcBorders>
                    <w:tl2br w:val="nil"/>
                    <w:tr2bl w:val="nil"/>
                  </w:tcBorders>
                  <w:vAlign w:val="center"/>
                </w:tcPr>
                <w:p>
                  <w:pPr>
                    <w:jc w:val="center"/>
                    <w:rPr>
                      <w:bCs/>
                      <w:color w:val="auto"/>
                      <w:sz w:val="18"/>
                      <w:szCs w:val="18"/>
                    </w:rPr>
                  </w:pPr>
                  <w:r>
                    <w:rPr>
                      <w:rFonts w:hint="eastAsia"/>
                      <w:bCs/>
                      <w:color w:val="auto"/>
                      <w:sz w:val="18"/>
                      <w:szCs w:val="18"/>
                    </w:rPr>
                    <w:t>＜0.5</w:t>
                  </w:r>
                </w:p>
              </w:tc>
              <w:tc>
                <w:tcPr>
                  <w:tcW w:w="338" w:type="pct"/>
                  <w:tcBorders>
                    <w:tl2br w:val="nil"/>
                    <w:tr2bl w:val="nil"/>
                  </w:tcBorders>
                  <w:vAlign w:val="center"/>
                </w:tcPr>
                <w:p>
                  <w:pPr>
                    <w:jc w:val="center"/>
                    <w:rPr>
                      <w:bCs/>
                      <w:color w:val="auto"/>
                      <w:sz w:val="18"/>
                      <w:szCs w:val="18"/>
                    </w:rPr>
                  </w:pPr>
                  <w:r>
                    <w:rPr>
                      <w:rFonts w:hint="eastAsia"/>
                      <w:bCs/>
                      <w:color w:val="auto"/>
                      <w:sz w:val="18"/>
                      <w:szCs w:val="18"/>
                    </w:rPr>
                    <w:t>＜0.5</w:t>
                  </w:r>
                </w:p>
              </w:tc>
              <w:tc>
                <w:tcPr>
                  <w:tcW w:w="367" w:type="pct"/>
                  <w:tcBorders>
                    <w:right w:val="single" w:color="auto" w:sz="4" w:space="0"/>
                    <w:tl2br w:val="nil"/>
                    <w:tr2bl w:val="nil"/>
                  </w:tcBorders>
                  <w:vAlign w:val="center"/>
                </w:tcPr>
                <w:p>
                  <w:pPr>
                    <w:jc w:val="center"/>
                    <w:rPr>
                      <w:bCs/>
                      <w:color w:val="auto"/>
                      <w:sz w:val="18"/>
                      <w:szCs w:val="18"/>
                    </w:rPr>
                  </w:pPr>
                  <w:r>
                    <w:rPr>
                      <w:rFonts w:hint="eastAsia"/>
                      <w:bCs/>
                      <w:color w:val="auto"/>
                      <w:sz w:val="18"/>
                      <w:szCs w:val="18"/>
                    </w:rPr>
                    <w:t>＜0.5</w:t>
                  </w:r>
                </w:p>
              </w:tc>
              <w:tc>
                <w:tcPr>
                  <w:tcW w:w="379" w:type="pct"/>
                  <w:tcBorders>
                    <w:left w:val="single" w:color="auto" w:sz="4" w:space="0"/>
                    <w:tl2br w:val="nil"/>
                    <w:tr2bl w:val="nil"/>
                  </w:tcBorders>
                  <w:vAlign w:val="center"/>
                </w:tcPr>
                <w:p>
                  <w:pPr>
                    <w:jc w:val="center"/>
                    <w:rPr>
                      <w:bCs/>
                      <w:color w:val="auto"/>
                      <w:sz w:val="18"/>
                      <w:szCs w:val="18"/>
                    </w:rPr>
                  </w:pPr>
                  <w:r>
                    <w:rPr>
                      <w:rFonts w:hint="eastAsia"/>
                      <w:bCs/>
                      <w:color w:val="auto"/>
                      <w:sz w:val="18"/>
                      <w:szCs w:val="18"/>
                    </w:rPr>
                    <w:t>＜0.5</w:t>
                  </w:r>
                </w:p>
              </w:tc>
              <w:tc>
                <w:tcPr>
                  <w:tcW w:w="359" w:type="pct"/>
                  <w:tcBorders>
                    <w:tl2br w:val="nil"/>
                    <w:tr2bl w:val="nil"/>
                  </w:tcBorders>
                  <w:vAlign w:val="center"/>
                </w:tcPr>
                <w:p>
                  <w:pPr>
                    <w:jc w:val="center"/>
                    <w:rPr>
                      <w:bCs/>
                      <w:color w:val="auto"/>
                      <w:sz w:val="18"/>
                      <w:szCs w:val="18"/>
                    </w:rPr>
                  </w:pPr>
                  <w:r>
                    <w:rPr>
                      <w:rFonts w:hint="eastAsia"/>
                      <w:bCs/>
                      <w:color w:val="auto"/>
                      <w:sz w:val="18"/>
                      <w:szCs w:val="18"/>
                    </w:rPr>
                    <w:t>＜0.5</w:t>
                  </w:r>
                </w:p>
              </w:tc>
              <w:tc>
                <w:tcPr>
                  <w:tcW w:w="365" w:type="pct"/>
                  <w:tcBorders>
                    <w:tl2br w:val="nil"/>
                    <w:tr2bl w:val="nil"/>
                  </w:tcBorders>
                  <w:vAlign w:val="center"/>
                </w:tcPr>
                <w:p>
                  <w:pPr>
                    <w:jc w:val="center"/>
                    <w:rPr>
                      <w:bCs/>
                      <w:color w:val="auto"/>
                      <w:sz w:val="18"/>
                      <w:szCs w:val="18"/>
                    </w:rPr>
                  </w:pPr>
                  <w:r>
                    <w:rPr>
                      <w:rFonts w:hint="eastAsia"/>
                      <w:bCs/>
                      <w:color w:val="auto"/>
                      <w:sz w:val="18"/>
                      <w:szCs w:val="18"/>
                    </w:rPr>
                    <w:t>＜0.5</w:t>
                  </w:r>
                </w:p>
              </w:tc>
              <w:tc>
                <w:tcPr>
                  <w:tcW w:w="382" w:type="pct"/>
                  <w:tcBorders>
                    <w:tl2br w:val="nil"/>
                    <w:tr2bl w:val="nil"/>
                  </w:tcBorders>
                  <w:vAlign w:val="center"/>
                </w:tcPr>
                <w:p>
                  <w:pPr>
                    <w:jc w:val="center"/>
                    <w:rPr>
                      <w:bCs/>
                      <w:color w:val="auto"/>
                      <w:sz w:val="18"/>
                      <w:szCs w:val="18"/>
                    </w:rPr>
                  </w:pPr>
                  <w:r>
                    <w:rPr>
                      <w:rFonts w:hint="eastAsia"/>
                      <w:bCs/>
                      <w:color w:val="auto"/>
                      <w:sz w:val="18"/>
                      <w:szCs w:val="18"/>
                    </w:rPr>
                    <w:t>＜0.5</w:t>
                  </w:r>
                </w:p>
              </w:tc>
              <w:tc>
                <w:tcPr>
                  <w:tcW w:w="374" w:type="pct"/>
                  <w:tcBorders>
                    <w:right w:val="single" w:color="auto" w:sz="4" w:space="0"/>
                    <w:tl2br w:val="nil"/>
                    <w:tr2bl w:val="nil"/>
                  </w:tcBorders>
                  <w:vAlign w:val="center"/>
                </w:tcPr>
                <w:p>
                  <w:pPr>
                    <w:jc w:val="center"/>
                    <w:rPr>
                      <w:bCs/>
                      <w:color w:val="auto"/>
                      <w:sz w:val="18"/>
                      <w:szCs w:val="18"/>
                    </w:rPr>
                  </w:pPr>
                  <w:r>
                    <w:rPr>
                      <w:rFonts w:hint="eastAsia"/>
                      <w:bCs/>
                      <w:color w:val="auto"/>
                      <w:sz w:val="18"/>
                      <w:szCs w:val="18"/>
                    </w:rPr>
                    <w:t>＜0.5</w:t>
                  </w:r>
                </w:p>
              </w:tc>
              <w:tc>
                <w:tcPr>
                  <w:tcW w:w="356" w:type="pct"/>
                  <w:tcBorders>
                    <w:left w:val="single" w:color="auto" w:sz="4" w:space="0"/>
                    <w:tl2br w:val="nil"/>
                    <w:tr2bl w:val="nil"/>
                  </w:tcBorders>
                  <w:vAlign w:val="center"/>
                </w:tcPr>
                <w:p>
                  <w:pPr>
                    <w:jc w:val="center"/>
                    <w:rPr>
                      <w:bCs/>
                      <w:color w:val="auto"/>
                      <w:sz w:val="18"/>
                      <w:szCs w:val="18"/>
                    </w:rPr>
                  </w:pPr>
                  <w:r>
                    <w:rPr>
                      <w:rFonts w:hint="eastAsia"/>
                      <w:bCs/>
                      <w:color w:val="auto"/>
                      <w:sz w:val="18"/>
                      <w:szCs w:val="18"/>
                    </w:rPr>
                    <w:t>＜0.5</w:t>
                  </w:r>
                </w:p>
              </w:tc>
              <w:tc>
                <w:tcPr>
                  <w:tcW w:w="279" w:type="pct"/>
                  <w:tcBorders>
                    <w:left w:val="single" w:color="auto" w:sz="4" w:space="0"/>
                    <w:tl2br w:val="nil"/>
                    <w:tr2bl w:val="nil"/>
                  </w:tcBorders>
                  <w:vAlign w:val="center"/>
                </w:tcPr>
                <w:p>
                  <w:pPr>
                    <w:jc w:val="center"/>
                    <w:rPr>
                      <w:bCs/>
                      <w:color w:val="auto"/>
                      <w:sz w:val="18"/>
                      <w:szCs w:val="18"/>
                    </w:rPr>
                  </w:pPr>
                  <w:r>
                    <w:rPr>
                      <w:rFonts w:hint="eastAsia"/>
                      <w:bCs/>
                      <w:color w:val="auto"/>
                      <w:sz w:val="18"/>
                      <w:szCs w:val="18"/>
                    </w:rPr>
                    <w:t>10</w:t>
                  </w:r>
                </w:p>
              </w:tc>
              <w:tc>
                <w:tcPr>
                  <w:tcW w:w="288" w:type="pct"/>
                  <w:tcBorders>
                    <w:left w:val="single" w:color="auto" w:sz="4" w:space="0"/>
                    <w:tl2br w:val="nil"/>
                    <w:tr2bl w:val="nil"/>
                  </w:tcBorders>
                  <w:vAlign w:val="center"/>
                </w:tcPr>
                <w:p>
                  <w:pPr>
                    <w:jc w:val="center"/>
                    <w:rPr>
                      <w:bCs/>
                      <w:color w:val="auto"/>
                      <w:sz w:val="18"/>
                      <w:szCs w:val="18"/>
                    </w:rPr>
                  </w:pPr>
                  <w:r>
                    <w:rPr>
                      <w:bCs/>
                      <w:color w:val="auto"/>
                      <w:sz w:val="18"/>
                      <w:szCs w:val="18"/>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178" w:type="pct"/>
                  <w:vMerge w:val="continue"/>
                  <w:tcBorders>
                    <w:tl2br w:val="nil"/>
                    <w:tr2bl w:val="nil"/>
                  </w:tcBorders>
                  <w:vAlign w:val="center"/>
                </w:tcPr>
                <w:p>
                  <w:pPr>
                    <w:widowControl/>
                    <w:ind w:firstLine="420"/>
                    <w:jc w:val="center"/>
                    <w:rPr>
                      <w:bCs/>
                      <w:color w:val="auto"/>
                      <w:kern w:val="0"/>
                      <w:sz w:val="18"/>
                      <w:szCs w:val="18"/>
                    </w:rPr>
                  </w:pPr>
                </w:p>
              </w:tc>
              <w:tc>
                <w:tcPr>
                  <w:tcW w:w="566" w:type="pct"/>
                  <w:tcBorders>
                    <w:tl2br w:val="nil"/>
                    <w:tr2bl w:val="nil"/>
                  </w:tcBorders>
                  <w:vAlign w:val="center"/>
                </w:tcPr>
                <w:p>
                  <w:pPr>
                    <w:widowControl/>
                    <w:jc w:val="center"/>
                    <w:rPr>
                      <w:bCs/>
                      <w:color w:val="auto"/>
                      <w:kern w:val="0"/>
                      <w:sz w:val="18"/>
                      <w:szCs w:val="18"/>
                    </w:rPr>
                  </w:pPr>
                  <w:r>
                    <w:rPr>
                      <w:rFonts w:hint="eastAsia"/>
                      <w:bCs/>
                      <w:color w:val="auto"/>
                      <w:kern w:val="0"/>
                      <w:sz w:val="18"/>
                      <w:szCs w:val="18"/>
                    </w:rPr>
                    <w:t>色度</w:t>
                  </w:r>
                </w:p>
              </w:tc>
              <w:tc>
                <w:tcPr>
                  <w:tcW w:w="388" w:type="pct"/>
                  <w:tcBorders>
                    <w:tl2br w:val="nil"/>
                    <w:tr2bl w:val="nil"/>
                  </w:tcBorders>
                  <w:vAlign w:val="center"/>
                </w:tcPr>
                <w:p>
                  <w:pPr>
                    <w:jc w:val="center"/>
                    <w:rPr>
                      <w:bCs/>
                      <w:color w:val="auto"/>
                      <w:sz w:val="18"/>
                      <w:szCs w:val="18"/>
                    </w:rPr>
                  </w:pPr>
                  <w:r>
                    <w:rPr>
                      <w:rFonts w:hint="eastAsia"/>
                      <w:bCs/>
                      <w:color w:val="auto"/>
                      <w:sz w:val="18"/>
                      <w:szCs w:val="18"/>
                    </w:rPr>
                    <w:t>＜5</w:t>
                  </w:r>
                </w:p>
              </w:tc>
              <w:tc>
                <w:tcPr>
                  <w:tcW w:w="374" w:type="pct"/>
                  <w:tcBorders>
                    <w:tl2br w:val="nil"/>
                    <w:tr2bl w:val="nil"/>
                  </w:tcBorders>
                  <w:vAlign w:val="center"/>
                </w:tcPr>
                <w:p>
                  <w:pPr>
                    <w:rPr>
                      <w:bCs/>
                      <w:color w:val="auto"/>
                      <w:sz w:val="18"/>
                      <w:szCs w:val="18"/>
                    </w:rPr>
                  </w:pPr>
                  <w:r>
                    <w:rPr>
                      <w:rFonts w:hint="eastAsia"/>
                      <w:bCs/>
                      <w:color w:val="auto"/>
                      <w:sz w:val="18"/>
                      <w:szCs w:val="18"/>
                    </w:rPr>
                    <w:t>＜5</w:t>
                  </w:r>
                </w:p>
              </w:tc>
              <w:tc>
                <w:tcPr>
                  <w:tcW w:w="338" w:type="pct"/>
                  <w:tcBorders>
                    <w:tl2br w:val="nil"/>
                    <w:tr2bl w:val="nil"/>
                  </w:tcBorders>
                  <w:vAlign w:val="center"/>
                </w:tcPr>
                <w:p>
                  <w:pPr>
                    <w:rPr>
                      <w:bCs/>
                      <w:color w:val="auto"/>
                      <w:sz w:val="18"/>
                      <w:szCs w:val="18"/>
                    </w:rPr>
                  </w:pPr>
                  <w:r>
                    <w:rPr>
                      <w:rFonts w:hint="eastAsia"/>
                      <w:bCs/>
                      <w:color w:val="auto"/>
                      <w:sz w:val="18"/>
                      <w:szCs w:val="18"/>
                    </w:rPr>
                    <w:t>＜5</w:t>
                  </w:r>
                </w:p>
              </w:tc>
              <w:tc>
                <w:tcPr>
                  <w:tcW w:w="367" w:type="pct"/>
                  <w:tcBorders>
                    <w:right w:val="single" w:color="auto" w:sz="4" w:space="0"/>
                    <w:tl2br w:val="nil"/>
                    <w:tr2bl w:val="nil"/>
                  </w:tcBorders>
                  <w:vAlign w:val="center"/>
                </w:tcPr>
                <w:p>
                  <w:pPr>
                    <w:rPr>
                      <w:bCs/>
                      <w:color w:val="auto"/>
                      <w:sz w:val="18"/>
                      <w:szCs w:val="18"/>
                    </w:rPr>
                  </w:pPr>
                  <w:r>
                    <w:rPr>
                      <w:rFonts w:hint="eastAsia"/>
                      <w:bCs/>
                      <w:color w:val="auto"/>
                      <w:sz w:val="18"/>
                      <w:szCs w:val="18"/>
                    </w:rPr>
                    <w:t>＜5</w:t>
                  </w:r>
                </w:p>
              </w:tc>
              <w:tc>
                <w:tcPr>
                  <w:tcW w:w="379" w:type="pct"/>
                  <w:tcBorders>
                    <w:left w:val="single" w:color="auto" w:sz="4" w:space="0"/>
                    <w:tl2br w:val="nil"/>
                    <w:tr2bl w:val="nil"/>
                  </w:tcBorders>
                  <w:vAlign w:val="center"/>
                </w:tcPr>
                <w:p>
                  <w:pPr>
                    <w:jc w:val="center"/>
                    <w:rPr>
                      <w:bCs/>
                      <w:color w:val="auto"/>
                      <w:sz w:val="18"/>
                      <w:szCs w:val="18"/>
                    </w:rPr>
                  </w:pPr>
                  <w:r>
                    <w:rPr>
                      <w:rFonts w:hint="eastAsia"/>
                      <w:bCs/>
                      <w:color w:val="auto"/>
                      <w:sz w:val="18"/>
                      <w:szCs w:val="18"/>
                    </w:rPr>
                    <w:t>＜5</w:t>
                  </w:r>
                </w:p>
              </w:tc>
              <w:tc>
                <w:tcPr>
                  <w:tcW w:w="359" w:type="pct"/>
                  <w:tcBorders>
                    <w:tl2br w:val="nil"/>
                    <w:tr2bl w:val="nil"/>
                  </w:tcBorders>
                  <w:vAlign w:val="center"/>
                </w:tcPr>
                <w:p>
                  <w:pPr>
                    <w:jc w:val="center"/>
                    <w:rPr>
                      <w:bCs/>
                      <w:color w:val="auto"/>
                      <w:sz w:val="18"/>
                      <w:szCs w:val="18"/>
                    </w:rPr>
                  </w:pPr>
                  <w:r>
                    <w:rPr>
                      <w:rFonts w:hint="eastAsia"/>
                      <w:bCs/>
                      <w:color w:val="auto"/>
                      <w:sz w:val="18"/>
                      <w:szCs w:val="18"/>
                    </w:rPr>
                    <w:t>＜5</w:t>
                  </w:r>
                </w:p>
              </w:tc>
              <w:tc>
                <w:tcPr>
                  <w:tcW w:w="365" w:type="pct"/>
                  <w:tcBorders>
                    <w:tl2br w:val="nil"/>
                    <w:tr2bl w:val="nil"/>
                  </w:tcBorders>
                  <w:vAlign w:val="center"/>
                </w:tcPr>
                <w:p>
                  <w:pPr>
                    <w:jc w:val="center"/>
                    <w:rPr>
                      <w:bCs/>
                      <w:color w:val="auto"/>
                      <w:sz w:val="18"/>
                      <w:szCs w:val="18"/>
                    </w:rPr>
                  </w:pPr>
                  <w:r>
                    <w:rPr>
                      <w:rFonts w:hint="eastAsia"/>
                      <w:bCs/>
                      <w:color w:val="auto"/>
                      <w:sz w:val="18"/>
                      <w:szCs w:val="18"/>
                    </w:rPr>
                    <w:t>＜5</w:t>
                  </w:r>
                </w:p>
              </w:tc>
              <w:tc>
                <w:tcPr>
                  <w:tcW w:w="382" w:type="pct"/>
                  <w:tcBorders>
                    <w:tl2br w:val="nil"/>
                    <w:tr2bl w:val="nil"/>
                  </w:tcBorders>
                  <w:vAlign w:val="center"/>
                </w:tcPr>
                <w:p>
                  <w:pPr>
                    <w:jc w:val="center"/>
                    <w:rPr>
                      <w:bCs/>
                      <w:color w:val="auto"/>
                      <w:sz w:val="18"/>
                      <w:szCs w:val="18"/>
                    </w:rPr>
                  </w:pPr>
                  <w:r>
                    <w:rPr>
                      <w:rFonts w:hint="eastAsia"/>
                      <w:bCs/>
                      <w:color w:val="auto"/>
                      <w:sz w:val="18"/>
                      <w:szCs w:val="18"/>
                    </w:rPr>
                    <w:t>＜5</w:t>
                  </w:r>
                </w:p>
              </w:tc>
              <w:tc>
                <w:tcPr>
                  <w:tcW w:w="374" w:type="pct"/>
                  <w:tcBorders>
                    <w:right w:val="single" w:color="auto" w:sz="4" w:space="0"/>
                    <w:tl2br w:val="nil"/>
                    <w:tr2bl w:val="nil"/>
                  </w:tcBorders>
                  <w:vAlign w:val="center"/>
                </w:tcPr>
                <w:p>
                  <w:pPr>
                    <w:jc w:val="center"/>
                    <w:rPr>
                      <w:bCs/>
                      <w:color w:val="auto"/>
                      <w:sz w:val="18"/>
                      <w:szCs w:val="18"/>
                    </w:rPr>
                  </w:pPr>
                  <w:r>
                    <w:rPr>
                      <w:rFonts w:hint="eastAsia"/>
                      <w:bCs/>
                      <w:color w:val="auto"/>
                      <w:sz w:val="18"/>
                      <w:szCs w:val="18"/>
                    </w:rPr>
                    <w:t>＜5</w:t>
                  </w:r>
                </w:p>
              </w:tc>
              <w:tc>
                <w:tcPr>
                  <w:tcW w:w="356" w:type="pct"/>
                  <w:tcBorders>
                    <w:left w:val="single" w:color="auto" w:sz="4" w:space="0"/>
                    <w:tl2br w:val="nil"/>
                    <w:tr2bl w:val="nil"/>
                  </w:tcBorders>
                  <w:vAlign w:val="center"/>
                </w:tcPr>
                <w:p>
                  <w:pPr>
                    <w:jc w:val="center"/>
                    <w:rPr>
                      <w:bCs/>
                      <w:color w:val="auto"/>
                      <w:sz w:val="18"/>
                      <w:szCs w:val="18"/>
                    </w:rPr>
                  </w:pPr>
                  <w:r>
                    <w:rPr>
                      <w:rFonts w:hint="eastAsia"/>
                      <w:bCs/>
                      <w:color w:val="auto"/>
                      <w:sz w:val="18"/>
                      <w:szCs w:val="18"/>
                    </w:rPr>
                    <w:t>＜5</w:t>
                  </w:r>
                </w:p>
              </w:tc>
              <w:tc>
                <w:tcPr>
                  <w:tcW w:w="279" w:type="pct"/>
                  <w:tcBorders>
                    <w:left w:val="single" w:color="auto" w:sz="4" w:space="0"/>
                    <w:tl2br w:val="nil"/>
                    <w:tr2bl w:val="nil"/>
                  </w:tcBorders>
                  <w:vAlign w:val="center"/>
                </w:tcPr>
                <w:p>
                  <w:pPr>
                    <w:jc w:val="center"/>
                    <w:rPr>
                      <w:bCs/>
                      <w:color w:val="auto"/>
                      <w:sz w:val="18"/>
                      <w:szCs w:val="18"/>
                    </w:rPr>
                  </w:pPr>
                  <w:r>
                    <w:rPr>
                      <w:rFonts w:hint="eastAsia"/>
                      <w:bCs/>
                      <w:color w:val="auto"/>
                      <w:sz w:val="18"/>
                      <w:szCs w:val="18"/>
                    </w:rPr>
                    <w:t>30</w:t>
                  </w:r>
                </w:p>
              </w:tc>
              <w:tc>
                <w:tcPr>
                  <w:tcW w:w="288" w:type="pct"/>
                  <w:tcBorders>
                    <w:left w:val="single" w:color="auto" w:sz="4" w:space="0"/>
                    <w:tl2br w:val="nil"/>
                    <w:tr2bl w:val="nil"/>
                  </w:tcBorders>
                  <w:vAlign w:val="center"/>
                </w:tcPr>
                <w:p>
                  <w:pPr>
                    <w:jc w:val="center"/>
                    <w:rPr>
                      <w:bCs/>
                      <w:color w:val="auto"/>
                      <w:sz w:val="18"/>
                      <w:szCs w:val="18"/>
                    </w:rPr>
                  </w:pPr>
                  <w:r>
                    <w:rPr>
                      <w:bCs/>
                      <w:color w:val="auto"/>
                      <w:sz w:val="18"/>
                      <w:szCs w:val="18"/>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70" w:hRule="atLeast"/>
                <w:jc w:val="center"/>
              </w:trPr>
              <w:tc>
                <w:tcPr>
                  <w:tcW w:w="178" w:type="pct"/>
                  <w:vMerge w:val="continue"/>
                  <w:tcBorders>
                    <w:tl2br w:val="nil"/>
                    <w:tr2bl w:val="nil"/>
                  </w:tcBorders>
                  <w:vAlign w:val="center"/>
                </w:tcPr>
                <w:p>
                  <w:pPr>
                    <w:widowControl/>
                    <w:ind w:firstLine="420"/>
                    <w:jc w:val="center"/>
                    <w:rPr>
                      <w:bCs/>
                      <w:color w:val="auto"/>
                      <w:kern w:val="0"/>
                      <w:sz w:val="18"/>
                      <w:szCs w:val="18"/>
                    </w:rPr>
                  </w:pPr>
                </w:p>
              </w:tc>
              <w:tc>
                <w:tcPr>
                  <w:tcW w:w="566" w:type="pct"/>
                  <w:tcBorders>
                    <w:tl2br w:val="nil"/>
                    <w:tr2bl w:val="nil"/>
                  </w:tcBorders>
                  <w:vAlign w:val="center"/>
                </w:tcPr>
                <w:p>
                  <w:pPr>
                    <w:widowControl/>
                    <w:jc w:val="center"/>
                    <w:rPr>
                      <w:bCs/>
                      <w:color w:val="auto"/>
                      <w:kern w:val="0"/>
                      <w:sz w:val="18"/>
                      <w:szCs w:val="18"/>
                    </w:rPr>
                  </w:pPr>
                  <w:r>
                    <w:rPr>
                      <w:bCs/>
                      <w:color w:val="auto"/>
                      <w:kern w:val="0"/>
                      <w:sz w:val="18"/>
                      <w:szCs w:val="18"/>
                    </w:rPr>
                    <w:t>五日生化需氧量</w:t>
                  </w:r>
                </w:p>
              </w:tc>
              <w:tc>
                <w:tcPr>
                  <w:tcW w:w="388" w:type="pct"/>
                  <w:tcBorders>
                    <w:tl2br w:val="nil"/>
                    <w:tr2bl w:val="nil"/>
                  </w:tcBorders>
                  <w:vAlign w:val="center"/>
                </w:tcPr>
                <w:p>
                  <w:pPr>
                    <w:jc w:val="center"/>
                    <w:rPr>
                      <w:bCs/>
                      <w:color w:val="auto"/>
                      <w:sz w:val="18"/>
                      <w:szCs w:val="18"/>
                    </w:rPr>
                  </w:pPr>
                  <w:r>
                    <w:rPr>
                      <w:rFonts w:hint="eastAsia"/>
                      <w:bCs/>
                      <w:color w:val="auto"/>
                      <w:sz w:val="18"/>
                      <w:szCs w:val="18"/>
                    </w:rPr>
                    <w:t>8.0</w:t>
                  </w:r>
                </w:p>
              </w:tc>
              <w:tc>
                <w:tcPr>
                  <w:tcW w:w="374" w:type="pct"/>
                  <w:tcBorders>
                    <w:tl2br w:val="nil"/>
                    <w:tr2bl w:val="nil"/>
                  </w:tcBorders>
                  <w:vAlign w:val="center"/>
                </w:tcPr>
                <w:p>
                  <w:pPr>
                    <w:jc w:val="center"/>
                    <w:rPr>
                      <w:bCs/>
                      <w:color w:val="auto"/>
                      <w:sz w:val="18"/>
                      <w:szCs w:val="18"/>
                    </w:rPr>
                  </w:pPr>
                  <w:r>
                    <w:rPr>
                      <w:rFonts w:hint="eastAsia"/>
                      <w:bCs/>
                      <w:color w:val="auto"/>
                      <w:sz w:val="18"/>
                      <w:szCs w:val="18"/>
                    </w:rPr>
                    <w:t>8.3</w:t>
                  </w:r>
                </w:p>
              </w:tc>
              <w:tc>
                <w:tcPr>
                  <w:tcW w:w="338" w:type="pct"/>
                  <w:tcBorders>
                    <w:tl2br w:val="nil"/>
                    <w:tr2bl w:val="nil"/>
                  </w:tcBorders>
                  <w:vAlign w:val="center"/>
                </w:tcPr>
                <w:p>
                  <w:pPr>
                    <w:jc w:val="center"/>
                    <w:rPr>
                      <w:bCs/>
                      <w:color w:val="auto"/>
                      <w:sz w:val="18"/>
                      <w:szCs w:val="18"/>
                    </w:rPr>
                  </w:pPr>
                  <w:r>
                    <w:rPr>
                      <w:rFonts w:hint="eastAsia"/>
                      <w:bCs/>
                      <w:color w:val="auto"/>
                      <w:sz w:val="18"/>
                      <w:szCs w:val="18"/>
                    </w:rPr>
                    <w:t>7.3</w:t>
                  </w:r>
                </w:p>
              </w:tc>
              <w:tc>
                <w:tcPr>
                  <w:tcW w:w="367" w:type="pct"/>
                  <w:tcBorders>
                    <w:right w:val="single" w:color="auto" w:sz="4" w:space="0"/>
                    <w:tl2br w:val="nil"/>
                    <w:tr2bl w:val="nil"/>
                  </w:tcBorders>
                  <w:vAlign w:val="center"/>
                </w:tcPr>
                <w:p>
                  <w:pPr>
                    <w:jc w:val="center"/>
                    <w:rPr>
                      <w:bCs/>
                      <w:color w:val="auto"/>
                      <w:sz w:val="18"/>
                      <w:szCs w:val="18"/>
                    </w:rPr>
                  </w:pPr>
                  <w:r>
                    <w:rPr>
                      <w:rFonts w:hint="eastAsia"/>
                      <w:bCs/>
                      <w:color w:val="auto"/>
                      <w:sz w:val="18"/>
                      <w:szCs w:val="18"/>
                    </w:rPr>
                    <w:t>7.8</w:t>
                  </w:r>
                </w:p>
              </w:tc>
              <w:tc>
                <w:tcPr>
                  <w:tcW w:w="379" w:type="pct"/>
                  <w:tcBorders>
                    <w:left w:val="single" w:color="auto" w:sz="4" w:space="0"/>
                    <w:tl2br w:val="nil"/>
                    <w:tr2bl w:val="nil"/>
                  </w:tcBorders>
                  <w:vAlign w:val="center"/>
                </w:tcPr>
                <w:p>
                  <w:pPr>
                    <w:jc w:val="center"/>
                    <w:rPr>
                      <w:bCs/>
                      <w:color w:val="auto"/>
                      <w:sz w:val="18"/>
                      <w:szCs w:val="18"/>
                    </w:rPr>
                  </w:pPr>
                  <w:r>
                    <w:rPr>
                      <w:rFonts w:hint="eastAsia"/>
                      <w:bCs/>
                      <w:color w:val="auto"/>
                      <w:sz w:val="18"/>
                      <w:szCs w:val="18"/>
                    </w:rPr>
                    <w:t>7.8</w:t>
                  </w:r>
                </w:p>
              </w:tc>
              <w:tc>
                <w:tcPr>
                  <w:tcW w:w="359" w:type="pct"/>
                  <w:tcBorders>
                    <w:tl2br w:val="nil"/>
                    <w:tr2bl w:val="nil"/>
                  </w:tcBorders>
                  <w:vAlign w:val="center"/>
                </w:tcPr>
                <w:p>
                  <w:pPr>
                    <w:jc w:val="center"/>
                    <w:rPr>
                      <w:bCs/>
                      <w:color w:val="auto"/>
                      <w:sz w:val="18"/>
                      <w:szCs w:val="18"/>
                    </w:rPr>
                  </w:pPr>
                  <w:r>
                    <w:rPr>
                      <w:rFonts w:hint="eastAsia"/>
                      <w:bCs/>
                      <w:color w:val="auto"/>
                      <w:sz w:val="18"/>
                      <w:szCs w:val="18"/>
                    </w:rPr>
                    <w:t>7.1</w:t>
                  </w:r>
                </w:p>
              </w:tc>
              <w:tc>
                <w:tcPr>
                  <w:tcW w:w="365" w:type="pct"/>
                  <w:tcBorders>
                    <w:tl2br w:val="nil"/>
                    <w:tr2bl w:val="nil"/>
                  </w:tcBorders>
                  <w:vAlign w:val="center"/>
                </w:tcPr>
                <w:p>
                  <w:pPr>
                    <w:jc w:val="center"/>
                    <w:rPr>
                      <w:bCs/>
                      <w:color w:val="auto"/>
                      <w:sz w:val="18"/>
                      <w:szCs w:val="18"/>
                    </w:rPr>
                  </w:pPr>
                  <w:r>
                    <w:rPr>
                      <w:rFonts w:hint="eastAsia"/>
                      <w:bCs/>
                      <w:color w:val="auto"/>
                      <w:sz w:val="18"/>
                      <w:szCs w:val="18"/>
                    </w:rPr>
                    <w:t>7.8</w:t>
                  </w:r>
                </w:p>
              </w:tc>
              <w:tc>
                <w:tcPr>
                  <w:tcW w:w="382" w:type="pct"/>
                  <w:tcBorders>
                    <w:tl2br w:val="nil"/>
                    <w:tr2bl w:val="nil"/>
                  </w:tcBorders>
                  <w:vAlign w:val="center"/>
                </w:tcPr>
                <w:p>
                  <w:pPr>
                    <w:jc w:val="center"/>
                    <w:rPr>
                      <w:color w:val="auto"/>
                      <w:sz w:val="18"/>
                      <w:szCs w:val="18"/>
                    </w:rPr>
                  </w:pPr>
                  <w:r>
                    <w:rPr>
                      <w:rFonts w:hint="eastAsia"/>
                      <w:color w:val="auto"/>
                      <w:sz w:val="18"/>
                      <w:szCs w:val="18"/>
                    </w:rPr>
                    <w:t>7.4</w:t>
                  </w:r>
                </w:p>
              </w:tc>
              <w:tc>
                <w:tcPr>
                  <w:tcW w:w="374" w:type="pct"/>
                  <w:tcBorders>
                    <w:right w:val="single" w:color="auto" w:sz="4" w:space="0"/>
                    <w:tl2br w:val="nil"/>
                    <w:tr2bl w:val="nil"/>
                  </w:tcBorders>
                  <w:vAlign w:val="center"/>
                </w:tcPr>
                <w:p>
                  <w:pPr>
                    <w:jc w:val="center"/>
                    <w:rPr>
                      <w:bCs/>
                      <w:color w:val="auto"/>
                      <w:sz w:val="18"/>
                      <w:szCs w:val="18"/>
                    </w:rPr>
                  </w:pPr>
                  <w:r>
                    <w:rPr>
                      <w:rFonts w:hint="eastAsia"/>
                      <w:bCs/>
                      <w:color w:val="auto"/>
                      <w:sz w:val="18"/>
                      <w:szCs w:val="18"/>
                    </w:rPr>
                    <w:t>8.6</w:t>
                  </w:r>
                </w:p>
              </w:tc>
              <w:tc>
                <w:tcPr>
                  <w:tcW w:w="356" w:type="pct"/>
                  <w:tcBorders>
                    <w:left w:val="single" w:color="auto" w:sz="4" w:space="0"/>
                    <w:tl2br w:val="nil"/>
                    <w:tr2bl w:val="nil"/>
                  </w:tcBorders>
                  <w:vAlign w:val="center"/>
                </w:tcPr>
                <w:p>
                  <w:pPr>
                    <w:jc w:val="center"/>
                    <w:rPr>
                      <w:bCs/>
                      <w:color w:val="auto"/>
                      <w:sz w:val="18"/>
                      <w:szCs w:val="18"/>
                    </w:rPr>
                  </w:pPr>
                  <w:r>
                    <w:rPr>
                      <w:rFonts w:hint="eastAsia"/>
                      <w:bCs/>
                      <w:color w:val="auto"/>
                      <w:sz w:val="18"/>
                      <w:szCs w:val="18"/>
                    </w:rPr>
                    <w:t>7.7</w:t>
                  </w:r>
                </w:p>
              </w:tc>
              <w:tc>
                <w:tcPr>
                  <w:tcW w:w="279" w:type="pct"/>
                  <w:tcBorders>
                    <w:left w:val="single" w:color="auto" w:sz="4" w:space="0"/>
                    <w:tl2br w:val="nil"/>
                    <w:tr2bl w:val="nil"/>
                  </w:tcBorders>
                  <w:vAlign w:val="center"/>
                </w:tcPr>
                <w:p>
                  <w:pPr>
                    <w:jc w:val="center"/>
                    <w:rPr>
                      <w:bCs/>
                      <w:color w:val="auto"/>
                      <w:sz w:val="18"/>
                      <w:szCs w:val="18"/>
                    </w:rPr>
                  </w:pPr>
                  <w:r>
                    <w:rPr>
                      <w:rFonts w:hint="eastAsia"/>
                      <w:bCs/>
                      <w:color w:val="auto"/>
                      <w:sz w:val="18"/>
                      <w:szCs w:val="18"/>
                    </w:rPr>
                    <w:t>10</w:t>
                  </w:r>
                </w:p>
              </w:tc>
              <w:tc>
                <w:tcPr>
                  <w:tcW w:w="288" w:type="pct"/>
                  <w:tcBorders>
                    <w:left w:val="single" w:color="auto" w:sz="4" w:space="0"/>
                    <w:tl2br w:val="nil"/>
                    <w:tr2bl w:val="nil"/>
                  </w:tcBorders>
                  <w:vAlign w:val="center"/>
                </w:tcPr>
                <w:p>
                  <w:pPr>
                    <w:jc w:val="center"/>
                    <w:rPr>
                      <w:bCs/>
                      <w:color w:val="auto"/>
                      <w:sz w:val="18"/>
                      <w:szCs w:val="18"/>
                    </w:rPr>
                  </w:pPr>
                  <w:r>
                    <w:rPr>
                      <w:bCs/>
                      <w:color w:val="auto"/>
                      <w:sz w:val="18"/>
                      <w:szCs w:val="18"/>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26" w:hRule="atLeast"/>
                <w:jc w:val="center"/>
              </w:trPr>
              <w:tc>
                <w:tcPr>
                  <w:tcW w:w="178" w:type="pct"/>
                  <w:vMerge w:val="continue"/>
                  <w:tcBorders>
                    <w:tl2br w:val="nil"/>
                    <w:tr2bl w:val="nil"/>
                  </w:tcBorders>
                  <w:vAlign w:val="center"/>
                </w:tcPr>
                <w:p>
                  <w:pPr>
                    <w:widowControl/>
                    <w:ind w:firstLine="420"/>
                    <w:jc w:val="center"/>
                    <w:rPr>
                      <w:bCs/>
                      <w:color w:val="auto"/>
                      <w:kern w:val="0"/>
                      <w:sz w:val="18"/>
                      <w:szCs w:val="18"/>
                    </w:rPr>
                  </w:pPr>
                </w:p>
              </w:tc>
              <w:tc>
                <w:tcPr>
                  <w:tcW w:w="566" w:type="pct"/>
                  <w:tcBorders>
                    <w:tl2br w:val="nil"/>
                    <w:tr2bl w:val="nil"/>
                  </w:tcBorders>
                  <w:vAlign w:val="center"/>
                </w:tcPr>
                <w:p>
                  <w:pPr>
                    <w:widowControl/>
                    <w:jc w:val="center"/>
                    <w:rPr>
                      <w:bCs/>
                      <w:color w:val="auto"/>
                      <w:kern w:val="0"/>
                      <w:sz w:val="18"/>
                      <w:szCs w:val="18"/>
                    </w:rPr>
                  </w:pPr>
                  <w:r>
                    <w:rPr>
                      <w:color w:val="auto"/>
                      <w:sz w:val="18"/>
                      <w:szCs w:val="18"/>
                    </w:rPr>
                    <w:t>阴离子表面活性剂</w:t>
                  </w:r>
                </w:p>
              </w:tc>
              <w:tc>
                <w:tcPr>
                  <w:tcW w:w="388" w:type="pct"/>
                  <w:tcBorders>
                    <w:tl2br w:val="nil"/>
                    <w:tr2bl w:val="nil"/>
                  </w:tcBorders>
                  <w:vAlign w:val="center"/>
                </w:tcPr>
                <w:p>
                  <w:pPr>
                    <w:rPr>
                      <w:bCs/>
                      <w:color w:val="auto"/>
                      <w:sz w:val="18"/>
                      <w:szCs w:val="18"/>
                    </w:rPr>
                  </w:pPr>
                  <w:r>
                    <w:rPr>
                      <w:bCs/>
                      <w:color w:val="auto"/>
                      <w:sz w:val="18"/>
                      <w:szCs w:val="18"/>
                    </w:rPr>
                    <w:t>＜0.05</w:t>
                  </w:r>
                </w:p>
              </w:tc>
              <w:tc>
                <w:tcPr>
                  <w:tcW w:w="374" w:type="pct"/>
                  <w:tcBorders>
                    <w:tl2br w:val="nil"/>
                    <w:tr2bl w:val="nil"/>
                  </w:tcBorders>
                  <w:vAlign w:val="center"/>
                </w:tcPr>
                <w:p>
                  <w:pPr>
                    <w:rPr>
                      <w:bCs/>
                      <w:color w:val="auto"/>
                      <w:sz w:val="18"/>
                      <w:szCs w:val="18"/>
                    </w:rPr>
                  </w:pPr>
                  <w:r>
                    <w:rPr>
                      <w:bCs/>
                      <w:color w:val="auto"/>
                      <w:sz w:val="18"/>
                      <w:szCs w:val="18"/>
                    </w:rPr>
                    <w:t>＜0.05</w:t>
                  </w:r>
                </w:p>
              </w:tc>
              <w:tc>
                <w:tcPr>
                  <w:tcW w:w="338" w:type="pct"/>
                  <w:tcBorders>
                    <w:tl2br w:val="nil"/>
                    <w:tr2bl w:val="nil"/>
                  </w:tcBorders>
                  <w:vAlign w:val="center"/>
                </w:tcPr>
                <w:p>
                  <w:pPr>
                    <w:rPr>
                      <w:bCs/>
                      <w:color w:val="auto"/>
                      <w:sz w:val="18"/>
                      <w:szCs w:val="18"/>
                    </w:rPr>
                  </w:pPr>
                  <w:r>
                    <w:rPr>
                      <w:bCs/>
                      <w:color w:val="auto"/>
                      <w:sz w:val="18"/>
                      <w:szCs w:val="18"/>
                    </w:rPr>
                    <w:t>＜0.05</w:t>
                  </w:r>
                </w:p>
              </w:tc>
              <w:tc>
                <w:tcPr>
                  <w:tcW w:w="367" w:type="pct"/>
                  <w:tcBorders>
                    <w:right w:val="single" w:color="auto" w:sz="4" w:space="0"/>
                    <w:tl2br w:val="nil"/>
                    <w:tr2bl w:val="nil"/>
                  </w:tcBorders>
                  <w:vAlign w:val="center"/>
                </w:tcPr>
                <w:p>
                  <w:pPr>
                    <w:rPr>
                      <w:bCs/>
                      <w:color w:val="auto"/>
                      <w:sz w:val="18"/>
                      <w:szCs w:val="18"/>
                    </w:rPr>
                  </w:pPr>
                  <w:r>
                    <w:rPr>
                      <w:bCs/>
                      <w:color w:val="auto"/>
                      <w:sz w:val="18"/>
                      <w:szCs w:val="18"/>
                    </w:rPr>
                    <w:t>＜0.05</w:t>
                  </w:r>
                </w:p>
              </w:tc>
              <w:tc>
                <w:tcPr>
                  <w:tcW w:w="379" w:type="pct"/>
                  <w:tcBorders>
                    <w:left w:val="single" w:color="auto" w:sz="4" w:space="0"/>
                    <w:tl2br w:val="nil"/>
                    <w:tr2bl w:val="nil"/>
                  </w:tcBorders>
                  <w:vAlign w:val="center"/>
                </w:tcPr>
                <w:p>
                  <w:pPr>
                    <w:rPr>
                      <w:bCs/>
                      <w:color w:val="auto"/>
                      <w:sz w:val="18"/>
                      <w:szCs w:val="18"/>
                    </w:rPr>
                  </w:pPr>
                  <w:r>
                    <w:rPr>
                      <w:bCs/>
                      <w:color w:val="auto"/>
                      <w:sz w:val="18"/>
                      <w:szCs w:val="18"/>
                    </w:rPr>
                    <w:t>＜0.05</w:t>
                  </w:r>
                </w:p>
              </w:tc>
              <w:tc>
                <w:tcPr>
                  <w:tcW w:w="359" w:type="pct"/>
                  <w:tcBorders>
                    <w:tl2br w:val="nil"/>
                    <w:tr2bl w:val="nil"/>
                  </w:tcBorders>
                  <w:vAlign w:val="center"/>
                </w:tcPr>
                <w:p>
                  <w:pPr>
                    <w:rPr>
                      <w:bCs/>
                      <w:color w:val="auto"/>
                      <w:sz w:val="18"/>
                      <w:szCs w:val="18"/>
                    </w:rPr>
                  </w:pPr>
                  <w:r>
                    <w:rPr>
                      <w:bCs/>
                      <w:color w:val="auto"/>
                      <w:sz w:val="18"/>
                      <w:szCs w:val="18"/>
                    </w:rPr>
                    <w:t>＜0.05</w:t>
                  </w:r>
                </w:p>
              </w:tc>
              <w:tc>
                <w:tcPr>
                  <w:tcW w:w="365" w:type="pct"/>
                  <w:tcBorders>
                    <w:tl2br w:val="nil"/>
                    <w:tr2bl w:val="nil"/>
                  </w:tcBorders>
                  <w:vAlign w:val="center"/>
                </w:tcPr>
                <w:p>
                  <w:pPr>
                    <w:rPr>
                      <w:bCs/>
                      <w:color w:val="auto"/>
                      <w:sz w:val="18"/>
                      <w:szCs w:val="18"/>
                    </w:rPr>
                  </w:pPr>
                  <w:r>
                    <w:rPr>
                      <w:bCs/>
                      <w:color w:val="auto"/>
                      <w:sz w:val="18"/>
                      <w:szCs w:val="18"/>
                    </w:rPr>
                    <w:t>＜0.05</w:t>
                  </w:r>
                </w:p>
              </w:tc>
              <w:tc>
                <w:tcPr>
                  <w:tcW w:w="382" w:type="pct"/>
                  <w:tcBorders>
                    <w:tl2br w:val="nil"/>
                    <w:tr2bl w:val="nil"/>
                  </w:tcBorders>
                  <w:vAlign w:val="center"/>
                </w:tcPr>
                <w:p>
                  <w:pPr>
                    <w:rPr>
                      <w:bCs/>
                      <w:color w:val="auto"/>
                      <w:sz w:val="18"/>
                      <w:szCs w:val="18"/>
                    </w:rPr>
                  </w:pPr>
                  <w:r>
                    <w:rPr>
                      <w:bCs/>
                      <w:color w:val="auto"/>
                      <w:sz w:val="18"/>
                      <w:szCs w:val="18"/>
                    </w:rPr>
                    <w:t>＜0.05</w:t>
                  </w:r>
                </w:p>
              </w:tc>
              <w:tc>
                <w:tcPr>
                  <w:tcW w:w="374" w:type="pct"/>
                  <w:tcBorders>
                    <w:right w:val="single" w:color="auto" w:sz="4" w:space="0"/>
                    <w:tl2br w:val="nil"/>
                    <w:tr2bl w:val="nil"/>
                  </w:tcBorders>
                  <w:vAlign w:val="center"/>
                </w:tcPr>
                <w:p>
                  <w:pPr>
                    <w:rPr>
                      <w:bCs/>
                      <w:color w:val="auto"/>
                      <w:sz w:val="18"/>
                      <w:szCs w:val="18"/>
                    </w:rPr>
                  </w:pPr>
                  <w:r>
                    <w:rPr>
                      <w:bCs/>
                      <w:color w:val="auto"/>
                      <w:sz w:val="18"/>
                      <w:szCs w:val="18"/>
                    </w:rPr>
                    <w:t>＜0.05</w:t>
                  </w:r>
                </w:p>
              </w:tc>
              <w:tc>
                <w:tcPr>
                  <w:tcW w:w="356" w:type="pct"/>
                  <w:tcBorders>
                    <w:left w:val="single" w:color="auto" w:sz="4" w:space="0"/>
                    <w:tl2br w:val="nil"/>
                    <w:tr2bl w:val="nil"/>
                  </w:tcBorders>
                  <w:vAlign w:val="center"/>
                </w:tcPr>
                <w:p>
                  <w:pPr>
                    <w:rPr>
                      <w:bCs/>
                      <w:color w:val="auto"/>
                      <w:sz w:val="18"/>
                      <w:szCs w:val="18"/>
                    </w:rPr>
                  </w:pPr>
                  <w:r>
                    <w:rPr>
                      <w:bCs/>
                      <w:color w:val="auto"/>
                      <w:sz w:val="18"/>
                      <w:szCs w:val="18"/>
                    </w:rPr>
                    <w:t>＜0.05</w:t>
                  </w:r>
                </w:p>
              </w:tc>
              <w:tc>
                <w:tcPr>
                  <w:tcW w:w="279" w:type="pct"/>
                  <w:tcBorders>
                    <w:left w:val="single" w:color="auto" w:sz="4" w:space="0"/>
                    <w:tl2br w:val="nil"/>
                    <w:tr2bl w:val="nil"/>
                  </w:tcBorders>
                  <w:vAlign w:val="center"/>
                </w:tcPr>
                <w:p>
                  <w:pPr>
                    <w:jc w:val="center"/>
                    <w:rPr>
                      <w:bCs/>
                      <w:color w:val="auto"/>
                      <w:sz w:val="18"/>
                      <w:szCs w:val="18"/>
                    </w:rPr>
                  </w:pPr>
                  <w:r>
                    <w:rPr>
                      <w:rFonts w:hint="eastAsia"/>
                      <w:bCs/>
                      <w:color w:val="auto"/>
                      <w:sz w:val="18"/>
                      <w:szCs w:val="18"/>
                    </w:rPr>
                    <w:t>0.5</w:t>
                  </w:r>
                </w:p>
              </w:tc>
              <w:tc>
                <w:tcPr>
                  <w:tcW w:w="288" w:type="pct"/>
                  <w:tcBorders>
                    <w:left w:val="single" w:color="auto" w:sz="4" w:space="0"/>
                    <w:tl2br w:val="nil"/>
                    <w:tr2bl w:val="nil"/>
                  </w:tcBorders>
                  <w:vAlign w:val="center"/>
                </w:tcPr>
                <w:p>
                  <w:pPr>
                    <w:jc w:val="center"/>
                    <w:rPr>
                      <w:bCs/>
                      <w:color w:val="auto"/>
                      <w:sz w:val="18"/>
                      <w:szCs w:val="18"/>
                    </w:rPr>
                  </w:pPr>
                  <w:r>
                    <w:rPr>
                      <w:bCs/>
                      <w:color w:val="auto"/>
                      <w:sz w:val="18"/>
                      <w:szCs w:val="18"/>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26" w:hRule="atLeast"/>
                <w:jc w:val="center"/>
              </w:trPr>
              <w:tc>
                <w:tcPr>
                  <w:tcW w:w="178" w:type="pct"/>
                  <w:vMerge w:val="continue"/>
                  <w:tcBorders>
                    <w:tl2br w:val="nil"/>
                    <w:tr2bl w:val="nil"/>
                  </w:tcBorders>
                  <w:vAlign w:val="center"/>
                </w:tcPr>
                <w:p>
                  <w:pPr>
                    <w:widowControl/>
                    <w:ind w:firstLine="420"/>
                    <w:jc w:val="center"/>
                    <w:rPr>
                      <w:bCs/>
                      <w:color w:val="auto"/>
                      <w:kern w:val="0"/>
                      <w:sz w:val="18"/>
                      <w:szCs w:val="18"/>
                    </w:rPr>
                  </w:pPr>
                </w:p>
              </w:tc>
              <w:tc>
                <w:tcPr>
                  <w:tcW w:w="566" w:type="pct"/>
                  <w:tcBorders>
                    <w:tl2br w:val="nil"/>
                    <w:tr2bl w:val="nil"/>
                  </w:tcBorders>
                  <w:vAlign w:val="center"/>
                </w:tcPr>
                <w:p>
                  <w:pPr>
                    <w:widowControl/>
                    <w:jc w:val="center"/>
                    <w:rPr>
                      <w:bCs/>
                      <w:color w:val="auto"/>
                      <w:kern w:val="0"/>
                      <w:sz w:val="18"/>
                      <w:szCs w:val="18"/>
                    </w:rPr>
                  </w:pPr>
                  <w:r>
                    <w:rPr>
                      <w:rFonts w:hint="eastAsia"/>
                      <w:color w:val="auto"/>
                      <w:sz w:val="18"/>
                      <w:szCs w:val="18"/>
                    </w:rPr>
                    <w:t>氨氮</w:t>
                  </w:r>
                </w:p>
              </w:tc>
              <w:tc>
                <w:tcPr>
                  <w:tcW w:w="388" w:type="pct"/>
                  <w:tcBorders>
                    <w:tl2br w:val="nil"/>
                    <w:tr2bl w:val="nil"/>
                  </w:tcBorders>
                  <w:vAlign w:val="center"/>
                </w:tcPr>
                <w:p>
                  <w:pPr>
                    <w:jc w:val="center"/>
                    <w:rPr>
                      <w:bCs/>
                      <w:color w:val="auto"/>
                      <w:sz w:val="18"/>
                      <w:szCs w:val="18"/>
                    </w:rPr>
                  </w:pPr>
                  <w:r>
                    <w:rPr>
                      <w:rFonts w:hint="eastAsia"/>
                      <w:bCs/>
                      <w:color w:val="auto"/>
                      <w:sz w:val="18"/>
                      <w:szCs w:val="18"/>
                    </w:rPr>
                    <w:t>2.46</w:t>
                  </w:r>
                </w:p>
              </w:tc>
              <w:tc>
                <w:tcPr>
                  <w:tcW w:w="374" w:type="pct"/>
                  <w:tcBorders>
                    <w:tl2br w:val="nil"/>
                    <w:tr2bl w:val="nil"/>
                  </w:tcBorders>
                  <w:vAlign w:val="center"/>
                </w:tcPr>
                <w:p>
                  <w:pPr>
                    <w:jc w:val="center"/>
                    <w:rPr>
                      <w:bCs/>
                      <w:color w:val="auto"/>
                      <w:sz w:val="18"/>
                      <w:szCs w:val="18"/>
                    </w:rPr>
                  </w:pPr>
                  <w:r>
                    <w:rPr>
                      <w:rFonts w:hint="eastAsia"/>
                      <w:bCs/>
                      <w:color w:val="auto"/>
                      <w:sz w:val="18"/>
                      <w:szCs w:val="18"/>
                    </w:rPr>
                    <w:t>2.70</w:t>
                  </w:r>
                </w:p>
              </w:tc>
              <w:tc>
                <w:tcPr>
                  <w:tcW w:w="338" w:type="pct"/>
                  <w:tcBorders>
                    <w:tl2br w:val="nil"/>
                    <w:tr2bl w:val="nil"/>
                  </w:tcBorders>
                  <w:vAlign w:val="center"/>
                </w:tcPr>
                <w:p>
                  <w:pPr>
                    <w:jc w:val="center"/>
                    <w:rPr>
                      <w:bCs/>
                      <w:color w:val="auto"/>
                      <w:sz w:val="18"/>
                      <w:szCs w:val="18"/>
                    </w:rPr>
                  </w:pPr>
                  <w:r>
                    <w:rPr>
                      <w:rFonts w:hint="eastAsia"/>
                      <w:bCs/>
                      <w:color w:val="auto"/>
                      <w:sz w:val="18"/>
                      <w:szCs w:val="18"/>
                    </w:rPr>
                    <w:t>2.57</w:t>
                  </w:r>
                </w:p>
              </w:tc>
              <w:tc>
                <w:tcPr>
                  <w:tcW w:w="367" w:type="pct"/>
                  <w:tcBorders>
                    <w:right w:val="single" w:color="auto" w:sz="4" w:space="0"/>
                    <w:tl2br w:val="nil"/>
                    <w:tr2bl w:val="nil"/>
                  </w:tcBorders>
                  <w:vAlign w:val="center"/>
                </w:tcPr>
                <w:p>
                  <w:pPr>
                    <w:jc w:val="center"/>
                    <w:rPr>
                      <w:bCs/>
                      <w:color w:val="auto"/>
                      <w:sz w:val="18"/>
                      <w:szCs w:val="18"/>
                    </w:rPr>
                  </w:pPr>
                  <w:r>
                    <w:rPr>
                      <w:rFonts w:hint="eastAsia"/>
                      <w:bCs/>
                      <w:color w:val="auto"/>
                      <w:sz w:val="18"/>
                      <w:szCs w:val="18"/>
                    </w:rPr>
                    <w:t>3.02</w:t>
                  </w:r>
                </w:p>
              </w:tc>
              <w:tc>
                <w:tcPr>
                  <w:tcW w:w="379" w:type="pct"/>
                  <w:tcBorders>
                    <w:left w:val="single" w:color="auto" w:sz="4" w:space="0"/>
                    <w:tl2br w:val="nil"/>
                    <w:tr2bl w:val="nil"/>
                  </w:tcBorders>
                  <w:vAlign w:val="center"/>
                </w:tcPr>
                <w:p>
                  <w:pPr>
                    <w:jc w:val="center"/>
                    <w:rPr>
                      <w:bCs/>
                      <w:color w:val="auto"/>
                      <w:sz w:val="18"/>
                      <w:szCs w:val="18"/>
                    </w:rPr>
                  </w:pPr>
                  <w:r>
                    <w:rPr>
                      <w:rFonts w:hint="eastAsia"/>
                      <w:bCs/>
                      <w:color w:val="auto"/>
                      <w:sz w:val="18"/>
                      <w:szCs w:val="18"/>
                    </w:rPr>
                    <w:t>2.69</w:t>
                  </w:r>
                </w:p>
              </w:tc>
              <w:tc>
                <w:tcPr>
                  <w:tcW w:w="359" w:type="pct"/>
                  <w:tcBorders>
                    <w:tl2br w:val="nil"/>
                    <w:tr2bl w:val="nil"/>
                  </w:tcBorders>
                  <w:vAlign w:val="center"/>
                </w:tcPr>
                <w:p>
                  <w:pPr>
                    <w:jc w:val="center"/>
                    <w:rPr>
                      <w:bCs/>
                      <w:color w:val="auto"/>
                      <w:sz w:val="18"/>
                      <w:szCs w:val="18"/>
                    </w:rPr>
                  </w:pPr>
                  <w:r>
                    <w:rPr>
                      <w:rFonts w:hint="eastAsia"/>
                      <w:bCs/>
                      <w:color w:val="auto"/>
                      <w:sz w:val="18"/>
                      <w:szCs w:val="18"/>
                    </w:rPr>
                    <w:t>2.76</w:t>
                  </w:r>
                </w:p>
              </w:tc>
              <w:tc>
                <w:tcPr>
                  <w:tcW w:w="365" w:type="pct"/>
                  <w:tcBorders>
                    <w:tl2br w:val="nil"/>
                    <w:tr2bl w:val="nil"/>
                  </w:tcBorders>
                  <w:vAlign w:val="center"/>
                </w:tcPr>
                <w:p>
                  <w:pPr>
                    <w:jc w:val="center"/>
                    <w:rPr>
                      <w:bCs/>
                      <w:color w:val="auto"/>
                      <w:sz w:val="18"/>
                      <w:szCs w:val="18"/>
                    </w:rPr>
                  </w:pPr>
                  <w:r>
                    <w:rPr>
                      <w:rFonts w:hint="eastAsia"/>
                      <w:bCs/>
                      <w:color w:val="auto"/>
                      <w:sz w:val="18"/>
                      <w:szCs w:val="18"/>
                    </w:rPr>
                    <w:t>2.75</w:t>
                  </w:r>
                </w:p>
              </w:tc>
              <w:tc>
                <w:tcPr>
                  <w:tcW w:w="382" w:type="pct"/>
                  <w:tcBorders>
                    <w:tl2br w:val="nil"/>
                    <w:tr2bl w:val="nil"/>
                  </w:tcBorders>
                  <w:vAlign w:val="center"/>
                </w:tcPr>
                <w:p>
                  <w:pPr>
                    <w:jc w:val="center"/>
                    <w:rPr>
                      <w:bCs/>
                      <w:color w:val="auto"/>
                      <w:sz w:val="18"/>
                      <w:szCs w:val="18"/>
                    </w:rPr>
                  </w:pPr>
                  <w:r>
                    <w:rPr>
                      <w:rFonts w:hint="eastAsia"/>
                      <w:bCs/>
                      <w:color w:val="auto"/>
                      <w:sz w:val="18"/>
                      <w:szCs w:val="18"/>
                    </w:rPr>
                    <w:t>2.41</w:t>
                  </w:r>
                </w:p>
              </w:tc>
              <w:tc>
                <w:tcPr>
                  <w:tcW w:w="374" w:type="pct"/>
                  <w:tcBorders>
                    <w:right w:val="single" w:color="auto" w:sz="4" w:space="0"/>
                    <w:tl2br w:val="nil"/>
                    <w:tr2bl w:val="nil"/>
                  </w:tcBorders>
                  <w:vAlign w:val="center"/>
                </w:tcPr>
                <w:p>
                  <w:pPr>
                    <w:jc w:val="center"/>
                    <w:rPr>
                      <w:bCs/>
                      <w:color w:val="auto"/>
                      <w:sz w:val="18"/>
                      <w:szCs w:val="18"/>
                    </w:rPr>
                  </w:pPr>
                  <w:r>
                    <w:rPr>
                      <w:rFonts w:hint="eastAsia"/>
                      <w:bCs/>
                      <w:color w:val="auto"/>
                      <w:sz w:val="18"/>
                      <w:szCs w:val="18"/>
                    </w:rPr>
                    <w:t>2.83</w:t>
                  </w:r>
                </w:p>
              </w:tc>
              <w:tc>
                <w:tcPr>
                  <w:tcW w:w="356" w:type="pct"/>
                  <w:tcBorders>
                    <w:left w:val="single" w:color="auto" w:sz="4" w:space="0"/>
                    <w:tl2br w:val="nil"/>
                    <w:tr2bl w:val="nil"/>
                  </w:tcBorders>
                  <w:vAlign w:val="center"/>
                </w:tcPr>
                <w:p>
                  <w:pPr>
                    <w:jc w:val="center"/>
                    <w:rPr>
                      <w:bCs/>
                      <w:color w:val="auto"/>
                      <w:sz w:val="18"/>
                      <w:szCs w:val="18"/>
                    </w:rPr>
                  </w:pPr>
                  <w:r>
                    <w:rPr>
                      <w:rFonts w:hint="eastAsia"/>
                      <w:bCs/>
                      <w:color w:val="auto"/>
                      <w:sz w:val="18"/>
                      <w:szCs w:val="18"/>
                    </w:rPr>
                    <w:t>2.69</w:t>
                  </w:r>
                </w:p>
              </w:tc>
              <w:tc>
                <w:tcPr>
                  <w:tcW w:w="279" w:type="pct"/>
                  <w:tcBorders>
                    <w:left w:val="single" w:color="auto" w:sz="4" w:space="0"/>
                    <w:tl2br w:val="nil"/>
                    <w:tr2bl w:val="nil"/>
                  </w:tcBorders>
                  <w:vAlign w:val="center"/>
                </w:tcPr>
                <w:p>
                  <w:pPr>
                    <w:jc w:val="center"/>
                    <w:rPr>
                      <w:bCs/>
                      <w:color w:val="auto"/>
                      <w:sz w:val="18"/>
                      <w:szCs w:val="18"/>
                    </w:rPr>
                  </w:pPr>
                  <w:r>
                    <w:rPr>
                      <w:rFonts w:hint="eastAsia"/>
                      <w:bCs/>
                      <w:color w:val="auto"/>
                      <w:sz w:val="18"/>
                      <w:szCs w:val="18"/>
                    </w:rPr>
                    <w:t>8</w:t>
                  </w:r>
                </w:p>
              </w:tc>
              <w:tc>
                <w:tcPr>
                  <w:tcW w:w="288" w:type="pct"/>
                  <w:tcBorders>
                    <w:left w:val="single" w:color="auto" w:sz="4" w:space="0"/>
                    <w:tl2br w:val="nil"/>
                    <w:tr2bl w:val="nil"/>
                  </w:tcBorders>
                  <w:vAlign w:val="center"/>
                </w:tcPr>
                <w:p>
                  <w:pPr>
                    <w:jc w:val="center"/>
                    <w:rPr>
                      <w:bCs/>
                      <w:color w:val="auto"/>
                      <w:sz w:val="18"/>
                      <w:szCs w:val="18"/>
                    </w:rPr>
                  </w:pPr>
                  <w:r>
                    <w:rPr>
                      <w:bCs/>
                      <w:color w:val="auto"/>
                      <w:sz w:val="18"/>
                      <w:szCs w:val="18"/>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26" w:hRule="atLeast"/>
                <w:jc w:val="center"/>
              </w:trPr>
              <w:tc>
                <w:tcPr>
                  <w:tcW w:w="178" w:type="pct"/>
                  <w:vMerge w:val="continue"/>
                  <w:tcBorders>
                    <w:tl2br w:val="nil"/>
                    <w:tr2bl w:val="nil"/>
                  </w:tcBorders>
                  <w:vAlign w:val="center"/>
                </w:tcPr>
                <w:p>
                  <w:pPr>
                    <w:widowControl/>
                    <w:ind w:firstLine="420"/>
                    <w:jc w:val="center"/>
                    <w:rPr>
                      <w:bCs/>
                      <w:color w:val="auto"/>
                      <w:kern w:val="0"/>
                      <w:sz w:val="18"/>
                      <w:szCs w:val="18"/>
                    </w:rPr>
                  </w:pPr>
                </w:p>
              </w:tc>
              <w:tc>
                <w:tcPr>
                  <w:tcW w:w="566" w:type="pct"/>
                  <w:tcBorders>
                    <w:tl2br w:val="nil"/>
                    <w:tr2bl w:val="nil"/>
                  </w:tcBorders>
                  <w:vAlign w:val="center"/>
                </w:tcPr>
                <w:p>
                  <w:pPr>
                    <w:widowControl/>
                    <w:jc w:val="center"/>
                    <w:rPr>
                      <w:bCs/>
                      <w:color w:val="auto"/>
                      <w:kern w:val="0"/>
                      <w:sz w:val="18"/>
                      <w:szCs w:val="18"/>
                    </w:rPr>
                  </w:pPr>
                  <w:r>
                    <w:rPr>
                      <w:rFonts w:hint="eastAsia"/>
                      <w:color w:val="auto"/>
                      <w:sz w:val="18"/>
                      <w:szCs w:val="18"/>
                    </w:rPr>
                    <w:t>溶解氧</w:t>
                  </w:r>
                </w:p>
              </w:tc>
              <w:tc>
                <w:tcPr>
                  <w:tcW w:w="388" w:type="pct"/>
                  <w:tcBorders>
                    <w:tl2br w:val="nil"/>
                    <w:tr2bl w:val="nil"/>
                  </w:tcBorders>
                  <w:vAlign w:val="center"/>
                </w:tcPr>
                <w:p>
                  <w:pPr>
                    <w:jc w:val="center"/>
                    <w:rPr>
                      <w:bCs/>
                      <w:color w:val="auto"/>
                      <w:sz w:val="18"/>
                      <w:szCs w:val="18"/>
                    </w:rPr>
                  </w:pPr>
                  <w:r>
                    <w:rPr>
                      <w:rFonts w:hint="eastAsia"/>
                      <w:bCs/>
                      <w:color w:val="auto"/>
                      <w:sz w:val="18"/>
                      <w:szCs w:val="18"/>
                    </w:rPr>
                    <w:t>0.89</w:t>
                  </w:r>
                </w:p>
              </w:tc>
              <w:tc>
                <w:tcPr>
                  <w:tcW w:w="374" w:type="pct"/>
                  <w:tcBorders>
                    <w:tl2br w:val="nil"/>
                    <w:tr2bl w:val="nil"/>
                  </w:tcBorders>
                  <w:vAlign w:val="center"/>
                </w:tcPr>
                <w:p>
                  <w:pPr>
                    <w:jc w:val="center"/>
                    <w:rPr>
                      <w:bCs/>
                      <w:color w:val="auto"/>
                      <w:sz w:val="18"/>
                      <w:szCs w:val="18"/>
                    </w:rPr>
                  </w:pPr>
                  <w:r>
                    <w:rPr>
                      <w:rFonts w:hint="eastAsia"/>
                      <w:bCs/>
                      <w:color w:val="auto"/>
                      <w:sz w:val="18"/>
                      <w:szCs w:val="18"/>
                    </w:rPr>
                    <w:t>0.91</w:t>
                  </w:r>
                </w:p>
              </w:tc>
              <w:tc>
                <w:tcPr>
                  <w:tcW w:w="338" w:type="pct"/>
                  <w:tcBorders>
                    <w:tl2br w:val="nil"/>
                    <w:tr2bl w:val="nil"/>
                  </w:tcBorders>
                  <w:vAlign w:val="center"/>
                </w:tcPr>
                <w:p>
                  <w:pPr>
                    <w:jc w:val="center"/>
                    <w:rPr>
                      <w:bCs/>
                      <w:color w:val="auto"/>
                      <w:sz w:val="18"/>
                      <w:szCs w:val="18"/>
                    </w:rPr>
                  </w:pPr>
                  <w:r>
                    <w:rPr>
                      <w:rFonts w:hint="eastAsia"/>
                      <w:bCs/>
                      <w:color w:val="auto"/>
                      <w:sz w:val="18"/>
                      <w:szCs w:val="18"/>
                    </w:rPr>
                    <w:t>0.92</w:t>
                  </w:r>
                </w:p>
              </w:tc>
              <w:tc>
                <w:tcPr>
                  <w:tcW w:w="367" w:type="pct"/>
                  <w:tcBorders>
                    <w:right w:val="single" w:color="auto" w:sz="4" w:space="0"/>
                    <w:tl2br w:val="nil"/>
                    <w:tr2bl w:val="nil"/>
                  </w:tcBorders>
                  <w:vAlign w:val="center"/>
                </w:tcPr>
                <w:p>
                  <w:pPr>
                    <w:jc w:val="center"/>
                    <w:rPr>
                      <w:bCs/>
                      <w:color w:val="auto"/>
                      <w:sz w:val="18"/>
                      <w:szCs w:val="18"/>
                    </w:rPr>
                  </w:pPr>
                  <w:r>
                    <w:rPr>
                      <w:rFonts w:hint="eastAsia"/>
                      <w:bCs/>
                      <w:color w:val="auto"/>
                      <w:sz w:val="18"/>
                      <w:szCs w:val="18"/>
                    </w:rPr>
                    <w:t>0.94</w:t>
                  </w:r>
                </w:p>
              </w:tc>
              <w:tc>
                <w:tcPr>
                  <w:tcW w:w="379" w:type="pct"/>
                  <w:tcBorders>
                    <w:left w:val="single" w:color="auto" w:sz="4" w:space="0"/>
                    <w:tl2br w:val="nil"/>
                    <w:tr2bl w:val="nil"/>
                  </w:tcBorders>
                  <w:vAlign w:val="center"/>
                </w:tcPr>
                <w:p>
                  <w:pPr>
                    <w:jc w:val="center"/>
                    <w:rPr>
                      <w:bCs/>
                      <w:color w:val="auto"/>
                      <w:sz w:val="18"/>
                      <w:szCs w:val="18"/>
                    </w:rPr>
                  </w:pPr>
                  <w:r>
                    <w:rPr>
                      <w:rFonts w:hint="eastAsia"/>
                      <w:bCs/>
                      <w:color w:val="auto"/>
                      <w:sz w:val="18"/>
                      <w:szCs w:val="18"/>
                    </w:rPr>
                    <w:t>0.92</w:t>
                  </w:r>
                </w:p>
              </w:tc>
              <w:tc>
                <w:tcPr>
                  <w:tcW w:w="359" w:type="pct"/>
                  <w:tcBorders>
                    <w:tl2br w:val="nil"/>
                    <w:tr2bl w:val="nil"/>
                  </w:tcBorders>
                  <w:vAlign w:val="center"/>
                </w:tcPr>
                <w:p>
                  <w:pPr>
                    <w:jc w:val="center"/>
                    <w:rPr>
                      <w:bCs/>
                      <w:color w:val="auto"/>
                      <w:sz w:val="18"/>
                      <w:szCs w:val="18"/>
                    </w:rPr>
                  </w:pPr>
                  <w:r>
                    <w:rPr>
                      <w:rFonts w:hint="eastAsia"/>
                      <w:bCs/>
                      <w:color w:val="auto"/>
                      <w:sz w:val="18"/>
                      <w:szCs w:val="18"/>
                    </w:rPr>
                    <w:t>0.91</w:t>
                  </w:r>
                </w:p>
              </w:tc>
              <w:tc>
                <w:tcPr>
                  <w:tcW w:w="365" w:type="pct"/>
                  <w:tcBorders>
                    <w:tl2br w:val="nil"/>
                    <w:tr2bl w:val="nil"/>
                  </w:tcBorders>
                  <w:vAlign w:val="center"/>
                </w:tcPr>
                <w:p>
                  <w:pPr>
                    <w:jc w:val="center"/>
                    <w:rPr>
                      <w:bCs/>
                      <w:color w:val="auto"/>
                      <w:sz w:val="18"/>
                      <w:szCs w:val="18"/>
                    </w:rPr>
                  </w:pPr>
                  <w:r>
                    <w:rPr>
                      <w:rFonts w:hint="eastAsia"/>
                      <w:bCs/>
                      <w:color w:val="auto"/>
                      <w:sz w:val="18"/>
                      <w:szCs w:val="18"/>
                    </w:rPr>
                    <w:t>0.93</w:t>
                  </w:r>
                </w:p>
              </w:tc>
              <w:tc>
                <w:tcPr>
                  <w:tcW w:w="382" w:type="pct"/>
                  <w:tcBorders>
                    <w:tl2br w:val="nil"/>
                    <w:tr2bl w:val="nil"/>
                  </w:tcBorders>
                  <w:vAlign w:val="center"/>
                </w:tcPr>
                <w:p>
                  <w:pPr>
                    <w:jc w:val="center"/>
                    <w:rPr>
                      <w:bCs/>
                      <w:color w:val="auto"/>
                      <w:sz w:val="18"/>
                      <w:szCs w:val="18"/>
                    </w:rPr>
                  </w:pPr>
                  <w:r>
                    <w:rPr>
                      <w:rFonts w:hint="eastAsia"/>
                      <w:bCs/>
                      <w:color w:val="auto"/>
                      <w:sz w:val="18"/>
                      <w:szCs w:val="18"/>
                    </w:rPr>
                    <w:t>0.94</w:t>
                  </w:r>
                </w:p>
              </w:tc>
              <w:tc>
                <w:tcPr>
                  <w:tcW w:w="374" w:type="pct"/>
                  <w:tcBorders>
                    <w:right w:val="single" w:color="auto" w:sz="4" w:space="0"/>
                    <w:tl2br w:val="nil"/>
                    <w:tr2bl w:val="nil"/>
                  </w:tcBorders>
                  <w:vAlign w:val="center"/>
                </w:tcPr>
                <w:p>
                  <w:pPr>
                    <w:jc w:val="center"/>
                    <w:rPr>
                      <w:bCs/>
                      <w:color w:val="auto"/>
                      <w:sz w:val="18"/>
                      <w:szCs w:val="18"/>
                    </w:rPr>
                  </w:pPr>
                  <w:r>
                    <w:rPr>
                      <w:rFonts w:hint="eastAsia"/>
                      <w:bCs/>
                      <w:color w:val="auto"/>
                      <w:sz w:val="18"/>
                      <w:szCs w:val="18"/>
                    </w:rPr>
                    <w:t>0.95</w:t>
                  </w:r>
                </w:p>
              </w:tc>
              <w:tc>
                <w:tcPr>
                  <w:tcW w:w="356" w:type="pct"/>
                  <w:tcBorders>
                    <w:left w:val="single" w:color="auto" w:sz="4" w:space="0"/>
                    <w:tl2br w:val="nil"/>
                    <w:tr2bl w:val="nil"/>
                  </w:tcBorders>
                  <w:vAlign w:val="center"/>
                </w:tcPr>
                <w:p>
                  <w:pPr>
                    <w:jc w:val="center"/>
                    <w:rPr>
                      <w:bCs/>
                      <w:color w:val="auto"/>
                      <w:sz w:val="18"/>
                      <w:szCs w:val="18"/>
                    </w:rPr>
                  </w:pPr>
                  <w:r>
                    <w:rPr>
                      <w:rFonts w:hint="eastAsia"/>
                      <w:bCs/>
                      <w:color w:val="auto"/>
                      <w:sz w:val="18"/>
                      <w:szCs w:val="18"/>
                    </w:rPr>
                    <w:t>0.93</w:t>
                  </w:r>
                </w:p>
              </w:tc>
              <w:tc>
                <w:tcPr>
                  <w:tcW w:w="279" w:type="pct"/>
                  <w:tcBorders>
                    <w:left w:val="single" w:color="auto" w:sz="4" w:space="0"/>
                    <w:tl2br w:val="nil"/>
                    <w:tr2bl w:val="nil"/>
                  </w:tcBorders>
                  <w:vAlign w:val="center"/>
                </w:tcPr>
                <w:p>
                  <w:pPr>
                    <w:jc w:val="center"/>
                    <w:rPr>
                      <w:bCs/>
                      <w:color w:val="auto"/>
                      <w:sz w:val="18"/>
                      <w:szCs w:val="18"/>
                    </w:rPr>
                  </w:pPr>
                  <w:r>
                    <w:rPr>
                      <w:rFonts w:hint="eastAsia"/>
                      <w:bCs/>
                      <w:color w:val="auto"/>
                      <w:sz w:val="18"/>
                      <w:szCs w:val="18"/>
                    </w:rPr>
                    <w:t>2.0</w:t>
                  </w:r>
                </w:p>
              </w:tc>
              <w:tc>
                <w:tcPr>
                  <w:tcW w:w="288" w:type="pct"/>
                  <w:tcBorders>
                    <w:left w:val="single" w:color="auto" w:sz="4" w:space="0"/>
                    <w:tl2br w:val="nil"/>
                    <w:tr2bl w:val="nil"/>
                  </w:tcBorders>
                  <w:vAlign w:val="center"/>
                </w:tcPr>
                <w:p>
                  <w:pPr>
                    <w:jc w:val="center"/>
                    <w:rPr>
                      <w:bCs/>
                      <w:color w:val="auto"/>
                      <w:sz w:val="18"/>
                      <w:szCs w:val="18"/>
                    </w:rPr>
                  </w:pPr>
                  <w:r>
                    <w:rPr>
                      <w:bCs/>
                      <w:color w:val="auto"/>
                      <w:sz w:val="18"/>
                      <w:szCs w:val="18"/>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26" w:hRule="atLeast"/>
                <w:jc w:val="center"/>
              </w:trPr>
              <w:tc>
                <w:tcPr>
                  <w:tcW w:w="178" w:type="pct"/>
                  <w:vMerge w:val="continue"/>
                  <w:tcBorders>
                    <w:tl2br w:val="nil"/>
                    <w:tr2bl w:val="nil"/>
                  </w:tcBorders>
                  <w:vAlign w:val="center"/>
                </w:tcPr>
                <w:p>
                  <w:pPr>
                    <w:widowControl/>
                    <w:ind w:firstLine="420"/>
                    <w:jc w:val="center"/>
                    <w:rPr>
                      <w:bCs/>
                      <w:color w:val="auto"/>
                      <w:kern w:val="0"/>
                      <w:sz w:val="18"/>
                      <w:szCs w:val="18"/>
                    </w:rPr>
                  </w:pPr>
                </w:p>
              </w:tc>
              <w:tc>
                <w:tcPr>
                  <w:tcW w:w="566" w:type="pct"/>
                  <w:tcBorders>
                    <w:tl2br w:val="nil"/>
                    <w:tr2bl w:val="nil"/>
                  </w:tcBorders>
                  <w:vAlign w:val="center"/>
                </w:tcPr>
                <w:p>
                  <w:pPr>
                    <w:widowControl/>
                    <w:jc w:val="center"/>
                    <w:rPr>
                      <w:color w:val="auto"/>
                      <w:sz w:val="18"/>
                      <w:szCs w:val="18"/>
                    </w:rPr>
                  </w:pPr>
                  <w:r>
                    <w:rPr>
                      <w:rFonts w:hint="eastAsia"/>
                      <w:color w:val="auto"/>
                      <w:sz w:val="18"/>
                      <w:szCs w:val="18"/>
                    </w:rPr>
                    <w:t>大肠埃希氏菌群</w:t>
                  </w:r>
                  <w:r>
                    <w:rPr>
                      <w:color w:val="auto"/>
                      <w:sz w:val="18"/>
                      <w:szCs w:val="18"/>
                    </w:rPr>
                    <w:t>（MPN/L）</w:t>
                  </w:r>
                </w:p>
              </w:tc>
              <w:tc>
                <w:tcPr>
                  <w:tcW w:w="388" w:type="pct"/>
                  <w:tcBorders>
                    <w:tl2br w:val="nil"/>
                    <w:tr2bl w:val="nil"/>
                  </w:tcBorders>
                  <w:vAlign w:val="center"/>
                </w:tcPr>
                <w:p>
                  <w:pPr>
                    <w:jc w:val="center"/>
                    <w:rPr>
                      <w:bCs/>
                      <w:color w:val="auto"/>
                      <w:sz w:val="15"/>
                      <w:szCs w:val="15"/>
                    </w:rPr>
                  </w:pPr>
                  <w:r>
                    <w:rPr>
                      <w:rFonts w:hint="eastAsia"/>
                      <w:bCs/>
                      <w:color w:val="auto"/>
                      <w:sz w:val="15"/>
                      <w:szCs w:val="15"/>
                    </w:rPr>
                    <w:t>未检出</w:t>
                  </w:r>
                </w:p>
              </w:tc>
              <w:tc>
                <w:tcPr>
                  <w:tcW w:w="374" w:type="pct"/>
                  <w:tcBorders>
                    <w:tl2br w:val="nil"/>
                    <w:tr2bl w:val="nil"/>
                  </w:tcBorders>
                  <w:vAlign w:val="center"/>
                </w:tcPr>
                <w:p>
                  <w:pPr>
                    <w:jc w:val="center"/>
                    <w:rPr>
                      <w:bCs/>
                      <w:color w:val="auto"/>
                      <w:sz w:val="15"/>
                      <w:szCs w:val="15"/>
                    </w:rPr>
                  </w:pPr>
                  <w:r>
                    <w:rPr>
                      <w:rFonts w:hint="eastAsia"/>
                      <w:bCs/>
                      <w:color w:val="auto"/>
                      <w:sz w:val="15"/>
                      <w:szCs w:val="15"/>
                    </w:rPr>
                    <w:t>未检出</w:t>
                  </w:r>
                </w:p>
              </w:tc>
              <w:tc>
                <w:tcPr>
                  <w:tcW w:w="338" w:type="pct"/>
                  <w:tcBorders>
                    <w:tl2br w:val="nil"/>
                    <w:tr2bl w:val="nil"/>
                  </w:tcBorders>
                  <w:vAlign w:val="center"/>
                </w:tcPr>
                <w:p>
                  <w:pPr>
                    <w:jc w:val="center"/>
                    <w:rPr>
                      <w:bCs/>
                      <w:color w:val="auto"/>
                      <w:sz w:val="15"/>
                      <w:szCs w:val="15"/>
                    </w:rPr>
                  </w:pPr>
                  <w:r>
                    <w:rPr>
                      <w:rFonts w:hint="eastAsia"/>
                      <w:bCs/>
                      <w:color w:val="auto"/>
                      <w:sz w:val="15"/>
                      <w:szCs w:val="15"/>
                    </w:rPr>
                    <w:t>未检出</w:t>
                  </w:r>
                </w:p>
              </w:tc>
              <w:tc>
                <w:tcPr>
                  <w:tcW w:w="367" w:type="pct"/>
                  <w:tcBorders>
                    <w:right w:val="single" w:color="auto" w:sz="4" w:space="0"/>
                    <w:tl2br w:val="nil"/>
                    <w:tr2bl w:val="nil"/>
                  </w:tcBorders>
                  <w:vAlign w:val="center"/>
                </w:tcPr>
                <w:p>
                  <w:pPr>
                    <w:jc w:val="center"/>
                    <w:rPr>
                      <w:bCs/>
                      <w:color w:val="auto"/>
                      <w:sz w:val="15"/>
                      <w:szCs w:val="15"/>
                    </w:rPr>
                  </w:pPr>
                  <w:r>
                    <w:rPr>
                      <w:rFonts w:hint="eastAsia"/>
                      <w:bCs/>
                      <w:color w:val="auto"/>
                      <w:sz w:val="15"/>
                      <w:szCs w:val="15"/>
                    </w:rPr>
                    <w:t>未检出</w:t>
                  </w:r>
                </w:p>
              </w:tc>
              <w:tc>
                <w:tcPr>
                  <w:tcW w:w="379" w:type="pct"/>
                  <w:tcBorders>
                    <w:left w:val="single" w:color="auto" w:sz="4" w:space="0"/>
                    <w:tl2br w:val="nil"/>
                    <w:tr2bl w:val="nil"/>
                  </w:tcBorders>
                  <w:vAlign w:val="center"/>
                </w:tcPr>
                <w:p>
                  <w:pPr>
                    <w:jc w:val="center"/>
                    <w:rPr>
                      <w:bCs/>
                      <w:color w:val="auto"/>
                      <w:sz w:val="15"/>
                      <w:szCs w:val="15"/>
                    </w:rPr>
                  </w:pPr>
                  <w:r>
                    <w:rPr>
                      <w:rFonts w:hint="eastAsia"/>
                      <w:bCs/>
                      <w:color w:val="auto"/>
                      <w:sz w:val="15"/>
                      <w:szCs w:val="15"/>
                    </w:rPr>
                    <w:t>未检出</w:t>
                  </w:r>
                </w:p>
              </w:tc>
              <w:tc>
                <w:tcPr>
                  <w:tcW w:w="359" w:type="pct"/>
                  <w:tcBorders>
                    <w:tl2br w:val="nil"/>
                    <w:tr2bl w:val="nil"/>
                  </w:tcBorders>
                  <w:vAlign w:val="center"/>
                </w:tcPr>
                <w:p>
                  <w:pPr>
                    <w:jc w:val="center"/>
                    <w:rPr>
                      <w:bCs/>
                      <w:color w:val="auto"/>
                      <w:sz w:val="15"/>
                      <w:szCs w:val="15"/>
                    </w:rPr>
                  </w:pPr>
                  <w:r>
                    <w:rPr>
                      <w:rFonts w:hint="eastAsia"/>
                      <w:bCs/>
                      <w:color w:val="auto"/>
                      <w:sz w:val="15"/>
                      <w:szCs w:val="15"/>
                    </w:rPr>
                    <w:t>未检出</w:t>
                  </w:r>
                </w:p>
              </w:tc>
              <w:tc>
                <w:tcPr>
                  <w:tcW w:w="365" w:type="pct"/>
                  <w:tcBorders>
                    <w:tl2br w:val="nil"/>
                    <w:tr2bl w:val="nil"/>
                  </w:tcBorders>
                  <w:vAlign w:val="center"/>
                </w:tcPr>
                <w:p>
                  <w:pPr>
                    <w:jc w:val="center"/>
                    <w:rPr>
                      <w:bCs/>
                      <w:color w:val="auto"/>
                      <w:sz w:val="15"/>
                      <w:szCs w:val="15"/>
                    </w:rPr>
                  </w:pPr>
                  <w:r>
                    <w:rPr>
                      <w:rFonts w:hint="eastAsia"/>
                      <w:bCs/>
                      <w:color w:val="auto"/>
                      <w:sz w:val="15"/>
                      <w:szCs w:val="15"/>
                    </w:rPr>
                    <w:t>未检出</w:t>
                  </w:r>
                </w:p>
              </w:tc>
              <w:tc>
                <w:tcPr>
                  <w:tcW w:w="382" w:type="pct"/>
                  <w:tcBorders>
                    <w:tl2br w:val="nil"/>
                    <w:tr2bl w:val="nil"/>
                  </w:tcBorders>
                  <w:vAlign w:val="center"/>
                </w:tcPr>
                <w:p>
                  <w:pPr>
                    <w:jc w:val="center"/>
                    <w:rPr>
                      <w:bCs/>
                      <w:color w:val="auto"/>
                      <w:sz w:val="15"/>
                      <w:szCs w:val="15"/>
                    </w:rPr>
                  </w:pPr>
                  <w:r>
                    <w:rPr>
                      <w:rFonts w:hint="eastAsia"/>
                      <w:bCs/>
                      <w:color w:val="auto"/>
                      <w:sz w:val="15"/>
                      <w:szCs w:val="15"/>
                    </w:rPr>
                    <w:t>未检出</w:t>
                  </w:r>
                </w:p>
              </w:tc>
              <w:tc>
                <w:tcPr>
                  <w:tcW w:w="374" w:type="pct"/>
                  <w:tcBorders>
                    <w:right w:val="single" w:color="auto" w:sz="4" w:space="0"/>
                    <w:tl2br w:val="nil"/>
                    <w:tr2bl w:val="nil"/>
                  </w:tcBorders>
                  <w:vAlign w:val="center"/>
                </w:tcPr>
                <w:p>
                  <w:pPr>
                    <w:jc w:val="center"/>
                    <w:rPr>
                      <w:bCs/>
                      <w:color w:val="auto"/>
                      <w:sz w:val="15"/>
                      <w:szCs w:val="15"/>
                    </w:rPr>
                  </w:pPr>
                  <w:r>
                    <w:rPr>
                      <w:rFonts w:hint="eastAsia"/>
                      <w:bCs/>
                      <w:color w:val="auto"/>
                      <w:sz w:val="15"/>
                      <w:szCs w:val="15"/>
                    </w:rPr>
                    <w:t>未检出</w:t>
                  </w:r>
                </w:p>
              </w:tc>
              <w:tc>
                <w:tcPr>
                  <w:tcW w:w="356" w:type="pct"/>
                  <w:tcBorders>
                    <w:left w:val="single" w:color="auto" w:sz="4" w:space="0"/>
                    <w:tl2br w:val="nil"/>
                    <w:tr2bl w:val="nil"/>
                  </w:tcBorders>
                  <w:vAlign w:val="center"/>
                </w:tcPr>
                <w:p>
                  <w:pPr>
                    <w:jc w:val="center"/>
                    <w:rPr>
                      <w:bCs/>
                      <w:color w:val="auto"/>
                      <w:sz w:val="15"/>
                      <w:szCs w:val="15"/>
                    </w:rPr>
                  </w:pPr>
                  <w:r>
                    <w:rPr>
                      <w:rFonts w:hint="eastAsia"/>
                      <w:bCs/>
                      <w:color w:val="auto"/>
                      <w:sz w:val="15"/>
                      <w:szCs w:val="15"/>
                    </w:rPr>
                    <w:t>未检出</w:t>
                  </w:r>
                </w:p>
              </w:tc>
              <w:tc>
                <w:tcPr>
                  <w:tcW w:w="279" w:type="pct"/>
                  <w:tcBorders>
                    <w:left w:val="single" w:color="auto" w:sz="4" w:space="0"/>
                    <w:tl2br w:val="nil"/>
                    <w:tr2bl w:val="nil"/>
                  </w:tcBorders>
                  <w:vAlign w:val="center"/>
                </w:tcPr>
                <w:p>
                  <w:pPr>
                    <w:jc w:val="center"/>
                    <w:rPr>
                      <w:bCs/>
                      <w:color w:val="auto"/>
                      <w:sz w:val="15"/>
                      <w:szCs w:val="15"/>
                    </w:rPr>
                  </w:pPr>
                  <w:r>
                    <w:rPr>
                      <w:rFonts w:hint="eastAsia"/>
                      <w:bCs/>
                      <w:color w:val="auto"/>
                      <w:sz w:val="15"/>
                      <w:szCs w:val="15"/>
                    </w:rPr>
                    <w:t>不应检出</w:t>
                  </w:r>
                </w:p>
              </w:tc>
              <w:tc>
                <w:tcPr>
                  <w:tcW w:w="288" w:type="pct"/>
                  <w:tcBorders>
                    <w:left w:val="single" w:color="auto" w:sz="4" w:space="0"/>
                    <w:tl2br w:val="nil"/>
                    <w:tr2bl w:val="nil"/>
                  </w:tcBorders>
                  <w:vAlign w:val="center"/>
                </w:tcPr>
                <w:p>
                  <w:pPr>
                    <w:jc w:val="center"/>
                    <w:rPr>
                      <w:bCs/>
                      <w:color w:val="auto"/>
                      <w:sz w:val="18"/>
                      <w:szCs w:val="18"/>
                    </w:rPr>
                  </w:pPr>
                  <w:r>
                    <w:rPr>
                      <w:bCs/>
                      <w:color w:val="auto"/>
                      <w:sz w:val="18"/>
                      <w:szCs w:val="18"/>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26" w:hRule="atLeast"/>
                <w:jc w:val="center"/>
              </w:trPr>
              <w:tc>
                <w:tcPr>
                  <w:tcW w:w="178" w:type="pct"/>
                  <w:vMerge w:val="continue"/>
                  <w:tcBorders>
                    <w:tl2br w:val="nil"/>
                    <w:tr2bl w:val="nil"/>
                  </w:tcBorders>
                  <w:vAlign w:val="center"/>
                </w:tcPr>
                <w:p>
                  <w:pPr>
                    <w:widowControl/>
                    <w:ind w:firstLine="420"/>
                    <w:jc w:val="center"/>
                    <w:rPr>
                      <w:bCs/>
                      <w:color w:val="auto"/>
                      <w:kern w:val="0"/>
                      <w:sz w:val="18"/>
                      <w:szCs w:val="18"/>
                    </w:rPr>
                  </w:pPr>
                </w:p>
              </w:tc>
              <w:tc>
                <w:tcPr>
                  <w:tcW w:w="566" w:type="pct"/>
                  <w:tcBorders>
                    <w:tl2br w:val="nil"/>
                    <w:tr2bl w:val="nil"/>
                  </w:tcBorders>
                  <w:vAlign w:val="center"/>
                </w:tcPr>
                <w:p>
                  <w:pPr>
                    <w:widowControl/>
                    <w:jc w:val="center"/>
                    <w:rPr>
                      <w:color w:val="auto"/>
                      <w:sz w:val="18"/>
                      <w:szCs w:val="18"/>
                    </w:rPr>
                  </w:pPr>
                  <w:r>
                    <w:rPr>
                      <w:rFonts w:hint="eastAsia"/>
                      <w:color w:val="auto"/>
                      <w:sz w:val="18"/>
                      <w:szCs w:val="18"/>
                    </w:rPr>
                    <w:t>总氯</w:t>
                  </w:r>
                </w:p>
                <w:p>
                  <w:pPr>
                    <w:widowControl/>
                    <w:jc w:val="center"/>
                    <w:rPr>
                      <w:color w:val="auto"/>
                      <w:sz w:val="18"/>
                      <w:szCs w:val="18"/>
                    </w:rPr>
                  </w:pPr>
                </w:p>
              </w:tc>
              <w:tc>
                <w:tcPr>
                  <w:tcW w:w="388" w:type="pct"/>
                  <w:tcBorders>
                    <w:tl2br w:val="nil"/>
                    <w:tr2bl w:val="nil"/>
                  </w:tcBorders>
                  <w:vAlign w:val="center"/>
                </w:tcPr>
                <w:p>
                  <w:pPr>
                    <w:jc w:val="center"/>
                    <w:rPr>
                      <w:bCs/>
                      <w:color w:val="auto"/>
                      <w:sz w:val="18"/>
                      <w:szCs w:val="18"/>
                    </w:rPr>
                  </w:pPr>
                  <w:r>
                    <w:rPr>
                      <w:rFonts w:hint="eastAsia"/>
                      <w:bCs/>
                      <w:color w:val="auto"/>
                      <w:sz w:val="18"/>
                      <w:szCs w:val="18"/>
                    </w:rPr>
                    <w:t>0.27</w:t>
                  </w:r>
                </w:p>
              </w:tc>
              <w:tc>
                <w:tcPr>
                  <w:tcW w:w="374" w:type="pct"/>
                  <w:tcBorders>
                    <w:tl2br w:val="nil"/>
                    <w:tr2bl w:val="nil"/>
                  </w:tcBorders>
                  <w:vAlign w:val="center"/>
                </w:tcPr>
                <w:p>
                  <w:pPr>
                    <w:jc w:val="center"/>
                    <w:rPr>
                      <w:bCs/>
                      <w:color w:val="auto"/>
                      <w:sz w:val="18"/>
                      <w:szCs w:val="18"/>
                    </w:rPr>
                  </w:pPr>
                  <w:r>
                    <w:rPr>
                      <w:rFonts w:hint="eastAsia"/>
                      <w:bCs/>
                      <w:color w:val="auto"/>
                      <w:sz w:val="18"/>
                      <w:szCs w:val="18"/>
                    </w:rPr>
                    <w:t>0.29</w:t>
                  </w:r>
                </w:p>
              </w:tc>
              <w:tc>
                <w:tcPr>
                  <w:tcW w:w="338" w:type="pct"/>
                  <w:tcBorders>
                    <w:tl2br w:val="nil"/>
                    <w:tr2bl w:val="nil"/>
                  </w:tcBorders>
                  <w:vAlign w:val="center"/>
                </w:tcPr>
                <w:p>
                  <w:pPr>
                    <w:jc w:val="center"/>
                    <w:rPr>
                      <w:bCs/>
                      <w:color w:val="auto"/>
                      <w:sz w:val="18"/>
                      <w:szCs w:val="18"/>
                    </w:rPr>
                  </w:pPr>
                  <w:r>
                    <w:rPr>
                      <w:rFonts w:hint="eastAsia"/>
                      <w:bCs/>
                      <w:color w:val="auto"/>
                      <w:sz w:val="18"/>
                      <w:szCs w:val="18"/>
                    </w:rPr>
                    <w:t>0.29</w:t>
                  </w:r>
                </w:p>
              </w:tc>
              <w:tc>
                <w:tcPr>
                  <w:tcW w:w="367" w:type="pct"/>
                  <w:tcBorders>
                    <w:right w:val="single" w:color="auto" w:sz="4" w:space="0"/>
                    <w:tl2br w:val="nil"/>
                    <w:tr2bl w:val="nil"/>
                  </w:tcBorders>
                  <w:vAlign w:val="center"/>
                </w:tcPr>
                <w:p>
                  <w:pPr>
                    <w:jc w:val="center"/>
                    <w:rPr>
                      <w:bCs/>
                      <w:color w:val="auto"/>
                      <w:sz w:val="18"/>
                      <w:szCs w:val="18"/>
                    </w:rPr>
                  </w:pPr>
                  <w:r>
                    <w:rPr>
                      <w:rFonts w:hint="eastAsia"/>
                      <w:bCs/>
                      <w:color w:val="auto"/>
                      <w:sz w:val="18"/>
                      <w:szCs w:val="18"/>
                    </w:rPr>
                    <w:t>0.27</w:t>
                  </w:r>
                </w:p>
              </w:tc>
              <w:tc>
                <w:tcPr>
                  <w:tcW w:w="379" w:type="pct"/>
                  <w:tcBorders>
                    <w:left w:val="single" w:color="auto" w:sz="4" w:space="0"/>
                    <w:tl2br w:val="nil"/>
                    <w:tr2bl w:val="nil"/>
                  </w:tcBorders>
                  <w:vAlign w:val="center"/>
                </w:tcPr>
                <w:p>
                  <w:pPr>
                    <w:jc w:val="center"/>
                    <w:rPr>
                      <w:bCs/>
                      <w:color w:val="auto"/>
                      <w:sz w:val="18"/>
                      <w:szCs w:val="18"/>
                    </w:rPr>
                  </w:pPr>
                  <w:r>
                    <w:rPr>
                      <w:rFonts w:hint="eastAsia"/>
                      <w:bCs/>
                      <w:color w:val="auto"/>
                      <w:sz w:val="18"/>
                      <w:szCs w:val="18"/>
                    </w:rPr>
                    <w:t>0.28</w:t>
                  </w:r>
                </w:p>
              </w:tc>
              <w:tc>
                <w:tcPr>
                  <w:tcW w:w="359" w:type="pct"/>
                  <w:tcBorders>
                    <w:tl2br w:val="nil"/>
                    <w:tr2bl w:val="nil"/>
                  </w:tcBorders>
                  <w:vAlign w:val="center"/>
                </w:tcPr>
                <w:p>
                  <w:pPr>
                    <w:rPr>
                      <w:bCs/>
                      <w:color w:val="auto"/>
                      <w:sz w:val="18"/>
                      <w:szCs w:val="18"/>
                    </w:rPr>
                  </w:pPr>
                  <w:r>
                    <w:rPr>
                      <w:rFonts w:hint="eastAsia"/>
                      <w:bCs/>
                      <w:color w:val="auto"/>
                      <w:sz w:val="18"/>
                      <w:szCs w:val="18"/>
                    </w:rPr>
                    <w:t>0.27</w:t>
                  </w:r>
                </w:p>
              </w:tc>
              <w:tc>
                <w:tcPr>
                  <w:tcW w:w="365" w:type="pct"/>
                  <w:tcBorders>
                    <w:tl2br w:val="nil"/>
                    <w:tr2bl w:val="nil"/>
                  </w:tcBorders>
                  <w:vAlign w:val="center"/>
                </w:tcPr>
                <w:p>
                  <w:pPr>
                    <w:rPr>
                      <w:bCs/>
                      <w:color w:val="auto"/>
                      <w:sz w:val="18"/>
                      <w:szCs w:val="18"/>
                    </w:rPr>
                  </w:pPr>
                  <w:r>
                    <w:rPr>
                      <w:rFonts w:hint="eastAsia"/>
                      <w:bCs/>
                      <w:color w:val="auto"/>
                      <w:sz w:val="18"/>
                      <w:szCs w:val="18"/>
                    </w:rPr>
                    <w:t>0.28</w:t>
                  </w:r>
                </w:p>
              </w:tc>
              <w:tc>
                <w:tcPr>
                  <w:tcW w:w="382" w:type="pct"/>
                  <w:tcBorders>
                    <w:tl2br w:val="nil"/>
                    <w:tr2bl w:val="nil"/>
                  </w:tcBorders>
                  <w:vAlign w:val="center"/>
                </w:tcPr>
                <w:p>
                  <w:pPr>
                    <w:rPr>
                      <w:bCs/>
                      <w:color w:val="auto"/>
                      <w:sz w:val="18"/>
                      <w:szCs w:val="18"/>
                    </w:rPr>
                  </w:pPr>
                  <w:r>
                    <w:rPr>
                      <w:rFonts w:hint="eastAsia"/>
                      <w:bCs/>
                      <w:color w:val="auto"/>
                      <w:sz w:val="18"/>
                      <w:szCs w:val="18"/>
                    </w:rPr>
                    <w:t>0.29</w:t>
                  </w:r>
                </w:p>
              </w:tc>
              <w:tc>
                <w:tcPr>
                  <w:tcW w:w="374" w:type="pct"/>
                  <w:tcBorders>
                    <w:right w:val="single" w:color="auto" w:sz="4" w:space="0"/>
                    <w:tl2br w:val="nil"/>
                    <w:tr2bl w:val="nil"/>
                  </w:tcBorders>
                  <w:vAlign w:val="center"/>
                </w:tcPr>
                <w:p>
                  <w:pPr>
                    <w:rPr>
                      <w:bCs/>
                      <w:color w:val="auto"/>
                      <w:sz w:val="18"/>
                      <w:szCs w:val="18"/>
                    </w:rPr>
                  </w:pPr>
                  <w:r>
                    <w:rPr>
                      <w:rFonts w:hint="eastAsia"/>
                      <w:bCs/>
                      <w:color w:val="auto"/>
                      <w:sz w:val="18"/>
                      <w:szCs w:val="18"/>
                    </w:rPr>
                    <w:t>0.29</w:t>
                  </w:r>
                </w:p>
              </w:tc>
              <w:tc>
                <w:tcPr>
                  <w:tcW w:w="356" w:type="pct"/>
                  <w:tcBorders>
                    <w:left w:val="single" w:color="auto" w:sz="4" w:space="0"/>
                    <w:tl2br w:val="nil"/>
                    <w:tr2bl w:val="nil"/>
                  </w:tcBorders>
                  <w:vAlign w:val="center"/>
                </w:tcPr>
                <w:p>
                  <w:pPr>
                    <w:rPr>
                      <w:bCs/>
                      <w:color w:val="auto"/>
                      <w:sz w:val="18"/>
                      <w:szCs w:val="18"/>
                    </w:rPr>
                  </w:pPr>
                  <w:r>
                    <w:rPr>
                      <w:rFonts w:hint="eastAsia"/>
                      <w:bCs/>
                      <w:color w:val="auto"/>
                      <w:sz w:val="18"/>
                      <w:szCs w:val="18"/>
                    </w:rPr>
                    <w:t>0.28</w:t>
                  </w:r>
                </w:p>
              </w:tc>
              <w:tc>
                <w:tcPr>
                  <w:tcW w:w="279" w:type="pct"/>
                  <w:tcBorders>
                    <w:left w:val="single" w:color="auto" w:sz="4" w:space="0"/>
                    <w:tl2br w:val="nil"/>
                    <w:tr2bl w:val="nil"/>
                  </w:tcBorders>
                  <w:vAlign w:val="center"/>
                </w:tcPr>
                <w:p>
                  <w:pPr>
                    <w:jc w:val="center"/>
                    <w:rPr>
                      <w:bCs/>
                      <w:color w:val="auto"/>
                      <w:sz w:val="18"/>
                      <w:szCs w:val="18"/>
                    </w:rPr>
                  </w:pPr>
                  <w:r>
                    <w:rPr>
                      <w:rFonts w:hint="eastAsia"/>
                      <w:bCs/>
                      <w:color w:val="auto"/>
                      <w:sz w:val="18"/>
                      <w:szCs w:val="18"/>
                    </w:rPr>
                    <w:t>1.0</w:t>
                  </w:r>
                </w:p>
              </w:tc>
              <w:tc>
                <w:tcPr>
                  <w:tcW w:w="288" w:type="pct"/>
                  <w:tcBorders>
                    <w:left w:val="single" w:color="auto" w:sz="4" w:space="0"/>
                    <w:tl2br w:val="nil"/>
                    <w:tr2bl w:val="nil"/>
                  </w:tcBorders>
                  <w:vAlign w:val="center"/>
                </w:tcPr>
                <w:p>
                  <w:pPr>
                    <w:jc w:val="center"/>
                    <w:rPr>
                      <w:bCs/>
                      <w:color w:val="auto"/>
                      <w:sz w:val="18"/>
                      <w:szCs w:val="18"/>
                    </w:rPr>
                  </w:pPr>
                  <w:r>
                    <w:rPr>
                      <w:bCs/>
                      <w:color w:val="auto"/>
                      <w:sz w:val="18"/>
                      <w:szCs w:val="18"/>
                    </w:rPr>
                    <w:t>达标</w:t>
                  </w:r>
                </w:p>
              </w:tc>
            </w:tr>
          </w:tbl>
          <w:p>
            <w:pPr>
              <w:widowControl/>
              <w:spacing w:line="520" w:lineRule="exact"/>
              <w:ind w:firstLine="480" w:firstLineChars="200"/>
              <w:rPr>
                <w:color w:val="auto"/>
                <w:sz w:val="24"/>
              </w:rPr>
            </w:pPr>
            <w:bookmarkStart w:id="6" w:name="_Toc434072168"/>
            <w:bookmarkStart w:id="7" w:name="_Toc433926655"/>
            <w:bookmarkStart w:id="8" w:name="_Toc433880396"/>
            <w:r>
              <w:rPr>
                <w:color w:val="auto"/>
                <w:sz w:val="24"/>
              </w:rPr>
              <w:t>监测结果表明，</w:t>
            </w:r>
            <w:bookmarkEnd w:id="6"/>
            <w:bookmarkEnd w:id="7"/>
            <w:bookmarkEnd w:id="8"/>
            <w:r>
              <w:rPr>
                <w:rFonts w:hint="eastAsia"/>
                <w:color w:val="auto"/>
                <w:sz w:val="24"/>
              </w:rPr>
              <w:t>污水处理站总排口废水中</w:t>
            </w:r>
            <w:r>
              <w:rPr>
                <w:color w:val="auto"/>
                <w:sz w:val="24"/>
              </w:rPr>
              <w:t>主要污染物最大日均排放浓度均满足</w:t>
            </w:r>
            <w:r>
              <w:rPr>
                <w:rFonts w:hint="eastAsia"/>
                <w:color w:val="auto"/>
                <w:sz w:val="24"/>
              </w:rPr>
              <w:t>《城市污水再利用城市杂用水 水质》（</w:t>
            </w:r>
            <w:r>
              <w:rPr>
                <w:color w:val="auto"/>
                <w:sz w:val="24"/>
              </w:rPr>
              <w:t>GB/T18920-2020</w:t>
            </w:r>
            <w:r>
              <w:rPr>
                <w:rFonts w:hint="eastAsia"/>
                <w:color w:val="auto"/>
                <w:sz w:val="24"/>
              </w:rPr>
              <w:t>）绿化用水标准限值</w:t>
            </w:r>
            <w:r>
              <w:rPr>
                <w:rFonts w:hint="eastAsia" w:ascii="宋体" w:hAnsi="宋体" w:cs="宋体"/>
                <w:color w:val="auto"/>
                <w:kern w:val="0"/>
                <w:sz w:val="24"/>
                <w:lang w:bidi="ar"/>
              </w:rPr>
              <w:t>。</w:t>
            </w:r>
          </w:p>
          <w:p>
            <w:pPr>
              <w:autoSpaceDN w:val="0"/>
              <w:spacing w:line="520" w:lineRule="exact"/>
              <w:ind w:firstLine="480" w:firstLineChars="200"/>
              <w:textAlignment w:val="center"/>
              <w:rPr>
                <w:color w:val="auto"/>
                <w:kern w:val="0"/>
                <w:sz w:val="24"/>
              </w:rPr>
            </w:pPr>
            <w:r>
              <w:rPr>
                <w:rFonts w:hint="eastAsia"/>
                <w:color w:val="auto"/>
                <w:kern w:val="0"/>
                <w:sz w:val="24"/>
              </w:rPr>
              <w:t>（3）噪声污染</w:t>
            </w:r>
          </w:p>
          <w:p>
            <w:pPr>
              <w:widowControl/>
              <w:spacing w:line="520" w:lineRule="exact"/>
              <w:ind w:firstLine="480" w:firstLineChars="200"/>
              <w:rPr>
                <w:color w:val="auto"/>
                <w:sz w:val="24"/>
              </w:rPr>
            </w:pPr>
            <w:r>
              <w:rPr>
                <w:rFonts w:hint="eastAsia"/>
                <w:color w:val="auto"/>
                <w:sz w:val="24"/>
              </w:rPr>
              <w:t>上料</w:t>
            </w:r>
            <w:r>
              <w:rPr>
                <w:color w:val="auto"/>
                <w:sz w:val="24"/>
              </w:rPr>
              <w:t>工房加料及行驶车辆，</w:t>
            </w:r>
            <w:r>
              <w:rPr>
                <w:rFonts w:hint="eastAsia"/>
                <w:color w:val="auto"/>
                <w:sz w:val="24"/>
              </w:rPr>
              <w:t>上料</w:t>
            </w:r>
            <w:r>
              <w:rPr>
                <w:color w:val="auto"/>
                <w:sz w:val="24"/>
              </w:rPr>
              <w:t>工房产噪设备位于室内，经工房墙壁隔声，对周边环境的影响较小。混装车主要用于周边各矿点爆破工作，行驶路线无环境敏感目标，只有在进出</w:t>
            </w:r>
            <w:r>
              <w:rPr>
                <w:rFonts w:hint="eastAsia"/>
                <w:color w:val="auto"/>
                <w:sz w:val="24"/>
              </w:rPr>
              <w:t>厂区</w:t>
            </w:r>
            <w:r>
              <w:rPr>
                <w:color w:val="auto"/>
                <w:sz w:val="24"/>
              </w:rPr>
              <w:t>时会对生活区产生一定影响</w:t>
            </w:r>
            <w:r>
              <w:rPr>
                <w:rFonts w:hint="eastAsia"/>
                <w:color w:val="auto"/>
                <w:sz w:val="24"/>
              </w:rPr>
              <w:t>，根据竣工</w:t>
            </w:r>
            <w:r>
              <w:rPr>
                <w:color w:val="auto"/>
                <w:sz w:val="24"/>
              </w:rPr>
              <w:t>验收监测</w:t>
            </w:r>
            <w:r>
              <w:rPr>
                <w:rFonts w:hint="eastAsia"/>
                <w:color w:val="auto"/>
                <w:sz w:val="24"/>
              </w:rPr>
              <w:t>报告可知项目区厂界昼间、夜间最大噪声值均满足《工业企业厂界环境噪声排放标准》（</w:t>
            </w:r>
            <w:r>
              <w:rPr>
                <w:color w:val="auto"/>
                <w:sz w:val="24"/>
              </w:rPr>
              <w:t>GB12348-90</w:t>
            </w:r>
            <w:r>
              <w:rPr>
                <w:rFonts w:hint="eastAsia"/>
                <w:color w:val="auto"/>
                <w:sz w:val="24"/>
              </w:rPr>
              <w:t>）2类标准。</w:t>
            </w:r>
          </w:p>
          <w:p>
            <w:pPr>
              <w:autoSpaceDN w:val="0"/>
              <w:spacing w:line="520" w:lineRule="exact"/>
              <w:ind w:firstLine="480" w:firstLineChars="200"/>
              <w:textAlignment w:val="center"/>
              <w:rPr>
                <w:color w:val="auto"/>
                <w:kern w:val="0"/>
                <w:sz w:val="24"/>
                <w:szCs w:val="20"/>
              </w:rPr>
            </w:pPr>
            <w:r>
              <w:rPr>
                <w:rFonts w:hint="eastAsia"/>
                <w:color w:val="auto"/>
                <w:kern w:val="0"/>
                <w:sz w:val="24"/>
              </w:rPr>
              <w:t>（4）固体废物</w:t>
            </w:r>
          </w:p>
          <w:p>
            <w:pPr>
              <w:pStyle w:val="2"/>
              <w:spacing w:before="0" w:after="0" w:line="520" w:lineRule="exact"/>
              <w:ind w:right="0" w:firstLine="480" w:firstLineChars="200"/>
              <w:rPr>
                <w:color w:val="auto"/>
                <w:sz w:val="24"/>
              </w:rPr>
            </w:pPr>
            <w:r>
              <w:rPr>
                <w:rFonts w:hint="eastAsia"/>
                <w:color w:val="auto"/>
                <w:sz w:val="24"/>
              </w:rPr>
              <w:t>现有工程运营过程产生的固体废物主要为生活垃圾、废</w:t>
            </w:r>
            <w:r>
              <w:rPr>
                <w:rFonts w:hint="eastAsia"/>
                <w:color w:val="auto"/>
                <w:sz w:val="24"/>
                <w:lang w:val="en-US" w:eastAsia="zh-CN"/>
              </w:rPr>
              <w:t>硝酸铵</w:t>
            </w:r>
            <w:r>
              <w:rPr>
                <w:rFonts w:hint="eastAsia"/>
                <w:color w:val="auto"/>
                <w:sz w:val="24"/>
              </w:rPr>
              <w:t>包装袋、隔油沉淀池沉渣、柴油储罐油泥及车辆维修保养过程产生的少量废机油。</w:t>
            </w:r>
          </w:p>
          <w:p>
            <w:pPr>
              <w:spacing w:line="520" w:lineRule="exact"/>
              <w:ind w:firstLine="480" w:firstLineChars="200"/>
              <w:rPr>
                <w:color w:val="auto"/>
                <w:kern w:val="0"/>
                <w:sz w:val="24"/>
                <w:szCs w:val="20"/>
                <w:lang w:val="zh-CN"/>
              </w:rPr>
            </w:pPr>
            <w:r>
              <w:rPr>
                <w:rFonts w:hint="eastAsia"/>
                <w:color w:val="auto"/>
                <w:kern w:val="0"/>
                <w:sz w:val="24"/>
                <w:szCs w:val="20"/>
              </w:rPr>
              <w:t>依据现有工程竣工</w:t>
            </w:r>
            <w:r>
              <w:rPr>
                <w:color w:val="auto"/>
                <w:kern w:val="0"/>
                <w:sz w:val="24"/>
                <w:szCs w:val="20"/>
              </w:rPr>
              <w:t>验收监测</w:t>
            </w:r>
            <w:r>
              <w:rPr>
                <w:rFonts w:hint="eastAsia"/>
                <w:color w:val="auto"/>
                <w:kern w:val="0"/>
                <w:sz w:val="24"/>
                <w:szCs w:val="20"/>
              </w:rPr>
              <w:t>报告</w:t>
            </w:r>
            <w:r>
              <w:rPr>
                <w:rFonts w:hint="eastAsia"/>
                <w:color w:val="auto"/>
                <w:kern w:val="0"/>
                <w:sz w:val="24"/>
                <w:szCs w:val="20"/>
                <w:lang w:val="zh-CN"/>
              </w:rPr>
              <w:t>本项目固体废物治理措施见表</w:t>
            </w:r>
            <w:r>
              <w:rPr>
                <w:rFonts w:hint="eastAsia"/>
                <w:color w:val="auto"/>
                <w:kern w:val="0"/>
                <w:sz w:val="24"/>
                <w:szCs w:val="20"/>
              </w:rPr>
              <w:t>2-14</w:t>
            </w:r>
            <w:r>
              <w:rPr>
                <w:rFonts w:hint="eastAsia"/>
                <w:color w:val="auto"/>
                <w:kern w:val="0"/>
                <w:sz w:val="24"/>
                <w:szCs w:val="20"/>
                <w:lang w:val="zh-CN"/>
              </w:rPr>
              <w:t>。</w:t>
            </w:r>
          </w:p>
          <w:p>
            <w:pPr>
              <w:pStyle w:val="36"/>
              <w:rPr>
                <w:color w:val="auto"/>
              </w:rPr>
            </w:pPr>
            <w:r>
              <w:rPr>
                <w:rFonts w:hint="eastAsia"/>
                <w:color w:val="auto"/>
                <w:lang w:val="zh-CN"/>
              </w:rPr>
              <w:t>表</w:t>
            </w:r>
            <w:r>
              <w:rPr>
                <w:rFonts w:hint="eastAsia"/>
                <w:color w:val="auto"/>
              </w:rPr>
              <w:t>2-14</w:t>
            </w:r>
            <w:r>
              <w:rPr>
                <w:rFonts w:hint="eastAsia"/>
                <w:color w:val="auto"/>
                <w:lang w:val="zh-CN"/>
              </w:rPr>
              <w:t xml:space="preserve">  </w:t>
            </w:r>
            <w:r>
              <w:rPr>
                <w:rFonts w:hint="eastAsia"/>
                <w:color w:val="auto"/>
              </w:rPr>
              <w:t>固体废物产生情况及治理措施</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06"/>
              <w:gridCol w:w="1406"/>
              <w:gridCol w:w="1940"/>
              <w:gridCol w:w="1606"/>
              <w:gridCol w:w="203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837" w:type="pct"/>
                  <w:vAlign w:val="center"/>
                </w:tcPr>
                <w:p>
                  <w:pPr>
                    <w:autoSpaceDE w:val="0"/>
                    <w:autoSpaceDN w:val="0"/>
                    <w:adjustRightInd w:val="0"/>
                    <w:jc w:val="center"/>
                    <w:rPr>
                      <w:color w:val="auto"/>
                    </w:rPr>
                  </w:pPr>
                  <w:r>
                    <w:rPr>
                      <w:rFonts w:hint="eastAsia"/>
                      <w:color w:val="auto"/>
                    </w:rPr>
                    <w:t>种类</w:t>
                  </w:r>
                </w:p>
              </w:tc>
              <w:tc>
                <w:tcPr>
                  <w:tcW w:w="837" w:type="pct"/>
                  <w:vAlign w:val="center"/>
                </w:tcPr>
                <w:p>
                  <w:pPr>
                    <w:autoSpaceDE w:val="0"/>
                    <w:autoSpaceDN w:val="0"/>
                    <w:adjustRightInd w:val="0"/>
                    <w:jc w:val="center"/>
                    <w:rPr>
                      <w:color w:val="auto"/>
                    </w:rPr>
                  </w:pPr>
                  <w:r>
                    <w:rPr>
                      <w:rFonts w:hint="eastAsia"/>
                      <w:color w:val="auto"/>
                    </w:rPr>
                    <w:t>污染源</w:t>
                  </w:r>
                </w:p>
              </w:tc>
              <w:tc>
                <w:tcPr>
                  <w:tcW w:w="1155" w:type="pct"/>
                  <w:vAlign w:val="center"/>
                </w:tcPr>
                <w:p>
                  <w:pPr>
                    <w:autoSpaceDE w:val="0"/>
                    <w:autoSpaceDN w:val="0"/>
                    <w:adjustRightInd w:val="0"/>
                    <w:jc w:val="center"/>
                    <w:rPr>
                      <w:color w:val="auto"/>
                    </w:rPr>
                  </w:pPr>
                  <w:r>
                    <w:rPr>
                      <w:rFonts w:hint="eastAsia"/>
                      <w:color w:val="auto"/>
                    </w:rPr>
                    <w:t>固废</w:t>
                  </w:r>
                  <w:r>
                    <w:rPr>
                      <w:color w:val="auto"/>
                    </w:rPr>
                    <w:t>名称</w:t>
                  </w:r>
                  <w:r>
                    <w:rPr>
                      <w:rFonts w:hint="eastAsia"/>
                      <w:color w:val="auto"/>
                    </w:rPr>
                    <w:t>及编码</w:t>
                  </w:r>
                </w:p>
              </w:tc>
              <w:tc>
                <w:tcPr>
                  <w:tcW w:w="956" w:type="pct"/>
                  <w:vAlign w:val="center"/>
                </w:tcPr>
                <w:p>
                  <w:pPr>
                    <w:autoSpaceDE w:val="0"/>
                    <w:autoSpaceDN w:val="0"/>
                    <w:adjustRightInd w:val="0"/>
                    <w:jc w:val="center"/>
                    <w:rPr>
                      <w:color w:val="auto"/>
                    </w:rPr>
                  </w:pPr>
                  <w:r>
                    <w:rPr>
                      <w:color w:val="auto"/>
                    </w:rPr>
                    <w:t>实际</w:t>
                  </w:r>
                  <w:r>
                    <w:rPr>
                      <w:color w:val="auto"/>
                      <w:lang w:val="zh-CN"/>
                    </w:rPr>
                    <w:t>产生量</w:t>
                  </w:r>
                </w:p>
              </w:tc>
              <w:tc>
                <w:tcPr>
                  <w:tcW w:w="1213" w:type="pct"/>
                  <w:vAlign w:val="center"/>
                </w:tcPr>
                <w:p>
                  <w:pPr>
                    <w:autoSpaceDE w:val="0"/>
                    <w:autoSpaceDN w:val="0"/>
                    <w:adjustRightInd w:val="0"/>
                    <w:jc w:val="center"/>
                    <w:rPr>
                      <w:color w:val="auto"/>
                      <w:lang w:val="zh-CN"/>
                    </w:rPr>
                  </w:pPr>
                  <w:r>
                    <w:rPr>
                      <w:rFonts w:hint="eastAsia"/>
                      <w:color w:val="auto"/>
                    </w:rPr>
                    <w:t>实际</w:t>
                  </w:r>
                  <w:r>
                    <w:rPr>
                      <w:color w:val="auto"/>
                      <w:lang w:val="zh-CN"/>
                    </w:rPr>
                    <w:t>处置去向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27" w:hRule="atLeast"/>
                <w:jc w:val="center"/>
              </w:trPr>
              <w:tc>
                <w:tcPr>
                  <w:tcW w:w="837" w:type="pct"/>
                  <w:vMerge w:val="restart"/>
                  <w:vAlign w:val="center"/>
                </w:tcPr>
                <w:p>
                  <w:pPr>
                    <w:autoSpaceDE w:val="0"/>
                    <w:autoSpaceDN w:val="0"/>
                    <w:adjustRightInd w:val="0"/>
                    <w:jc w:val="center"/>
                    <w:rPr>
                      <w:color w:val="auto"/>
                      <w:szCs w:val="21"/>
                    </w:rPr>
                  </w:pPr>
                  <w:r>
                    <w:rPr>
                      <w:rFonts w:hint="eastAsia"/>
                      <w:color w:val="auto"/>
                      <w:szCs w:val="21"/>
                    </w:rPr>
                    <w:t>危险废物</w:t>
                  </w:r>
                </w:p>
              </w:tc>
              <w:tc>
                <w:tcPr>
                  <w:tcW w:w="837" w:type="pct"/>
                  <w:vAlign w:val="center"/>
                </w:tcPr>
                <w:p>
                  <w:pPr>
                    <w:autoSpaceDE w:val="0"/>
                    <w:autoSpaceDN w:val="0"/>
                    <w:adjustRightInd w:val="0"/>
                    <w:jc w:val="center"/>
                    <w:rPr>
                      <w:color w:val="auto"/>
                    </w:rPr>
                  </w:pPr>
                  <w:r>
                    <w:rPr>
                      <w:color w:val="auto"/>
                    </w:rPr>
                    <w:t>硝酸铵</w:t>
                  </w:r>
                  <w:r>
                    <w:rPr>
                      <w:rFonts w:hint="eastAsia"/>
                      <w:color w:val="auto"/>
                    </w:rPr>
                    <w:t>装车加料</w:t>
                  </w:r>
                </w:p>
              </w:tc>
              <w:tc>
                <w:tcPr>
                  <w:tcW w:w="1155" w:type="pct"/>
                  <w:vAlign w:val="center"/>
                </w:tcPr>
                <w:p>
                  <w:pPr>
                    <w:autoSpaceDE w:val="0"/>
                    <w:autoSpaceDN w:val="0"/>
                    <w:adjustRightInd w:val="0"/>
                    <w:jc w:val="center"/>
                    <w:rPr>
                      <w:color w:val="auto"/>
                    </w:rPr>
                  </w:pPr>
                  <w:r>
                    <w:rPr>
                      <w:color w:val="auto"/>
                    </w:rPr>
                    <w:t>硝酸铵废包装袋</w:t>
                  </w:r>
                </w:p>
                <w:p>
                  <w:pPr>
                    <w:autoSpaceDE w:val="0"/>
                    <w:autoSpaceDN w:val="0"/>
                    <w:adjustRightInd w:val="0"/>
                    <w:jc w:val="center"/>
                    <w:rPr>
                      <w:color w:val="auto"/>
                    </w:rPr>
                  </w:pPr>
                  <w:r>
                    <w:rPr>
                      <w:rFonts w:hint="eastAsia"/>
                      <w:color w:val="auto"/>
                      <w:szCs w:val="21"/>
                      <w:lang w:val="zh-CN"/>
                    </w:rPr>
                    <w:t>HW</w:t>
                  </w:r>
                  <w:r>
                    <w:rPr>
                      <w:rFonts w:hint="eastAsia"/>
                      <w:color w:val="auto"/>
                      <w:szCs w:val="21"/>
                    </w:rPr>
                    <w:t>08（900-</w:t>
                  </w:r>
                  <w:r>
                    <w:rPr>
                      <w:rFonts w:hint="eastAsia"/>
                      <w:color w:val="auto"/>
                      <w:szCs w:val="21"/>
                      <w:lang w:val="en-US" w:eastAsia="zh-CN"/>
                    </w:rPr>
                    <w:t>041-49）</w:t>
                  </w:r>
                </w:p>
              </w:tc>
              <w:tc>
                <w:tcPr>
                  <w:tcW w:w="956" w:type="pct"/>
                  <w:vAlign w:val="center"/>
                </w:tcPr>
                <w:p>
                  <w:pPr>
                    <w:pStyle w:val="108"/>
                    <w:spacing w:before="60" w:after="60"/>
                    <w:ind w:firstLine="0"/>
                    <w:jc w:val="center"/>
                    <w:rPr>
                      <w:color w:val="auto"/>
                    </w:rPr>
                  </w:pPr>
                  <w:r>
                    <w:rPr>
                      <w:rFonts w:hint="eastAsia"/>
                      <w:color w:val="auto"/>
                      <w:sz w:val="21"/>
                    </w:rPr>
                    <w:t>0.68</w:t>
                  </w:r>
                  <w:r>
                    <w:rPr>
                      <w:rStyle w:val="34"/>
                      <w:rFonts w:hint="eastAsia"/>
                      <w:color w:val="auto"/>
                      <w:lang w:val="en-US" w:eastAsia="zh-CN"/>
                    </w:rPr>
                    <w:t>t/a</w:t>
                  </w:r>
                  <w:r>
                    <w:rPr>
                      <w:rFonts w:hint="eastAsia"/>
                      <w:color w:val="auto"/>
                      <w:sz w:val="21"/>
                    </w:rPr>
                    <w:t>（吨包袋）</w:t>
                  </w:r>
                </w:p>
              </w:tc>
              <w:tc>
                <w:tcPr>
                  <w:tcW w:w="1213" w:type="pct"/>
                  <w:vMerge w:val="restart"/>
                  <w:vAlign w:val="center"/>
                </w:tcPr>
                <w:p>
                  <w:pPr>
                    <w:jc w:val="center"/>
                    <w:rPr>
                      <w:color w:val="auto"/>
                      <w:lang w:val="zh-CN"/>
                    </w:rPr>
                  </w:pPr>
                  <w:r>
                    <w:rPr>
                      <w:rFonts w:hint="eastAsia"/>
                      <w:color w:val="auto"/>
                      <w:lang w:val="zh-CN"/>
                    </w:rPr>
                    <w:t>集中收集于厂区危废暂存间，委托新疆鑫鸿伟环保科技有限公司</w:t>
                  </w:r>
                  <w:r>
                    <w:rPr>
                      <w:rFonts w:hint="eastAsia"/>
                      <w:color w:val="auto"/>
                    </w:rPr>
                    <w:t>处置</w:t>
                  </w:r>
                  <w:r>
                    <w:rPr>
                      <w:rFonts w:hint="eastAsia"/>
                      <w:color w:val="auto"/>
                      <w:lang w:val="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895" w:hRule="atLeast"/>
                <w:jc w:val="center"/>
              </w:trPr>
              <w:tc>
                <w:tcPr>
                  <w:tcW w:w="837" w:type="pct"/>
                  <w:vMerge w:val="continue"/>
                  <w:vAlign w:val="center"/>
                </w:tcPr>
                <w:p>
                  <w:pPr>
                    <w:autoSpaceDE w:val="0"/>
                    <w:autoSpaceDN w:val="0"/>
                    <w:adjustRightInd w:val="0"/>
                    <w:jc w:val="center"/>
                    <w:rPr>
                      <w:color w:val="auto"/>
                      <w:szCs w:val="21"/>
                    </w:rPr>
                  </w:pPr>
                </w:p>
              </w:tc>
              <w:tc>
                <w:tcPr>
                  <w:tcW w:w="837" w:type="pct"/>
                  <w:vAlign w:val="center"/>
                </w:tcPr>
                <w:p>
                  <w:pPr>
                    <w:autoSpaceDE w:val="0"/>
                    <w:autoSpaceDN w:val="0"/>
                    <w:adjustRightInd w:val="0"/>
                    <w:jc w:val="center"/>
                    <w:rPr>
                      <w:color w:val="auto"/>
                      <w:szCs w:val="21"/>
                      <w:lang w:val="zh-CN"/>
                    </w:rPr>
                  </w:pPr>
                  <w:r>
                    <w:rPr>
                      <w:rFonts w:hint="eastAsia"/>
                      <w:color w:val="auto"/>
                      <w:szCs w:val="21"/>
                      <w:lang w:val="zh-CN"/>
                    </w:rPr>
                    <w:t>隔油池</w:t>
                  </w:r>
                </w:p>
              </w:tc>
              <w:tc>
                <w:tcPr>
                  <w:tcW w:w="1155" w:type="pct"/>
                  <w:vAlign w:val="center"/>
                </w:tcPr>
                <w:p>
                  <w:pPr>
                    <w:autoSpaceDE w:val="0"/>
                    <w:autoSpaceDN w:val="0"/>
                    <w:adjustRightInd w:val="0"/>
                    <w:jc w:val="center"/>
                    <w:rPr>
                      <w:color w:val="auto"/>
                      <w:lang w:val="zh-CN"/>
                    </w:rPr>
                  </w:pPr>
                  <w:r>
                    <w:rPr>
                      <w:color w:val="auto"/>
                      <w:lang w:val="zh-CN"/>
                    </w:rPr>
                    <w:t>隔油池废油渣</w:t>
                  </w:r>
                </w:p>
                <w:p>
                  <w:pPr>
                    <w:autoSpaceDE w:val="0"/>
                    <w:autoSpaceDN w:val="0"/>
                    <w:adjustRightInd w:val="0"/>
                    <w:jc w:val="center"/>
                    <w:rPr>
                      <w:color w:val="auto"/>
                    </w:rPr>
                  </w:pPr>
                  <w:r>
                    <w:rPr>
                      <w:rFonts w:hint="eastAsia"/>
                      <w:color w:val="auto"/>
                      <w:lang w:val="zh-CN"/>
                    </w:rPr>
                    <w:t>HW</w:t>
                  </w:r>
                  <w:r>
                    <w:rPr>
                      <w:rFonts w:hint="eastAsia"/>
                      <w:color w:val="auto"/>
                    </w:rPr>
                    <w:t>08（900-201-08）</w:t>
                  </w:r>
                </w:p>
              </w:tc>
              <w:tc>
                <w:tcPr>
                  <w:tcW w:w="956" w:type="pct"/>
                  <w:vAlign w:val="center"/>
                </w:tcPr>
                <w:p>
                  <w:pPr>
                    <w:autoSpaceDE w:val="0"/>
                    <w:autoSpaceDN w:val="0"/>
                    <w:adjustRightInd w:val="0"/>
                    <w:jc w:val="center"/>
                    <w:rPr>
                      <w:color w:val="auto"/>
                    </w:rPr>
                  </w:pPr>
                  <w:r>
                    <w:rPr>
                      <w:rFonts w:hint="eastAsia"/>
                      <w:color w:val="auto"/>
                    </w:rPr>
                    <w:t>0.06t/a</w:t>
                  </w:r>
                </w:p>
              </w:tc>
              <w:tc>
                <w:tcPr>
                  <w:tcW w:w="1213" w:type="pct"/>
                  <w:vMerge w:val="continue"/>
                  <w:vAlign w:val="center"/>
                </w:tcPr>
                <w:p>
                  <w:pPr>
                    <w:jc w:val="center"/>
                    <w:rPr>
                      <w:color w:val="auto"/>
                      <w:lang w:val="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743" w:hRule="atLeast"/>
                <w:jc w:val="center"/>
              </w:trPr>
              <w:tc>
                <w:tcPr>
                  <w:tcW w:w="837" w:type="pct"/>
                  <w:vMerge w:val="continue"/>
                  <w:vAlign w:val="center"/>
                </w:tcPr>
                <w:p>
                  <w:pPr>
                    <w:autoSpaceDE w:val="0"/>
                    <w:autoSpaceDN w:val="0"/>
                    <w:adjustRightInd w:val="0"/>
                    <w:jc w:val="center"/>
                    <w:rPr>
                      <w:color w:val="auto"/>
                      <w:szCs w:val="21"/>
                    </w:rPr>
                  </w:pPr>
                </w:p>
              </w:tc>
              <w:tc>
                <w:tcPr>
                  <w:tcW w:w="837" w:type="pct"/>
                  <w:vAlign w:val="center"/>
                </w:tcPr>
                <w:p>
                  <w:pPr>
                    <w:autoSpaceDE w:val="0"/>
                    <w:autoSpaceDN w:val="0"/>
                    <w:adjustRightInd w:val="0"/>
                    <w:jc w:val="center"/>
                    <w:rPr>
                      <w:color w:val="auto"/>
                      <w:szCs w:val="21"/>
                      <w:lang w:val="zh-CN"/>
                    </w:rPr>
                  </w:pPr>
                  <w:r>
                    <w:rPr>
                      <w:rFonts w:hint="eastAsia"/>
                      <w:color w:val="auto"/>
                      <w:szCs w:val="21"/>
                    </w:rPr>
                    <w:t>油泥</w:t>
                  </w:r>
                </w:p>
              </w:tc>
              <w:tc>
                <w:tcPr>
                  <w:tcW w:w="1155" w:type="pct"/>
                  <w:vAlign w:val="center"/>
                </w:tcPr>
                <w:p>
                  <w:pPr>
                    <w:autoSpaceDE w:val="0"/>
                    <w:autoSpaceDN w:val="0"/>
                    <w:adjustRightInd w:val="0"/>
                    <w:jc w:val="center"/>
                    <w:rPr>
                      <w:color w:val="auto"/>
                      <w:lang w:val="zh-CN"/>
                    </w:rPr>
                  </w:pPr>
                  <w:r>
                    <w:rPr>
                      <w:rFonts w:hint="eastAsia"/>
                      <w:color w:val="auto"/>
                      <w:lang w:val="zh-CN"/>
                    </w:rPr>
                    <w:t>油泥HW08（900-221-08）</w:t>
                  </w:r>
                </w:p>
              </w:tc>
              <w:tc>
                <w:tcPr>
                  <w:tcW w:w="956" w:type="pct"/>
                  <w:vAlign w:val="center"/>
                </w:tcPr>
                <w:p>
                  <w:pPr>
                    <w:autoSpaceDE w:val="0"/>
                    <w:autoSpaceDN w:val="0"/>
                    <w:adjustRightInd w:val="0"/>
                    <w:jc w:val="center"/>
                    <w:rPr>
                      <w:color w:val="auto"/>
                    </w:rPr>
                  </w:pPr>
                  <w:r>
                    <w:rPr>
                      <w:rFonts w:hint="eastAsia"/>
                      <w:color w:val="auto"/>
                    </w:rPr>
                    <w:t>目前尚未产生</w:t>
                  </w:r>
                </w:p>
              </w:tc>
              <w:tc>
                <w:tcPr>
                  <w:tcW w:w="1213" w:type="pct"/>
                  <w:vMerge w:val="continue"/>
                  <w:vAlign w:val="center"/>
                </w:tcPr>
                <w:p>
                  <w:pPr>
                    <w:jc w:val="center"/>
                    <w:rPr>
                      <w:color w:val="auto"/>
                      <w:lang w:val="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743" w:hRule="atLeast"/>
                <w:jc w:val="center"/>
              </w:trPr>
              <w:tc>
                <w:tcPr>
                  <w:tcW w:w="837" w:type="pct"/>
                  <w:vMerge w:val="continue"/>
                  <w:vAlign w:val="center"/>
                </w:tcPr>
                <w:p>
                  <w:pPr>
                    <w:autoSpaceDE w:val="0"/>
                    <w:autoSpaceDN w:val="0"/>
                    <w:adjustRightInd w:val="0"/>
                    <w:jc w:val="center"/>
                    <w:rPr>
                      <w:color w:val="auto"/>
                      <w:szCs w:val="21"/>
                    </w:rPr>
                  </w:pPr>
                </w:p>
              </w:tc>
              <w:tc>
                <w:tcPr>
                  <w:tcW w:w="837" w:type="pct"/>
                  <w:vAlign w:val="center"/>
                </w:tcPr>
                <w:p>
                  <w:pPr>
                    <w:autoSpaceDE w:val="0"/>
                    <w:autoSpaceDN w:val="0"/>
                    <w:adjustRightInd w:val="0"/>
                    <w:jc w:val="center"/>
                    <w:rPr>
                      <w:rFonts w:hint="default" w:eastAsia="宋体"/>
                      <w:color w:val="auto"/>
                      <w:szCs w:val="21"/>
                      <w:lang w:val="en-US" w:eastAsia="zh-CN"/>
                    </w:rPr>
                  </w:pPr>
                  <w:r>
                    <w:rPr>
                      <w:rFonts w:hint="eastAsia"/>
                      <w:color w:val="auto"/>
                      <w:szCs w:val="21"/>
                    </w:rPr>
                    <w:t>废机油</w:t>
                  </w:r>
                  <w:r>
                    <w:rPr>
                      <w:rFonts w:hint="eastAsia"/>
                      <w:color w:val="auto"/>
                      <w:szCs w:val="21"/>
                      <w:lang w:eastAsia="zh-CN"/>
                    </w:rPr>
                    <w:t>、</w:t>
                  </w:r>
                  <w:r>
                    <w:rPr>
                      <w:rFonts w:hint="eastAsia"/>
                      <w:color w:val="auto"/>
                      <w:szCs w:val="21"/>
                      <w:lang w:val="en-US" w:eastAsia="zh-CN"/>
                    </w:rPr>
                    <w:t>废液压油</w:t>
                  </w:r>
                </w:p>
              </w:tc>
              <w:tc>
                <w:tcPr>
                  <w:tcW w:w="1155" w:type="pct"/>
                  <w:vAlign w:val="center"/>
                </w:tcPr>
                <w:p>
                  <w:pPr>
                    <w:autoSpaceDE w:val="0"/>
                    <w:autoSpaceDN w:val="0"/>
                    <w:adjustRightInd w:val="0"/>
                    <w:jc w:val="center"/>
                    <w:rPr>
                      <w:color w:val="auto"/>
                      <w:lang w:val="zh-CN"/>
                    </w:rPr>
                  </w:pPr>
                  <w:r>
                    <w:rPr>
                      <w:rFonts w:hint="eastAsia"/>
                      <w:color w:val="auto"/>
                      <w:szCs w:val="21"/>
                    </w:rPr>
                    <w:t>废机油</w:t>
                  </w:r>
                  <w:r>
                    <w:rPr>
                      <w:rFonts w:hint="eastAsia"/>
                      <w:color w:val="auto"/>
                      <w:szCs w:val="21"/>
                      <w:lang w:val="zh-CN"/>
                    </w:rPr>
                    <w:t>HW</w:t>
                  </w:r>
                  <w:r>
                    <w:rPr>
                      <w:rFonts w:hint="eastAsia"/>
                      <w:color w:val="auto"/>
                      <w:szCs w:val="21"/>
                    </w:rPr>
                    <w:t>08（900-2</w:t>
                  </w:r>
                  <w:r>
                    <w:rPr>
                      <w:rFonts w:hint="eastAsia"/>
                      <w:color w:val="auto"/>
                      <w:szCs w:val="21"/>
                      <w:lang w:val="en-US" w:eastAsia="zh-CN"/>
                    </w:rPr>
                    <w:t>49-</w:t>
                  </w:r>
                  <w:r>
                    <w:rPr>
                      <w:rFonts w:hint="eastAsia"/>
                      <w:color w:val="auto"/>
                      <w:szCs w:val="21"/>
                    </w:rPr>
                    <w:t>08</w:t>
                  </w:r>
                  <w:r>
                    <w:rPr>
                      <w:rFonts w:hint="eastAsia"/>
                      <w:color w:val="auto"/>
                      <w:szCs w:val="21"/>
                      <w:lang w:eastAsia="zh-CN"/>
                    </w:rPr>
                    <w:t>、</w:t>
                  </w:r>
                  <w:r>
                    <w:rPr>
                      <w:rFonts w:hint="eastAsia"/>
                      <w:color w:val="auto"/>
                      <w:szCs w:val="21"/>
                      <w:lang w:val="en-US" w:eastAsia="zh-CN"/>
                    </w:rPr>
                    <w:t>900-218-08</w:t>
                  </w:r>
                  <w:r>
                    <w:rPr>
                      <w:rFonts w:hint="eastAsia"/>
                      <w:color w:val="auto"/>
                      <w:szCs w:val="21"/>
                    </w:rPr>
                    <w:t>）</w:t>
                  </w:r>
                </w:p>
              </w:tc>
              <w:tc>
                <w:tcPr>
                  <w:tcW w:w="956" w:type="pct"/>
                  <w:vAlign w:val="center"/>
                </w:tcPr>
                <w:p>
                  <w:pPr>
                    <w:autoSpaceDE w:val="0"/>
                    <w:autoSpaceDN w:val="0"/>
                    <w:adjustRightInd w:val="0"/>
                    <w:jc w:val="center"/>
                    <w:rPr>
                      <w:color w:val="auto"/>
                    </w:rPr>
                  </w:pPr>
                  <w:r>
                    <w:rPr>
                      <w:rFonts w:hint="eastAsia"/>
                      <w:color w:val="auto"/>
                    </w:rPr>
                    <w:t>0.05t/a</w:t>
                  </w:r>
                </w:p>
              </w:tc>
              <w:tc>
                <w:tcPr>
                  <w:tcW w:w="1213" w:type="pct"/>
                  <w:vMerge w:val="continue"/>
                  <w:vAlign w:val="center"/>
                </w:tcPr>
                <w:p>
                  <w:pPr>
                    <w:jc w:val="center"/>
                    <w:rPr>
                      <w:color w:val="auto"/>
                      <w:lang w:val="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743" w:hRule="atLeast"/>
                <w:jc w:val="center"/>
              </w:trPr>
              <w:tc>
                <w:tcPr>
                  <w:tcW w:w="837" w:type="pct"/>
                  <w:vMerge w:val="continue"/>
                  <w:vAlign w:val="center"/>
                </w:tcPr>
                <w:p>
                  <w:pPr>
                    <w:autoSpaceDE w:val="0"/>
                    <w:autoSpaceDN w:val="0"/>
                    <w:adjustRightInd w:val="0"/>
                    <w:jc w:val="center"/>
                    <w:rPr>
                      <w:color w:val="auto"/>
                      <w:szCs w:val="21"/>
                    </w:rPr>
                  </w:pPr>
                </w:p>
              </w:tc>
              <w:tc>
                <w:tcPr>
                  <w:tcW w:w="837" w:type="pct"/>
                  <w:vAlign w:val="center"/>
                </w:tcPr>
                <w:p>
                  <w:pPr>
                    <w:autoSpaceDE w:val="0"/>
                    <w:autoSpaceDN w:val="0"/>
                    <w:adjustRightInd w:val="0"/>
                    <w:jc w:val="center"/>
                    <w:rPr>
                      <w:color w:val="auto"/>
                      <w:szCs w:val="21"/>
                    </w:rPr>
                  </w:pPr>
                  <w:r>
                    <w:rPr>
                      <w:rFonts w:hint="eastAsia"/>
                      <w:color w:val="auto"/>
                      <w:szCs w:val="21"/>
                    </w:rPr>
                    <w:t>废油桶</w:t>
                  </w:r>
                </w:p>
              </w:tc>
              <w:tc>
                <w:tcPr>
                  <w:tcW w:w="1155" w:type="pct"/>
                  <w:vAlign w:val="center"/>
                </w:tcPr>
                <w:p>
                  <w:pPr>
                    <w:autoSpaceDE w:val="0"/>
                    <w:autoSpaceDN w:val="0"/>
                    <w:adjustRightInd w:val="0"/>
                    <w:jc w:val="center"/>
                    <w:rPr>
                      <w:color w:val="auto"/>
                      <w:szCs w:val="21"/>
                    </w:rPr>
                  </w:pPr>
                  <w:r>
                    <w:rPr>
                      <w:rFonts w:hint="eastAsia"/>
                      <w:color w:val="auto"/>
                      <w:szCs w:val="21"/>
                    </w:rPr>
                    <w:t>废油桶</w:t>
                  </w:r>
                  <w:r>
                    <w:rPr>
                      <w:rFonts w:hint="eastAsia"/>
                      <w:color w:val="auto"/>
                      <w:szCs w:val="21"/>
                      <w:lang w:val="zh-CN"/>
                    </w:rPr>
                    <w:t>HW</w:t>
                  </w:r>
                  <w:r>
                    <w:rPr>
                      <w:rFonts w:hint="eastAsia"/>
                      <w:color w:val="auto"/>
                      <w:szCs w:val="21"/>
                    </w:rPr>
                    <w:t>08（900-</w:t>
                  </w:r>
                  <w:r>
                    <w:rPr>
                      <w:rFonts w:hint="eastAsia"/>
                      <w:color w:val="auto"/>
                      <w:szCs w:val="21"/>
                      <w:lang w:val="en-US" w:eastAsia="zh-CN"/>
                    </w:rPr>
                    <w:t>041-49</w:t>
                  </w:r>
                  <w:r>
                    <w:rPr>
                      <w:rFonts w:hint="eastAsia"/>
                      <w:color w:val="auto"/>
                      <w:szCs w:val="21"/>
                    </w:rPr>
                    <w:t>）</w:t>
                  </w:r>
                </w:p>
              </w:tc>
              <w:tc>
                <w:tcPr>
                  <w:tcW w:w="956" w:type="pct"/>
                  <w:vAlign w:val="center"/>
                </w:tcPr>
                <w:p>
                  <w:pPr>
                    <w:autoSpaceDE w:val="0"/>
                    <w:autoSpaceDN w:val="0"/>
                    <w:adjustRightInd w:val="0"/>
                    <w:jc w:val="center"/>
                    <w:rPr>
                      <w:color w:val="auto"/>
                    </w:rPr>
                  </w:pPr>
                  <w:r>
                    <w:rPr>
                      <w:rFonts w:hint="eastAsia"/>
                      <w:color w:val="auto"/>
                    </w:rPr>
                    <w:t>0.05t/a</w:t>
                  </w:r>
                </w:p>
              </w:tc>
              <w:tc>
                <w:tcPr>
                  <w:tcW w:w="1213" w:type="pct"/>
                  <w:vMerge w:val="continue"/>
                  <w:vAlign w:val="center"/>
                </w:tcPr>
                <w:p>
                  <w:pPr>
                    <w:jc w:val="center"/>
                    <w:rPr>
                      <w:color w:val="auto"/>
                      <w:lang w:val="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743" w:hRule="atLeast"/>
                <w:jc w:val="center"/>
              </w:trPr>
              <w:tc>
                <w:tcPr>
                  <w:tcW w:w="837" w:type="pct"/>
                  <w:vAlign w:val="center"/>
                </w:tcPr>
                <w:p>
                  <w:pPr>
                    <w:autoSpaceDE w:val="0"/>
                    <w:autoSpaceDN w:val="0"/>
                    <w:adjustRightInd w:val="0"/>
                    <w:jc w:val="center"/>
                    <w:rPr>
                      <w:color w:val="auto"/>
                      <w:szCs w:val="21"/>
                    </w:rPr>
                  </w:pPr>
                  <w:r>
                    <w:rPr>
                      <w:rFonts w:hint="eastAsia"/>
                      <w:color w:val="auto"/>
                      <w:szCs w:val="21"/>
                    </w:rPr>
                    <w:t>生活垃圾</w:t>
                  </w:r>
                </w:p>
              </w:tc>
              <w:tc>
                <w:tcPr>
                  <w:tcW w:w="837" w:type="pct"/>
                  <w:vAlign w:val="center"/>
                </w:tcPr>
                <w:p>
                  <w:pPr>
                    <w:autoSpaceDE w:val="0"/>
                    <w:autoSpaceDN w:val="0"/>
                    <w:adjustRightInd w:val="0"/>
                    <w:jc w:val="center"/>
                    <w:rPr>
                      <w:color w:val="auto"/>
                      <w:szCs w:val="21"/>
                    </w:rPr>
                  </w:pPr>
                  <w:r>
                    <w:rPr>
                      <w:rFonts w:hint="eastAsia"/>
                      <w:color w:val="auto"/>
                      <w:szCs w:val="21"/>
                    </w:rPr>
                    <w:t>生活垃圾</w:t>
                  </w:r>
                </w:p>
              </w:tc>
              <w:tc>
                <w:tcPr>
                  <w:tcW w:w="1155" w:type="pct"/>
                  <w:vAlign w:val="center"/>
                </w:tcPr>
                <w:p>
                  <w:pPr>
                    <w:autoSpaceDE w:val="0"/>
                    <w:autoSpaceDN w:val="0"/>
                    <w:adjustRightInd w:val="0"/>
                    <w:jc w:val="center"/>
                    <w:rPr>
                      <w:color w:val="auto"/>
                      <w:szCs w:val="21"/>
                    </w:rPr>
                  </w:pPr>
                  <w:r>
                    <w:rPr>
                      <w:rFonts w:hint="eastAsia"/>
                      <w:b/>
                      <w:bCs/>
                      <w:color w:val="auto"/>
                      <w:szCs w:val="21"/>
                    </w:rPr>
                    <w:t>/</w:t>
                  </w:r>
                </w:p>
              </w:tc>
              <w:tc>
                <w:tcPr>
                  <w:tcW w:w="956" w:type="pct"/>
                  <w:vAlign w:val="center"/>
                </w:tcPr>
                <w:p>
                  <w:pPr>
                    <w:autoSpaceDE w:val="0"/>
                    <w:autoSpaceDN w:val="0"/>
                    <w:adjustRightInd w:val="0"/>
                    <w:jc w:val="center"/>
                    <w:rPr>
                      <w:color w:val="auto"/>
                    </w:rPr>
                  </w:pPr>
                  <w:r>
                    <w:rPr>
                      <w:rFonts w:hint="eastAsia"/>
                      <w:color w:val="auto"/>
                    </w:rPr>
                    <w:t>0.05t/a</w:t>
                  </w:r>
                </w:p>
              </w:tc>
              <w:tc>
                <w:tcPr>
                  <w:tcW w:w="1213" w:type="pct"/>
                  <w:vAlign w:val="center"/>
                </w:tcPr>
                <w:p>
                  <w:pPr>
                    <w:jc w:val="center"/>
                    <w:rPr>
                      <w:color w:val="auto"/>
                    </w:rPr>
                  </w:pPr>
                  <w:r>
                    <w:rPr>
                      <w:rFonts w:hint="eastAsia"/>
                      <w:color w:val="auto"/>
                    </w:rPr>
                    <w:t>集中收集后委托成都瑞鑫鑫环卫有限公司拉运处置</w:t>
                  </w:r>
                </w:p>
              </w:tc>
            </w:tr>
          </w:tbl>
          <w:p>
            <w:pPr>
              <w:spacing w:line="520" w:lineRule="exact"/>
              <w:ind w:firstLine="480" w:firstLineChars="200"/>
              <w:rPr>
                <w:rFonts w:hint="default" w:eastAsia="宋体"/>
                <w:color w:val="auto"/>
                <w:kern w:val="0"/>
                <w:sz w:val="24"/>
                <w:szCs w:val="20"/>
                <w:lang w:val="en-US" w:eastAsia="zh-CN"/>
              </w:rPr>
            </w:pPr>
            <w:r>
              <w:rPr>
                <w:rFonts w:hint="eastAsia"/>
                <w:color w:val="auto"/>
                <w:kern w:val="0"/>
                <w:sz w:val="24"/>
                <w:szCs w:val="20"/>
              </w:rPr>
              <w:t>现有工程</w:t>
            </w:r>
            <w:r>
              <w:rPr>
                <w:rFonts w:hint="eastAsia"/>
                <w:color w:val="auto"/>
                <w:kern w:val="0"/>
                <w:sz w:val="24"/>
                <w:szCs w:val="20"/>
                <w:lang w:eastAsia="zh-CN"/>
              </w:rPr>
              <w:t>已建</w:t>
            </w:r>
            <w:r>
              <w:rPr>
                <w:rFonts w:hint="eastAsia"/>
                <w:color w:val="auto"/>
                <w:kern w:val="0"/>
                <w:sz w:val="24"/>
                <w:szCs w:val="20"/>
              </w:rPr>
              <w:t>有一座危废暂存间，位于硝酸铵库房西侧约20m处，建筑面积为16m</w:t>
            </w:r>
            <w:r>
              <w:rPr>
                <w:rFonts w:hint="eastAsia"/>
                <w:color w:val="auto"/>
                <w:kern w:val="0"/>
                <w:sz w:val="24"/>
                <w:szCs w:val="20"/>
                <w:vertAlign w:val="superscript"/>
              </w:rPr>
              <w:t>2</w:t>
            </w:r>
            <w:r>
              <w:rPr>
                <w:rFonts w:hint="eastAsia"/>
                <w:color w:val="auto"/>
                <w:kern w:val="0"/>
                <w:sz w:val="24"/>
                <w:szCs w:val="20"/>
                <w:lang w:eastAsia="zh-CN"/>
              </w:rPr>
              <w:t>，</w:t>
            </w:r>
            <w:r>
              <w:rPr>
                <w:rFonts w:hint="eastAsia"/>
                <w:color w:val="auto"/>
                <w:kern w:val="0"/>
                <w:sz w:val="24"/>
                <w:szCs w:val="20"/>
              </w:rPr>
              <w:t>室内地面防渗处理，周围设置有导流槽，危废暂存间采取危废管理制度上墙，双人双锁管制等措施，且设置有规范化标识标牌</w:t>
            </w:r>
            <w:r>
              <w:rPr>
                <w:rFonts w:hint="eastAsia"/>
                <w:color w:val="auto"/>
                <w:kern w:val="0"/>
                <w:sz w:val="24"/>
                <w:szCs w:val="20"/>
                <w:lang w:val="en-US" w:eastAsia="zh-CN"/>
              </w:rPr>
              <w:t>，危废暂存间的建设满足</w:t>
            </w:r>
            <w:r>
              <w:rPr>
                <w:rFonts w:hint="eastAsia" w:ascii="Times New Roman" w:hAnsi="Times New Roman" w:eastAsia="宋体" w:cs="Times New Roman"/>
                <w:color w:val="auto"/>
                <w:kern w:val="0"/>
                <w:sz w:val="24"/>
                <w:szCs w:val="20"/>
              </w:rPr>
              <w:t>《危险废物贮存污染控制标准》（GB18597-2</w:t>
            </w:r>
            <w:r>
              <w:rPr>
                <w:rFonts w:hint="eastAsia" w:ascii="Times New Roman" w:hAnsi="Times New Roman" w:eastAsia="宋体" w:cs="Times New Roman"/>
                <w:color w:val="auto"/>
                <w:kern w:val="0"/>
                <w:sz w:val="24"/>
                <w:szCs w:val="20"/>
                <w:lang w:val="en-US" w:eastAsia="zh-CN"/>
              </w:rPr>
              <w:t>023</w:t>
            </w:r>
            <w:r>
              <w:rPr>
                <w:rFonts w:hint="eastAsia" w:ascii="Times New Roman" w:hAnsi="Times New Roman" w:eastAsia="宋体" w:cs="Times New Roman"/>
                <w:color w:val="auto"/>
                <w:kern w:val="0"/>
                <w:sz w:val="24"/>
                <w:szCs w:val="20"/>
              </w:rPr>
              <w:t>）</w:t>
            </w:r>
            <w:r>
              <w:rPr>
                <w:rFonts w:hint="eastAsia" w:ascii="Times New Roman" w:hAnsi="Times New Roman" w:eastAsia="宋体" w:cs="Times New Roman"/>
                <w:color w:val="auto"/>
                <w:kern w:val="0"/>
                <w:sz w:val="24"/>
                <w:szCs w:val="20"/>
                <w:lang w:val="en-US" w:eastAsia="zh-CN"/>
              </w:rPr>
              <w:t>的相关要求</w:t>
            </w:r>
            <w:r>
              <w:rPr>
                <w:rFonts w:hint="eastAsia" w:cs="Times New Roman"/>
                <w:color w:val="auto"/>
                <w:kern w:val="0"/>
                <w:sz w:val="24"/>
                <w:szCs w:val="20"/>
                <w:lang w:val="en-US" w:eastAsia="zh-CN"/>
              </w:rPr>
              <w:t>。</w:t>
            </w:r>
          </w:p>
          <w:p>
            <w:pPr>
              <w:pStyle w:val="36"/>
              <w:rPr>
                <w:color w:val="auto"/>
              </w:rPr>
            </w:pPr>
            <w:r>
              <w:rPr>
                <w:color w:val="auto"/>
              </w:rPr>
              <w:t>表</w:t>
            </w:r>
            <w:r>
              <w:rPr>
                <w:rFonts w:hint="eastAsia"/>
                <w:color w:val="auto"/>
              </w:rPr>
              <w:t>2-15</w:t>
            </w:r>
            <w:r>
              <w:rPr>
                <w:color w:val="auto"/>
              </w:rPr>
              <w:t xml:space="preserve">    现有工程运行期</w:t>
            </w:r>
            <w:r>
              <w:rPr>
                <w:rFonts w:hint="eastAsia"/>
                <w:color w:val="auto"/>
              </w:rPr>
              <w:t>“</w:t>
            </w:r>
            <w:r>
              <w:rPr>
                <w:color w:val="auto"/>
              </w:rPr>
              <w:t>三废</w:t>
            </w:r>
            <w:r>
              <w:rPr>
                <w:rFonts w:hint="eastAsia"/>
                <w:color w:val="auto"/>
              </w:rPr>
              <w:t>”</w:t>
            </w:r>
            <w:r>
              <w:rPr>
                <w:color w:val="auto"/>
              </w:rPr>
              <w:t>产排情况汇总表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35"/>
              <w:gridCol w:w="1214"/>
              <w:gridCol w:w="1330"/>
              <w:gridCol w:w="2369"/>
              <w:gridCol w:w="264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0" w:hRule="atLeast"/>
                <w:jc w:val="center"/>
              </w:trPr>
              <w:tc>
                <w:tcPr>
                  <w:tcW w:w="497" w:type="pct"/>
                  <w:vAlign w:val="center"/>
                </w:tcPr>
                <w:p>
                  <w:pPr>
                    <w:jc w:val="center"/>
                    <w:rPr>
                      <w:bCs/>
                      <w:color w:val="auto"/>
                      <w:szCs w:val="21"/>
                    </w:rPr>
                  </w:pPr>
                  <w:r>
                    <w:rPr>
                      <w:bCs/>
                      <w:color w:val="auto"/>
                      <w:szCs w:val="21"/>
                    </w:rPr>
                    <w:t>类型</w:t>
                  </w:r>
                </w:p>
              </w:tc>
              <w:tc>
                <w:tcPr>
                  <w:tcW w:w="723" w:type="pct"/>
                  <w:vAlign w:val="center"/>
                </w:tcPr>
                <w:p>
                  <w:pPr>
                    <w:jc w:val="center"/>
                    <w:rPr>
                      <w:bCs/>
                      <w:color w:val="auto"/>
                      <w:szCs w:val="21"/>
                    </w:rPr>
                  </w:pPr>
                  <w:r>
                    <w:rPr>
                      <w:bCs/>
                      <w:color w:val="auto"/>
                      <w:szCs w:val="21"/>
                    </w:rPr>
                    <w:t>排放源</w:t>
                  </w:r>
                </w:p>
              </w:tc>
              <w:tc>
                <w:tcPr>
                  <w:tcW w:w="792" w:type="pct"/>
                  <w:vAlign w:val="center"/>
                </w:tcPr>
                <w:p>
                  <w:pPr>
                    <w:jc w:val="center"/>
                    <w:rPr>
                      <w:bCs/>
                      <w:color w:val="auto"/>
                      <w:szCs w:val="21"/>
                    </w:rPr>
                  </w:pPr>
                  <w:r>
                    <w:rPr>
                      <w:bCs/>
                      <w:color w:val="auto"/>
                      <w:szCs w:val="21"/>
                    </w:rPr>
                    <w:t>污染物名称</w:t>
                  </w:r>
                </w:p>
              </w:tc>
              <w:tc>
                <w:tcPr>
                  <w:tcW w:w="1411" w:type="pct"/>
                  <w:vAlign w:val="center"/>
                </w:tcPr>
                <w:p>
                  <w:pPr>
                    <w:jc w:val="center"/>
                    <w:rPr>
                      <w:bCs/>
                      <w:color w:val="auto"/>
                      <w:szCs w:val="21"/>
                    </w:rPr>
                  </w:pPr>
                  <w:r>
                    <w:rPr>
                      <w:rFonts w:hint="eastAsia"/>
                      <w:bCs/>
                      <w:color w:val="auto"/>
                      <w:szCs w:val="21"/>
                    </w:rPr>
                    <w:t>污染物防治措施</w:t>
                  </w:r>
                </w:p>
              </w:tc>
              <w:tc>
                <w:tcPr>
                  <w:tcW w:w="1575" w:type="pct"/>
                  <w:vAlign w:val="center"/>
                </w:tcPr>
                <w:p>
                  <w:pPr>
                    <w:jc w:val="center"/>
                    <w:rPr>
                      <w:bCs/>
                      <w:color w:val="auto"/>
                      <w:szCs w:val="21"/>
                    </w:rPr>
                  </w:pPr>
                  <w:r>
                    <w:rPr>
                      <w:rFonts w:hint="eastAsia"/>
                      <w:bCs/>
                      <w:color w:val="auto"/>
                      <w:szCs w:val="21"/>
                    </w:rPr>
                    <w:t>已建成项目污染物</w:t>
                  </w:r>
                  <w:r>
                    <w:rPr>
                      <w:bCs/>
                      <w:color w:val="auto"/>
                      <w:szCs w:val="21"/>
                    </w:rPr>
                    <w:t>排放量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497" w:type="pct"/>
                  <w:vMerge w:val="restart"/>
                  <w:vAlign w:val="center"/>
                </w:tcPr>
                <w:p>
                  <w:pPr>
                    <w:widowControl/>
                    <w:ind w:left="-105" w:leftChars="-50" w:right="-105" w:rightChars="-50"/>
                    <w:jc w:val="center"/>
                    <w:rPr>
                      <w:color w:val="auto"/>
                      <w:kern w:val="0"/>
                      <w:szCs w:val="21"/>
                    </w:rPr>
                  </w:pPr>
                  <w:r>
                    <w:rPr>
                      <w:rFonts w:hint="eastAsia"/>
                      <w:color w:val="auto"/>
                      <w:kern w:val="0"/>
                      <w:szCs w:val="21"/>
                    </w:rPr>
                    <w:t>大气污染物</w:t>
                  </w:r>
                </w:p>
              </w:tc>
              <w:tc>
                <w:tcPr>
                  <w:tcW w:w="723" w:type="pct"/>
                  <w:vMerge w:val="restart"/>
                  <w:vAlign w:val="center"/>
                </w:tcPr>
                <w:p>
                  <w:pPr>
                    <w:widowControl/>
                    <w:ind w:left="-105" w:leftChars="-50" w:right="-105" w:rightChars="-50"/>
                    <w:jc w:val="center"/>
                    <w:rPr>
                      <w:color w:val="auto"/>
                      <w:kern w:val="0"/>
                      <w:szCs w:val="21"/>
                    </w:rPr>
                  </w:pPr>
                  <w:r>
                    <w:rPr>
                      <w:rFonts w:hint="eastAsia"/>
                      <w:color w:val="auto"/>
                      <w:kern w:val="0"/>
                      <w:szCs w:val="21"/>
                    </w:rPr>
                    <w:t>厂界无组织排放</w:t>
                  </w:r>
                </w:p>
              </w:tc>
              <w:tc>
                <w:tcPr>
                  <w:tcW w:w="792" w:type="pct"/>
                  <w:vAlign w:val="center"/>
                </w:tcPr>
                <w:p>
                  <w:pPr>
                    <w:widowControl/>
                    <w:ind w:left="-105" w:leftChars="-50" w:right="-105" w:rightChars="-50"/>
                    <w:jc w:val="center"/>
                    <w:rPr>
                      <w:color w:val="auto"/>
                      <w:kern w:val="0"/>
                      <w:szCs w:val="21"/>
                    </w:rPr>
                  </w:pPr>
                  <w:r>
                    <w:rPr>
                      <w:rFonts w:hint="eastAsia"/>
                      <w:color w:val="auto"/>
                      <w:kern w:val="0"/>
                      <w:szCs w:val="21"/>
                    </w:rPr>
                    <w:t>颗粒物</w:t>
                  </w:r>
                </w:p>
              </w:tc>
              <w:tc>
                <w:tcPr>
                  <w:tcW w:w="1411" w:type="pct"/>
                  <w:vAlign w:val="center"/>
                </w:tcPr>
                <w:p>
                  <w:pPr>
                    <w:widowControl/>
                    <w:ind w:left="-105" w:leftChars="-50" w:right="-105" w:rightChars="-50"/>
                    <w:jc w:val="center"/>
                    <w:rPr>
                      <w:color w:val="auto"/>
                      <w:kern w:val="0"/>
                      <w:szCs w:val="21"/>
                    </w:rPr>
                  </w:pPr>
                  <w:r>
                    <w:rPr>
                      <w:rFonts w:hint="eastAsia"/>
                      <w:color w:val="auto"/>
                      <w:kern w:val="0"/>
                      <w:szCs w:val="21"/>
                    </w:rPr>
                    <w:t>排风扇</w:t>
                  </w:r>
                </w:p>
              </w:tc>
              <w:tc>
                <w:tcPr>
                  <w:tcW w:w="1575" w:type="pct"/>
                  <w:vAlign w:val="center"/>
                </w:tcPr>
                <w:p>
                  <w:pPr>
                    <w:widowControl/>
                    <w:ind w:left="-105" w:leftChars="-50" w:right="-105" w:rightChars="-50"/>
                    <w:jc w:val="center"/>
                    <w:rPr>
                      <w:color w:val="auto"/>
                      <w:kern w:val="0"/>
                      <w:szCs w:val="21"/>
                    </w:rPr>
                  </w:pPr>
                  <w:r>
                    <w:rPr>
                      <w:rFonts w:hint="eastAsia"/>
                      <w:color w:val="auto"/>
                      <w:kern w:val="0"/>
                      <w:szCs w:val="21"/>
                    </w:rPr>
                    <w:t>0.017</w:t>
                  </w:r>
                  <w:r>
                    <w:rPr>
                      <w:color w:val="auto"/>
                      <w:kern w:val="0"/>
                      <w:szCs w:val="21"/>
                    </w:rPr>
                    <w:t>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8" w:hRule="atLeast"/>
                <w:jc w:val="center"/>
              </w:trPr>
              <w:tc>
                <w:tcPr>
                  <w:tcW w:w="497" w:type="pct"/>
                  <w:vMerge w:val="continue"/>
                  <w:vAlign w:val="center"/>
                </w:tcPr>
                <w:p>
                  <w:pPr>
                    <w:widowControl/>
                    <w:ind w:left="-105" w:leftChars="-50" w:right="-105" w:rightChars="-50"/>
                    <w:jc w:val="center"/>
                    <w:rPr>
                      <w:color w:val="auto"/>
                      <w:kern w:val="0"/>
                      <w:szCs w:val="21"/>
                    </w:rPr>
                  </w:pPr>
                </w:p>
              </w:tc>
              <w:tc>
                <w:tcPr>
                  <w:tcW w:w="723" w:type="pct"/>
                  <w:vMerge w:val="continue"/>
                  <w:vAlign w:val="center"/>
                </w:tcPr>
                <w:p>
                  <w:pPr>
                    <w:widowControl/>
                    <w:ind w:left="-105" w:leftChars="-50" w:right="-105" w:rightChars="-50"/>
                    <w:jc w:val="center"/>
                    <w:rPr>
                      <w:color w:val="auto"/>
                      <w:kern w:val="0"/>
                      <w:szCs w:val="21"/>
                    </w:rPr>
                  </w:pPr>
                </w:p>
              </w:tc>
              <w:tc>
                <w:tcPr>
                  <w:tcW w:w="792" w:type="pct"/>
                  <w:vAlign w:val="center"/>
                </w:tcPr>
                <w:p>
                  <w:pPr>
                    <w:widowControl/>
                    <w:ind w:left="-105" w:leftChars="-50" w:right="-105" w:rightChars="-50"/>
                    <w:jc w:val="center"/>
                    <w:rPr>
                      <w:color w:val="auto"/>
                      <w:kern w:val="0"/>
                      <w:szCs w:val="21"/>
                    </w:rPr>
                  </w:pPr>
                  <w:r>
                    <w:rPr>
                      <w:rFonts w:hint="eastAsia"/>
                      <w:color w:val="auto"/>
                      <w:kern w:val="0"/>
                      <w:szCs w:val="21"/>
                    </w:rPr>
                    <w:t>非甲烷总烃</w:t>
                  </w:r>
                </w:p>
              </w:tc>
              <w:tc>
                <w:tcPr>
                  <w:tcW w:w="1411" w:type="pct"/>
                  <w:vAlign w:val="center"/>
                </w:tcPr>
                <w:p>
                  <w:pPr>
                    <w:pStyle w:val="35"/>
                    <w:rPr>
                      <w:color w:val="auto"/>
                    </w:rPr>
                  </w:pPr>
                  <w:r>
                    <w:rPr>
                      <w:rFonts w:hint="eastAsia"/>
                      <w:color w:val="auto"/>
                    </w:rPr>
                    <w:t>空气稀释扩散</w:t>
                  </w:r>
                </w:p>
              </w:tc>
              <w:tc>
                <w:tcPr>
                  <w:tcW w:w="1575" w:type="pct"/>
                  <w:vAlign w:val="center"/>
                </w:tcPr>
                <w:p>
                  <w:pPr>
                    <w:widowControl/>
                    <w:ind w:left="-105" w:leftChars="-50" w:right="-105" w:rightChars="-50"/>
                    <w:jc w:val="center"/>
                    <w:rPr>
                      <w:color w:val="auto"/>
                      <w:kern w:val="0"/>
                      <w:szCs w:val="21"/>
                    </w:rPr>
                  </w:pPr>
                  <w:r>
                    <w:rPr>
                      <w:rFonts w:hint="eastAsia"/>
                      <w:color w:val="auto"/>
                      <w:kern w:val="0"/>
                      <w:szCs w:val="21"/>
                    </w:rPr>
                    <w:t>0.038</w:t>
                  </w:r>
                  <w:r>
                    <w:rPr>
                      <w:color w:val="auto"/>
                      <w:kern w:val="0"/>
                      <w:szCs w:val="21"/>
                    </w:rPr>
                    <w:t>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8" w:hRule="atLeast"/>
                <w:jc w:val="center"/>
              </w:trPr>
              <w:tc>
                <w:tcPr>
                  <w:tcW w:w="497" w:type="pct"/>
                  <w:vMerge w:val="continue"/>
                  <w:vAlign w:val="center"/>
                </w:tcPr>
                <w:p>
                  <w:pPr>
                    <w:widowControl/>
                    <w:ind w:left="-105" w:leftChars="-50" w:right="-105" w:rightChars="-50"/>
                    <w:jc w:val="center"/>
                    <w:rPr>
                      <w:color w:val="auto"/>
                      <w:kern w:val="0"/>
                      <w:szCs w:val="21"/>
                    </w:rPr>
                  </w:pPr>
                </w:p>
              </w:tc>
              <w:tc>
                <w:tcPr>
                  <w:tcW w:w="723" w:type="pct"/>
                  <w:vMerge w:val="continue"/>
                  <w:vAlign w:val="center"/>
                </w:tcPr>
                <w:p>
                  <w:pPr>
                    <w:widowControl/>
                    <w:ind w:left="-105" w:leftChars="-50" w:right="-105" w:rightChars="-50"/>
                    <w:jc w:val="center"/>
                    <w:rPr>
                      <w:color w:val="auto"/>
                      <w:kern w:val="0"/>
                      <w:szCs w:val="21"/>
                    </w:rPr>
                  </w:pPr>
                </w:p>
              </w:tc>
              <w:tc>
                <w:tcPr>
                  <w:tcW w:w="792" w:type="pct"/>
                  <w:vAlign w:val="center"/>
                </w:tcPr>
                <w:p>
                  <w:pPr>
                    <w:widowControl/>
                    <w:ind w:left="-105" w:leftChars="-50" w:right="-105" w:rightChars="-50"/>
                    <w:jc w:val="center"/>
                    <w:rPr>
                      <w:color w:val="auto"/>
                      <w:kern w:val="0"/>
                      <w:szCs w:val="21"/>
                    </w:rPr>
                  </w:pPr>
                  <w:r>
                    <w:rPr>
                      <w:rFonts w:hint="eastAsia"/>
                      <w:color w:val="auto"/>
                      <w:kern w:val="0"/>
                      <w:szCs w:val="21"/>
                    </w:rPr>
                    <w:t>氨</w:t>
                  </w:r>
                </w:p>
              </w:tc>
              <w:tc>
                <w:tcPr>
                  <w:tcW w:w="1411" w:type="pct"/>
                  <w:vAlign w:val="center"/>
                </w:tcPr>
                <w:p>
                  <w:pPr>
                    <w:pStyle w:val="35"/>
                    <w:rPr>
                      <w:color w:val="auto"/>
                    </w:rPr>
                  </w:pPr>
                  <w:r>
                    <w:rPr>
                      <w:rFonts w:hint="eastAsia"/>
                      <w:color w:val="auto"/>
                    </w:rPr>
                    <w:t>通风换气</w:t>
                  </w:r>
                </w:p>
              </w:tc>
              <w:tc>
                <w:tcPr>
                  <w:tcW w:w="1575" w:type="pct"/>
                  <w:vAlign w:val="center"/>
                </w:tcPr>
                <w:p>
                  <w:pPr>
                    <w:widowControl/>
                    <w:ind w:left="-105" w:leftChars="-50" w:right="-105" w:rightChars="-50"/>
                    <w:jc w:val="center"/>
                    <w:rPr>
                      <w:color w:val="auto"/>
                      <w:kern w:val="0"/>
                      <w:szCs w:val="21"/>
                    </w:rPr>
                  </w:pPr>
                  <w:r>
                    <w:rPr>
                      <w:rFonts w:hint="eastAsia"/>
                      <w:color w:val="auto"/>
                      <w:kern w:val="0"/>
                      <w:szCs w:val="21"/>
                    </w:rPr>
                    <w:t>少量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497" w:type="pct"/>
                  <w:vMerge w:val="restart"/>
                  <w:vAlign w:val="center"/>
                </w:tcPr>
                <w:p>
                  <w:pPr>
                    <w:widowControl/>
                    <w:ind w:left="-105" w:leftChars="-50" w:right="-105" w:rightChars="-50"/>
                    <w:jc w:val="center"/>
                    <w:rPr>
                      <w:color w:val="auto"/>
                      <w:kern w:val="0"/>
                      <w:szCs w:val="21"/>
                    </w:rPr>
                  </w:pPr>
                  <w:r>
                    <w:rPr>
                      <w:rFonts w:hint="eastAsia"/>
                      <w:color w:val="auto"/>
                      <w:kern w:val="0"/>
                      <w:szCs w:val="21"/>
                    </w:rPr>
                    <w:t>水污</w:t>
                  </w:r>
                </w:p>
                <w:p>
                  <w:pPr>
                    <w:widowControl/>
                    <w:ind w:left="-105" w:leftChars="-50" w:right="-105" w:rightChars="-50"/>
                    <w:jc w:val="center"/>
                    <w:rPr>
                      <w:color w:val="auto"/>
                      <w:kern w:val="0"/>
                      <w:szCs w:val="21"/>
                    </w:rPr>
                  </w:pPr>
                  <w:r>
                    <w:rPr>
                      <w:rFonts w:hint="eastAsia"/>
                      <w:color w:val="auto"/>
                      <w:kern w:val="0"/>
                      <w:szCs w:val="21"/>
                    </w:rPr>
                    <w:t>染物</w:t>
                  </w:r>
                </w:p>
              </w:tc>
              <w:tc>
                <w:tcPr>
                  <w:tcW w:w="723" w:type="pct"/>
                  <w:vMerge w:val="restart"/>
                  <w:vAlign w:val="center"/>
                </w:tcPr>
                <w:p>
                  <w:pPr>
                    <w:widowControl/>
                    <w:ind w:left="-105" w:leftChars="-50" w:right="-105" w:rightChars="-50"/>
                    <w:jc w:val="center"/>
                    <w:rPr>
                      <w:color w:val="auto"/>
                      <w:kern w:val="0"/>
                      <w:szCs w:val="21"/>
                    </w:rPr>
                  </w:pPr>
                  <w:r>
                    <w:rPr>
                      <w:rFonts w:hint="eastAsia"/>
                      <w:color w:val="auto"/>
                      <w:kern w:val="0"/>
                      <w:szCs w:val="21"/>
                    </w:rPr>
                    <w:t>生活设施及</w:t>
                  </w:r>
                </w:p>
                <w:p>
                  <w:pPr>
                    <w:widowControl/>
                    <w:ind w:left="-105" w:leftChars="-50" w:right="-105" w:rightChars="-50"/>
                    <w:jc w:val="center"/>
                    <w:rPr>
                      <w:color w:val="auto"/>
                      <w:kern w:val="0"/>
                      <w:szCs w:val="21"/>
                    </w:rPr>
                  </w:pPr>
                  <w:r>
                    <w:rPr>
                      <w:rFonts w:hint="eastAsia"/>
                      <w:color w:val="auto"/>
                      <w:kern w:val="0"/>
                      <w:szCs w:val="21"/>
                    </w:rPr>
                    <w:t>洗车设施</w:t>
                  </w:r>
                </w:p>
              </w:tc>
              <w:tc>
                <w:tcPr>
                  <w:tcW w:w="792" w:type="pct"/>
                  <w:vAlign w:val="center"/>
                </w:tcPr>
                <w:p>
                  <w:pPr>
                    <w:widowControl/>
                    <w:ind w:left="-105" w:leftChars="-50" w:right="-105" w:rightChars="-50"/>
                    <w:jc w:val="center"/>
                    <w:rPr>
                      <w:color w:val="auto"/>
                      <w:kern w:val="0"/>
                      <w:szCs w:val="21"/>
                    </w:rPr>
                  </w:pPr>
                  <w:r>
                    <w:rPr>
                      <w:rFonts w:hint="eastAsia"/>
                      <w:color w:val="auto"/>
                      <w:kern w:val="0"/>
                      <w:szCs w:val="21"/>
                    </w:rPr>
                    <w:t>废水量：741.25m</w:t>
                  </w:r>
                  <w:r>
                    <w:rPr>
                      <w:rFonts w:hint="eastAsia"/>
                      <w:color w:val="auto"/>
                      <w:kern w:val="0"/>
                      <w:szCs w:val="21"/>
                      <w:vertAlign w:val="superscript"/>
                    </w:rPr>
                    <w:t>3</w:t>
                  </w:r>
                  <w:r>
                    <w:rPr>
                      <w:rFonts w:hint="eastAsia"/>
                      <w:color w:val="auto"/>
                      <w:kern w:val="0"/>
                      <w:szCs w:val="21"/>
                    </w:rPr>
                    <w:t>/a</w:t>
                  </w:r>
                </w:p>
              </w:tc>
              <w:tc>
                <w:tcPr>
                  <w:tcW w:w="1411" w:type="pct"/>
                  <w:vMerge w:val="restart"/>
                  <w:vAlign w:val="center"/>
                </w:tcPr>
                <w:p>
                  <w:pPr>
                    <w:pStyle w:val="35"/>
                    <w:rPr>
                      <w:color w:val="auto"/>
                    </w:rPr>
                  </w:pPr>
                  <w:r>
                    <w:rPr>
                      <w:rFonts w:hint="eastAsia"/>
                      <w:color w:val="auto"/>
                    </w:rPr>
                    <w:t>洗车废水经已建隔油沉淀池处理后与生活污水一同经已建地埋式污水处理厂处理后用于厂区绿化，不外排。</w:t>
                  </w:r>
                </w:p>
              </w:tc>
              <w:tc>
                <w:tcPr>
                  <w:tcW w:w="1575" w:type="pct"/>
                  <w:vAlign w:val="center"/>
                </w:tcPr>
                <w:p>
                  <w:pPr>
                    <w:widowControl/>
                    <w:ind w:left="-105" w:leftChars="-50" w:right="-105" w:rightChars="-50"/>
                    <w:jc w:val="center"/>
                    <w:rPr>
                      <w:color w:val="auto"/>
                      <w:kern w:val="0"/>
                      <w:szCs w:val="21"/>
                    </w:rPr>
                  </w:pPr>
                  <w:r>
                    <w:rPr>
                      <w:rFonts w:hint="eastAsia"/>
                      <w:color w:val="auto"/>
                      <w:kern w:val="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497" w:type="pct"/>
                  <w:vMerge w:val="continue"/>
                  <w:vAlign w:val="center"/>
                </w:tcPr>
                <w:p>
                  <w:pPr>
                    <w:widowControl/>
                    <w:ind w:left="-105" w:leftChars="-50" w:right="-105" w:rightChars="-50"/>
                    <w:jc w:val="center"/>
                    <w:rPr>
                      <w:color w:val="auto"/>
                    </w:rPr>
                  </w:pPr>
                </w:p>
              </w:tc>
              <w:tc>
                <w:tcPr>
                  <w:tcW w:w="723" w:type="pct"/>
                  <w:vMerge w:val="continue"/>
                  <w:vAlign w:val="center"/>
                </w:tcPr>
                <w:p>
                  <w:pPr>
                    <w:widowControl/>
                    <w:ind w:left="-105" w:leftChars="-50" w:right="-105" w:rightChars="-50"/>
                    <w:jc w:val="center"/>
                    <w:rPr>
                      <w:color w:val="auto"/>
                    </w:rPr>
                  </w:pPr>
                </w:p>
              </w:tc>
              <w:tc>
                <w:tcPr>
                  <w:tcW w:w="792" w:type="pct"/>
                  <w:vAlign w:val="center"/>
                </w:tcPr>
                <w:p>
                  <w:pPr>
                    <w:widowControl/>
                    <w:ind w:left="-105" w:leftChars="-50" w:right="-105" w:rightChars="-50"/>
                    <w:jc w:val="center"/>
                    <w:rPr>
                      <w:color w:val="auto"/>
                      <w:kern w:val="0"/>
                      <w:szCs w:val="21"/>
                    </w:rPr>
                  </w:pPr>
                  <w:r>
                    <w:rPr>
                      <w:rFonts w:hint="eastAsia"/>
                      <w:color w:val="auto"/>
                      <w:kern w:val="0"/>
                      <w:szCs w:val="21"/>
                    </w:rPr>
                    <w:t>COD</w:t>
                  </w:r>
                </w:p>
              </w:tc>
              <w:tc>
                <w:tcPr>
                  <w:tcW w:w="1411" w:type="pct"/>
                  <w:vMerge w:val="continue"/>
                  <w:vAlign w:val="center"/>
                </w:tcPr>
                <w:p>
                  <w:pPr>
                    <w:pStyle w:val="35"/>
                    <w:rPr>
                      <w:color w:val="auto"/>
                    </w:rPr>
                  </w:pPr>
                </w:p>
              </w:tc>
              <w:tc>
                <w:tcPr>
                  <w:tcW w:w="1575" w:type="pct"/>
                  <w:vAlign w:val="center"/>
                </w:tcPr>
                <w:p>
                  <w:pPr>
                    <w:widowControl/>
                    <w:ind w:left="-105" w:leftChars="-50" w:right="-105" w:rightChars="-50"/>
                    <w:jc w:val="center"/>
                    <w:rPr>
                      <w:color w:val="auto"/>
                      <w:kern w:val="0"/>
                      <w:szCs w:val="21"/>
                    </w:rPr>
                  </w:pPr>
                  <w:r>
                    <w:rPr>
                      <w:rFonts w:hint="eastAsia"/>
                      <w:color w:val="auto"/>
                      <w:kern w:val="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497" w:type="pct"/>
                  <w:vMerge w:val="continue"/>
                  <w:vAlign w:val="center"/>
                </w:tcPr>
                <w:p>
                  <w:pPr>
                    <w:widowControl/>
                    <w:ind w:left="-105" w:leftChars="-50" w:right="-105" w:rightChars="-50"/>
                    <w:jc w:val="center"/>
                    <w:rPr>
                      <w:color w:val="auto"/>
                    </w:rPr>
                  </w:pPr>
                </w:p>
              </w:tc>
              <w:tc>
                <w:tcPr>
                  <w:tcW w:w="723" w:type="pct"/>
                  <w:vMerge w:val="continue"/>
                  <w:vAlign w:val="center"/>
                </w:tcPr>
                <w:p>
                  <w:pPr>
                    <w:widowControl/>
                    <w:ind w:left="-105" w:leftChars="-50" w:right="-105" w:rightChars="-50"/>
                    <w:jc w:val="center"/>
                    <w:rPr>
                      <w:color w:val="auto"/>
                    </w:rPr>
                  </w:pPr>
                </w:p>
              </w:tc>
              <w:tc>
                <w:tcPr>
                  <w:tcW w:w="792" w:type="pct"/>
                  <w:vAlign w:val="center"/>
                </w:tcPr>
                <w:p>
                  <w:pPr>
                    <w:widowControl/>
                    <w:ind w:left="-105" w:leftChars="-50" w:right="-105" w:rightChars="-50"/>
                    <w:jc w:val="center"/>
                    <w:rPr>
                      <w:color w:val="auto"/>
                      <w:kern w:val="0"/>
                      <w:szCs w:val="21"/>
                    </w:rPr>
                  </w:pPr>
                  <w:r>
                    <w:rPr>
                      <w:rFonts w:hint="eastAsia"/>
                      <w:color w:val="auto"/>
                      <w:kern w:val="0"/>
                      <w:szCs w:val="21"/>
                    </w:rPr>
                    <w:t>BOD</w:t>
                  </w:r>
                  <w:r>
                    <w:rPr>
                      <w:rFonts w:hint="eastAsia"/>
                      <w:color w:val="auto"/>
                      <w:kern w:val="0"/>
                      <w:szCs w:val="21"/>
                      <w:vertAlign w:val="subscript"/>
                    </w:rPr>
                    <w:t>5</w:t>
                  </w:r>
                </w:p>
              </w:tc>
              <w:tc>
                <w:tcPr>
                  <w:tcW w:w="1411" w:type="pct"/>
                  <w:vMerge w:val="continue"/>
                  <w:vAlign w:val="center"/>
                </w:tcPr>
                <w:p>
                  <w:pPr>
                    <w:pStyle w:val="35"/>
                    <w:rPr>
                      <w:color w:val="auto"/>
                    </w:rPr>
                  </w:pPr>
                </w:p>
              </w:tc>
              <w:tc>
                <w:tcPr>
                  <w:tcW w:w="1575" w:type="pct"/>
                  <w:vAlign w:val="center"/>
                </w:tcPr>
                <w:p>
                  <w:pPr>
                    <w:widowControl/>
                    <w:ind w:left="-105" w:leftChars="-50" w:right="-105" w:rightChars="-50"/>
                    <w:jc w:val="center"/>
                    <w:rPr>
                      <w:color w:val="auto"/>
                      <w:kern w:val="0"/>
                      <w:szCs w:val="21"/>
                    </w:rPr>
                  </w:pPr>
                  <w:r>
                    <w:rPr>
                      <w:rFonts w:hint="eastAsia"/>
                      <w:color w:val="auto"/>
                      <w:kern w:val="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497" w:type="pct"/>
                  <w:vMerge w:val="continue"/>
                  <w:vAlign w:val="center"/>
                </w:tcPr>
                <w:p>
                  <w:pPr>
                    <w:widowControl/>
                    <w:ind w:left="-105" w:leftChars="-50" w:right="-105" w:rightChars="-50"/>
                    <w:jc w:val="center"/>
                    <w:rPr>
                      <w:color w:val="auto"/>
                    </w:rPr>
                  </w:pPr>
                </w:p>
              </w:tc>
              <w:tc>
                <w:tcPr>
                  <w:tcW w:w="723" w:type="pct"/>
                  <w:vMerge w:val="continue"/>
                  <w:vAlign w:val="center"/>
                </w:tcPr>
                <w:p>
                  <w:pPr>
                    <w:widowControl/>
                    <w:ind w:left="-105" w:leftChars="-50" w:right="-105" w:rightChars="-50"/>
                    <w:jc w:val="center"/>
                    <w:rPr>
                      <w:color w:val="auto"/>
                    </w:rPr>
                  </w:pPr>
                </w:p>
              </w:tc>
              <w:tc>
                <w:tcPr>
                  <w:tcW w:w="792" w:type="pct"/>
                  <w:vAlign w:val="center"/>
                </w:tcPr>
                <w:p>
                  <w:pPr>
                    <w:widowControl/>
                    <w:ind w:left="-105" w:leftChars="-50" w:right="-105" w:rightChars="-50"/>
                    <w:jc w:val="center"/>
                    <w:rPr>
                      <w:color w:val="auto"/>
                      <w:kern w:val="0"/>
                      <w:szCs w:val="21"/>
                    </w:rPr>
                  </w:pPr>
                  <w:r>
                    <w:rPr>
                      <w:rFonts w:hint="eastAsia"/>
                      <w:color w:val="auto"/>
                      <w:kern w:val="0"/>
                      <w:szCs w:val="21"/>
                    </w:rPr>
                    <w:t xml:space="preserve">SS </w:t>
                  </w:r>
                </w:p>
              </w:tc>
              <w:tc>
                <w:tcPr>
                  <w:tcW w:w="1411" w:type="pct"/>
                  <w:vMerge w:val="continue"/>
                  <w:vAlign w:val="center"/>
                </w:tcPr>
                <w:p>
                  <w:pPr>
                    <w:pStyle w:val="35"/>
                    <w:rPr>
                      <w:color w:val="auto"/>
                    </w:rPr>
                  </w:pPr>
                </w:p>
              </w:tc>
              <w:tc>
                <w:tcPr>
                  <w:tcW w:w="1575" w:type="pct"/>
                  <w:vAlign w:val="center"/>
                </w:tcPr>
                <w:p>
                  <w:pPr>
                    <w:widowControl/>
                    <w:ind w:left="-105" w:leftChars="-50" w:right="-105" w:rightChars="-50"/>
                    <w:jc w:val="center"/>
                    <w:rPr>
                      <w:color w:val="auto"/>
                      <w:kern w:val="0"/>
                      <w:szCs w:val="21"/>
                    </w:rPr>
                  </w:pPr>
                  <w:r>
                    <w:rPr>
                      <w:rFonts w:hint="eastAsia"/>
                      <w:color w:val="auto"/>
                      <w:kern w:val="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497" w:type="pct"/>
                  <w:vMerge w:val="continue"/>
                  <w:vAlign w:val="center"/>
                </w:tcPr>
                <w:p>
                  <w:pPr>
                    <w:widowControl/>
                    <w:ind w:left="-105" w:leftChars="-50" w:right="-105" w:rightChars="-50"/>
                    <w:jc w:val="center"/>
                    <w:rPr>
                      <w:color w:val="auto"/>
                    </w:rPr>
                  </w:pPr>
                </w:p>
              </w:tc>
              <w:tc>
                <w:tcPr>
                  <w:tcW w:w="723" w:type="pct"/>
                  <w:vMerge w:val="continue"/>
                  <w:vAlign w:val="center"/>
                </w:tcPr>
                <w:p>
                  <w:pPr>
                    <w:widowControl/>
                    <w:ind w:left="-105" w:leftChars="-50" w:right="-105" w:rightChars="-50"/>
                    <w:jc w:val="center"/>
                    <w:rPr>
                      <w:color w:val="auto"/>
                    </w:rPr>
                  </w:pPr>
                </w:p>
              </w:tc>
              <w:tc>
                <w:tcPr>
                  <w:tcW w:w="792" w:type="pct"/>
                  <w:vAlign w:val="center"/>
                </w:tcPr>
                <w:p>
                  <w:pPr>
                    <w:widowControl/>
                    <w:ind w:left="-105" w:leftChars="-50" w:right="-105" w:rightChars="-50"/>
                    <w:jc w:val="center"/>
                    <w:rPr>
                      <w:color w:val="auto"/>
                      <w:kern w:val="0"/>
                      <w:szCs w:val="21"/>
                    </w:rPr>
                  </w:pPr>
                  <w:r>
                    <w:rPr>
                      <w:rFonts w:hint="eastAsia"/>
                      <w:color w:val="auto"/>
                      <w:kern w:val="0"/>
                      <w:szCs w:val="21"/>
                    </w:rPr>
                    <w:t>氨氮</w:t>
                  </w:r>
                </w:p>
              </w:tc>
              <w:tc>
                <w:tcPr>
                  <w:tcW w:w="1411" w:type="pct"/>
                  <w:vMerge w:val="continue"/>
                  <w:vAlign w:val="center"/>
                </w:tcPr>
                <w:p>
                  <w:pPr>
                    <w:pStyle w:val="35"/>
                    <w:rPr>
                      <w:color w:val="auto"/>
                    </w:rPr>
                  </w:pPr>
                </w:p>
              </w:tc>
              <w:tc>
                <w:tcPr>
                  <w:tcW w:w="1575" w:type="pct"/>
                  <w:vAlign w:val="center"/>
                </w:tcPr>
                <w:p>
                  <w:pPr>
                    <w:widowControl/>
                    <w:ind w:left="-105" w:leftChars="-50" w:right="-105" w:rightChars="-50"/>
                    <w:jc w:val="center"/>
                    <w:rPr>
                      <w:color w:val="auto"/>
                      <w:kern w:val="0"/>
                      <w:szCs w:val="21"/>
                    </w:rPr>
                  </w:pPr>
                  <w:r>
                    <w:rPr>
                      <w:rFonts w:hint="eastAsia"/>
                      <w:color w:val="auto"/>
                      <w:kern w:val="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8" w:hRule="atLeast"/>
                <w:jc w:val="center"/>
              </w:trPr>
              <w:tc>
                <w:tcPr>
                  <w:tcW w:w="497" w:type="pct"/>
                  <w:vMerge w:val="continue"/>
                  <w:vAlign w:val="center"/>
                </w:tcPr>
                <w:p>
                  <w:pPr>
                    <w:widowControl/>
                    <w:ind w:left="-105" w:leftChars="-50" w:right="-105" w:rightChars="-50"/>
                    <w:jc w:val="center"/>
                    <w:rPr>
                      <w:color w:val="auto"/>
                      <w:kern w:val="0"/>
                      <w:szCs w:val="21"/>
                    </w:rPr>
                  </w:pPr>
                </w:p>
              </w:tc>
              <w:tc>
                <w:tcPr>
                  <w:tcW w:w="723" w:type="pct"/>
                  <w:vMerge w:val="continue"/>
                  <w:vAlign w:val="center"/>
                </w:tcPr>
                <w:p>
                  <w:pPr>
                    <w:widowControl/>
                    <w:ind w:left="-105" w:leftChars="-50" w:right="-105" w:rightChars="-50"/>
                    <w:jc w:val="center"/>
                    <w:rPr>
                      <w:color w:val="auto"/>
                      <w:kern w:val="0"/>
                      <w:szCs w:val="21"/>
                    </w:rPr>
                  </w:pPr>
                </w:p>
              </w:tc>
              <w:tc>
                <w:tcPr>
                  <w:tcW w:w="792" w:type="pct"/>
                  <w:vAlign w:val="center"/>
                </w:tcPr>
                <w:p>
                  <w:pPr>
                    <w:widowControl/>
                    <w:ind w:left="-105" w:leftChars="-50" w:right="-105" w:rightChars="-50"/>
                    <w:jc w:val="center"/>
                    <w:rPr>
                      <w:color w:val="auto"/>
                      <w:kern w:val="0"/>
                      <w:szCs w:val="21"/>
                    </w:rPr>
                  </w:pPr>
                  <w:r>
                    <w:rPr>
                      <w:rFonts w:hint="eastAsia"/>
                      <w:color w:val="auto"/>
                      <w:kern w:val="0"/>
                      <w:szCs w:val="21"/>
                    </w:rPr>
                    <w:t>石油类</w:t>
                  </w:r>
                </w:p>
              </w:tc>
              <w:tc>
                <w:tcPr>
                  <w:tcW w:w="1411" w:type="pct"/>
                  <w:vMerge w:val="continue"/>
                  <w:vAlign w:val="center"/>
                </w:tcPr>
                <w:p>
                  <w:pPr>
                    <w:pStyle w:val="35"/>
                    <w:rPr>
                      <w:color w:val="auto"/>
                    </w:rPr>
                  </w:pPr>
                </w:p>
              </w:tc>
              <w:tc>
                <w:tcPr>
                  <w:tcW w:w="1575" w:type="pct"/>
                  <w:vAlign w:val="center"/>
                </w:tcPr>
                <w:p>
                  <w:pPr>
                    <w:widowControl/>
                    <w:ind w:left="-105" w:leftChars="-50" w:right="-105" w:rightChars="-50"/>
                    <w:jc w:val="center"/>
                    <w:rPr>
                      <w:color w:val="auto"/>
                      <w:kern w:val="0"/>
                      <w:szCs w:val="21"/>
                    </w:rPr>
                  </w:pPr>
                  <w:r>
                    <w:rPr>
                      <w:rFonts w:hint="eastAsia"/>
                      <w:color w:val="auto"/>
                      <w:kern w:val="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7" w:hRule="atLeast"/>
                <w:jc w:val="center"/>
              </w:trPr>
              <w:tc>
                <w:tcPr>
                  <w:tcW w:w="1220" w:type="pct"/>
                  <w:gridSpan w:val="2"/>
                  <w:vMerge w:val="restart"/>
                  <w:vAlign w:val="center"/>
                </w:tcPr>
                <w:p>
                  <w:pPr>
                    <w:widowControl/>
                    <w:ind w:left="-105" w:leftChars="-50" w:right="-105" w:rightChars="-50"/>
                    <w:jc w:val="center"/>
                    <w:rPr>
                      <w:color w:val="auto"/>
                      <w:kern w:val="0"/>
                      <w:szCs w:val="21"/>
                    </w:rPr>
                  </w:pPr>
                  <w:r>
                    <w:rPr>
                      <w:color w:val="auto"/>
                      <w:kern w:val="0"/>
                      <w:szCs w:val="21"/>
                    </w:rPr>
                    <w:t>固废</w:t>
                  </w:r>
                </w:p>
              </w:tc>
              <w:tc>
                <w:tcPr>
                  <w:tcW w:w="792" w:type="pct"/>
                  <w:vAlign w:val="center"/>
                </w:tcPr>
                <w:p>
                  <w:pPr>
                    <w:widowControl/>
                    <w:ind w:left="-105" w:leftChars="-50" w:right="-105" w:rightChars="-50"/>
                    <w:jc w:val="center"/>
                    <w:rPr>
                      <w:color w:val="auto"/>
                      <w:kern w:val="0"/>
                      <w:szCs w:val="21"/>
                    </w:rPr>
                  </w:pPr>
                  <w:r>
                    <w:rPr>
                      <w:rFonts w:hint="eastAsia"/>
                      <w:color w:val="auto"/>
                      <w:kern w:val="0"/>
                      <w:szCs w:val="21"/>
                    </w:rPr>
                    <w:t>隔油渣</w:t>
                  </w:r>
                </w:p>
              </w:tc>
              <w:tc>
                <w:tcPr>
                  <w:tcW w:w="1411" w:type="pct"/>
                  <w:vMerge w:val="restart"/>
                  <w:vAlign w:val="center"/>
                </w:tcPr>
                <w:p>
                  <w:pPr>
                    <w:pStyle w:val="35"/>
                    <w:rPr>
                      <w:color w:val="auto"/>
                    </w:rPr>
                  </w:pPr>
                  <w:r>
                    <w:rPr>
                      <w:rFonts w:hint="eastAsia"/>
                      <w:color w:val="auto"/>
                    </w:rPr>
                    <w:t>集中收集于危废暂存间委托</w:t>
                  </w:r>
                  <w:r>
                    <w:rPr>
                      <w:rFonts w:hint="eastAsia"/>
                      <w:color w:val="auto"/>
                      <w:lang w:val="zh-CN"/>
                    </w:rPr>
                    <w:t>新疆鑫鸿伟环保科技有限公司</w:t>
                  </w:r>
                  <w:r>
                    <w:rPr>
                      <w:rFonts w:hint="eastAsia"/>
                      <w:color w:val="auto"/>
                    </w:rPr>
                    <w:t>处置</w:t>
                  </w:r>
                </w:p>
              </w:tc>
              <w:tc>
                <w:tcPr>
                  <w:tcW w:w="1575" w:type="pct"/>
                  <w:vAlign w:val="center"/>
                </w:tcPr>
                <w:p>
                  <w:pPr>
                    <w:widowControl/>
                    <w:ind w:left="-105" w:leftChars="-50" w:right="-105" w:rightChars="-50"/>
                    <w:jc w:val="center"/>
                    <w:rPr>
                      <w:color w:val="auto"/>
                      <w:kern w:val="0"/>
                      <w:szCs w:val="21"/>
                    </w:rPr>
                  </w:pPr>
                  <w:r>
                    <w:rPr>
                      <w:rFonts w:hint="eastAsia"/>
                      <w:color w:val="auto"/>
                      <w:kern w:val="0"/>
                      <w:szCs w:val="21"/>
                    </w:rPr>
                    <w:t>0.08</w:t>
                  </w:r>
                  <w:r>
                    <w:rPr>
                      <w:color w:val="auto"/>
                      <w:kern w:val="0"/>
                      <w:szCs w:val="21"/>
                    </w:rPr>
                    <w:t>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7" w:hRule="atLeast"/>
                <w:jc w:val="center"/>
              </w:trPr>
              <w:tc>
                <w:tcPr>
                  <w:tcW w:w="1220" w:type="pct"/>
                  <w:gridSpan w:val="2"/>
                  <w:vMerge w:val="continue"/>
                  <w:vAlign w:val="center"/>
                </w:tcPr>
                <w:p>
                  <w:pPr>
                    <w:widowControl/>
                    <w:ind w:left="-105" w:leftChars="-50" w:right="-105" w:rightChars="-50"/>
                    <w:jc w:val="center"/>
                    <w:rPr>
                      <w:color w:val="auto"/>
                      <w:kern w:val="0"/>
                      <w:szCs w:val="21"/>
                    </w:rPr>
                  </w:pPr>
                </w:p>
              </w:tc>
              <w:tc>
                <w:tcPr>
                  <w:tcW w:w="792" w:type="pct"/>
                  <w:vAlign w:val="center"/>
                </w:tcPr>
                <w:p>
                  <w:pPr>
                    <w:widowControl/>
                    <w:ind w:left="-105" w:leftChars="-50" w:right="-105" w:rightChars="-50"/>
                    <w:jc w:val="center"/>
                    <w:rPr>
                      <w:color w:val="auto"/>
                      <w:kern w:val="0"/>
                      <w:szCs w:val="21"/>
                    </w:rPr>
                  </w:pPr>
                  <w:r>
                    <w:rPr>
                      <w:rFonts w:hint="eastAsia"/>
                      <w:color w:val="auto"/>
                      <w:kern w:val="0"/>
                      <w:szCs w:val="21"/>
                    </w:rPr>
                    <w:t>油泥</w:t>
                  </w:r>
                </w:p>
              </w:tc>
              <w:tc>
                <w:tcPr>
                  <w:tcW w:w="1411" w:type="pct"/>
                  <w:vMerge w:val="continue"/>
                  <w:vAlign w:val="center"/>
                </w:tcPr>
                <w:p>
                  <w:pPr>
                    <w:widowControl/>
                    <w:ind w:left="-105" w:leftChars="-50" w:right="-105" w:rightChars="-50"/>
                    <w:jc w:val="left"/>
                    <w:rPr>
                      <w:color w:val="auto"/>
                      <w:kern w:val="0"/>
                      <w:szCs w:val="21"/>
                    </w:rPr>
                  </w:pPr>
                </w:p>
              </w:tc>
              <w:tc>
                <w:tcPr>
                  <w:tcW w:w="1575" w:type="pct"/>
                  <w:vAlign w:val="center"/>
                </w:tcPr>
                <w:p>
                  <w:pPr>
                    <w:widowControl/>
                    <w:ind w:left="-105" w:leftChars="-50" w:right="-105" w:rightChars="-50"/>
                    <w:jc w:val="center"/>
                    <w:rPr>
                      <w:color w:val="auto"/>
                      <w:kern w:val="0"/>
                      <w:szCs w:val="21"/>
                    </w:rPr>
                  </w:pPr>
                  <w:r>
                    <w:rPr>
                      <w:rFonts w:hint="eastAsia"/>
                      <w:color w:val="auto"/>
                      <w:kern w:val="0"/>
                      <w:szCs w:val="21"/>
                    </w:rPr>
                    <w:t>0.1</w:t>
                  </w:r>
                  <w:r>
                    <w:rPr>
                      <w:color w:val="auto"/>
                      <w:kern w:val="0"/>
                      <w:szCs w:val="21"/>
                    </w:rPr>
                    <w:t>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20" w:type="pct"/>
                  <w:gridSpan w:val="2"/>
                  <w:vMerge w:val="continue"/>
                  <w:vAlign w:val="center"/>
                </w:tcPr>
                <w:p>
                  <w:pPr>
                    <w:widowControl/>
                    <w:ind w:left="-105" w:leftChars="-50" w:right="-105" w:rightChars="-50"/>
                    <w:jc w:val="center"/>
                    <w:rPr>
                      <w:color w:val="auto"/>
                      <w:kern w:val="0"/>
                      <w:szCs w:val="21"/>
                    </w:rPr>
                  </w:pPr>
                </w:p>
              </w:tc>
              <w:tc>
                <w:tcPr>
                  <w:tcW w:w="792" w:type="pct"/>
                  <w:vAlign w:val="center"/>
                </w:tcPr>
                <w:p>
                  <w:pPr>
                    <w:widowControl/>
                    <w:ind w:left="-105" w:leftChars="-50" w:right="-105" w:rightChars="-50"/>
                    <w:jc w:val="center"/>
                    <w:rPr>
                      <w:color w:val="auto"/>
                      <w:kern w:val="0"/>
                      <w:szCs w:val="21"/>
                    </w:rPr>
                  </w:pPr>
                  <w:r>
                    <w:rPr>
                      <w:rFonts w:hint="eastAsia"/>
                      <w:color w:val="auto"/>
                      <w:kern w:val="0"/>
                      <w:szCs w:val="21"/>
                    </w:rPr>
                    <w:t>废</w:t>
                  </w:r>
                  <w:r>
                    <w:rPr>
                      <w:rFonts w:hint="eastAsia"/>
                      <w:color w:val="auto"/>
                      <w:kern w:val="0"/>
                      <w:szCs w:val="21"/>
                      <w:lang w:val="en-US" w:eastAsia="zh-CN"/>
                    </w:rPr>
                    <w:t>硝酸铵</w:t>
                  </w:r>
                  <w:r>
                    <w:rPr>
                      <w:rFonts w:hint="eastAsia"/>
                      <w:color w:val="auto"/>
                      <w:kern w:val="0"/>
                      <w:szCs w:val="21"/>
                    </w:rPr>
                    <w:t>包装</w:t>
                  </w:r>
                </w:p>
              </w:tc>
              <w:tc>
                <w:tcPr>
                  <w:tcW w:w="1411" w:type="pct"/>
                  <w:vMerge w:val="continue"/>
                  <w:vAlign w:val="center"/>
                </w:tcPr>
                <w:p>
                  <w:pPr>
                    <w:widowControl/>
                    <w:ind w:left="-105" w:leftChars="-50" w:right="-105" w:rightChars="-50"/>
                    <w:jc w:val="left"/>
                    <w:rPr>
                      <w:color w:val="auto"/>
                      <w:kern w:val="0"/>
                      <w:szCs w:val="21"/>
                    </w:rPr>
                  </w:pPr>
                </w:p>
              </w:tc>
              <w:tc>
                <w:tcPr>
                  <w:tcW w:w="1575" w:type="pct"/>
                  <w:vAlign w:val="center"/>
                </w:tcPr>
                <w:p>
                  <w:pPr>
                    <w:widowControl/>
                    <w:ind w:left="-105" w:leftChars="-50" w:right="-105" w:rightChars="-50"/>
                    <w:jc w:val="center"/>
                    <w:rPr>
                      <w:color w:val="auto"/>
                      <w:kern w:val="0"/>
                      <w:szCs w:val="21"/>
                    </w:rPr>
                  </w:pPr>
                  <w:r>
                    <w:rPr>
                      <w:rFonts w:hint="eastAsia"/>
                      <w:color w:val="auto"/>
                      <w:kern w:val="0"/>
                      <w:szCs w:val="21"/>
                    </w:rPr>
                    <w:t>2.6</w:t>
                  </w:r>
                  <w:r>
                    <w:rPr>
                      <w:color w:val="auto"/>
                      <w:kern w:val="0"/>
                      <w:szCs w:val="21"/>
                    </w:rPr>
                    <w:t>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220" w:type="pct"/>
                  <w:gridSpan w:val="2"/>
                  <w:vAlign w:val="center"/>
                </w:tcPr>
                <w:p>
                  <w:pPr>
                    <w:widowControl/>
                    <w:ind w:left="-105" w:leftChars="-50" w:right="-105" w:rightChars="-50"/>
                    <w:jc w:val="center"/>
                    <w:rPr>
                      <w:color w:val="auto"/>
                      <w:kern w:val="0"/>
                      <w:szCs w:val="21"/>
                    </w:rPr>
                  </w:pPr>
                  <w:r>
                    <w:rPr>
                      <w:rFonts w:hint="eastAsia"/>
                      <w:color w:val="auto"/>
                      <w:kern w:val="0"/>
                      <w:szCs w:val="21"/>
                    </w:rPr>
                    <w:t>生活垃圾</w:t>
                  </w:r>
                </w:p>
              </w:tc>
              <w:tc>
                <w:tcPr>
                  <w:tcW w:w="792" w:type="pct"/>
                  <w:vAlign w:val="center"/>
                </w:tcPr>
                <w:p>
                  <w:pPr>
                    <w:widowControl/>
                    <w:ind w:left="-105" w:leftChars="-50" w:right="-105" w:rightChars="-50"/>
                    <w:jc w:val="center"/>
                    <w:rPr>
                      <w:color w:val="auto"/>
                      <w:kern w:val="0"/>
                      <w:szCs w:val="21"/>
                    </w:rPr>
                  </w:pPr>
                  <w:r>
                    <w:rPr>
                      <w:rFonts w:hint="eastAsia"/>
                      <w:color w:val="auto"/>
                      <w:kern w:val="0"/>
                      <w:szCs w:val="21"/>
                    </w:rPr>
                    <w:t>生活垃圾</w:t>
                  </w:r>
                </w:p>
              </w:tc>
              <w:tc>
                <w:tcPr>
                  <w:tcW w:w="1411" w:type="pct"/>
                  <w:vAlign w:val="center"/>
                </w:tcPr>
                <w:p>
                  <w:pPr>
                    <w:widowControl/>
                    <w:ind w:left="-105" w:leftChars="-50" w:right="-105" w:rightChars="-50"/>
                    <w:jc w:val="left"/>
                    <w:rPr>
                      <w:color w:val="auto"/>
                      <w:kern w:val="0"/>
                      <w:szCs w:val="21"/>
                    </w:rPr>
                  </w:pPr>
                  <w:r>
                    <w:rPr>
                      <w:rFonts w:hint="eastAsia"/>
                      <w:color w:val="auto"/>
                    </w:rPr>
                    <w:t>集中收集后委托成都瑞鑫鑫环卫有限公司拉运处置</w:t>
                  </w:r>
                </w:p>
              </w:tc>
              <w:tc>
                <w:tcPr>
                  <w:tcW w:w="1575" w:type="pct"/>
                  <w:vAlign w:val="center"/>
                </w:tcPr>
                <w:p>
                  <w:pPr>
                    <w:widowControl/>
                    <w:ind w:left="-105" w:leftChars="-50" w:right="-105" w:rightChars="-50"/>
                    <w:jc w:val="center"/>
                    <w:rPr>
                      <w:color w:val="auto"/>
                      <w:kern w:val="0"/>
                      <w:szCs w:val="21"/>
                    </w:rPr>
                  </w:pPr>
                  <w:r>
                    <w:rPr>
                      <w:rFonts w:hint="eastAsia"/>
                      <w:color w:val="auto"/>
                      <w:kern w:val="0"/>
                      <w:szCs w:val="21"/>
                    </w:rPr>
                    <w:t>3.75</w:t>
                  </w:r>
                  <w:r>
                    <w:rPr>
                      <w:color w:val="auto"/>
                      <w:kern w:val="0"/>
                      <w:szCs w:val="21"/>
                    </w:rPr>
                    <w:t>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000" w:type="pct"/>
                  <w:gridSpan w:val="5"/>
                  <w:vAlign w:val="center"/>
                </w:tcPr>
                <w:p>
                  <w:pPr>
                    <w:widowControl/>
                    <w:ind w:left="-105" w:leftChars="-50" w:right="-105" w:rightChars="-50"/>
                    <w:rPr>
                      <w:color w:val="auto"/>
                      <w:kern w:val="0"/>
                      <w:szCs w:val="21"/>
                    </w:rPr>
                  </w:pPr>
                  <w:r>
                    <w:rPr>
                      <w:rFonts w:hint="eastAsia"/>
                      <w:color w:val="auto"/>
                      <w:kern w:val="0"/>
                      <w:szCs w:val="21"/>
                    </w:rPr>
                    <w:t>备注：固体废物为产生量</w:t>
                  </w:r>
                </w:p>
              </w:tc>
            </w:tr>
          </w:tbl>
          <w:p>
            <w:pPr>
              <w:autoSpaceDN w:val="0"/>
              <w:spacing w:line="520" w:lineRule="exact"/>
              <w:ind w:firstLine="480" w:firstLineChars="200"/>
              <w:textAlignment w:val="center"/>
              <w:rPr>
                <w:color w:val="auto"/>
                <w:kern w:val="0"/>
                <w:sz w:val="24"/>
              </w:rPr>
            </w:pPr>
            <w:r>
              <w:rPr>
                <w:rFonts w:hint="eastAsia"/>
                <w:color w:val="auto"/>
                <w:kern w:val="0"/>
                <w:sz w:val="24"/>
              </w:rPr>
              <w:t>（5）现有工程采取的风险防范措施</w:t>
            </w:r>
          </w:p>
          <w:p>
            <w:pPr>
              <w:autoSpaceDN w:val="0"/>
              <w:spacing w:line="520" w:lineRule="exact"/>
              <w:ind w:firstLine="480" w:firstLineChars="200"/>
              <w:textAlignment w:val="center"/>
              <w:rPr>
                <w:color w:val="auto"/>
                <w:kern w:val="0"/>
                <w:sz w:val="24"/>
              </w:rPr>
            </w:pPr>
            <w:r>
              <w:rPr>
                <w:rFonts w:hint="eastAsia"/>
                <w:color w:val="auto"/>
                <w:kern w:val="0"/>
                <w:sz w:val="24"/>
              </w:rPr>
              <w:t>1）混装铵油炸药生产过程风险防范措施</w:t>
            </w:r>
          </w:p>
          <w:p>
            <w:pPr>
              <w:adjustRightInd w:val="0"/>
              <w:snapToGrid w:val="0"/>
              <w:spacing w:line="520" w:lineRule="exact"/>
              <w:ind w:firstLine="480" w:firstLineChars="200"/>
              <w:rPr>
                <w:color w:val="auto"/>
                <w:sz w:val="24"/>
              </w:rPr>
            </w:pPr>
            <w:r>
              <w:rPr>
                <w:color w:val="auto"/>
                <w:sz w:val="24"/>
              </w:rPr>
              <w:t>危险品生产或输送用的设备和安装符合下列要求：</w:t>
            </w:r>
          </w:p>
          <w:p>
            <w:pPr>
              <w:adjustRightInd w:val="0"/>
              <w:snapToGrid w:val="0"/>
              <w:spacing w:line="520" w:lineRule="exact"/>
              <w:ind w:firstLine="480" w:firstLineChars="200"/>
              <w:rPr>
                <w:color w:val="auto"/>
                <w:sz w:val="24"/>
              </w:rPr>
            </w:pPr>
            <w:r>
              <w:rPr>
                <w:color w:val="auto"/>
                <w:sz w:val="24"/>
              </w:rPr>
              <w:fldChar w:fldCharType="begin"/>
            </w:r>
            <w:r>
              <w:rPr>
                <w:color w:val="auto"/>
                <w:sz w:val="24"/>
              </w:rPr>
              <w:instrText xml:space="preserve"> = 1 \* GB3 </w:instrText>
            </w:r>
            <w:r>
              <w:rPr>
                <w:color w:val="auto"/>
                <w:sz w:val="24"/>
              </w:rPr>
              <w:fldChar w:fldCharType="separate"/>
            </w:r>
            <w:r>
              <w:rPr>
                <w:color w:val="auto"/>
                <w:sz w:val="24"/>
              </w:rPr>
              <w:t>①</w:t>
            </w:r>
            <w:r>
              <w:rPr>
                <w:color w:val="auto"/>
                <w:sz w:val="24"/>
              </w:rPr>
              <w:fldChar w:fldCharType="end"/>
            </w:r>
            <w:r>
              <w:rPr>
                <w:color w:val="auto"/>
                <w:sz w:val="24"/>
              </w:rPr>
              <w:t>制造炸药的设备在满足产品质量的要求的前提下，选择了低转速、低压力、低噪音的设备。当温度、压力、液位等工艺参数超标时，会引起燃烧爆炸的设备应设自动控制和报警装置。</w:t>
            </w:r>
          </w:p>
          <w:p>
            <w:pPr>
              <w:adjustRightInd w:val="0"/>
              <w:snapToGrid w:val="0"/>
              <w:spacing w:line="520" w:lineRule="exact"/>
              <w:ind w:firstLine="480" w:firstLineChars="200"/>
              <w:rPr>
                <w:color w:val="auto"/>
                <w:sz w:val="24"/>
              </w:rPr>
            </w:pPr>
            <w:r>
              <w:rPr>
                <w:color w:val="auto"/>
                <w:sz w:val="24"/>
              </w:rPr>
              <w:fldChar w:fldCharType="begin"/>
            </w:r>
            <w:r>
              <w:rPr>
                <w:color w:val="auto"/>
                <w:sz w:val="24"/>
              </w:rPr>
              <w:instrText xml:space="preserve"> = 2 \* GB3 </w:instrText>
            </w:r>
            <w:r>
              <w:rPr>
                <w:color w:val="auto"/>
                <w:sz w:val="24"/>
              </w:rPr>
              <w:fldChar w:fldCharType="separate"/>
            </w:r>
            <w:r>
              <w:rPr>
                <w:color w:val="auto"/>
                <w:sz w:val="24"/>
              </w:rPr>
              <w:t>②</w:t>
            </w:r>
            <w:r>
              <w:rPr>
                <w:color w:val="auto"/>
                <w:sz w:val="24"/>
              </w:rPr>
              <w:fldChar w:fldCharType="end"/>
            </w:r>
            <w:r>
              <w:rPr>
                <w:color w:val="auto"/>
                <w:sz w:val="24"/>
              </w:rPr>
              <w:t>与物料接触的设备零部件光滑无毛刺，其材质与制造危险品的原材料、半成品、成品不起化学反应，零部件之间摩擦碰击不应产生火花；</w:t>
            </w:r>
          </w:p>
          <w:p>
            <w:pPr>
              <w:adjustRightInd w:val="0"/>
              <w:snapToGrid w:val="0"/>
              <w:spacing w:line="520" w:lineRule="exact"/>
              <w:ind w:firstLine="480" w:firstLineChars="200"/>
              <w:rPr>
                <w:color w:val="auto"/>
                <w:sz w:val="24"/>
              </w:rPr>
            </w:pPr>
            <w:r>
              <w:rPr>
                <w:color w:val="auto"/>
                <w:sz w:val="24"/>
              </w:rPr>
              <w:fldChar w:fldCharType="begin"/>
            </w:r>
            <w:r>
              <w:rPr>
                <w:color w:val="auto"/>
                <w:sz w:val="24"/>
              </w:rPr>
              <w:instrText xml:space="preserve"> = 3 \* GB3 </w:instrText>
            </w:r>
            <w:r>
              <w:rPr>
                <w:color w:val="auto"/>
                <w:sz w:val="24"/>
              </w:rPr>
              <w:fldChar w:fldCharType="separate"/>
            </w:r>
            <w:r>
              <w:rPr>
                <w:color w:val="auto"/>
                <w:sz w:val="24"/>
              </w:rPr>
              <w:t>③</w:t>
            </w:r>
            <w:r>
              <w:rPr>
                <w:color w:val="auto"/>
                <w:sz w:val="24"/>
              </w:rPr>
              <w:fldChar w:fldCharType="end"/>
            </w:r>
            <w:r>
              <w:rPr>
                <w:color w:val="auto"/>
                <w:sz w:val="24"/>
              </w:rPr>
              <w:t>设备的机构选型，不应有积存物料的死角，应有防止润滑油进入物料和防止物料进入保温夹套、空心轴或其他转动部分的措施；</w:t>
            </w:r>
          </w:p>
          <w:p>
            <w:pPr>
              <w:adjustRightInd w:val="0"/>
              <w:snapToGrid w:val="0"/>
              <w:spacing w:line="520" w:lineRule="exact"/>
              <w:ind w:firstLine="480" w:firstLineChars="200"/>
              <w:rPr>
                <w:color w:val="auto"/>
                <w:sz w:val="24"/>
              </w:rPr>
            </w:pPr>
            <w:r>
              <w:rPr>
                <w:color w:val="auto"/>
                <w:sz w:val="24"/>
              </w:rPr>
              <w:fldChar w:fldCharType="begin"/>
            </w:r>
            <w:r>
              <w:rPr>
                <w:color w:val="auto"/>
                <w:sz w:val="24"/>
              </w:rPr>
              <w:instrText xml:space="preserve"> = 4 \* GB3 </w:instrText>
            </w:r>
            <w:r>
              <w:rPr>
                <w:color w:val="auto"/>
                <w:sz w:val="24"/>
              </w:rPr>
              <w:fldChar w:fldCharType="separate"/>
            </w:r>
            <w:r>
              <w:rPr>
                <w:color w:val="auto"/>
                <w:sz w:val="24"/>
              </w:rPr>
              <w:t>④</w:t>
            </w:r>
            <w:r>
              <w:rPr>
                <w:color w:val="auto"/>
                <w:sz w:val="24"/>
              </w:rPr>
              <w:fldChar w:fldCharType="end"/>
            </w:r>
            <w:r>
              <w:rPr>
                <w:color w:val="auto"/>
                <w:sz w:val="24"/>
              </w:rPr>
              <w:t>有搅拌装置或碾砣的设备，当有检修人员在机内作业时，设有防止他人启动设备的安全技术措施：</w:t>
            </w:r>
          </w:p>
          <w:p>
            <w:pPr>
              <w:adjustRightInd w:val="0"/>
              <w:snapToGrid w:val="0"/>
              <w:spacing w:line="520" w:lineRule="exact"/>
              <w:ind w:firstLine="480" w:firstLineChars="200"/>
              <w:rPr>
                <w:color w:val="auto"/>
                <w:sz w:val="24"/>
              </w:rPr>
            </w:pPr>
            <w:r>
              <w:rPr>
                <w:color w:val="auto"/>
                <w:sz w:val="24"/>
              </w:rPr>
              <w:fldChar w:fldCharType="begin"/>
            </w:r>
            <w:r>
              <w:rPr>
                <w:color w:val="auto"/>
                <w:sz w:val="24"/>
              </w:rPr>
              <w:instrText xml:space="preserve"> = 5 \* GB3 </w:instrText>
            </w:r>
            <w:r>
              <w:rPr>
                <w:color w:val="auto"/>
                <w:sz w:val="24"/>
              </w:rPr>
              <w:fldChar w:fldCharType="separate"/>
            </w:r>
            <w:r>
              <w:rPr>
                <w:color w:val="auto"/>
                <w:sz w:val="24"/>
              </w:rPr>
              <w:t>⑤</w:t>
            </w:r>
            <w:r>
              <w:rPr>
                <w:color w:val="auto"/>
                <w:sz w:val="24"/>
              </w:rPr>
              <w:fldChar w:fldCharType="end"/>
            </w:r>
            <w:r>
              <w:rPr>
                <w:color w:val="auto"/>
                <w:sz w:val="24"/>
              </w:rPr>
              <w:t>在连续或半连续生产中，易发生事故的设备与其他设备之间设有防止传爆的措施；</w:t>
            </w:r>
          </w:p>
          <w:p>
            <w:pPr>
              <w:adjustRightInd w:val="0"/>
              <w:snapToGrid w:val="0"/>
              <w:spacing w:line="520" w:lineRule="exact"/>
              <w:ind w:firstLine="480" w:firstLineChars="200"/>
              <w:rPr>
                <w:color w:val="auto"/>
                <w:sz w:val="24"/>
              </w:rPr>
            </w:pPr>
            <w:r>
              <w:rPr>
                <w:color w:val="auto"/>
                <w:sz w:val="24"/>
              </w:rPr>
              <w:fldChar w:fldCharType="begin"/>
            </w:r>
            <w:r>
              <w:rPr>
                <w:color w:val="auto"/>
                <w:sz w:val="24"/>
              </w:rPr>
              <w:instrText xml:space="preserve"> = 6 \* GB3 </w:instrText>
            </w:r>
            <w:r>
              <w:rPr>
                <w:color w:val="auto"/>
                <w:sz w:val="24"/>
              </w:rPr>
              <w:fldChar w:fldCharType="separate"/>
            </w:r>
            <w:r>
              <w:rPr>
                <w:color w:val="auto"/>
                <w:sz w:val="24"/>
              </w:rPr>
              <w:t>⑥</w:t>
            </w:r>
            <w:r>
              <w:rPr>
                <w:color w:val="auto"/>
                <w:sz w:val="24"/>
              </w:rPr>
              <w:fldChar w:fldCharType="end"/>
            </w:r>
            <w:r>
              <w:rPr>
                <w:color w:val="auto"/>
                <w:sz w:val="24"/>
              </w:rPr>
              <w:t>生产或输送危险品的设备、装置和管道设有导出静电的措施；与防护屏障内危险品生产厂房生产联系密切的</w:t>
            </w:r>
            <w:r>
              <w:rPr>
                <w:rFonts w:hint="eastAsia"/>
                <w:color w:val="auto"/>
                <w:sz w:val="24"/>
                <w:lang w:eastAsia="zh-CN"/>
              </w:rPr>
              <w:t>非</w:t>
            </w:r>
            <w:r>
              <w:rPr>
                <w:color w:val="auto"/>
                <w:sz w:val="24"/>
              </w:rPr>
              <w:t>危险性建筑物，嵌设在防护屏障外侧，该建筑物不以隧道形式直通防护屏障内侧的生产厂房。</w:t>
            </w:r>
          </w:p>
          <w:p>
            <w:pPr>
              <w:autoSpaceDN w:val="0"/>
              <w:spacing w:line="520" w:lineRule="exact"/>
              <w:ind w:firstLine="480" w:firstLineChars="200"/>
              <w:textAlignment w:val="center"/>
              <w:rPr>
                <w:color w:val="auto"/>
                <w:kern w:val="0"/>
                <w:sz w:val="24"/>
              </w:rPr>
            </w:pPr>
            <w:r>
              <w:rPr>
                <w:rFonts w:hint="eastAsia"/>
                <w:color w:val="auto"/>
                <w:kern w:val="0"/>
                <w:sz w:val="24"/>
              </w:rPr>
              <w:t>2）储油罐风险防范措施</w:t>
            </w:r>
          </w:p>
          <w:p>
            <w:pPr>
              <w:adjustRightInd w:val="0"/>
              <w:snapToGrid w:val="0"/>
              <w:spacing w:line="520" w:lineRule="exact"/>
              <w:ind w:firstLine="480" w:firstLineChars="200"/>
              <w:rPr>
                <w:color w:val="auto"/>
                <w:sz w:val="24"/>
              </w:rPr>
            </w:pPr>
            <w:r>
              <w:rPr>
                <w:rFonts w:hint="eastAsia"/>
                <w:color w:val="auto"/>
                <w:sz w:val="24"/>
              </w:rPr>
              <w:t>①</w:t>
            </w:r>
            <w:r>
              <w:rPr>
                <w:color w:val="auto"/>
                <w:sz w:val="24"/>
              </w:rPr>
              <w:t>储油罐</w:t>
            </w:r>
            <w:r>
              <w:rPr>
                <w:rFonts w:hint="eastAsia"/>
                <w:color w:val="auto"/>
                <w:sz w:val="24"/>
              </w:rPr>
              <w:t>采用</w:t>
            </w:r>
            <w:r>
              <w:rPr>
                <w:color w:val="auto"/>
                <w:sz w:val="24"/>
              </w:rPr>
              <w:t>双层罐，地埋式工艺，保持油罐的恒温，减少烃类物质的排放；</w:t>
            </w:r>
          </w:p>
          <w:p>
            <w:pPr>
              <w:adjustRightInd w:val="0"/>
              <w:snapToGrid w:val="0"/>
              <w:spacing w:line="520" w:lineRule="exact"/>
              <w:ind w:firstLine="480" w:firstLineChars="200"/>
              <w:rPr>
                <w:color w:val="auto"/>
                <w:sz w:val="24"/>
              </w:rPr>
            </w:pPr>
            <w:r>
              <w:rPr>
                <w:rFonts w:hint="eastAsia"/>
                <w:color w:val="auto"/>
                <w:sz w:val="24"/>
              </w:rPr>
              <w:t>②</w:t>
            </w:r>
            <w:r>
              <w:rPr>
                <w:color w:val="auto"/>
                <w:sz w:val="24"/>
              </w:rPr>
              <w:t>在旁边设立警告牌，防止事故的发生；</w:t>
            </w:r>
          </w:p>
          <w:p>
            <w:pPr>
              <w:adjustRightInd w:val="0"/>
              <w:snapToGrid w:val="0"/>
              <w:spacing w:line="520" w:lineRule="exact"/>
              <w:ind w:firstLine="480" w:firstLineChars="200"/>
              <w:rPr>
                <w:color w:val="auto"/>
                <w:sz w:val="24"/>
              </w:rPr>
            </w:pPr>
            <w:r>
              <w:rPr>
                <w:rFonts w:hint="eastAsia"/>
                <w:color w:val="auto"/>
                <w:sz w:val="24"/>
              </w:rPr>
              <w:t>③</w:t>
            </w:r>
            <w:r>
              <w:rPr>
                <w:color w:val="auto"/>
                <w:sz w:val="24"/>
              </w:rPr>
              <w:t>加强对防渗工程的检查，若发现防渗密封材料老化或损坏，应及时维修更换。</w:t>
            </w:r>
          </w:p>
          <w:p>
            <w:pPr>
              <w:adjustRightInd w:val="0"/>
              <w:snapToGrid w:val="0"/>
              <w:spacing w:line="520" w:lineRule="exact"/>
              <w:ind w:firstLine="480" w:firstLineChars="200"/>
              <w:rPr>
                <w:color w:val="auto"/>
                <w:sz w:val="24"/>
              </w:rPr>
            </w:pPr>
            <w:r>
              <w:rPr>
                <w:rFonts w:hint="eastAsia"/>
                <w:color w:val="auto"/>
                <w:sz w:val="24"/>
              </w:rPr>
              <w:t>3）消防用水风险防范措施</w:t>
            </w:r>
          </w:p>
          <w:p>
            <w:pPr>
              <w:adjustRightInd w:val="0"/>
              <w:snapToGrid w:val="0"/>
              <w:spacing w:line="520" w:lineRule="exact"/>
              <w:ind w:firstLine="480" w:firstLineChars="200"/>
              <w:rPr>
                <w:color w:val="auto"/>
                <w:sz w:val="24"/>
              </w:rPr>
            </w:pPr>
            <w:r>
              <w:rPr>
                <w:color w:val="auto"/>
                <w:sz w:val="24"/>
              </w:rPr>
              <w:t>项目在</w:t>
            </w:r>
            <w:r>
              <w:rPr>
                <w:rFonts w:hint="eastAsia"/>
                <w:color w:val="auto"/>
                <w:sz w:val="24"/>
              </w:rPr>
              <w:t>上料工房</w:t>
            </w:r>
            <w:r>
              <w:rPr>
                <w:color w:val="auto"/>
                <w:sz w:val="24"/>
              </w:rPr>
              <w:t>内外设置了消防栓、便携式灭火器等应急设备，</w:t>
            </w:r>
            <w:r>
              <w:rPr>
                <w:rFonts w:hint="eastAsia"/>
                <w:color w:val="auto"/>
                <w:sz w:val="24"/>
              </w:rPr>
              <w:t>厂区内</w:t>
            </w:r>
            <w:r>
              <w:rPr>
                <w:color w:val="auto"/>
                <w:sz w:val="24"/>
              </w:rPr>
              <w:t>建设了1座</w:t>
            </w:r>
            <w:r>
              <w:rPr>
                <w:rFonts w:hint="eastAsia"/>
                <w:color w:val="auto"/>
                <w:sz w:val="24"/>
              </w:rPr>
              <w:t>4</w:t>
            </w:r>
            <w:r>
              <w:rPr>
                <w:color w:val="auto"/>
                <w:sz w:val="24"/>
              </w:rPr>
              <w:t>00</w:t>
            </w:r>
            <w:r>
              <w:rPr>
                <w:rFonts w:hint="eastAsia"/>
                <w:color w:val="auto"/>
                <w:sz w:val="24"/>
              </w:rPr>
              <w:t>m</w:t>
            </w:r>
            <w:r>
              <w:rPr>
                <w:rFonts w:hint="eastAsia"/>
                <w:color w:val="auto"/>
                <w:sz w:val="24"/>
                <w:vertAlign w:val="superscript"/>
              </w:rPr>
              <w:t>3</w:t>
            </w:r>
            <w:r>
              <w:rPr>
                <w:color w:val="auto"/>
                <w:sz w:val="24"/>
              </w:rPr>
              <w:t>防渗</w:t>
            </w:r>
            <w:r>
              <w:rPr>
                <w:rFonts w:hint="eastAsia"/>
                <w:color w:val="auto"/>
                <w:sz w:val="24"/>
              </w:rPr>
              <w:t>消防</w:t>
            </w:r>
            <w:r>
              <w:rPr>
                <w:rFonts w:hint="eastAsia"/>
                <w:color w:val="auto"/>
                <w:sz w:val="24"/>
                <w:lang w:val="en-US" w:eastAsia="zh-CN"/>
              </w:rPr>
              <w:t>事故</w:t>
            </w:r>
            <w:r>
              <w:rPr>
                <w:rFonts w:hint="eastAsia"/>
                <w:color w:val="auto"/>
                <w:sz w:val="24"/>
                <w:highlight w:val="none"/>
              </w:rPr>
              <w:t>水</w:t>
            </w:r>
            <w:r>
              <w:rPr>
                <w:color w:val="auto"/>
                <w:sz w:val="24"/>
                <w:highlight w:val="none"/>
              </w:rPr>
              <w:t>池</w:t>
            </w:r>
            <w:r>
              <w:rPr>
                <w:rFonts w:hint="eastAsia"/>
                <w:color w:val="auto"/>
                <w:sz w:val="24"/>
                <w:highlight w:val="none"/>
              </w:rPr>
              <w:t>，</w:t>
            </w:r>
            <w:r>
              <w:rPr>
                <w:color w:val="auto"/>
                <w:sz w:val="24"/>
                <w:highlight w:val="none"/>
              </w:rPr>
              <w:t>当各</w:t>
            </w:r>
            <w:r>
              <w:rPr>
                <w:color w:val="auto"/>
                <w:sz w:val="24"/>
              </w:rPr>
              <w:t>工段以及库房发生火灾事故时，可容纳本项目消防事故废水。</w:t>
            </w:r>
          </w:p>
          <w:p>
            <w:pPr>
              <w:adjustRightInd w:val="0"/>
              <w:snapToGrid w:val="0"/>
              <w:spacing w:line="520" w:lineRule="exact"/>
              <w:ind w:firstLine="480" w:firstLineChars="200"/>
              <w:rPr>
                <w:color w:val="auto"/>
                <w:sz w:val="24"/>
              </w:rPr>
            </w:pPr>
            <w:r>
              <w:rPr>
                <w:rFonts w:hint="eastAsia"/>
                <w:color w:val="auto"/>
                <w:sz w:val="24"/>
              </w:rPr>
              <w:t>5）主要原材料事故应急措施</w:t>
            </w:r>
          </w:p>
          <w:p>
            <w:pPr>
              <w:adjustRightInd w:val="0"/>
              <w:snapToGrid w:val="0"/>
              <w:spacing w:line="520" w:lineRule="exact"/>
              <w:ind w:firstLine="465"/>
              <w:rPr>
                <w:color w:val="auto"/>
                <w:sz w:val="24"/>
              </w:rPr>
            </w:pPr>
            <w:r>
              <w:rPr>
                <w:rFonts w:hint="eastAsia"/>
                <w:color w:val="auto"/>
                <w:sz w:val="24"/>
              </w:rPr>
              <w:t>现有工程</w:t>
            </w:r>
            <w:r>
              <w:rPr>
                <w:color w:val="auto"/>
                <w:sz w:val="24"/>
              </w:rPr>
              <w:t>主要原材料事故应急措施见表</w:t>
            </w:r>
            <w:r>
              <w:rPr>
                <w:rFonts w:hint="eastAsia"/>
                <w:color w:val="auto"/>
                <w:sz w:val="24"/>
              </w:rPr>
              <w:t>2-16</w:t>
            </w:r>
            <w:r>
              <w:rPr>
                <w:color w:val="auto"/>
                <w:sz w:val="24"/>
              </w:rPr>
              <w:t>。</w:t>
            </w:r>
          </w:p>
          <w:p>
            <w:pPr>
              <w:pStyle w:val="36"/>
              <w:rPr>
                <w:color w:val="auto"/>
              </w:rPr>
            </w:pPr>
            <w:r>
              <w:rPr>
                <w:color w:val="auto"/>
              </w:rPr>
              <w:t>表</w:t>
            </w:r>
            <w:r>
              <w:rPr>
                <w:rFonts w:hint="eastAsia"/>
                <w:color w:val="auto"/>
              </w:rPr>
              <w:t>2-16</w:t>
            </w:r>
            <w:r>
              <w:rPr>
                <w:color w:val="auto"/>
              </w:rPr>
              <w:t xml:space="preserve">   原材料事故应急措施</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409"/>
              <w:gridCol w:w="60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567" w:type="pct"/>
                  <w:vMerge w:val="restart"/>
                  <w:vAlign w:val="center"/>
                </w:tcPr>
                <w:p>
                  <w:pPr>
                    <w:pStyle w:val="61"/>
                    <w:spacing w:before="24" w:after="24"/>
                    <w:rPr>
                      <w:rFonts w:ascii="Times New Roman"/>
                      <w:color w:val="auto"/>
                    </w:rPr>
                  </w:pPr>
                  <w:r>
                    <w:rPr>
                      <w:rFonts w:ascii="Times New Roman"/>
                      <w:color w:val="auto"/>
                    </w:rPr>
                    <w:t>硝酸铵</w:t>
                  </w:r>
                </w:p>
              </w:tc>
              <w:tc>
                <w:tcPr>
                  <w:tcW w:w="839" w:type="pct"/>
                  <w:vAlign w:val="center"/>
                </w:tcPr>
                <w:p>
                  <w:pPr>
                    <w:pStyle w:val="61"/>
                    <w:spacing w:before="24" w:after="24"/>
                    <w:rPr>
                      <w:rFonts w:ascii="Times New Roman"/>
                      <w:color w:val="auto"/>
                    </w:rPr>
                  </w:pPr>
                  <w:r>
                    <w:rPr>
                      <w:rFonts w:ascii="Times New Roman"/>
                      <w:color w:val="auto"/>
                    </w:rPr>
                    <w:t>急救措施</w:t>
                  </w:r>
                </w:p>
              </w:tc>
              <w:tc>
                <w:tcPr>
                  <w:tcW w:w="3593" w:type="pct"/>
                  <w:vAlign w:val="center"/>
                </w:tcPr>
                <w:p>
                  <w:pPr>
                    <w:pStyle w:val="61"/>
                    <w:spacing w:before="24" w:after="24"/>
                    <w:jc w:val="left"/>
                    <w:rPr>
                      <w:rFonts w:ascii="Times New Roman"/>
                      <w:color w:val="auto"/>
                    </w:rPr>
                  </w:pPr>
                  <w:r>
                    <w:rPr>
                      <w:rFonts w:ascii="Times New Roman"/>
                      <w:color w:val="auto"/>
                    </w:rPr>
                    <w:t>应使患者迅速脱离污染区至空气新鲜处，保持呼吸畅通，安置休息并保暖。如呼吸困难或停止呼吸，及时就医；进入眼睛或皮肤接触，用大量水冲洗，注意切勿溅及黏膜。吸入毒气的患者须立即送医院救治。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567" w:type="pct"/>
                  <w:vMerge w:val="continue"/>
                  <w:vAlign w:val="center"/>
                </w:tcPr>
                <w:p>
                  <w:pPr>
                    <w:pStyle w:val="61"/>
                    <w:spacing w:before="24" w:after="24"/>
                    <w:rPr>
                      <w:rFonts w:ascii="Times New Roman"/>
                      <w:color w:val="auto"/>
                    </w:rPr>
                  </w:pPr>
                </w:p>
              </w:tc>
              <w:tc>
                <w:tcPr>
                  <w:tcW w:w="839" w:type="pct"/>
                  <w:vAlign w:val="center"/>
                </w:tcPr>
                <w:p>
                  <w:pPr>
                    <w:pStyle w:val="61"/>
                    <w:spacing w:before="24" w:after="24"/>
                    <w:rPr>
                      <w:rFonts w:ascii="Times New Roman"/>
                      <w:color w:val="auto"/>
                    </w:rPr>
                  </w:pPr>
                  <w:r>
                    <w:rPr>
                      <w:rFonts w:ascii="Times New Roman"/>
                      <w:color w:val="auto"/>
                    </w:rPr>
                    <w:t>事故处理</w:t>
                  </w:r>
                </w:p>
              </w:tc>
              <w:tc>
                <w:tcPr>
                  <w:tcW w:w="3593" w:type="pct"/>
                  <w:vAlign w:val="center"/>
                </w:tcPr>
                <w:p>
                  <w:pPr>
                    <w:pStyle w:val="61"/>
                    <w:spacing w:before="24" w:after="24"/>
                    <w:jc w:val="left"/>
                    <w:rPr>
                      <w:rFonts w:ascii="Times New Roman"/>
                      <w:color w:val="auto"/>
                    </w:rPr>
                  </w:pPr>
                  <w:r>
                    <w:rPr>
                      <w:rFonts w:ascii="Times New Roman"/>
                      <w:color w:val="auto"/>
                    </w:rPr>
                    <w:t>泄漏处置：隔离泄漏污染区，周围设置警报标志。建议应急处理人员戴好防毒面具，穿化学防护服。不要直接接触泄漏物，避免可燃物与之接触。少量泄漏可用大量水冲洗，调节至中性，再放入污水系统；大量泄漏，回收后无害处理或废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567" w:type="pct"/>
                  <w:vMerge w:val="continue"/>
                  <w:vAlign w:val="center"/>
                </w:tcPr>
                <w:p>
                  <w:pPr>
                    <w:pStyle w:val="61"/>
                    <w:spacing w:before="24" w:after="24"/>
                    <w:rPr>
                      <w:rFonts w:ascii="Times New Roman"/>
                      <w:color w:val="auto"/>
                    </w:rPr>
                  </w:pPr>
                </w:p>
              </w:tc>
              <w:tc>
                <w:tcPr>
                  <w:tcW w:w="839" w:type="pct"/>
                  <w:vAlign w:val="center"/>
                </w:tcPr>
                <w:p>
                  <w:pPr>
                    <w:pStyle w:val="61"/>
                    <w:spacing w:before="24" w:after="24"/>
                    <w:rPr>
                      <w:rFonts w:ascii="Times New Roman"/>
                      <w:color w:val="auto"/>
                    </w:rPr>
                  </w:pPr>
                  <w:r>
                    <w:rPr>
                      <w:rFonts w:ascii="Times New Roman"/>
                      <w:color w:val="auto"/>
                    </w:rPr>
                    <w:t>储运注意事项</w:t>
                  </w:r>
                </w:p>
              </w:tc>
              <w:tc>
                <w:tcPr>
                  <w:tcW w:w="3593" w:type="pct"/>
                  <w:vAlign w:val="center"/>
                </w:tcPr>
                <w:p>
                  <w:pPr>
                    <w:pStyle w:val="61"/>
                    <w:spacing w:before="24" w:after="24"/>
                    <w:jc w:val="left"/>
                    <w:rPr>
                      <w:rFonts w:ascii="Times New Roman"/>
                      <w:color w:val="auto"/>
                    </w:rPr>
                  </w:pPr>
                  <w:r>
                    <w:rPr>
                      <w:rFonts w:ascii="Times New Roman"/>
                      <w:color w:val="auto"/>
                    </w:rPr>
                    <w:t>储存于干燥通风库房内，专仓专储。与有机物、酸类严加隔离，防止引起爆炸。应避免与金属性粉末、油类，有机物、木屑易燃、易爆的物质混合贮存。硝酸铵不可在铁路棚车内以及其他带蓬或带盖的交通工具运输。轻装轻卸，防止包装破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567" w:type="pct"/>
                  <w:vMerge w:val="restart"/>
                  <w:vAlign w:val="center"/>
                </w:tcPr>
                <w:p>
                  <w:pPr>
                    <w:pStyle w:val="61"/>
                    <w:spacing w:before="24" w:after="24"/>
                    <w:rPr>
                      <w:rFonts w:ascii="Times New Roman"/>
                      <w:color w:val="auto"/>
                    </w:rPr>
                  </w:pPr>
                  <w:r>
                    <w:rPr>
                      <w:rFonts w:ascii="Times New Roman"/>
                      <w:color w:val="auto"/>
                    </w:rPr>
                    <w:t>柴油</w:t>
                  </w:r>
                </w:p>
              </w:tc>
              <w:tc>
                <w:tcPr>
                  <w:tcW w:w="839" w:type="pct"/>
                  <w:vAlign w:val="center"/>
                </w:tcPr>
                <w:p>
                  <w:pPr>
                    <w:pStyle w:val="61"/>
                    <w:spacing w:before="24" w:after="24"/>
                    <w:rPr>
                      <w:rFonts w:ascii="Times New Roman"/>
                      <w:color w:val="auto"/>
                    </w:rPr>
                  </w:pPr>
                  <w:r>
                    <w:rPr>
                      <w:rFonts w:ascii="Times New Roman"/>
                      <w:color w:val="auto"/>
                    </w:rPr>
                    <w:t>急救措施</w:t>
                  </w:r>
                </w:p>
              </w:tc>
              <w:tc>
                <w:tcPr>
                  <w:tcW w:w="3593" w:type="pct"/>
                  <w:vAlign w:val="center"/>
                </w:tcPr>
                <w:p>
                  <w:pPr>
                    <w:pStyle w:val="61"/>
                    <w:spacing w:before="24" w:after="24"/>
                    <w:jc w:val="left"/>
                    <w:rPr>
                      <w:rFonts w:ascii="Times New Roman"/>
                      <w:color w:val="auto"/>
                    </w:rPr>
                  </w:pPr>
                  <w:r>
                    <w:rPr>
                      <w:rFonts w:ascii="Times New Roman"/>
                      <w:color w:val="auto"/>
                    </w:rPr>
                    <w:t>泄漏处置：切断火源，应急处理人员戴好防毒面具，穿化学防护服。在确保安全情况下堵漏。用活性炭或其他惰性材料吸收，然后收集运到空旷处焚烧。用泡沫、二氧化碳、干粉、1211灭火剂、砂土灭火。用水灭火无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567" w:type="pct"/>
                  <w:vMerge w:val="continue"/>
                  <w:vAlign w:val="center"/>
                </w:tcPr>
                <w:p>
                  <w:pPr>
                    <w:pStyle w:val="61"/>
                    <w:spacing w:before="24" w:after="24"/>
                    <w:rPr>
                      <w:rFonts w:ascii="Times New Roman"/>
                      <w:color w:val="auto"/>
                    </w:rPr>
                  </w:pPr>
                </w:p>
              </w:tc>
              <w:tc>
                <w:tcPr>
                  <w:tcW w:w="839" w:type="pct"/>
                  <w:vAlign w:val="center"/>
                </w:tcPr>
                <w:p>
                  <w:pPr>
                    <w:pStyle w:val="61"/>
                    <w:spacing w:before="24" w:after="24"/>
                    <w:rPr>
                      <w:rFonts w:ascii="Times New Roman"/>
                      <w:color w:val="auto"/>
                    </w:rPr>
                  </w:pPr>
                  <w:r>
                    <w:rPr>
                      <w:rFonts w:ascii="Times New Roman"/>
                      <w:color w:val="auto"/>
                    </w:rPr>
                    <w:t>事故处理</w:t>
                  </w:r>
                </w:p>
              </w:tc>
              <w:tc>
                <w:tcPr>
                  <w:tcW w:w="3593" w:type="pct"/>
                  <w:vAlign w:val="center"/>
                </w:tcPr>
                <w:p>
                  <w:pPr>
                    <w:pStyle w:val="61"/>
                    <w:spacing w:before="24" w:after="24"/>
                    <w:jc w:val="left"/>
                    <w:rPr>
                      <w:rFonts w:ascii="Times New Roman"/>
                      <w:color w:val="auto"/>
                    </w:rPr>
                  </w:pPr>
                  <w:r>
                    <w:rPr>
                      <w:rFonts w:ascii="Times New Roman"/>
                      <w:color w:val="auto"/>
                    </w:rPr>
                    <w:t>皮肤接触后，脱去污染的衣服，用大量的清水彻底冲洗污染的皮肤。眼睛接触立即翻开上下眼睑，用流动清水冲洗至少15分钟。吸入后，将患者移至新鲜空气处。误服者饮牛奶或植物油，洗胃并灌肠，就医。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67" w:type="pct"/>
                  <w:vMerge w:val="continue"/>
                  <w:vAlign w:val="center"/>
                </w:tcPr>
                <w:p>
                  <w:pPr>
                    <w:pStyle w:val="61"/>
                    <w:spacing w:before="24" w:after="24"/>
                    <w:rPr>
                      <w:rFonts w:ascii="Times New Roman"/>
                      <w:color w:val="auto"/>
                    </w:rPr>
                  </w:pPr>
                </w:p>
              </w:tc>
              <w:tc>
                <w:tcPr>
                  <w:tcW w:w="839" w:type="pct"/>
                  <w:vAlign w:val="center"/>
                </w:tcPr>
                <w:p>
                  <w:pPr>
                    <w:pStyle w:val="61"/>
                    <w:spacing w:before="24" w:after="24"/>
                    <w:rPr>
                      <w:rFonts w:ascii="Times New Roman"/>
                      <w:color w:val="auto"/>
                    </w:rPr>
                  </w:pPr>
                  <w:r>
                    <w:rPr>
                      <w:rFonts w:ascii="Times New Roman"/>
                      <w:color w:val="auto"/>
                    </w:rPr>
                    <w:t>储运注意事项</w:t>
                  </w:r>
                </w:p>
              </w:tc>
              <w:tc>
                <w:tcPr>
                  <w:tcW w:w="3593" w:type="pct"/>
                  <w:vAlign w:val="center"/>
                </w:tcPr>
                <w:p>
                  <w:pPr>
                    <w:pStyle w:val="61"/>
                    <w:spacing w:before="24" w:after="24"/>
                    <w:jc w:val="left"/>
                    <w:rPr>
                      <w:rFonts w:ascii="Times New Roman"/>
                      <w:color w:val="auto"/>
                    </w:rPr>
                  </w:pPr>
                  <w:r>
                    <w:rPr>
                      <w:rFonts w:ascii="Times New Roman"/>
                      <w:color w:val="auto"/>
                    </w:rPr>
                    <w:t>罐储时要有防火防爆技术措施，禁止使用易产生火花的机械设备和工具。充装要注意流速，注意防寒静电积聚。在轻柴油储存容器容积设置一定的防火堤（2m</w:t>
                  </w:r>
                  <w:r>
                    <w:rPr>
                      <w:rFonts w:ascii="Times New Roman"/>
                      <w:color w:val="auto"/>
                      <w:vertAlign w:val="superscript"/>
                    </w:rPr>
                    <w:t>2</w:t>
                  </w:r>
                  <w:r>
                    <w:rPr>
                      <w:rFonts w:ascii="Times New Roman"/>
                      <w:color w:val="auto"/>
                    </w:rPr>
                    <w:t>）。</w:t>
                  </w:r>
                </w:p>
              </w:tc>
            </w:tr>
          </w:tbl>
          <w:p>
            <w:pPr>
              <w:autoSpaceDN w:val="0"/>
              <w:spacing w:line="520" w:lineRule="exact"/>
              <w:ind w:firstLine="480" w:firstLineChars="200"/>
              <w:textAlignment w:val="center"/>
              <w:rPr>
                <w:color w:val="auto"/>
                <w:kern w:val="0"/>
                <w:sz w:val="24"/>
                <w:lang w:val="zh-CN"/>
              </w:rPr>
            </w:pPr>
            <w:r>
              <w:rPr>
                <w:rFonts w:hint="eastAsia"/>
                <w:color w:val="auto"/>
                <w:kern w:val="0"/>
                <w:sz w:val="24"/>
              </w:rPr>
              <w:t>6）现有工程防渗防控措施</w:t>
            </w:r>
          </w:p>
          <w:p>
            <w:pPr>
              <w:adjustRightInd w:val="0"/>
              <w:snapToGrid w:val="0"/>
              <w:spacing w:line="520" w:lineRule="exact"/>
              <w:ind w:firstLine="480" w:firstLineChars="200"/>
              <w:rPr>
                <w:color w:val="auto"/>
                <w:sz w:val="24"/>
              </w:rPr>
            </w:pPr>
            <w:r>
              <w:rPr>
                <w:rFonts w:hint="eastAsia"/>
                <w:color w:val="auto"/>
                <w:sz w:val="24"/>
              </w:rPr>
              <w:t>根据可能泄漏至地面的污染物的性质和生产单元的构建方式，结合项目总平面布置情况，将厂区各生产、生活功能单元可能产生污染的地区划分为重点防渗区、一般防渗区。对厂区可能泄漏污染物的地面进行防渗处理，可有效防止污染物渗入地下，并及时地将泄漏/渗漏的污染物收集并进行集中处理。</w:t>
            </w:r>
          </w:p>
          <w:p>
            <w:pPr>
              <w:adjustRightInd w:val="0"/>
              <w:snapToGrid w:val="0"/>
              <w:spacing w:line="520" w:lineRule="exact"/>
              <w:ind w:firstLine="480" w:firstLineChars="200"/>
              <w:rPr>
                <w:color w:val="auto"/>
                <w:sz w:val="24"/>
              </w:rPr>
            </w:pPr>
            <w:r>
              <w:rPr>
                <w:rFonts w:hint="eastAsia"/>
                <w:color w:val="auto"/>
                <w:sz w:val="24"/>
              </w:rPr>
              <w:t>采取以下环保措施避免对地下水造成污染：</w:t>
            </w:r>
          </w:p>
          <w:p>
            <w:pPr>
              <w:adjustRightInd w:val="0"/>
              <w:snapToGrid w:val="0"/>
              <w:spacing w:line="520" w:lineRule="exact"/>
              <w:ind w:firstLine="480" w:firstLineChars="200"/>
              <w:rPr>
                <w:color w:val="auto"/>
                <w:sz w:val="24"/>
              </w:rPr>
            </w:pPr>
            <w:r>
              <w:rPr>
                <w:rFonts w:hint="eastAsia"/>
                <w:color w:val="auto"/>
                <w:sz w:val="24"/>
              </w:rPr>
              <w:t>①车间内地面等全部硬化，并做好防渗措施；</w:t>
            </w:r>
          </w:p>
          <w:p>
            <w:pPr>
              <w:adjustRightInd w:val="0"/>
              <w:snapToGrid w:val="0"/>
              <w:spacing w:line="520" w:lineRule="exact"/>
              <w:ind w:firstLine="480" w:firstLineChars="200"/>
              <w:rPr>
                <w:color w:val="auto"/>
                <w:sz w:val="24"/>
              </w:rPr>
            </w:pPr>
            <w:r>
              <w:rPr>
                <w:rFonts w:hint="eastAsia"/>
                <w:color w:val="auto"/>
                <w:sz w:val="24"/>
              </w:rPr>
              <w:t>②做好地面防渗，以及装置、管道的密封防漏工作，定期检查、维修和及时更新；</w:t>
            </w:r>
          </w:p>
          <w:p>
            <w:pPr>
              <w:adjustRightInd w:val="0"/>
              <w:snapToGrid w:val="0"/>
              <w:spacing w:line="520" w:lineRule="exact"/>
              <w:ind w:firstLine="480" w:firstLineChars="200"/>
              <w:rPr>
                <w:color w:val="auto"/>
                <w:sz w:val="24"/>
              </w:rPr>
            </w:pPr>
            <w:r>
              <w:rPr>
                <w:rFonts w:hint="eastAsia"/>
                <w:color w:val="auto"/>
                <w:sz w:val="24"/>
              </w:rPr>
              <w:t>③柴油储罐，双层储油罐，本项目地下水实施分区分级污染防治，对厂区严格划分污染区和非污染区，根据《石油化工工程防渗技术规范》（GB/T50934-2013），厂区分为一般防渗结构区、重点防渗结构区。</w:t>
            </w:r>
          </w:p>
          <w:p>
            <w:pPr>
              <w:adjustRightInd w:val="0"/>
              <w:snapToGrid w:val="0"/>
              <w:spacing w:line="520" w:lineRule="exact"/>
              <w:ind w:firstLine="480" w:firstLineChars="200"/>
              <w:rPr>
                <w:color w:val="auto"/>
                <w:sz w:val="24"/>
              </w:rPr>
            </w:pPr>
            <w:r>
              <w:rPr>
                <w:rFonts w:hint="eastAsia"/>
                <w:color w:val="auto"/>
                <w:sz w:val="24"/>
              </w:rPr>
              <w:t>防渗结构区</w:t>
            </w:r>
          </w:p>
          <w:p>
            <w:pPr>
              <w:adjustRightInd w:val="0"/>
              <w:snapToGrid w:val="0"/>
              <w:spacing w:line="520" w:lineRule="exact"/>
              <w:ind w:firstLine="480" w:firstLineChars="200"/>
              <w:rPr>
                <w:color w:val="auto"/>
                <w:sz w:val="24"/>
              </w:rPr>
            </w:pPr>
            <w:r>
              <w:rPr>
                <w:rFonts w:hint="eastAsia"/>
                <w:color w:val="auto"/>
                <w:sz w:val="24"/>
              </w:rPr>
              <w:t>一般防渗结构区主要为厂区道路、上料工房、硝酸铵库等，地面水泥硬化处理。</w:t>
            </w:r>
          </w:p>
          <w:p>
            <w:pPr>
              <w:adjustRightInd w:val="0"/>
              <w:snapToGrid w:val="0"/>
              <w:spacing w:line="520" w:lineRule="exact"/>
              <w:ind w:firstLine="480" w:firstLineChars="200"/>
              <w:rPr>
                <w:color w:val="auto"/>
                <w:sz w:val="24"/>
              </w:rPr>
            </w:pPr>
            <w:r>
              <w:rPr>
                <w:rFonts w:hint="eastAsia"/>
                <w:color w:val="auto"/>
                <w:sz w:val="24"/>
              </w:rPr>
              <w:t>重点防渗结构区</w:t>
            </w:r>
          </w:p>
          <w:p>
            <w:pPr>
              <w:adjustRightInd w:val="0"/>
              <w:snapToGrid w:val="0"/>
              <w:spacing w:line="520" w:lineRule="exact"/>
              <w:ind w:firstLine="480" w:firstLineChars="200"/>
              <w:rPr>
                <w:color w:val="auto"/>
                <w:sz w:val="24"/>
              </w:rPr>
            </w:pPr>
            <w:r>
              <w:rPr>
                <w:rFonts w:hint="eastAsia"/>
                <w:color w:val="auto"/>
                <w:sz w:val="24"/>
              </w:rPr>
              <w:t>重点污染防渗区主要包括柴油储罐区、隔油沉淀池、危废暂存间、污水处理设施区域等。</w:t>
            </w:r>
          </w:p>
          <w:p>
            <w:pPr>
              <w:adjustRightInd w:val="0"/>
              <w:snapToGrid w:val="0"/>
              <w:spacing w:line="520" w:lineRule="exact"/>
              <w:ind w:firstLine="480" w:firstLineChars="200"/>
              <w:rPr>
                <w:color w:val="auto"/>
                <w:sz w:val="24"/>
              </w:rPr>
            </w:pPr>
            <w:r>
              <w:rPr>
                <w:rFonts w:hint="eastAsia"/>
                <w:color w:val="auto"/>
                <w:sz w:val="24"/>
              </w:rPr>
              <w:t>重点污染防治区采用高标水泥混凝土硬化。</w:t>
            </w:r>
          </w:p>
          <w:p>
            <w:pPr>
              <w:adjustRightInd w:val="0"/>
              <w:snapToGrid w:val="0"/>
              <w:spacing w:line="520" w:lineRule="exact"/>
              <w:ind w:firstLine="480" w:firstLineChars="200"/>
              <w:rPr>
                <w:color w:val="auto"/>
                <w:sz w:val="24"/>
              </w:rPr>
            </w:pPr>
            <w:r>
              <w:rPr>
                <w:rFonts w:hint="eastAsia"/>
                <w:color w:val="auto"/>
                <w:sz w:val="24"/>
              </w:rPr>
              <w:t>生活区采用水泥硬化，除上述区域外的场区，按常规建筑结构要求进行地面处理。</w:t>
            </w:r>
          </w:p>
          <w:p>
            <w:pPr>
              <w:adjustRightInd w:val="0"/>
              <w:snapToGrid w:val="0"/>
              <w:spacing w:line="520" w:lineRule="exact"/>
              <w:ind w:firstLine="480" w:firstLineChars="200"/>
              <w:rPr>
                <w:color w:val="auto"/>
                <w:sz w:val="24"/>
              </w:rPr>
            </w:pPr>
            <w:r>
              <w:rPr>
                <w:rFonts w:hint="eastAsia"/>
                <w:color w:val="auto"/>
                <w:sz w:val="24"/>
              </w:rPr>
              <w:t>本项目全厂污染防治分区情况详见表2-17。</w:t>
            </w:r>
          </w:p>
          <w:p>
            <w:pPr>
              <w:pStyle w:val="36"/>
              <w:rPr>
                <w:color w:val="auto"/>
              </w:rPr>
            </w:pPr>
            <w:r>
              <w:rPr>
                <w:rFonts w:hint="eastAsia"/>
                <w:color w:val="auto"/>
              </w:rPr>
              <w:t>表2-17  厂区污染防治分区防渗情况一览表</w:t>
            </w:r>
          </w:p>
          <w:tbl>
            <w:tblPr>
              <w:tblStyle w:val="29"/>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3"/>
              <w:gridCol w:w="3602"/>
              <w:gridCol w:w="36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0" w:type="pct"/>
                  <w:tcBorders>
                    <w:tl2br w:val="nil"/>
                    <w:tr2bl w:val="nil"/>
                  </w:tcBorders>
                </w:tcPr>
                <w:p>
                  <w:pPr>
                    <w:pStyle w:val="16"/>
                    <w:jc w:val="center"/>
                    <w:rPr>
                      <w:color w:val="auto"/>
                    </w:rPr>
                  </w:pPr>
                  <w:r>
                    <w:rPr>
                      <w:rFonts w:hint="eastAsia"/>
                      <w:color w:val="auto"/>
                    </w:rPr>
                    <w:t>名称</w:t>
                  </w:r>
                </w:p>
              </w:tc>
              <w:tc>
                <w:tcPr>
                  <w:tcW w:w="2144" w:type="pct"/>
                  <w:tcBorders>
                    <w:tl2br w:val="nil"/>
                    <w:tr2bl w:val="nil"/>
                  </w:tcBorders>
                </w:tcPr>
                <w:p>
                  <w:pPr>
                    <w:pStyle w:val="16"/>
                    <w:jc w:val="center"/>
                    <w:rPr>
                      <w:color w:val="auto"/>
                    </w:rPr>
                  </w:pPr>
                  <w:r>
                    <w:rPr>
                      <w:rFonts w:hint="eastAsia"/>
                      <w:color w:val="auto"/>
                    </w:rPr>
                    <w:t>范围</w:t>
                  </w:r>
                </w:p>
              </w:tc>
              <w:tc>
                <w:tcPr>
                  <w:tcW w:w="2144" w:type="pct"/>
                  <w:tcBorders>
                    <w:tl2br w:val="nil"/>
                    <w:tr2bl w:val="nil"/>
                  </w:tcBorders>
                </w:tcPr>
                <w:p>
                  <w:pPr>
                    <w:pStyle w:val="16"/>
                    <w:jc w:val="center"/>
                    <w:rPr>
                      <w:rFonts w:hint="default" w:eastAsia="宋体"/>
                      <w:color w:val="auto"/>
                      <w:lang w:val="en-US" w:eastAsia="zh-CN"/>
                    </w:rPr>
                  </w:pPr>
                  <w:r>
                    <w:rPr>
                      <w:rFonts w:hint="eastAsia"/>
                      <w:color w:val="auto"/>
                      <w:lang w:val="en-US" w:eastAsia="zh-CN"/>
                    </w:rPr>
                    <w:t>防渗措施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0" w:type="pct"/>
                  <w:tcBorders>
                    <w:tl2br w:val="nil"/>
                    <w:tr2bl w:val="nil"/>
                  </w:tcBorders>
                </w:tcPr>
                <w:p>
                  <w:pPr>
                    <w:pStyle w:val="16"/>
                    <w:jc w:val="center"/>
                    <w:rPr>
                      <w:color w:val="auto"/>
                    </w:rPr>
                  </w:pPr>
                  <w:r>
                    <w:rPr>
                      <w:rFonts w:hint="eastAsia"/>
                      <w:color w:val="auto"/>
                    </w:rPr>
                    <w:t>重点防渗区</w:t>
                  </w:r>
                </w:p>
              </w:tc>
              <w:tc>
                <w:tcPr>
                  <w:tcW w:w="2144" w:type="pct"/>
                  <w:tcBorders>
                    <w:tl2br w:val="nil"/>
                    <w:tr2bl w:val="nil"/>
                  </w:tcBorders>
                </w:tcPr>
                <w:p>
                  <w:pPr>
                    <w:pStyle w:val="16"/>
                    <w:jc w:val="center"/>
                    <w:rPr>
                      <w:color w:val="auto"/>
                    </w:rPr>
                  </w:pPr>
                  <w:r>
                    <w:rPr>
                      <w:rFonts w:hint="eastAsia"/>
                      <w:color w:val="auto"/>
                    </w:rPr>
                    <w:t>柴油储罐区、隔油沉淀池、危废暂存间、污水处理设施区域等</w:t>
                  </w:r>
                </w:p>
              </w:tc>
              <w:tc>
                <w:tcPr>
                  <w:tcW w:w="2144" w:type="pct"/>
                  <w:tcBorders>
                    <w:tl2br w:val="nil"/>
                    <w:tr2bl w:val="nil"/>
                  </w:tcBorders>
                </w:tcPr>
                <w:p>
                  <w:pPr>
                    <w:pStyle w:val="16"/>
                    <w:jc w:val="center"/>
                    <w:rPr>
                      <w:rFonts w:hint="default"/>
                      <w:color w:val="auto"/>
                      <w:lang w:val="en-US"/>
                    </w:rPr>
                  </w:pPr>
                  <w:r>
                    <w:rPr>
                      <w:rFonts w:hint="eastAsia"/>
                      <w:color w:val="auto"/>
                      <w:lang w:val="en-US" w:eastAsia="zh-CN"/>
                    </w:rPr>
                    <w:t>柴油储罐采用双层储罐，隔油沉淀池、危废暂存间、污水处理设施区域地面均采用高标混凝土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0" w:type="pct"/>
                  <w:tcBorders>
                    <w:tl2br w:val="nil"/>
                    <w:tr2bl w:val="nil"/>
                  </w:tcBorders>
                </w:tcPr>
                <w:p>
                  <w:pPr>
                    <w:pStyle w:val="16"/>
                    <w:jc w:val="center"/>
                    <w:rPr>
                      <w:color w:val="auto"/>
                    </w:rPr>
                  </w:pPr>
                  <w:r>
                    <w:rPr>
                      <w:rFonts w:hint="eastAsia"/>
                      <w:color w:val="auto"/>
                    </w:rPr>
                    <w:t>一般防渗区</w:t>
                  </w:r>
                </w:p>
              </w:tc>
              <w:tc>
                <w:tcPr>
                  <w:tcW w:w="2144" w:type="pct"/>
                  <w:tcBorders>
                    <w:tl2br w:val="nil"/>
                    <w:tr2bl w:val="nil"/>
                  </w:tcBorders>
                </w:tcPr>
                <w:p>
                  <w:pPr>
                    <w:pStyle w:val="16"/>
                    <w:jc w:val="center"/>
                    <w:rPr>
                      <w:color w:val="auto"/>
                    </w:rPr>
                  </w:pPr>
                  <w:r>
                    <w:rPr>
                      <w:rFonts w:hint="eastAsia"/>
                      <w:color w:val="auto"/>
                    </w:rPr>
                    <w:t>厂区道路、上料工房、硝酸铵库等</w:t>
                  </w:r>
                </w:p>
              </w:tc>
              <w:tc>
                <w:tcPr>
                  <w:tcW w:w="2144" w:type="pct"/>
                  <w:tcBorders>
                    <w:tl2br w:val="nil"/>
                    <w:tr2bl w:val="nil"/>
                  </w:tcBorders>
                </w:tcPr>
                <w:p>
                  <w:pPr>
                    <w:pStyle w:val="16"/>
                    <w:jc w:val="center"/>
                    <w:rPr>
                      <w:rFonts w:hint="default" w:eastAsia="宋体"/>
                      <w:color w:val="auto"/>
                      <w:lang w:val="en-US" w:eastAsia="zh-CN"/>
                    </w:rPr>
                  </w:pPr>
                  <w:r>
                    <w:rPr>
                      <w:rFonts w:hint="eastAsia"/>
                      <w:color w:val="auto"/>
                      <w:lang w:val="en-US" w:eastAsia="zh-CN"/>
                    </w:rPr>
                    <w:t>水泥硬化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0" w:type="pct"/>
                  <w:tcBorders>
                    <w:tl2br w:val="nil"/>
                    <w:tr2bl w:val="nil"/>
                  </w:tcBorders>
                </w:tcPr>
                <w:p>
                  <w:pPr>
                    <w:pStyle w:val="16"/>
                    <w:jc w:val="center"/>
                    <w:rPr>
                      <w:color w:val="auto"/>
                    </w:rPr>
                  </w:pPr>
                  <w:r>
                    <w:rPr>
                      <w:rFonts w:hint="eastAsia"/>
                      <w:color w:val="auto"/>
                    </w:rPr>
                    <w:t>非防渗区</w:t>
                  </w:r>
                </w:p>
              </w:tc>
              <w:tc>
                <w:tcPr>
                  <w:tcW w:w="2144" w:type="pct"/>
                  <w:tcBorders>
                    <w:tl2br w:val="nil"/>
                    <w:tr2bl w:val="nil"/>
                  </w:tcBorders>
                </w:tcPr>
                <w:p>
                  <w:pPr>
                    <w:pStyle w:val="16"/>
                    <w:jc w:val="center"/>
                    <w:rPr>
                      <w:color w:val="auto"/>
                    </w:rPr>
                  </w:pPr>
                  <w:r>
                    <w:rPr>
                      <w:rFonts w:hint="eastAsia"/>
                      <w:color w:val="auto"/>
                    </w:rPr>
                    <w:t>办公楼、门卫等</w:t>
                  </w:r>
                </w:p>
              </w:tc>
              <w:tc>
                <w:tcPr>
                  <w:tcW w:w="2144" w:type="pct"/>
                  <w:tcBorders>
                    <w:tl2br w:val="nil"/>
                    <w:tr2bl w:val="nil"/>
                  </w:tcBorders>
                </w:tcPr>
                <w:p>
                  <w:pPr>
                    <w:pStyle w:val="16"/>
                    <w:jc w:val="center"/>
                    <w:rPr>
                      <w:rFonts w:hint="eastAsia" w:eastAsia="宋体"/>
                      <w:color w:val="auto"/>
                      <w:lang w:val="en-US" w:eastAsia="zh-CN"/>
                    </w:rPr>
                  </w:pPr>
                  <w:r>
                    <w:rPr>
                      <w:rFonts w:hint="eastAsia"/>
                      <w:color w:val="auto"/>
                      <w:lang w:val="en-US" w:eastAsia="zh-CN"/>
                    </w:rPr>
                    <w:t>/</w:t>
                  </w:r>
                </w:p>
              </w:tc>
            </w:tr>
          </w:tbl>
          <w:p>
            <w:pPr>
              <w:spacing w:line="520" w:lineRule="exact"/>
              <w:rPr>
                <w:b/>
                <w:color w:val="auto"/>
                <w:sz w:val="28"/>
                <w:szCs w:val="28"/>
              </w:rPr>
            </w:pPr>
            <w:r>
              <w:rPr>
                <w:rFonts w:hint="eastAsia"/>
                <w:b/>
                <w:color w:val="auto"/>
                <w:sz w:val="28"/>
                <w:szCs w:val="28"/>
              </w:rPr>
              <w:t>2</w:t>
            </w:r>
            <w:r>
              <w:rPr>
                <w:rFonts w:hint="eastAsia"/>
                <w:b/>
                <w:color w:val="auto"/>
                <w:sz w:val="28"/>
                <w:szCs w:val="28"/>
                <w:lang w:val="en-US" w:eastAsia="zh-CN"/>
              </w:rPr>
              <w:t>.</w:t>
            </w:r>
            <w:r>
              <w:rPr>
                <w:rFonts w:hint="eastAsia"/>
                <w:b/>
                <w:color w:val="auto"/>
                <w:sz w:val="28"/>
                <w:szCs w:val="28"/>
              </w:rPr>
              <w:t>主要环境问题</w:t>
            </w:r>
          </w:p>
          <w:p>
            <w:pPr>
              <w:pStyle w:val="27"/>
              <w:spacing w:after="0"/>
              <w:ind w:left="0" w:leftChars="0" w:firstLine="480"/>
              <w:rPr>
                <w:rFonts w:hint="eastAsia"/>
                <w:color w:val="auto"/>
              </w:rPr>
            </w:pPr>
            <w:r>
              <w:rPr>
                <w:rFonts w:hint="eastAsia"/>
                <w:color w:val="auto"/>
              </w:rPr>
              <w:t>现有工程已落实环评报告表中的各项环保措施，各污染物均等达标排放。</w:t>
            </w:r>
          </w:p>
          <w:p>
            <w:pPr>
              <w:pStyle w:val="27"/>
              <w:spacing w:after="0"/>
              <w:ind w:left="0" w:leftChars="0" w:firstLine="480"/>
              <w:rPr>
                <w:rFonts w:hint="eastAsia" w:eastAsia="宋体"/>
                <w:color w:val="auto"/>
                <w:lang w:val="en-US" w:eastAsia="zh-CN"/>
              </w:rPr>
            </w:pPr>
            <w:r>
              <w:rPr>
                <w:rFonts w:hint="eastAsia"/>
                <w:color w:val="auto"/>
                <w:sz w:val="24"/>
              </w:rPr>
              <w:t>随着位于吉木萨尔县庆阳湖乡水溪沟厂区的建设，原位于新疆宝明矿业有限公司油页岩矿区首采区北面的厂区拆除，扩能项目（生产能力由7200吨扩为16200吨，</w:t>
            </w:r>
            <w:r>
              <w:rPr>
                <w:rFonts w:hint="eastAsia"/>
                <w:color w:val="auto"/>
                <w:sz w:val="24"/>
                <w:lang w:val="en-US" w:eastAsia="zh-CN"/>
              </w:rPr>
              <w:t>增</w:t>
            </w:r>
            <w:r>
              <w:rPr>
                <w:rFonts w:hint="eastAsia"/>
                <w:color w:val="auto"/>
                <w:lang w:val="en-US" w:eastAsia="zh-CN"/>
              </w:rPr>
              <w:t>加配套</w:t>
            </w:r>
            <w:r>
              <w:rPr>
                <w:rFonts w:hint="eastAsia"/>
                <w:color w:val="auto"/>
              </w:rPr>
              <w:t>现场混装车4台）也已搬迁至吉木萨尔县庆阳湖乡水溪沟厂区。</w:t>
            </w:r>
            <w:r>
              <w:rPr>
                <w:rFonts w:hint="eastAsia"/>
                <w:color w:val="auto"/>
                <w:lang w:val="en-US" w:eastAsia="zh-CN"/>
              </w:rPr>
              <w:t>但</w:t>
            </w:r>
            <w:r>
              <w:rPr>
                <w:rFonts w:hint="eastAsia"/>
                <w:color w:val="auto"/>
              </w:rPr>
              <w:t>扩能搬迁项目（生产能力由7200吨扩为16200吨，增加现场混装车4台）未办理环评</w:t>
            </w:r>
            <w:r>
              <w:rPr>
                <w:rFonts w:hint="eastAsia"/>
                <w:color w:val="auto"/>
                <w:lang w:val="en-US" w:eastAsia="zh-CN"/>
              </w:rPr>
              <w:t>手续。</w:t>
            </w:r>
          </w:p>
          <w:p>
            <w:pPr>
              <w:spacing w:line="520" w:lineRule="exact"/>
              <w:rPr>
                <w:rFonts w:hint="eastAsia"/>
                <w:b/>
                <w:color w:val="auto"/>
                <w:sz w:val="28"/>
                <w:szCs w:val="28"/>
                <w:lang w:val="en-US" w:eastAsia="zh-CN"/>
              </w:rPr>
            </w:pPr>
            <w:r>
              <w:rPr>
                <w:rFonts w:hint="eastAsia"/>
                <w:b/>
                <w:color w:val="auto"/>
                <w:sz w:val="28"/>
                <w:szCs w:val="28"/>
                <w:lang w:val="en-US" w:eastAsia="zh-CN"/>
              </w:rPr>
              <w:t>3.整改措施</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24"/>
              </w:rPr>
            </w:pPr>
            <w:r>
              <w:rPr>
                <w:rFonts w:hint="eastAsia"/>
                <w:color w:val="auto"/>
                <w:sz w:val="24"/>
                <w:szCs w:val="24"/>
              </w:rPr>
              <w:t>本次</w:t>
            </w:r>
            <w:r>
              <w:rPr>
                <w:rFonts w:hint="eastAsia"/>
                <w:color w:val="auto"/>
                <w:sz w:val="24"/>
                <w:szCs w:val="24"/>
                <w:lang w:val="en-US" w:eastAsia="zh-CN"/>
              </w:rPr>
              <w:t>环评</w:t>
            </w:r>
            <w:r>
              <w:rPr>
                <w:rFonts w:hint="eastAsia"/>
                <w:color w:val="auto"/>
                <w:sz w:val="24"/>
                <w:szCs w:val="24"/>
              </w:rPr>
              <w:t>将扩能搬迁项目（生产能力由7200吨扩为16200吨，</w:t>
            </w:r>
            <w:r>
              <w:rPr>
                <w:rFonts w:hint="eastAsia"/>
                <w:color w:val="auto"/>
                <w:sz w:val="24"/>
                <w:szCs w:val="24"/>
                <w:lang w:val="en-US" w:eastAsia="zh-CN"/>
              </w:rPr>
              <w:t>增加</w:t>
            </w:r>
            <w:r>
              <w:rPr>
                <w:rFonts w:hint="eastAsia"/>
                <w:color w:val="auto"/>
                <w:sz w:val="24"/>
                <w:szCs w:val="24"/>
              </w:rPr>
              <w:t>配套现场混装车4台）纳入评价范围</w:t>
            </w:r>
            <w:r>
              <w:rPr>
                <w:rFonts w:hint="eastAsia"/>
                <w:color w:val="auto"/>
                <w:sz w:val="24"/>
                <w:szCs w:val="24"/>
                <w:lang w:eastAsia="zh-CN"/>
              </w:rPr>
              <w:t>。</w:t>
            </w:r>
            <w:r>
              <w:rPr>
                <w:rFonts w:hint="eastAsia"/>
                <w:color w:val="auto"/>
                <w:sz w:val="24"/>
                <w:szCs w:val="24"/>
                <w:lang w:val="en-US" w:eastAsia="zh-CN"/>
              </w:rPr>
              <w:t>本次环评保护内容为</w:t>
            </w:r>
            <w:r>
              <w:rPr>
                <w:rFonts w:hint="eastAsia"/>
                <w:color w:val="auto"/>
                <w:sz w:val="24"/>
                <w:szCs w:val="24"/>
              </w:rPr>
              <w:t>扩能后昌吉天宝混装炸药制造有限公司全厂产能由原来的7200吨/年调整为26000吨/年，增加混装车10台，厂区现场混装车共计14台，项目生产设施及辅助设施均依托现有工程已建设施</w:t>
            </w:r>
            <w:r>
              <w:rPr>
                <w:rFonts w:hint="eastAsia"/>
                <w:color w:val="auto"/>
                <w:sz w:val="24"/>
                <w:szCs w:val="24"/>
                <w:lang w:eastAsia="zh-CN"/>
              </w:rPr>
              <w:t>，</w:t>
            </w:r>
            <w:r>
              <w:rPr>
                <w:rFonts w:hint="eastAsia"/>
                <w:color w:val="auto"/>
                <w:sz w:val="24"/>
                <w:szCs w:val="24"/>
                <w:lang w:val="en-US" w:eastAsia="zh-CN"/>
              </w:rPr>
              <w:t>并</w:t>
            </w:r>
            <w:r>
              <w:rPr>
                <w:rFonts w:hint="default"/>
                <w:color w:val="auto"/>
                <w:sz w:val="24"/>
                <w:szCs w:val="24"/>
              </w:rPr>
              <w:t>新建1座混装车库</w:t>
            </w:r>
            <w:r>
              <w:rPr>
                <w:rFonts w:hint="default"/>
                <w:color w:val="auto"/>
                <w:sz w:val="24"/>
                <w:szCs w:val="24"/>
                <w:lang w:eastAsia="zh-CN"/>
              </w:rPr>
              <w:t>，</w:t>
            </w:r>
            <w:r>
              <w:rPr>
                <w:rFonts w:hint="eastAsia"/>
                <w:color w:val="auto"/>
                <w:sz w:val="24"/>
                <w:szCs w:val="24"/>
                <w:lang w:val="en-US" w:eastAsia="zh-CN"/>
              </w:rPr>
              <w:t>同时在</w:t>
            </w:r>
            <w:r>
              <w:rPr>
                <w:rFonts w:hint="eastAsia"/>
                <w:color w:val="auto"/>
                <w:sz w:val="24"/>
                <w:szCs w:val="24"/>
              </w:rPr>
              <w:t>现有多孔粒状硝酸铵装车工房外墙处新增1套斗式提升机。</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24"/>
              </w:rPr>
            </w:pPr>
            <w:r>
              <w:rPr>
                <w:rFonts w:hint="eastAsia"/>
                <w:color w:val="auto"/>
                <w:sz w:val="24"/>
                <w:szCs w:val="24"/>
              </w:rPr>
              <w:t>本扩能项目建成后，及时修编应急预测，将本项目内容纳入突发环境事故应急预案，并报当地生态环境部门备案，运营期定期进行应急演练。</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color w:val="auto"/>
                <w:sz w:val="24"/>
                <w:szCs w:val="24"/>
                <w:lang w:val="en-US" w:eastAsia="zh-CN"/>
              </w:rPr>
            </w:pPr>
            <w:r>
              <w:rPr>
                <w:rFonts w:hint="eastAsia"/>
                <w:color w:val="auto"/>
                <w:sz w:val="24"/>
                <w:szCs w:val="24"/>
                <w:lang w:val="en-US" w:eastAsia="zh-CN"/>
              </w:rPr>
              <w:t>本项目试运行前企业应在排污许可证申请平台变更排污许可登记内容，严格执行排污许可制度等环境管理要求。</w:t>
            </w:r>
          </w:p>
          <w:p>
            <w:pPr>
              <w:pStyle w:val="6"/>
              <w:rPr>
                <w:color w:val="auto"/>
              </w:rPr>
            </w:pPr>
          </w:p>
          <w:p>
            <w:pPr>
              <w:rPr>
                <w:color w:val="auto"/>
              </w:rPr>
            </w:pPr>
          </w:p>
          <w:p>
            <w:pPr>
              <w:pStyle w:val="37"/>
              <w:rPr>
                <w:color w:val="auto"/>
              </w:rPr>
            </w:pPr>
          </w:p>
          <w:p>
            <w:pPr>
              <w:pStyle w:val="20"/>
              <w:rPr>
                <w:color w:val="auto"/>
              </w:rPr>
            </w:pPr>
          </w:p>
          <w:p>
            <w:pPr>
              <w:rPr>
                <w:color w:val="auto"/>
              </w:rPr>
            </w:pPr>
          </w:p>
          <w:p>
            <w:pPr>
              <w:pStyle w:val="37"/>
              <w:rPr>
                <w:color w:val="auto"/>
              </w:rPr>
            </w:pPr>
          </w:p>
          <w:p>
            <w:pPr>
              <w:pStyle w:val="20"/>
              <w:rPr>
                <w:color w:val="auto"/>
              </w:rPr>
            </w:pPr>
          </w:p>
          <w:p>
            <w:pPr>
              <w:rPr>
                <w:color w:val="auto"/>
              </w:rPr>
            </w:pPr>
          </w:p>
          <w:p>
            <w:pPr>
              <w:pStyle w:val="37"/>
              <w:rPr>
                <w:color w:val="auto"/>
              </w:rPr>
            </w:pPr>
          </w:p>
          <w:p>
            <w:pPr>
              <w:pStyle w:val="20"/>
              <w:rPr>
                <w:color w:val="auto"/>
              </w:rPr>
            </w:pPr>
          </w:p>
          <w:p>
            <w:pPr>
              <w:rPr>
                <w:color w:val="auto"/>
              </w:rPr>
            </w:pPr>
          </w:p>
          <w:p>
            <w:pPr>
              <w:pStyle w:val="37"/>
              <w:rPr>
                <w:color w:val="auto"/>
              </w:rPr>
            </w:pPr>
          </w:p>
          <w:p>
            <w:pPr>
              <w:pStyle w:val="20"/>
              <w:rPr>
                <w:color w:val="auto"/>
              </w:rPr>
            </w:pPr>
          </w:p>
          <w:p>
            <w:pPr>
              <w:rPr>
                <w:color w:val="auto"/>
              </w:rPr>
            </w:pPr>
          </w:p>
          <w:p>
            <w:pPr>
              <w:pStyle w:val="37"/>
              <w:rPr>
                <w:color w:val="auto"/>
              </w:rPr>
            </w:pPr>
          </w:p>
          <w:p>
            <w:pPr>
              <w:pStyle w:val="20"/>
              <w:rPr>
                <w:color w:val="auto"/>
              </w:rPr>
            </w:pPr>
          </w:p>
          <w:p>
            <w:pPr>
              <w:rPr>
                <w:color w:val="auto"/>
              </w:rPr>
            </w:pPr>
          </w:p>
          <w:p>
            <w:pPr>
              <w:pStyle w:val="37"/>
              <w:rPr>
                <w:color w:val="auto"/>
              </w:rPr>
            </w:pPr>
          </w:p>
          <w:p>
            <w:pPr>
              <w:pStyle w:val="20"/>
              <w:rPr>
                <w:color w:val="auto"/>
              </w:rPr>
            </w:pPr>
          </w:p>
          <w:p>
            <w:pPr>
              <w:rPr>
                <w:color w:val="auto"/>
              </w:rPr>
            </w:pPr>
          </w:p>
          <w:p>
            <w:pPr>
              <w:pStyle w:val="37"/>
              <w:rPr>
                <w:color w:val="auto"/>
              </w:rPr>
            </w:pPr>
          </w:p>
          <w:p>
            <w:pPr>
              <w:pStyle w:val="20"/>
              <w:rPr>
                <w:color w:val="auto"/>
              </w:rPr>
            </w:pPr>
          </w:p>
          <w:p>
            <w:pPr>
              <w:rPr>
                <w:color w:val="auto"/>
              </w:rPr>
            </w:pPr>
          </w:p>
          <w:p>
            <w:pPr>
              <w:pStyle w:val="37"/>
              <w:rPr>
                <w:color w:val="auto"/>
              </w:rPr>
            </w:pPr>
          </w:p>
          <w:p>
            <w:pPr>
              <w:pStyle w:val="37"/>
              <w:rPr>
                <w:color w:val="auto"/>
              </w:rPr>
            </w:pPr>
          </w:p>
        </w:tc>
      </w:tr>
    </w:tbl>
    <w:p>
      <w:pPr>
        <w:pStyle w:val="24"/>
        <w:jc w:val="center"/>
        <w:rPr>
          <w:rFonts w:ascii="黑体" w:hAnsi="黑体" w:eastAsia="黑体"/>
          <w:snapToGrid w:val="0"/>
          <w:color w:val="auto"/>
          <w:sz w:val="36"/>
          <w:szCs w:val="36"/>
        </w:rPr>
        <w:sectPr>
          <w:pgSz w:w="11906" w:h="16838"/>
          <w:pgMar w:top="1701" w:right="1531" w:bottom="1701" w:left="1531" w:header="851" w:footer="851" w:gutter="0"/>
          <w:cols w:space="720" w:num="1"/>
          <w:docGrid w:linePitch="312" w:charSpace="0"/>
        </w:sectPr>
      </w:pPr>
    </w:p>
    <w:p>
      <w:pPr>
        <w:pStyle w:val="24"/>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三、区域环境质量现状、环境保护目标及评价标准</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2"/>
        <w:gridCol w:w="86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800" w:type="dxa"/>
            <w:vAlign w:val="center"/>
          </w:tcPr>
          <w:p>
            <w:pPr>
              <w:adjustRightInd w:val="0"/>
              <w:snapToGrid w:val="0"/>
              <w:jc w:val="center"/>
              <w:rPr>
                <w:rFonts w:ascii="宋体" w:hAnsi="宋体" w:cs="宋体"/>
                <w:color w:val="auto"/>
                <w:kern w:val="0"/>
                <w:sz w:val="24"/>
              </w:rPr>
            </w:pPr>
            <w:r>
              <w:rPr>
                <w:rFonts w:hint="eastAsia" w:ascii="宋体" w:hAnsi="宋体" w:cs="宋体"/>
                <w:color w:val="auto"/>
                <w:kern w:val="0"/>
                <w:sz w:val="24"/>
              </w:rPr>
              <w:t>区域</w:t>
            </w:r>
          </w:p>
          <w:p>
            <w:pPr>
              <w:adjustRightInd w:val="0"/>
              <w:snapToGrid w:val="0"/>
              <w:jc w:val="center"/>
              <w:rPr>
                <w:rFonts w:ascii="宋体" w:hAnsi="宋体" w:cs="宋体"/>
                <w:color w:val="auto"/>
                <w:kern w:val="0"/>
                <w:sz w:val="24"/>
              </w:rPr>
            </w:pPr>
            <w:r>
              <w:rPr>
                <w:rFonts w:hint="eastAsia" w:ascii="宋体" w:hAnsi="宋体" w:cs="宋体"/>
                <w:color w:val="auto"/>
                <w:kern w:val="0"/>
                <w:sz w:val="24"/>
              </w:rPr>
              <w:t>环境</w:t>
            </w:r>
          </w:p>
          <w:p>
            <w:pPr>
              <w:adjustRightInd w:val="0"/>
              <w:snapToGrid w:val="0"/>
              <w:jc w:val="center"/>
              <w:rPr>
                <w:rFonts w:ascii="宋体" w:hAnsi="宋体" w:cs="宋体"/>
                <w:color w:val="auto"/>
                <w:kern w:val="0"/>
                <w:sz w:val="24"/>
              </w:rPr>
            </w:pPr>
            <w:r>
              <w:rPr>
                <w:rFonts w:hint="eastAsia" w:ascii="宋体" w:hAnsi="宋体" w:cs="宋体"/>
                <w:color w:val="auto"/>
                <w:kern w:val="0"/>
                <w:sz w:val="24"/>
              </w:rPr>
              <w:t>质量</w:t>
            </w:r>
          </w:p>
          <w:p>
            <w:pPr>
              <w:adjustRightInd w:val="0"/>
              <w:snapToGrid w:val="0"/>
              <w:jc w:val="center"/>
              <w:rPr>
                <w:rFonts w:ascii="宋体" w:hAnsi="宋体" w:cs="宋体"/>
                <w:color w:val="auto"/>
                <w:kern w:val="0"/>
                <w:sz w:val="24"/>
              </w:rPr>
            </w:pPr>
            <w:r>
              <w:rPr>
                <w:rFonts w:hint="eastAsia" w:ascii="宋体" w:hAnsi="宋体" w:cs="宋体"/>
                <w:color w:val="auto"/>
                <w:kern w:val="0"/>
                <w:sz w:val="24"/>
              </w:rPr>
              <w:t>现状</w:t>
            </w:r>
          </w:p>
        </w:tc>
        <w:tc>
          <w:tcPr>
            <w:tcW w:w="8190" w:type="dxa"/>
            <w:vAlign w:val="center"/>
          </w:tcPr>
          <w:p>
            <w:pPr>
              <w:numPr>
                <w:ilvl w:val="0"/>
                <w:numId w:val="11"/>
              </w:numPr>
              <w:autoSpaceDE w:val="0"/>
              <w:autoSpaceDN w:val="0"/>
              <w:adjustRightInd w:val="0"/>
              <w:snapToGrid w:val="0"/>
              <w:spacing w:line="520" w:lineRule="exact"/>
              <w:ind w:firstLine="482"/>
              <w:rPr>
                <w:b/>
                <w:bCs/>
                <w:color w:val="auto"/>
                <w:sz w:val="24"/>
              </w:rPr>
            </w:pPr>
            <w:r>
              <w:rPr>
                <w:b/>
                <w:bCs/>
                <w:color w:val="auto"/>
                <w:sz w:val="24"/>
              </w:rPr>
              <w:t>大气环境</w:t>
            </w:r>
          </w:p>
          <w:p>
            <w:pPr>
              <w:pStyle w:val="70"/>
              <w:ind w:firstLine="482"/>
              <w:rPr>
                <w:b/>
                <w:bCs/>
                <w:color w:val="auto"/>
              </w:rPr>
            </w:pPr>
            <w:r>
              <w:rPr>
                <w:rFonts w:hint="eastAsia"/>
                <w:b/>
                <w:bCs/>
                <w:color w:val="auto"/>
              </w:rPr>
              <w:t>1.1基本污染物现状调查与评价</w:t>
            </w:r>
          </w:p>
          <w:p>
            <w:pPr>
              <w:pStyle w:val="70"/>
              <w:rPr>
                <w:color w:val="auto"/>
              </w:rPr>
            </w:pPr>
            <w:r>
              <w:rPr>
                <w:rFonts w:hint="eastAsia"/>
                <w:color w:val="auto"/>
              </w:rPr>
              <w:t>本项目位于</w:t>
            </w:r>
            <w:r>
              <w:rPr>
                <w:color w:val="auto"/>
              </w:rPr>
              <w:t>新疆昌吉</w:t>
            </w:r>
            <w:r>
              <w:rPr>
                <w:rFonts w:hint="eastAsia"/>
                <w:color w:val="auto"/>
              </w:rPr>
              <w:t>回族自治</w:t>
            </w:r>
            <w:r>
              <w:rPr>
                <w:color w:val="auto"/>
              </w:rPr>
              <w:t>州</w:t>
            </w:r>
            <w:r>
              <w:rPr>
                <w:rFonts w:hint="eastAsia"/>
                <w:color w:val="auto"/>
              </w:rPr>
              <w:t>吉木萨尔县庆阳湖乡水溪沟，根据《环境影响评价技术导则  大气环境》（HJ2.2-2018），可直接采用国家或地方生态环境主管部门公开发布的评价基准年环境质量公告或环境质量报告中的数据或结论。</w:t>
            </w:r>
          </w:p>
          <w:p>
            <w:pPr>
              <w:widowControl/>
              <w:autoSpaceDE w:val="0"/>
              <w:autoSpaceDN w:val="0"/>
              <w:adjustRightInd w:val="0"/>
              <w:spacing w:line="520" w:lineRule="exact"/>
              <w:ind w:firstLine="480" w:firstLineChars="200"/>
              <w:jc w:val="left"/>
              <w:rPr>
                <w:color w:val="auto"/>
                <w:sz w:val="24"/>
              </w:rPr>
            </w:pPr>
            <w:r>
              <w:rPr>
                <w:rFonts w:hint="eastAsia"/>
                <w:color w:val="auto"/>
                <w:sz w:val="24"/>
              </w:rPr>
              <w:t>本次评价依据环境影响评价网</w:t>
            </w:r>
            <w:r>
              <w:rPr>
                <w:color w:val="auto"/>
                <w:sz w:val="24"/>
              </w:rPr>
              <w:t>-</w:t>
            </w:r>
            <w:r>
              <w:rPr>
                <w:rFonts w:hint="eastAsia"/>
                <w:color w:val="auto"/>
                <w:sz w:val="24"/>
              </w:rPr>
              <w:t>环境空气质量模型http://data.lem.org.cn/eamds/apply/tostepone.html</w:t>
            </w:r>
            <w:r>
              <w:rPr>
                <w:color w:val="auto"/>
                <w:sz w:val="24"/>
              </w:rPr>
              <w:t>，</w:t>
            </w:r>
            <w:r>
              <w:rPr>
                <w:rFonts w:hint="eastAsia"/>
                <w:color w:val="auto"/>
                <w:sz w:val="24"/>
              </w:rPr>
              <w:t>昌吉州2022年监测数据评价项目区达标情况，</w:t>
            </w:r>
            <w:r>
              <w:rPr>
                <w:color w:val="auto"/>
                <w:sz w:val="24"/>
              </w:rPr>
              <w:t>具体见</w:t>
            </w:r>
            <w:r>
              <w:rPr>
                <w:rFonts w:hint="eastAsia"/>
                <w:color w:val="auto"/>
                <w:sz w:val="24"/>
              </w:rPr>
              <w:t>下</w:t>
            </w:r>
            <w:r>
              <w:rPr>
                <w:color w:val="auto"/>
                <w:sz w:val="24"/>
              </w:rPr>
              <w:t>表。</w:t>
            </w:r>
          </w:p>
          <w:p>
            <w:pPr>
              <w:pStyle w:val="36"/>
              <w:rPr>
                <w:color w:val="auto"/>
              </w:rPr>
            </w:pPr>
            <w:r>
              <w:rPr>
                <w:rFonts w:hint="eastAsia"/>
                <w:color w:val="auto"/>
              </w:rPr>
              <w:t>表3-1    区域空气质量现状评价表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2"/>
              <w:gridCol w:w="1828"/>
              <w:gridCol w:w="1450"/>
              <w:gridCol w:w="1727"/>
              <w:gridCol w:w="949"/>
              <w:gridCol w:w="15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4" w:type="pct"/>
                  <w:vAlign w:val="center"/>
                </w:tcPr>
                <w:p>
                  <w:pPr>
                    <w:autoSpaceDE w:val="0"/>
                    <w:autoSpaceDN w:val="0"/>
                    <w:jc w:val="center"/>
                    <w:rPr>
                      <w:color w:val="auto"/>
                      <w:sz w:val="24"/>
                    </w:rPr>
                  </w:pPr>
                  <w:r>
                    <w:rPr>
                      <w:color w:val="auto"/>
                    </w:rPr>
                    <w:t>污染物</w:t>
                  </w:r>
                </w:p>
              </w:tc>
              <w:tc>
                <w:tcPr>
                  <w:tcW w:w="1087" w:type="pct"/>
                  <w:vAlign w:val="center"/>
                </w:tcPr>
                <w:p>
                  <w:pPr>
                    <w:autoSpaceDE w:val="0"/>
                    <w:autoSpaceDN w:val="0"/>
                    <w:jc w:val="center"/>
                    <w:rPr>
                      <w:color w:val="auto"/>
                      <w:sz w:val="24"/>
                    </w:rPr>
                  </w:pPr>
                  <w:r>
                    <w:rPr>
                      <w:color w:val="auto"/>
                    </w:rPr>
                    <w:t>年评价指标</w:t>
                  </w:r>
                </w:p>
              </w:tc>
              <w:tc>
                <w:tcPr>
                  <w:tcW w:w="862" w:type="pct"/>
                  <w:vAlign w:val="center"/>
                </w:tcPr>
                <w:p>
                  <w:pPr>
                    <w:autoSpaceDE w:val="0"/>
                    <w:autoSpaceDN w:val="0"/>
                    <w:jc w:val="center"/>
                    <w:rPr>
                      <w:color w:val="auto"/>
                      <w:sz w:val="24"/>
                    </w:rPr>
                  </w:pPr>
                  <w:r>
                    <w:rPr>
                      <w:color w:val="auto"/>
                    </w:rPr>
                    <w:t>现状浓度（</w:t>
                  </w:r>
                  <w:r>
                    <w:rPr>
                      <w:bCs/>
                      <w:color w:val="auto"/>
                      <w:szCs w:val="21"/>
                    </w:rPr>
                    <w:t>μ</w:t>
                  </w:r>
                  <w:r>
                    <w:rPr>
                      <w:color w:val="auto"/>
                    </w:rPr>
                    <w:t>g/m</w:t>
                  </w:r>
                  <w:r>
                    <w:rPr>
                      <w:color w:val="auto"/>
                      <w:vertAlign w:val="superscript"/>
                    </w:rPr>
                    <w:t>3</w:t>
                  </w:r>
                  <w:r>
                    <w:rPr>
                      <w:color w:val="auto"/>
                    </w:rPr>
                    <w:t>）</w:t>
                  </w:r>
                </w:p>
              </w:tc>
              <w:tc>
                <w:tcPr>
                  <w:tcW w:w="1027" w:type="pct"/>
                  <w:vAlign w:val="center"/>
                </w:tcPr>
                <w:p>
                  <w:pPr>
                    <w:autoSpaceDE w:val="0"/>
                    <w:autoSpaceDN w:val="0"/>
                    <w:jc w:val="center"/>
                    <w:rPr>
                      <w:color w:val="auto"/>
                      <w:sz w:val="24"/>
                    </w:rPr>
                  </w:pPr>
                  <w:r>
                    <w:rPr>
                      <w:color w:val="auto"/>
                    </w:rPr>
                    <w:t>标准值（</w:t>
                  </w:r>
                  <w:r>
                    <w:rPr>
                      <w:bCs/>
                      <w:color w:val="auto"/>
                      <w:szCs w:val="21"/>
                    </w:rPr>
                    <w:t>μ</w:t>
                  </w:r>
                  <w:r>
                    <w:rPr>
                      <w:color w:val="auto"/>
                    </w:rPr>
                    <w:t>g/m</w:t>
                  </w:r>
                  <w:r>
                    <w:rPr>
                      <w:color w:val="auto"/>
                      <w:vertAlign w:val="superscript"/>
                    </w:rPr>
                    <w:t>3</w:t>
                  </w:r>
                  <w:r>
                    <w:rPr>
                      <w:color w:val="auto"/>
                    </w:rPr>
                    <w:t>）</w:t>
                  </w:r>
                </w:p>
              </w:tc>
              <w:tc>
                <w:tcPr>
                  <w:tcW w:w="564" w:type="pct"/>
                  <w:vAlign w:val="center"/>
                </w:tcPr>
                <w:p>
                  <w:pPr>
                    <w:autoSpaceDE w:val="0"/>
                    <w:autoSpaceDN w:val="0"/>
                    <w:jc w:val="center"/>
                    <w:rPr>
                      <w:color w:val="auto"/>
                      <w:sz w:val="24"/>
                    </w:rPr>
                  </w:pPr>
                  <w:r>
                    <w:rPr>
                      <w:color w:val="auto"/>
                    </w:rPr>
                    <w:t>占标率</w:t>
                  </w:r>
                </w:p>
              </w:tc>
              <w:tc>
                <w:tcPr>
                  <w:tcW w:w="902" w:type="pct"/>
                  <w:vAlign w:val="center"/>
                </w:tcPr>
                <w:p>
                  <w:pPr>
                    <w:autoSpaceDE w:val="0"/>
                    <w:autoSpaceDN w:val="0"/>
                    <w:jc w:val="center"/>
                    <w:rPr>
                      <w:color w:val="auto"/>
                      <w:sz w:val="24"/>
                    </w:rPr>
                  </w:pPr>
                  <w:r>
                    <w:rPr>
                      <w:color w:val="auto"/>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4" w:type="pct"/>
                  <w:vAlign w:val="center"/>
                </w:tcPr>
                <w:p>
                  <w:pPr>
                    <w:autoSpaceDE w:val="0"/>
                    <w:autoSpaceDN w:val="0"/>
                    <w:jc w:val="center"/>
                    <w:rPr>
                      <w:color w:val="auto"/>
                      <w:sz w:val="24"/>
                    </w:rPr>
                  </w:pPr>
                  <w:r>
                    <w:rPr>
                      <w:color w:val="auto"/>
                    </w:rPr>
                    <w:t>PM</w:t>
                  </w:r>
                  <w:r>
                    <w:rPr>
                      <w:color w:val="auto"/>
                      <w:vertAlign w:val="subscript"/>
                    </w:rPr>
                    <w:t>2.5</w:t>
                  </w:r>
                </w:p>
              </w:tc>
              <w:tc>
                <w:tcPr>
                  <w:tcW w:w="1087" w:type="pct"/>
                  <w:vMerge w:val="restart"/>
                  <w:vAlign w:val="center"/>
                </w:tcPr>
                <w:p>
                  <w:pPr>
                    <w:autoSpaceDE w:val="0"/>
                    <w:autoSpaceDN w:val="0"/>
                    <w:jc w:val="center"/>
                    <w:rPr>
                      <w:color w:val="auto"/>
                      <w:sz w:val="24"/>
                    </w:rPr>
                  </w:pPr>
                  <w:r>
                    <w:rPr>
                      <w:color w:val="auto"/>
                    </w:rPr>
                    <w:t>年平均质量浓度</w:t>
                  </w:r>
                </w:p>
              </w:tc>
              <w:tc>
                <w:tcPr>
                  <w:tcW w:w="862" w:type="pct"/>
                  <w:shd w:val="clear" w:color="auto" w:fill="EEECE1" w:themeFill="background2"/>
                  <w:vAlign w:val="center"/>
                </w:tcPr>
                <w:p>
                  <w:pPr>
                    <w:autoSpaceDE w:val="0"/>
                    <w:autoSpaceDN w:val="0"/>
                    <w:jc w:val="center"/>
                    <w:rPr>
                      <w:color w:val="auto"/>
                      <w:sz w:val="24"/>
                    </w:rPr>
                  </w:pPr>
                  <w:r>
                    <w:rPr>
                      <w:rFonts w:hint="eastAsia"/>
                      <w:color w:val="auto"/>
                    </w:rPr>
                    <w:t>50</w:t>
                  </w:r>
                </w:p>
              </w:tc>
              <w:tc>
                <w:tcPr>
                  <w:tcW w:w="1027" w:type="pct"/>
                  <w:shd w:val="clear" w:color="auto" w:fill="EEECE1" w:themeFill="background2"/>
                  <w:vAlign w:val="center"/>
                </w:tcPr>
                <w:p>
                  <w:pPr>
                    <w:autoSpaceDE w:val="0"/>
                    <w:autoSpaceDN w:val="0"/>
                    <w:jc w:val="center"/>
                    <w:rPr>
                      <w:color w:val="auto"/>
                      <w:sz w:val="24"/>
                    </w:rPr>
                  </w:pPr>
                  <w:r>
                    <w:rPr>
                      <w:color w:val="auto"/>
                    </w:rPr>
                    <w:t>35</w:t>
                  </w:r>
                </w:p>
              </w:tc>
              <w:tc>
                <w:tcPr>
                  <w:tcW w:w="901" w:type="dxa"/>
                  <w:shd w:val="clear" w:color="auto" w:fill="EEECE1" w:themeFill="background2"/>
                  <w:vAlign w:val="center"/>
                </w:tcPr>
                <w:p>
                  <w:pPr>
                    <w:widowControl/>
                    <w:jc w:val="center"/>
                    <w:textAlignment w:val="center"/>
                    <w:rPr>
                      <w:color w:val="auto"/>
                      <w:szCs w:val="21"/>
                    </w:rPr>
                  </w:pPr>
                  <w:r>
                    <w:rPr>
                      <w:color w:val="auto"/>
                      <w:kern w:val="0"/>
                      <w:szCs w:val="21"/>
                      <w:lang w:bidi="ar"/>
                    </w:rPr>
                    <w:t xml:space="preserve">142.86 </w:t>
                  </w:r>
                </w:p>
              </w:tc>
              <w:tc>
                <w:tcPr>
                  <w:tcW w:w="902" w:type="pct"/>
                  <w:shd w:val="clear" w:color="auto" w:fill="EEECE1" w:themeFill="background2"/>
                  <w:vAlign w:val="center"/>
                </w:tcPr>
                <w:p>
                  <w:pPr>
                    <w:autoSpaceDE w:val="0"/>
                    <w:autoSpaceDN w:val="0"/>
                    <w:jc w:val="center"/>
                    <w:rPr>
                      <w:color w:val="auto"/>
                      <w:sz w:val="24"/>
                    </w:rPr>
                  </w:pPr>
                  <w:r>
                    <w:rPr>
                      <w:color w:val="auto"/>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4" w:type="pct"/>
                  <w:vAlign w:val="center"/>
                </w:tcPr>
                <w:p>
                  <w:pPr>
                    <w:autoSpaceDE w:val="0"/>
                    <w:autoSpaceDN w:val="0"/>
                    <w:jc w:val="center"/>
                    <w:rPr>
                      <w:color w:val="auto"/>
                      <w:sz w:val="24"/>
                    </w:rPr>
                  </w:pPr>
                  <w:r>
                    <w:rPr>
                      <w:color w:val="auto"/>
                    </w:rPr>
                    <w:t>PM</w:t>
                  </w:r>
                  <w:r>
                    <w:rPr>
                      <w:color w:val="auto"/>
                      <w:vertAlign w:val="subscript"/>
                    </w:rPr>
                    <w:t>10</w:t>
                  </w:r>
                </w:p>
              </w:tc>
              <w:tc>
                <w:tcPr>
                  <w:tcW w:w="1087" w:type="pct"/>
                  <w:vMerge w:val="continue"/>
                  <w:vAlign w:val="center"/>
                </w:tcPr>
                <w:p>
                  <w:pPr>
                    <w:jc w:val="center"/>
                    <w:rPr>
                      <w:color w:val="auto"/>
                      <w:sz w:val="24"/>
                    </w:rPr>
                  </w:pPr>
                </w:p>
              </w:tc>
              <w:tc>
                <w:tcPr>
                  <w:tcW w:w="862" w:type="pct"/>
                  <w:shd w:val="clear" w:color="auto" w:fill="EEECE1" w:themeFill="background2"/>
                  <w:vAlign w:val="center"/>
                </w:tcPr>
                <w:p>
                  <w:pPr>
                    <w:autoSpaceDE w:val="0"/>
                    <w:autoSpaceDN w:val="0"/>
                    <w:jc w:val="center"/>
                    <w:rPr>
                      <w:color w:val="auto"/>
                      <w:sz w:val="24"/>
                    </w:rPr>
                  </w:pPr>
                  <w:r>
                    <w:rPr>
                      <w:rFonts w:hint="eastAsia"/>
                      <w:color w:val="auto"/>
                    </w:rPr>
                    <w:t>81</w:t>
                  </w:r>
                </w:p>
              </w:tc>
              <w:tc>
                <w:tcPr>
                  <w:tcW w:w="1027" w:type="pct"/>
                  <w:shd w:val="clear" w:color="auto" w:fill="EEECE1" w:themeFill="background2"/>
                  <w:vAlign w:val="center"/>
                </w:tcPr>
                <w:p>
                  <w:pPr>
                    <w:autoSpaceDE w:val="0"/>
                    <w:autoSpaceDN w:val="0"/>
                    <w:jc w:val="center"/>
                    <w:rPr>
                      <w:color w:val="auto"/>
                      <w:sz w:val="24"/>
                    </w:rPr>
                  </w:pPr>
                  <w:r>
                    <w:rPr>
                      <w:color w:val="auto"/>
                    </w:rPr>
                    <w:t>70</w:t>
                  </w:r>
                </w:p>
              </w:tc>
              <w:tc>
                <w:tcPr>
                  <w:tcW w:w="901" w:type="dxa"/>
                  <w:shd w:val="clear" w:color="auto" w:fill="EEECE1" w:themeFill="background2"/>
                  <w:vAlign w:val="center"/>
                </w:tcPr>
                <w:p>
                  <w:pPr>
                    <w:widowControl/>
                    <w:jc w:val="center"/>
                    <w:textAlignment w:val="center"/>
                    <w:rPr>
                      <w:color w:val="auto"/>
                      <w:szCs w:val="21"/>
                    </w:rPr>
                  </w:pPr>
                  <w:r>
                    <w:rPr>
                      <w:color w:val="auto"/>
                      <w:kern w:val="0"/>
                      <w:szCs w:val="21"/>
                      <w:lang w:bidi="ar"/>
                    </w:rPr>
                    <w:t xml:space="preserve">115.71 </w:t>
                  </w:r>
                </w:p>
              </w:tc>
              <w:tc>
                <w:tcPr>
                  <w:tcW w:w="902" w:type="pct"/>
                  <w:shd w:val="clear" w:color="auto" w:fill="EEECE1" w:themeFill="background2"/>
                  <w:vAlign w:val="center"/>
                </w:tcPr>
                <w:p>
                  <w:pPr>
                    <w:autoSpaceDE w:val="0"/>
                    <w:autoSpaceDN w:val="0"/>
                    <w:jc w:val="center"/>
                    <w:rPr>
                      <w:color w:val="auto"/>
                      <w:sz w:val="24"/>
                    </w:rPr>
                  </w:pPr>
                  <w:r>
                    <w:rPr>
                      <w:color w:val="auto"/>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4" w:type="pct"/>
                  <w:vAlign w:val="center"/>
                </w:tcPr>
                <w:p>
                  <w:pPr>
                    <w:autoSpaceDE w:val="0"/>
                    <w:autoSpaceDN w:val="0"/>
                    <w:jc w:val="center"/>
                    <w:rPr>
                      <w:color w:val="auto"/>
                      <w:sz w:val="24"/>
                    </w:rPr>
                  </w:pPr>
                  <w:r>
                    <w:rPr>
                      <w:color w:val="auto"/>
                    </w:rPr>
                    <w:t>SO</w:t>
                  </w:r>
                  <w:r>
                    <w:rPr>
                      <w:color w:val="auto"/>
                      <w:vertAlign w:val="subscript"/>
                    </w:rPr>
                    <w:t>2</w:t>
                  </w:r>
                </w:p>
              </w:tc>
              <w:tc>
                <w:tcPr>
                  <w:tcW w:w="1087" w:type="pct"/>
                  <w:vMerge w:val="continue"/>
                  <w:vAlign w:val="center"/>
                </w:tcPr>
                <w:p>
                  <w:pPr>
                    <w:jc w:val="center"/>
                    <w:rPr>
                      <w:color w:val="auto"/>
                      <w:sz w:val="24"/>
                    </w:rPr>
                  </w:pPr>
                </w:p>
              </w:tc>
              <w:tc>
                <w:tcPr>
                  <w:tcW w:w="862" w:type="pct"/>
                  <w:vAlign w:val="center"/>
                </w:tcPr>
                <w:p>
                  <w:pPr>
                    <w:autoSpaceDE w:val="0"/>
                    <w:autoSpaceDN w:val="0"/>
                    <w:jc w:val="center"/>
                    <w:rPr>
                      <w:color w:val="auto"/>
                      <w:sz w:val="24"/>
                    </w:rPr>
                  </w:pPr>
                  <w:r>
                    <w:rPr>
                      <w:rFonts w:hint="eastAsia"/>
                      <w:color w:val="auto"/>
                    </w:rPr>
                    <w:t>7</w:t>
                  </w:r>
                </w:p>
              </w:tc>
              <w:tc>
                <w:tcPr>
                  <w:tcW w:w="1027" w:type="pct"/>
                  <w:vAlign w:val="center"/>
                </w:tcPr>
                <w:p>
                  <w:pPr>
                    <w:autoSpaceDE w:val="0"/>
                    <w:autoSpaceDN w:val="0"/>
                    <w:jc w:val="center"/>
                    <w:rPr>
                      <w:color w:val="auto"/>
                      <w:sz w:val="24"/>
                    </w:rPr>
                  </w:pPr>
                  <w:r>
                    <w:rPr>
                      <w:color w:val="auto"/>
                    </w:rPr>
                    <w:t>60</w:t>
                  </w:r>
                </w:p>
              </w:tc>
              <w:tc>
                <w:tcPr>
                  <w:tcW w:w="901" w:type="dxa"/>
                  <w:vAlign w:val="center"/>
                </w:tcPr>
                <w:p>
                  <w:pPr>
                    <w:widowControl/>
                    <w:jc w:val="center"/>
                    <w:textAlignment w:val="center"/>
                    <w:rPr>
                      <w:color w:val="auto"/>
                      <w:szCs w:val="21"/>
                    </w:rPr>
                  </w:pPr>
                  <w:r>
                    <w:rPr>
                      <w:color w:val="auto"/>
                      <w:kern w:val="0"/>
                      <w:szCs w:val="21"/>
                      <w:lang w:bidi="ar"/>
                    </w:rPr>
                    <w:t xml:space="preserve">11.67 </w:t>
                  </w:r>
                </w:p>
              </w:tc>
              <w:tc>
                <w:tcPr>
                  <w:tcW w:w="902" w:type="pct"/>
                  <w:vAlign w:val="center"/>
                </w:tcPr>
                <w:p>
                  <w:pPr>
                    <w:autoSpaceDE w:val="0"/>
                    <w:autoSpaceDN w:val="0"/>
                    <w:jc w:val="center"/>
                    <w:rPr>
                      <w:color w:val="auto"/>
                      <w:sz w:val="24"/>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4" w:type="pct"/>
                  <w:vAlign w:val="center"/>
                </w:tcPr>
                <w:p>
                  <w:pPr>
                    <w:autoSpaceDE w:val="0"/>
                    <w:autoSpaceDN w:val="0"/>
                    <w:jc w:val="center"/>
                    <w:rPr>
                      <w:color w:val="auto"/>
                      <w:sz w:val="24"/>
                    </w:rPr>
                  </w:pPr>
                  <w:r>
                    <w:rPr>
                      <w:color w:val="auto"/>
                    </w:rPr>
                    <w:t>NO</w:t>
                  </w:r>
                  <w:r>
                    <w:rPr>
                      <w:color w:val="auto"/>
                      <w:vertAlign w:val="subscript"/>
                    </w:rPr>
                    <w:t>2</w:t>
                  </w:r>
                </w:p>
              </w:tc>
              <w:tc>
                <w:tcPr>
                  <w:tcW w:w="1087" w:type="pct"/>
                  <w:vMerge w:val="continue"/>
                  <w:vAlign w:val="center"/>
                </w:tcPr>
                <w:p>
                  <w:pPr>
                    <w:jc w:val="center"/>
                    <w:rPr>
                      <w:color w:val="auto"/>
                      <w:sz w:val="24"/>
                    </w:rPr>
                  </w:pPr>
                </w:p>
              </w:tc>
              <w:tc>
                <w:tcPr>
                  <w:tcW w:w="862" w:type="pct"/>
                  <w:vAlign w:val="center"/>
                </w:tcPr>
                <w:p>
                  <w:pPr>
                    <w:autoSpaceDE w:val="0"/>
                    <w:autoSpaceDN w:val="0"/>
                    <w:jc w:val="center"/>
                    <w:rPr>
                      <w:color w:val="auto"/>
                      <w:sz w:val="24"/>
                    </w:rPr>
                  </w:pPr>
                  <w:r>
                    <w:rPr>
                      <w:rFonts w:hint="eastAsia"/>
                      <w:color w:val="auto"/>
                    </w:rPr>
                    <w:t>32</w:t>
                  </w:r>
                </w:p>
              </w:tc>
              <w:tc>
                <w:tcPr>
                  <w:tcW w:w="1027" w:type="pct"/>
                  <w:vAlign w:val="center"/>
                </w:tcPr>
                <w:p>
                  <w:pPr>
                    <w:autoSpaceDE w:val="0"/>
                    <w:autoSpaceDN w:val="0"/>
                    <w:jc w:val="center"/>
                    <w:rPr>
                      <w:color w:val="auto"/>
                      <w:sz w:val="24"/>
                    </w:rPr>
                  </w:pPr>
                  <w:r>
                    <w:rPr>
                      <w:color w:val="auto"/>
                    </w:rPr>
                    <w:t>40</w:t>
                  </w:r>
                </w:p>
              </w:tc>
              <w:tc>
                <w:tcPr>
                  <w:tcW w:w="901" w:type="dxa"/>
                  <w:vAlign w:val="center"/>
                </w:tcPr>
                <w:p>
                  <w:pPr>
                    <w:widowControl/>
                    <w:jc w:val="center"/>
                    <w:textAlignment w:val="center"/>
                    <w:rPr>
                      <w:color w:val="auto"/>
                      <w:szCs w:val="21"/>
                    </w:rPr>
                  </w:pPr>
                  <w:r>
                    <w:rPr>
                      <w:color w:val="auto"/>
                      <w:kern w:val="0"/>
                      <w:szCs w:val="21"/>
                      <w:lang w:bidi="ar"/>
                    </w:rPr>
                    <w:t xml:space="preserve">80.00 </w:t>
                  </w:r>
                </w:p>
              </w:tc>
              <w:tc>
                <w:tcPr>
                  <w:tcW w:w="902" w:type="pct"/>
                  <w:vAlign w:val="center"/>
                </w:tcPr>
                <w:p>
                  <w:pPr>
                    <w:autoSpaceDE w:val="0"/>
                    <w:autoSpaceDN w:val="0"/>
                    <w:jc w:val="center"/>
                    <w:rPr>
                      <w:color w:val="auto"/>
                      <w:sz w:val="24"/>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4" w:type="pct"/>
                  <w:vAlign w:val="center"/>
                </w:tcPr>
                <w:p>
                  <w:pPr>
                    <w:jc w:val="center"/>
                    <w:rPr>
                      <w:color w:val="auto"/>
                      <w:sz w:val="24"/>
                    </w:rPr>
                  </w:pPr>
                  <w:r>
                    <w:rPr>
                      <w:rFonts w:hint="eastAsia"/>
                      <w:color w:val="auto"/>
                      <w:sz w:val="24"/>
                    </w:rPr>
                    <w:t>CO</w:t>
                  </w:r>
                </w:p>
              </w:tc>
              <w:tc>
                <w:tcPr>
                  <w:tcW w:w="1087" w:type="pct"/>
                  <w:vAlign w:val="center"/>
                </w:tcPr>
                <w:p>
                  <w:pPr>
                    <w:autoSpaceDE w:val="0"/>
                    <w:autoSpaceDN w:val="0"/>
                    <w:jc w:val="center"/>
                    <w:rPr>
                      <w:color w:val="auto"/>
                      <w:sz w:val="24"/>
                    </w:rPr>
                  </w:pPr>
                  <w:r>
                    <w:rPr>
                      <w:rFonts w:eastAsia="sans-serif"/>
                      <w:color w:val="auto"/>
                      <w:szCs w:val="21"/>
                      <w:shd w:val="clear" w:color="auto" w:fill="FFFFFF"/>
                    </w:rPr>
                    <w:t>24小时平均第95百分位数</w:t>
                  </w:r>
                </w:p>
              </w:tc>
              <w:tc>
                <w:tcPr>
                  <w:tcW w:w="862" w:type="pct"/>
                  <w:vAlign w:val="center"/>
                </w:tcPr>
                <w:p>
                  <w:pPr>
                    <w:autoSpaceDE w:val="0"/>
                    <w:autoSpaceDN w:val="0"/>
                    <w:jc w:val="center"/>
                    <w:rPr>
                      <w:color w:val="auto"/>
                      <w:sz w:val="24"/>
                    </w:rPr>
                  </w:pPr>
                  <w:r>
                    <w:rPr>
                      <w:rFonts w:hint="eastAsia"/>
                      <w:color w:val="auto"/>
                    </w:rPr>
                    <w:t>2300</w:t>
                  </w:r>
                </w:p>
              </w:tc>
              <w:tc>
                <w:tcPr>
                  <w:tcW w:w="1027" w:type="pct"/>
                  <w:vAlign w:val="center"/>
                </w:tcPr>
                <w:p>
                  <w:pPr>
                    <w:autoSpaceDE w:val="0"/>
                    <w:autoSpaceDN w:val="0"/>
                    <w:jc w:val="center"/>
                    <w:rPr>
                      <w:color w:val="auto"/>
                      <w:sz w:val="24"/>
                    </w:rPr>
                  </w:pPr>
                  <w:r>
                    <w:rPr>
                      <w:color w:val="auto"/>
                    </w:rPr>
                    <w:t>4000</w:t>
                  </w:r>
                </w:p>
              </w:tc>
              <w:tc>
                <w:tcPr>
                  <w:tcW w:w="901" w:type="dxa"/>
                  <w:vAlign w:val="center"/>
                </w:tcPr>
                <w:p>
                  <w:pPr>
                    <w:widowControl/>
                    <w:jc w:val="center"/>
                    <w:textAlignment w:val="center"/>
                    <w:rPr>
                      <w:color w:val="auto"/>
                      <w:szCs w:val="21"/>
                    </w:rPr>
                  </w:pPr>
                  <w:r>
                    <w:rPr>
                      <w:color w:val="auto"/>
                      <w:kern w:val="0"/>
                      <w:szCs w:val="21"/>
                      <w:lang w:bidi="ar"/>
                    </w:rPr>
                    <w:t xml:space="preserve">57.50 </w:t>
                  </w:r>
                </w:p>
              </w:tc>
              <w:tc>
                <w:tcPr>
                  <w:tcW w:w="902" w:type="pct"/>
                  <w:vAlign w:val="center"/>
                </w:tcPr>
                <w:p>
                  <w:pPr>
                    <w:autoSpaceDE w:val="0"/>
                    <w:autoSpaceDN w:val="0"/>
                    <w:jc w:val="center"/>
                    <w:rPr>
                      <w:color w:val="auto"/>
                      <w:sz w:val="24"/>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4" w:type="pct"/>
                  <w:vAlign w:val="center"/>
                </w:tcPr>
                <w:p>
                  <w:pPr>
                    <w:jc w:val="center"/>
                    <w:rPr>
                      <w:color w:val="auto"/>
                      <w:sz w:val="24"/>
                    </w:rPr>
                  </w:pPr>
                  <w:r>
                    <w:rPr>
                      <w:rFonts w:hint="eastAsia"/>
                      <w:color w:val="auto"/>
                      <w:sz w:val="24"/>
                    </w:rPr>
                    <w:t>O</w:t>
                  </w:r>
                  <w:r>
                    <w:rPr>
                      <w:rFonts w:hint="eastAsia"/>
                      <w:color w:val="auto"/>
                      <w:sz w:val="24"/>
                      <w:vertAlign w:val="subscript"/>
                    </w:rPr>
                    <w:t>3</w:t>
                  </w:r>
                </w:p>
              </w:tc>
              <w:tc>
                <w:tcPr>
                  <w:tcW w:w="1087" w:type="pct"/>
                  <w:vAlign w:val="center"/>
                </w:tcPr>
                <w:p>
                  <w:pPr>
                    <w:autoSpaceDE w:val="0"/>
                    <w:autoSpaceDN w:val="0"/>
                    <w:jc w:val="center"/>
                    <w:rPr>
                      <w:color w:val="auto"/>
                      <w:sz w:val="24"/>
                    </w:rPr>
                  </w:pPr>
                  <w:r>
                    <w:rPr>
                      <w:rFonts w:hint="eastAsia"/>
                      <w:color w:val="auto"/>
                    </w:rPr>
                    <w:t>日最大</w:t>
                  </w:r>
                  <w:r>
                    <w:rPr>
                      <w:color w:val="auto"/>
                    </w:rPr>
                    <w:t>8h平均</w:t>
                  </w:r>
                  <w:r>
                    <w:rPr>
                      <w:rFonts w:hint="eastAsia"/>
                      <w:color w:val="auto"/>
                    </w:rPr>
                    <w:t>第90百分位数</w:t>
                  </w:r>
                </w:p>
              </w:tc>
              <w:tc>
                <w:tcPr>
                  <w:tcW w:w="862" w:type="pct"/>
                  <w:vAlign w:val="center"/>
                </w:tcPr>
                <w:p>
                  <w:pPr>
                    <w:autoSpaceDE w:val="0"/>
                    <w:autoSpaceDN w:val="0"/>
                    <w:jc w:val="center"/>
                    <w:rPr>
                      <w:color w:val="auto"/>
                      <w:sz w:val="24"/>
                    </w:rPr>
                  </w:pPr>
                  <w:r>
                    <w:rPr>
                      <w:rFonts w:hint="eastAsia"/>
                      <w:color w:val="auto"/>
                    </w:rPr>
                    <w:t>133</w:t>
                  </w:r>
                </w:p>
              </w:tc>
              <w:tc>
                <w:tcPr>
                  <w:tcW w:w="1027" w:type="pct"/>
                  <w:vAlign w:val="center"/>
                </w:tcPr>
                <w:p>
                  <w:pPr>
                    <w:autoSpaceDE w:val="0"/>
                    <w:autoSpaceDN w:val="0"/>
                    <w:jc w:val="center"/>
                    <w:rPr>
                      <w:color w:val="auto"/>
                      <w:sz w:val="24"/>
                    </w:rPr>
                  </w:pPr>
                  <w:r>
                    <w:rPr>
                      <w:color w:val="auto"/>
                    </w:rPr>
                    <w:t>160</w:t>
                  </w:r>
                </w:p>
              </w:tc>
              <w:tc>
                <w:tcPr>
                  <w:tcW w:w="901" w:type="dxa"/>
                  <w:vAlign w:val="center"/>
                </w:tcPr>
                <w:p>
                  <w:pPr>
                    <w:widowControl/>
                    <w:jc w:val="center"/>
                    <w:textAlignment w:val="center"/>
                    <w:rPr>
                      <w:color w:val="auto"/>
                      <w:szCs w:val="21"/>
                    </w:rPr>
                  </w:pPr>
                  <w:r>
                    <w:rPr>
                      <w:color w:val="auto"/>
                      <w:kern w:val="0"/>
                      <w:szCs w:val="21"/>
                      <w:lang w:bidi="ar"/>
                    </w:rPr>
                    <w:t xml:space="preserve">83.13 </w:t>
                  </w:r>
                </w:p>
              </w:tc>
              <w:tc>
                <w:tcPr>
                  <w:tcW w:w="902" w:type="pct"/>
                  <w:vAlign w:val="center"/>
                </w:tcPr>
                <w:p>
                  <w:pPr>
                    <w:autoSpaceDE w:val="0"/>
                    <w:autoSpaceDN w:val="0"/>
                    <w:jc w:val="center"/>
                    <w:rPr>
                      <w:color w:val="auto"/>
                      <w:sz w:val="24"/>
                    </w:rPr>
                  </w:pPr>
                  <w:r>
                    <w:rPr>
                      <w:color w:val="auto"/>
                    </w:rPr>
                    <w:t>达标</w:t>
                  </w:r>
                </w:p>
              </w:tc>
            </w:tr>
          </w:tbl>
          <w:p>
            <w:pPr>
              <w:pStyle w:val="70"/>
              <w:rPr>
                <w:color w:val="auto"/>
              </w:rPr>
            </w:pPr>
            <w:r>
              <w:rPr>
                <w:color w:val="auto"/>
              </w:rPr>
              <w:t>项目所在区域PM</w:t>
            </w:r>
            <w:r>
              <w:rPr>
                <w:rFonts w:hint="eastAsia"/>
                <w:color w:val="auto"/>
                <w:vertAlign w:val="subscript"/>
              </w:rPr>
              <w:t>2.5</w:t>
            </w:r>
            <w:r>
              <w:rPr>
                <w:rFonts w:hint="eastAsia"/>
                <w:color w:val="auto"/>
              </w:rPr>
              <w:t>、</w:t>
            </w:r>
            <w:r>
              <w:rPr>
                <w:color w:val="auto"/>
              </w:rPr>
              <w:t>PM</w:t>
            </w:r>
            <w:r>
              <w:rPr>
                <w:color w:val="auto"/>
                <w:vertAlign w:val="subscript"/>
              </w:rPr>
              <w:t>10</w:t>
            </w:r>
            <w:r>
              <w:rPr>
                <w:color w:val="auto"/>
              </w:rPr>
              <w:t>年平均浓度</w:t>
            </w:r>
            <w:r>
              <w:rPr>
                <w:rFonts w:hint="eastAsia"/>
                <w:color w:val="auto"/>
              </w:rPr>
              <w:t>均</w:t>
            </w:r>
            <w:r>
              <w:rPr>
                <w:color w:val="auto"/>
              </w:rPr>
              <w:t>超过《环境空气质量标准》（GB3095-2012）的二级标准要求；O</w:t>
            </w:r>
            <w:r>
              <w:rPr>
                <w:color w:val="auto"/>
                <w:vertAlign w:val="subscript"/>
              </w:rPr>
              <w:t>3</w:t>
            </w:r>
            <w:r>
              <w:rPr>
                <w:rFonts w:hint="eastAsia"/>
                <w:color w:val="auto"/>
              </w:rPr>
              <w:t>日最大</w:t>
            </w:r>
            <w:r>
              <w:rPr>
                <w:color w:val="auto"/>
              </w:rPr>
              <w:t>8h平均</w:t>
            </w:r>
            <w:r>
              <w:rPr>
                <w:rFonts w:hint="eastAsia"/>
                <w:color w:val="auto"/>
              </w:rPr>
              <w:t>第90百分位数、</w:t>
            </w:r>
            <w:r>
              <w:rPr>
                <w:color w:val="auto"/>
              </w:rPr>
              <w:t>CO</w:t>
            </w:r>
            <w:r>
              <w:rPr>
                <w:rFonts w:eastAsia="sans-serif" w:cs="Times New Roman"/>
                <w:color w:val="auto"/>
                <w:sz w:val="21"/>
                <w:szCs w:val="21"/>
                <w:shd w:val="clear" w:color="auto" w:fill="FFFFFF"/>
              </w:rPr>
              <w:t>24小时平均第95百分位数</w:t>
            </w:r>
            <w:r>
              <w:rPr>
                <w:color w:val="auto"/>
              </w:rPr>
              <w:t>、SO</w:t>
            </w:r>
            <w:r>
              <w:rPr>
                <w:color w:val="auto"/>
                <w:vertAlign w:val="subscript"/>
              </w:rPr>
              <w:t>2</w:t>
            </w:r>
            <w:r>
              <w:rPr>
                <w:rFonts w:hint="eastAsia"/>
                <w:color w:val="auto"/>
              </w:rPr>
              <w:t>、NO</w:t>
            </w:r>
            <w:r>
              <w:rPr>
                <w:rFonts w:hint="eastAsia"/>
                <w:color w:val="auto"/>
                <w:vertAlign w:val="subscript"/>
              </w:rPr>
              <w:t>2</w:t>
            </w:r>
            <w:r>
              <w:rPr>
                <w:color w:val="auto"/>
              </w:rPr>
              <w:t>的年均浓度均满足《环境空气质量标准》（GB3095-2012）的二级标准要求，本项目所在区域为不达标区域。</w:t>
            </w:r>
            <w:r>
              <w:rPr>
                <w:rFonts w:hint="eastAsia"/>
                <w:color w:val="auto"/>
              </w:rPr>
              <w:t>超标主要是与当地气候条件和地理位置有关，评价区大气由于受到当地干旱气候的影响，空气中PM</w:t>
            </w:r>
            <w:r>
              <w:rPr>
                <w:rFonts w:hint="eastAsia"/>
                <w:color w:val="auto"/>
                <w:vertAlign w:val="subscript"/>
              </w:rPr>
              <w:t>10</w:t>
            </w:r>
            <w:r>
              <w:rPr>
                <w:rFonts w:hint="eastAsia"/>
                <w:color w:val="auto"/>
              </w:rPr>
              <w:t>、PM</w:t>
            </w:r>
            <w:r>
              <w:rPr>
                <w:rFonts w:hint="eastAsia"/>
                <w:color w:val="auto"/>
                <w:vertAlign w:val="subscript"/>
              </w:rPr>
              <w:t>2.5</w:t>
            </w:r>
            <w:r>
              <w:rPr>
                <w:rFonts w:hint="eastAsia"/>
                <w:color w:val="auto"/>
              </w:rPr>
              <w:t>的本底值偏高，尤其在沙尘暴和浮尘天气，会出现严重超标。</w:t>
            </w:r>
          </w:p>
          <w:p>
            <w:pPr>
              <w:autoSpaceDE w:val="0"/>
              <w:autoSpaceDN w:val="0"/>
              <w:adjustRightInd w:val="0"/>
              <w:spacing w:line="520" w:lineRule="exact"/>
              <w:ind w:firstLine="482" w:firstLineChars="200"/>
              <w:rPr>
                <w:b/>
                <w:bCs/>
                <w:color w:val="auto"/>
                <w:sz w:val="24"/>
              </w:rPr>
            </w:pPr>
            <w:r>
              <w:rPr>
                <w:b/>
                <w:bCs/>
                <w:color w:val="auto"/>
                <w:sz w:val="24"/>
              </w:rPr>
              <w:t>1.2其他污染物现状调查与评价</w:t>
            </w:r>
          </w:p>
          <w:p>
            <w:pPr>
              <w:autoSpaceDE w:val="0"/>
              <w:autoSpaceDN w:val="0"/>
              <w:adjustRightInd w:val="0"/>
              <w:spacing w:line="520" w:lineRule="exact"/>
              <w:ind w:firstLine="480" w:firstLineChars="200"/>
              <w:rPr>
                <w:color w:val="auto"/>
                <w:sz w:val="24"/>
              </w:rPr>
            </w:pPr>
            <w:r>
              <w:rPr>
                <w:color w:val="auto"/>
                <w:sz w:val="24"/>
              </w:rPr>
              <w:t>（1）数据来源</w:t>
            </w:r>
          </w:p>
          <w:p>
            <w:pPr>
              <w:widowControl/>
              <w:spacing w:line="520" w:lineRule="exact"/>
              <w:ind w:firstLine="480" w:firstLineChars="200"/>
              <w:rPr>
                <w:rFonts w:hint="default" w:eastAsia="宋体"/>
                <w:color w:val="auto"/>
                <w:sz w:val="24"/>
                <w:lang w:val="en-US" w:eastAsia="zh-CN"/>
              </w:rPr>
            </w:pPr>
            <w:r>
              <w:rPr>
                <w:rFonts w:hint="eastAsia"/>
                <w:color w:val="auto"/>
                <w:sz w:val="24"/>
              </w:rPr>
              <w:t>为了了解拟建项目所在地周边环境空气质量状况，本次环评</w:t>
            </w:r>
            <w:r>
              <w:rPr>
                <w:rFonts w:hint="eastAsia"/>
                <w:color w:val="auto"/>
                <w:sz w:val="24"/>
                <w:lang w:val="en-US" w:eastAsia="zh-CN"/>
              </w:rPr>
              <w:t>TSP</w:t>
            </w:r>
            <w:r>
              <w:rPr>
                <w:rFonts w:hint="eastAsia"/>
                <w:color w:val="auto"/>
                <w:sz w:val="24"/>
              </w:rPr>
              <w:t>引用《现场混装多孔粒状铵油炸药生产系统及危险品储存库区搬迁改造项目环境影响报告表》中新疆环疆绿源环保科技有限公司</w:t>
            </w:r>
            <w:r>
              <w:rPr>
                <w:rFonts w:hint="eastAsia"/>
                <w:color w:val="auto"/>
                <w:sz w:val="24"/>
                <w:lang w:val="en-US" w:eastAsia="zh-CN"/>
              </w:rPr>
              <w:t>出具的</w:t>
            </w:r>
            <w:r>
              <w:rPr>
                <w:rFonts w:hint="eastAsia"/>
                <w:color w:val="auto"/>
                <w:sz w:val="24"/>
              </w:rPr>
              <w:t>环境质量现状监测数据评价项目区特征因子达标情况</w:t>
            </w:r>
            <w:r>
              <w:rPr>
                <w:rFonts w:hint="eastAsia"/>
                <w:color w:val="auto"/>
                <w:sz w:val="24"/>
                <w:lang w:eastAsia="zh-CN"/>
              </w:rPr>
              <w:t>，</w:t>
            </w:r>
            <w:r>
              <w:rPr>
                <w:rFonts w:hint="eastAsia"/>
                <w:color w:val="auto"/>
                <w:sz w:val="24"/>
                <w:lang w:val="en-US" w:eastAsia="zh-CN"/>
              </w:rPr>
              <w:t>并委托新疆国科检测有限公司在项目区下风向设置检测点位对非甲烷总烃、氨进行了检测。</w:t>
            </w:r>
          </w:p>
          <w:p>
            <w:pPr>
              <w:spacing w:line="520" w:lineRule="exact"/>
              <w:ind w:firstLine="480" w:firstLineChars="200"/>
              <w:rPr>
                <w:color w:val="auto"/>
                <w:sz w:val="24"/>
              </w:rPr>
            </w:pPr>
            <w:r>
              <w:rPr>
                <w:color w:val="auto"/>
                <w:sz w:val="24"/>
              </w:rPr>
              <w:t>（2）监测项目</w:t>
            </w:r>
          </w:p>
          <w:p>
            <w:pPr>
              <w:spacing w:line="520" w:lineRule="exact"/>
              <w:ind w:firstLine="480" w:firstLineChars="200"/>
              <w:rPr>
                <w:color w:val="auto"/>
                <w:sz w:val="24"/>
              </w:rPr>
            </w:pPr>
            <w:r>
              <w:rPr>
                <w:color w:val="auto"/>
                <w:kern w:val="0"/>
                <w:sz w:val="24"/>
              </w:rPr>
              <w:t>监测项目：</w:t>
            </w:r>
            <w:r>
              <w:rPr>
                <w:rFonts w:hint="eastAsia"/>
                <w:color w:val="auto"/>
                <w:kern w:val="0"/>
                <w:sz w:val="24"/>
                <w:lang w:val="en-US" w:eastAsia="zh-CN"/>
              </w:rPr>
              <w:t>TSP</w:t>
            </w:r>
            <w:r>
              <w:rPr>
                <w:rFonts w:hint="eastAsia"/>
                <w:color w:val="auto"/>
                <w:kern w:val="0"/>
                <w:sz w:val="24"/>
                <w:lang w:eastAsia="zh-CN"/>
              </w:rPr>
              <w:t>、</w:t>
            </w:r>
            <w:r>
              <w:rPr>
                <w:rFonts w:hint="eastAsia"/>
                <w:color w:val="auto"/>
                <w:kern w:val="0"/>
                <w:sz w:val="24"/>
                <w:lang w:val="en-US" w:eastAsia="zh-CN"/>
              </w:rPr>
              <w:t>非甲烷总烃、氨</w:t>
            </w:r>
            <w:r>
              <w:rPr>
                <w:rFonts w:hint="eastAsia"/>
                <w:color w:val="auto"/>
                <w:kern w:val="0"/>
                <w:sz w:val="24"/>
              </w:rPr>
              <w:t>。</w:t>
            </w:r>
          </w:p>
          <w:p>
            <w:pPr>
              <w:spacing w:line="520" w:lineRule="exact"/>
              <w:ind w:firstLine="480" w:firstLineChars="200"/>
              <w:rPr>
                <w:color w:val="auto"/>
                <w:sz w:val="24"/>
              </w:rPr>
            </w:pPr>
            <w:r>
              <w:rPr>
                <w:rFonts w:hint="eastAsia"/>
                <w:color w:val="auto"/>
                <w:sz w:val="24"/>
              </w:rPr>
              <w:t>（3）监测时间及频次</w:t>
            </w:r>
          </w:p>
          <w:p>
            <w:pPr>
              <w:spacing w:line="520" w:lineRule="exact"/>
              <w:ind w:firstLine="480" w:firstLineChars="200"/>
              <w:rPr>
                <w:rFonts w:hint="default" w:eastAsia="宋体"/>
                <w:color w:val="auto"/>
                <w:sz w:val="24"/>
                <w:lang w:val="en-US" w:eastAsia="zh-CN"/>
              </w:rPr>
            </w:pPr>
            <w:r>
              <w:rPr>
                <w:rFonts w:hint="eastAsia"/>
                <w:color w:val="auto"/>
                <w:sz w:val="24"/>
                <w:lang w:val="en-US" w:eastAsia="zh-CN"/>
              </w:rPr>
              <w:t>TSP</w:t>
            </w:r>
            <w:r>
              <w:rPr>
                <w:rFonts w:hint="eastAsia"/>
                <w:color w:val="auto"/>
                <w:sz w:val="24"/>
              </w:rPr>
              <w:t>监测采样时间为2022年3月24日</w:t>
            </w:r>
            <w:r>
              <w:rPr>
                <w:rFonts w:hint="eastAsia"/>
                <w:color w:val="auto"/>
                <w:sz w:val="24"/>
                <w:lang w:eastAsia="zh-CN"/>
              </w:rPr>
              <w:t>～</w:t>
            </w:r>
            <w:r>
              <w:rPr>
                <w:rFonts w:hint="eastAsia"/>
                <w:color w:val="auto"/>
                <w:sz w:val="24"/>
              </w:rPr>
              <w:t>2022年3月27日，每天24小时</w:t>
            </w:r>
            <w:r>
              <w:rPr>
                <w:rFonts w:hint="eastAsia"/>
                <w:color w:val="auto"/>
                <w:sz w:val="24"/>
                <w:lang w:eastAsia="zh-CN"/>
              </w:rPr>
              <w:t>，</w:t>
            </w:r>
            <w:r>
              <w:rPr>
                <w:rFonts w:hint="eastAsia"/>
                <w:color w:val="auto"/>
                <w:kern w:val="0"/>
                <w:sz w:val="24"/>
                <w:lang w:val="en-US" w:eastAsia="zh-CN"/>
              </w:rPr>
              <w:t>非甲烷总烃、氨</w:t>
            </w:r>
            <w:r>
              <w:rPr>
                <w:rFonts w:hint="eastAsia"/>
                <w:color w:val="auto"/>
                <w:sz w:val="24"/>
              </w:rPr>
              <w:t>监测采样时间为202</w:t>
            </w:r>
            <w:r>
              <w:rPr>
                <w:rFonts w:hint="eastAsia"/>
                <w:color w:val="auto"/>
                <w:sz w:val="24"/>
                <w:lang w:val="en-US" w:eastAsia="zh-CN"/>
              </w:rPr>
              <w:t>4</w:t>
            </w:r>
            <w:r>
              <w:rPr>
                <w:rFonts w:hint="eastAsia"/>
                <w:color w:val="auto"/>
                <w:sz w:val="24"/>
              </w:rPr>
              <w:t>年</w:t>
            </w:r>
            <w:r>
              <w:rPr>
                <w:rFonts w:hint="eastAsia"/>
                <w:color w:val="auto"/>
                <w:sz w:val="24"/>
                <w:lang w:val="en-US" w:eastAsia="zh-CN"/>
              </w:rPr>
              <w:t>5</w:t>
            </w:r>
            <w:r>
              <w:rPr>
                <w:rFonts w:hint="eastAsia"/>
                <w:color w:val="auto"/>
                <w:sz w:val="24"/>
              </w:rPr>
              <w:t>月</w:t>
            </w:r>
            <w:r>
              <w:rPr>
                <w:rFonts w:hint="eastAsia"/>
                <w:color w:val="auto"/>
                <w:sz w:val="24"/>
                <w:lang w:val="en-US" w:eastAsia="zh-CN"/>
              </w:rPr>
              <w:t>11</w:t>
            </w:r>
            <w:r>
              <w:rPr>
                <w:rFonts w:hint="eastAsia"/>
                <w:color w:val="auto"/>
                <w:sz w:val="24"/>
              </w:rPr>
              <w:t>日</w:t>
            </w:r>
            <w:r>
              <w:rPr>
                <w:rFonts w:hint="eastAsia"/>
                <w:color w:val="auto"/>
                <w:sz w:val="24"/>
                <w:lang w:eastAsia="zh-CN"/>
              </w:rPr>
              <w:t>～</w:t>
            </w:r>
            <w:r>
              <w:rPr>
                <w:rFonts w:hint="eastAsia"/>
                <w:color w:val="auto"/>
                <w:sz w:val="24"/>
              </w:rPr>
              <w:t>20</w:t>
            </w:r>
            <w:r>
              <w:rPr>
                <w:rFonts w:hint="eastAsia"/>
                <w:color w:val="auto"/>
                <w:sz w:val="24"/>
                <w:lang w:val="en-US" w:eastAsia="zh-CN"/>
              </w:rPr>
              <w:t>24</w:t>
            </w:r>
            <w:r>
              <w:rPr>
                <w:rFonts w:hint="eastAsia"/>
                <w:color w:val="auto"/>
                <w:sz w:val="24"/>
              </w:rPr>
              <w:t>年</w:t>
            </w:r>
            <w:r>
              <w:rPr>
                <w:rFonts w:hint="eastAsia"/>
                <w:color w:val="auto"/>
                <w:sz w:val="24"/>
                <w:lang w:val="en-US" w:eastAsia="zh-CN"/>
              </w:rPr>
              <w:t>5</w:t>
            </w:r>
            <w:r>
              <w:rPr>
                <w:rFonts w:hint="eastAsia"/>
                <w:color w:val="auto"/>
                <w:sz w:val="24"/>
              </w:rPr>
              <w:t>月</w:t>
            </w:r>
            <w:r>
              <w:rPr>
                <w:rFonts w:hint="eastAsia"/>
                <w:color w:val="auto"/>
                <w:sz w:val="24"/>
                <w:lang w:val="en-US" w:eastAsia="zh-CN"/>
              </w:rPr>
              <w:t>13</w:t>
            </w:r>
            <w:r>
              <w:rPr>
                <w:rFonts w:hint="eastAsia"/>
                <w:color w:val="auto"/>
                <w:sz w:val="24"/>
              </w:rPr>
              <w:t>日，</w:t>
            </w:r>
            <w:r>
              <w:rPr>
                <w:rFonts w:hint="eastAsia"/>
                <w:color w:val="auto"/>
                <w:sz w:val="24"/>
                <w:lang w:val="en-US" w:eastAsia="zh-CN"/>
              </w:rPr>
              <w:t>每天检测4次。</w:t>
            </w:r>
          </w:p>
          <w:p>
            <w:pPr>
              <w:spacing w:line="520" w:lineRule="exact"/>
              <w:ind w:firstLine="480" w:firstLineChars="200"/>
              <w:rPr>
                <w:color w:val="auto"/>
                <w:sz w:val="24"/>
              </w:rPr>
            </w:pPr>
            <w:r>
              <w:rPr>
                <w:color w:val="auto"/>
                <w:sz w:val="24"/>
              </w:rPr>
              <w:t>（3）监测标准</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rPr>
                <w:color w:val="auto"/>
              </w:rPr>
            </w:pPr>
            <w:r>
              <w:rPr>
                <w:rFonts w:hint="eastAsia"/>
                <w:color w:val="auto"/>
                <w:sz w:val="24"/>
              </w:rPr>
              <w:t>TSP参</w:t>
            </w:r>
            <w:r>
              <w:rPr>
                <w:rFonts w:hint="default" w:ascii="Times New Roman" w:hAnsi="Times New Roman" w:cs="Times New Roman"/>
                <w:color w:val="auto"/>
                <w:sz w:val="24"/>
              </w:rPr>
              <w:t>照《环境空气质量标准》（GB3095-2012）表2中总悬浮颗粒物（TSP）24h平均值（0.3</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sz w:val="24"/>
              </w:rPr>
              <w:t>）。</w:t>
            </w:r>
            <w:r>
              <w:rPr>
                <w:rFonts w:hint="default" w:ascii="Times New Roman" w:hAnsi="Times New Roman" w:eastAsia="宋体" w:cs="Times New Roman"/>
                <w:color w:val="auto"/>
                <w:kern w:val="0"/>
                <w:sz w:val="24"/>
                <w:szCs w:val="24"/>
                <w:lang w:val="en-US" w:eastAsia="zh-CN" w:bidi="ar"/>
              </w:rPr>
              <w:t>NH</w:t>
            </w:r>
            <w:r>
              <w:rPr>
                <w:rFonts w:hint="default" w:ascii="Times New Roman" w:hAnsi="Times New Roman" w:eastAsia="宋体" w:cs="Times New Roman"/>
                <w:color w:val="auto"/>
                <w:kern w:val="0"/>
                <w:sz w:val="16"/>
                <w:szCs w:val="16"/>
                <w:lang w:val="en-US" w:eastAsia="zh-CN" w:bidi="ar"/>
              </w:rPr>
              <w:t>3</w:t>
            </w:r>
            <w:r>
              <w:rPr>
                <w:rFonts w:hint="default" w:ascii="Times New Roman" w:hAnsi="Times New Roman" w:eastAsia="宋体" w:cs="Times New Roman"/>
                <w:color w:val="auto"/>
                <w:kern w:val="0"/>
                <w:sz w:val="24"/>
                <w:szCs w:val="24"/>
                <w:lang w:val="en-US" w:eastAsia="zh-CN" w:bidi="ar"/>
              </w:rPr>
              <w:t>执行《环境影响评价技术导则  大气环境》（HJ2.2-2018）附录D.1相关要求</w:t>
            </w:r>
            <w:r>
              <w:rPr>
                <w:rFonts w:hint="default" w:ascii="Times New Roman" w:hAnsi="Times New Roman" w:cs="Times New Roman"/>
                <w:color w:val="auto"/>
                <w:kern w:val="0"/>
                <w:sz w:val="24"/>
                <w:szCs w:val="24"/>
                <w:lang w:val="en-US" w:eastAsia="zh-CN" w:bidi="ar"/>
              </w:rPr>
              <w:t>（0.2</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，非甲烷总烃执行《大气污染物综合排放标准》（GB16297-1996）详解取值</w:t>
            </w:r>
            <w:r>
              <w:rPr>
                <w:rFonts w:hint="default" w:ascii="Times New Roman" w:hAnsi="Times New Roman" w:cs="Times New Roman"/>
                <w:color w:val="auto"/>
                <w:kern w:val="0"/>
                <w:sz w:val="24"/>
                <w:szCs w:val="24"/>
                <w:lang w:val="en-US" w:eastAsia="zh-CN" w:bidi="ar"/>
              </w:rPr>
              <w:t>（</w:t>
            </w:r>
            <w:r>
              <w:rPr>
                <w:rFonts w:hint="eastAsia" w:cs="Times New Roman"/>
                <w:color w:val="auto"/>
                <w:kern w:val="0"/>
                <w:sz w:val="24"/>
                <w:szCs w:val="24"/>
                <w:lang w:val="en-US" w:eastAsia="zh-CN" w:bidi="ar"/>
              </w:rPr>
              <w:t>2</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w:t>
            </w:r>
          </w:p>
          <w:p>
            <w:pPr>
              <w:spacing w:line="520" w:lineRule="exact"/>
              <w:ind w:firstLine="480" w:firstLineChars="200"/>
              <w:rPr>
                <w:color w:val="auto"/>
                <w:sz w:val="24"/>
              </w:rPr>
            </w:pPr>
            <w:r>
              <w:rPr>
                <w:color w:val="auto"/>
                <w:sz w:val="24"/>
              </w:rPr>
              <w:t>（4）评价方法</w:t>
            </w:r>
          </w:p>
          <w:p>
            <w:pPr>
              <w:pStyle w:val="72"/>
              <w:spacing w:line="520" w:lineRule="exact"/>
              <w:jc w:val="both"/>
              <w:rPr>
                <w:color w:val="auto"/>
              </w:rPr>
            </w:pPr>
            <w:r>
              <w:rPr>
                <w:color w:val="auto"/>
              </w:rPr>
              <w:t>特征污染物采用单因子污染指数法，其单项参数i在第j点的标准指数为：</w:t>
            </w:r>
          </w:p>
          <w:p>
            <w:pPr>
              <w:pStyle w:val="72"/>
              <w:jc w:val="center"/>
              <w:rPr>
                <w:color w:val="auto"/>
              </w:rPr>
            </w:pPr>
            <w:r>
              <w:rPr>
                <w:snapToGrid/>
                <w:color w:val="auto"/>
              </w:rPr>
              <w:drawing>
                <wp:inline distT="0" distB="0" distL="114300" distR="114300">
                  <wp:extent cx="1078230" cy="273050"/>
                  <wp:effectExtent l="0" t="0" r="0" b="13335"/>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1"/>
                          </pic:cNvPicPr>
                        </pic:nvPicPr>
                        <pic:blipFill>
                          <a:blip r:embed="rId31"/>
                          <a:stretch>
                            <a:fillRect/>
                          </a:stretch>
                        </pic:blipFill>
                        <pic:spPr>
                          <a:xfrm>
                            <a:off x="0" y="0"/>
                            <a:ext cx="1078230" cy="273050"/>
                          </a:xfrm>
                          <a:prstGeom prst="rect">
                            <a:avLst/>
                          </a:prstGeom>
                          <a:noFill/>
                          <a:ln>
                            <a:noFill/>
                          </a:ln>
                        </pic:spPr>
                      </pic:pic>
                    </a:graphicData>
                  </a:graphic>
                </wp:inline>
              </w:drawing>
            </w:r>
          </w:p>
          <w:p>
            <w:pPr>
              <w:pStyle w:val="72"/>
              <w:spacing w:line="520" w:lineRule="exact"/>
              <w:jc w:val="both"/>
              <w:rPr>
                <w:color w:val="auto"/>
              </w:rPr>
            </w:pPr>
            <w:r>
              <w:rPr>
                <w:color w:val="auto"/>
              </w:rPr>
              <w:t>式中：S</w:t>
            </w:r>
            <w:r>
              <w:rPr>
                <w:color w:val="auto"/>
                <w:vertAlign w:val="subscript"/>
              </w:rPr>
              <w:t>i，j</w:t>
            </w:r>
            <w:r>
              <w:rPr>
                <w:color w:val="auto"/>
              </w:rPr>
              <w:t>——单项标准指数；</w:t>
            </w:r>
          </w:p>
          <w:p>
            <w:pPr>
              <w:pStyle w:val="72"/>
              <w:spacing w:line="520" w:lineRule="exact"/>
              <w:ind w:firstLine="1200" w:firstLineChars="500"/>
              <w:jc w:val="both"/>
              <w:rPr>
                <w:color w:val="auto"/>
              </w:rPr>
            </w:pPr>
            <w:r>
              <w:rPr>
                <w:color w:val="auto"/>
              </w:rPr>
              <w:t>C</w:t>
            </w:r>
            <w:r>
              <w:rPr>
                <w:color w:val="auto"/>
                <w:vertAlign w:val="subscript"/>
              </w:rPr>
              <w:t>i，j</w:t>
            </w:r>
            <w:r>
              <w:rPr>
                <w:color w:val="auto"/>
              </w:rPr>
              <w:t>——实测值；</w:t>
            </w:r>
          </w:p>
          <w:p>
            <w:pPr>
              <w:spacing w:line="520" w:lineRule="exact"/>
              <w:ind w:firstLine="1200" w:firstLineChars="500"/>
              <w:rPr>
                <w:color w:val="auto"/>
                <w:sz w:val="24"/>
              </w:rPr>
            </w:pPr>
            <w:r>
              <w:rPr>
                <w:color w:val="auto"/>
                <w:sz w:val="24"/>
              </w:rPr>
              <w:t>C</w:t>
            </w:r>
            <w:r>
              <w:rPr>
                <w:color w:val="auto"/>
                <w:sz w:val="24"/>
                <w:vertAlign w:val="subscript"/>
              </w:rPr>
              <w:t>s，j</w:t>
            </w:r>
            <w:r>
              <w:rPr>
                <w:color w:val="auto"/>
                <w:sz w:val="24"/>
              </w:rPr>
              <w:t>——项目评价标准。</w:t>
            </w:r>
          </w:p>
          <w:p>
            <w:pPr>
              <w:spacing w:line="520" w:lineRule="exact"/>
              <w:ind w:firstLine="480" w:firstLineChars="200"/>
              <w:rPr>
                <w:color w:val="auto"/>
                <w:sz w:val="24"/>
              </w:rPr>
            </w:pPr>
            <w:r>
              <w:rPr>
                <w:color w:val="auto"/>
                <w:sz w:val="24"/>
              </w:rPr>
              <w:t>（5）监测与评价结果</w:t>
            </w:r>
          </w:p>
          <w:p>
            <w:pPr>
              <w:pStyle w:val="27"/>
              <w:spacing w:after="0"/>
              <w:rPr>
                <w:color w:val="auto"/>
              </w:rPr>
            </w:pPr>
            <w:r>
              <w:rPr>
                <w:color w:val="auto"/>
              </w:rPr>
              <w:t>监测与评价结果，见表3-2。</w:t>
            </w:r>
          </w:p>
          <w:p>
            <w:pPr>
              <w:pStyle w:val="36"/>
              <w:rPr>
                <w:color w:val="auto"/>
              </w:rPr>
            </w:pPr>
            <w:r>
              <w:rPr>
                <w:color w:val="auto"/>
              </w:rPr>
              <w:t>表</w:t>
            </w:r>
            <w:r>
              <w:rPr>
                <w:rFonts w:hint="eastAsia"/>
                <w:color w:val="auto"/>
              </w:rPr>
              <w:t>3-2</w:t>
            </w:r>
            <w:r>
              <w:rPr>
                <w:color w:val="auto"/>
              </w:rPr>
              <w:t xml:space="preserve">  </w:t>
            </w:r>
            <w:r>
              <w:rPr>
                <w:rFonts w:hint="eastAsia"/>
                <w:color w:val="auto"/>
              </w:rPr>
              <w:t>特征因子</w:t>
            </w:r>
            <w:r>
              <w:rPr>
                <w:color w:val="auto"/>
              </w:rPr>
              <w:t>评价结果一览表</w:t>
            </w:r>
          </w:p>
          <w:tbl>
            <w:tblPr>
              <w:tblStyle w:val="28"/>
              <w:tblW w:w="4996" w:type="pct"/>
              <w:tblInd w:w="15" w:type="dxa"/>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autofit"/>
              <w:tblCellMar>
                <w:top w:w="0" w:type="dxa"/>
                <w:left w:w="108" w:type="dxa"/>
                <w:bottom w:w="0" w:type="dxa"/>
                <w:right w:w="108" w:type="dxa"/>
              </w:tblCellMar>
            </w:tblPr>
            <w:tblGrid>
              <w:gridCol w:w="1514"/>
              <w:gridCol w:w="1256"/>
              <w:gridCol w:w="1780"/>
              <w:gridCol w:w="1324"/>
              <w:gridCol w:w="1030"/>
              <w:gridCol w:w="1492"/>
            </w:tblGrid>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c>
                <w:tcPr>
                  <w:tcW w:w="901" w:type="pct"/>
                  <w:tcBorders>
                    <w:tl2br w:val="nil"/>
                    <w:tr2bl w:val="nil"/>
                  </w:tcBorders>
                  <w:vAlign w:val="center"/>
                </w:tcPr>
                <w:p>
                  <w:pPr>
                    <w:jc w:val="center"/>
                    <w:rPr>
                      <w:color w:val="auto"/>
                    </w:rPr>
                  </w:pPr>
                  <w:r>
                    <w:rPr>
                      <w:color w:val="auto"/>
                    </w:rPr>
                    <w:t>监测项目</w:t>
                  </w:r>
                </w:p>
              </w:tc>
              <w:tc>
                <w:tcPr>
                  <w:tcW w:w="747" w:type="pct"/>
                  <w:tcBorders>
                    <w:tl2br w:val="nil"/>
                    <w:tr2bl w:val="nil"/>
                  </w:tcBorders>
                  <w:vAlign w:val="center"/>
                </w:tcPr>
                <w:p>
                  <w:pPr>
                    <w:jc w:val="center"/>
                    <w:rPr>
                      <w:color w:val="auto"/>
                    </w:rPr>
                  </w:pPr>
                  <w:r>
                    <w:rPr>
                      <w:color w:val="auto"/>
                    </w:rPr>
                    <w:t>监测点位</w:t>
                  </w:r>
                </w:p>
              </w:tc>
              <w:tc>
                <w:tcPr>
                  <w:tcW w:w="1059" w:type="pct"/>
                  <w:tcBorders>
                    <w:tl2br w:val="nil"/>
                    <w:tr2bl w:val="nil"/>
                  </w:tcBorders>
                  <w:vAlign w:val="center"/>
                </w:tcPr>
                <w:p>
                  <w:pPr>
                    <w:jc w:val="center"/>
                    <w:rPr>
                      <w:rFonts w:hint="eastAsia" w:eastAsia="宋体"/>
                      <w:color w:val="auto"/>
                      <w:lang w:eastAsia="zh-CN"/>
                    </w:rPr>
                  </w:pPr>
                  <w:r>
                    <w:rPr>
                      <w:color w:val="auto"/>
                    </w:rPr>
                    <w:t>小时值浓度范围</w:t>
                  </w:r>
                  <w:r>
                    <w:rPr>
                      <w:rFonts w:hint="eastAsia"/>
                      <w:color w:val="auto"/>
                      <w:lang w:eastAsia="zh-CN"/>
                    </w:rPr>
                    <w:t>（</w:t>
                  </w:r>
                  <w:r>
                    <w:rPr>
                      <w:color w:val="auto"/>
                    </w:rPr>
                    <w:t>mg/m</w:t>
                  </w:r>
                  <w:r>
                    <w:rPr>
                      <w:color w:val="auto"/>
                      <w:vertAlign w:val="superscript"/>
                    </w:rPr>
                    <w:t>3</w:t>
                  </w:r>
                  <w:r>
                    <w:rPr>
                      <w:rFonts w:hint="eastAsia"/>
                      <w:color w:val="auto"/>
                      <w:lang w:eastAsia="zh-CN"/>
                    </w:rPr>
                    <w:t>）</w:t>
                  </w:r>
                </w:p>
              </w:tc>
              <w:tc>
                <w:tcPr>
                  <w:tcW w:w="788" w:type="pct"/>
                  <w:tcBorders>
                    <w:tl2br w:val="nil"/>
                    <w:tr2bl w:val="nil"/>
                  </w:tcBorders>
                  <w:vAlign w:val="center"/>
                </w:tcPr>
                <w:p>
                  <w:pPr>
                    <w:pStyle w:val="73"/>
                    <w:rPr>
                      <w:rFonts w:ascii="Times New Roman" w:hAnsi="Times New Roman" w:eastAsia="宋体"/>
                      <w:b w:val="0"/>
                      <w:color w:val="auto"/>
                      <w:lang w:eastAsia="zh-CN"/>
                    </w:rPr>
                  </w:pPr>
                  <w:r>
                    <w:rPr>
                      <w:rFonts w:ascii="Times New Roman" w:hAnsi="Times New Roman" w:eastAsia="宋体"/>
                      <w:b w:val="0"/>
                      <w:color w:val="auto"/>
                      <w:lang w:eastAsia="zh-CN"/>
                    </w:rPr>
                    <w:t>最大浓度占标率</w:t>
                  </w:r>
                </w:p>
                <w:p>
                  <w:pPr>
                    <w:jc w:val="center"/>
                    <w:rPr>
                      <w:color w:val="auto"/>
                    </w:rPr>
                  </w:pPr>
                  <w:r>
                    <w:rPr>
                      <w:rFonts w:hint="eastAsia"/>
                      <w:color w:val="auto"/>
                    </w:rPr>
                    <w:t>（</w:t>
                  </w:r>
                  <w:r>
                    <w:rPr>
                      <w:color w:val="auto"/>
                    </w:rPr>
                    <w:t>%</w:t>
                  </w:r>
                  <w:r>
                    <w:rPr>
                      <w:rFonts w:hint="eastAsia"/>
                      <w:color w:val="auto"/>
                    </w:rPr>
                    <w:t>）</w:t>
                  </w:r>
                </w:p>
              </w:tc>
              <w:tc>
                <w:tcPr>
                  <w:tcW w:w="613" w:type="pct"/>
                  <w:tcBorders>
                    <w:tl2br w:val="nil"/>
                    <w:tr2bl w:val="nil"/>
                  </w:tcBorders>
                  <w:vAlign w:val="center"/>
                </w:tcPr>
                <w:p>
                  <w:pPr>
                    <w:pStyle w:val="73"/>
                    <w:rPr>
                      <w:rFonts w:ascii="Times New Roman" w:hAnsi="Times New Roman" w:eastAsia="宋体"/>
                      <w:b w:val="0"/>
                      <w:color w:val="auto"/>
                      <w:lang w:eastAsia="zh-CN"/>
                    </w:rPr>
                  </w:pPr>
                  <w:r>
                    <w:rPr>
                      <w:rFonts w:ascii="Times New Roman" w:hAnsi="Times New Roman" w:eastAsia="宋体"/>
                      <w:b w:val="0"/>
                      <w:color w:val="auto"/>
                      <w:lang w:eastAsia="zh-CN"/>
                    </w:rPr>
                    <w:t>达标</w:t>
                  </w:r>
                </w:p>
                <w:p>
                  <w:pPr>
                    <w:pStyle w:val="73"/>
                    <w:rPr>
                      <w:rFonts w:ascii="Times New Roman" w:hAnsi="Times New Roman" w:eastAsia="宋体"/>
                      <w:b w:val="0"/>
                      <w:color w:val="auto"/>
                      <w:lang w:eastAsia="zh-CN"/>
                    </w:rPr>
                  </w:pPr>
                  <w:r>
                    <w:rPr>
                      <w:rFonts w:ascii="Times New Roman" w:hAnsi="Times New Roman" w:eastAsia="宋体"/>
                      <w:b w:val="0"/>
                      <w:color w:val="auto"/>
                      <w:lang w:eastAsia="zh-CN"/>
                    </w:rPr>
                    <w:t>情况</w:t>
                  </w:r>
                </w:p>
              </w:tc>
              <w:tc>
                <w:tcPr>
                  <w:tcW w:w="887" w:type="pct"/>
                  <w:tcBorders>
                    <w:tl2br w:val="nil"/>
                    <w:tr2bl w:val="nil"/>
                  </w:tcBorders>
                  <w:vAlign w:val="center"/>
                </w:tcPr>
                <w:p>
                  <w:pPr>
                    <w:jc w:val="center"/>
                    <w:rPr>
                      <w:color w:val="auto"/>
                    </w:rPr>
                  </w:pPr>
                  <w:r>
                    <w:rPr>
                      <w:color w:val="auto"/>
                    </w:rPr>
                    <w:t>标准值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c>
                <w:tcPr>
                  <w:tcW w:w="901" w:type="pct"/>
                  <w:tcBorders>
                    <w:tl2br w:val="nil"/>
                    <w:tr2bl w:val="nil"/>
                  </w:tcBorders>
                  <w:vAlign w:val="center"/>
                </w:tcPr>
                <w:p>
                  <w:pPr>
                    <w:jc w:val="center"/>
                    <w:rPr>
                      <w:color w:val="auto"/>
                    </w:rPr>
                  </w:pPr>
                  <w:r>
                    <w:rPr>
                      <w:rFonts w:hint="eastAsia"/>
                      <w:color w:val="auto"/>
                    </w:rPr>
                    <w:t>TSP</w:t>
                  </w:r>
                </w:p>
              </w:tc>
              <w:tc>
                <w:tcPr>
                  <w:tcW w:w="747" w:type="pct"/>
                  <w:tcBorders>
                    <w:tl2br w:val="nil"/>
                    <w:tr2bl w:val="nil"/>
                  </w:tcBorders>
                  <w:vAlign w:val="center"/>
                </w:tcPr>
                <w:p>
                  <w:pPr>
                    <w:jc w:val="center"/>
                    <w:rPr>
                      <w:color w:val="auto"/>
                    </w:rPr>
                  </w:pPr>
                  <w:r>
                    <w:rPr>
                      <w:rFonts w:hint="eastAsia"/>
                      <w:color w:val="auto"/>
                    </w:rPr>
                    <w:t>项目区内</w:t>
                  </w:r>
                </w:p>
              </w:tc>
              <w:tc>
                <w:tcPr>
                  <w:tcW w:w="1059" w:type="pct"/>
                  <w:tcBorders>
                    <w:tl2br w:val="nil"/>
                    <w:tr2bl w:val="nil"/>
                  </w:tcBorders>
                  <w:vAlign w:val="center"/>
                </w:tcPr>
                <w:p>
                  <w:pPr>
                    <w:jc w:val="center"/>
                    <w:rPr>
                      <w:color w:val="auto"/>
                    </w:rPr>
                  </w:pPr>
                  <w:r>
                    <w:rPr>
                      <w:rFonts w:hint="eastAsia"/>
                      <w:color w:val="auto"/>
                    </w:rPr>
                    <w:t>0.169~0.244</w:t>
                  </w:r>
                </w:p>
              </w:tc>
              <w:tc>
                <w:tcPr>
                  <w:tcW w:w="788" w:type="pct"/>
                  <w:tcBorders>
                    <w:tl2br w:val="nil"/>
                    <w:tr2bl w:val="nil"/>
                  </w:tcBorders>
                  <w:vAlign w:val="center"/>
                </w:tcPr>
                <w:p>
                  <w:pPr>
                    <w:jc w:val="center"/>
                    <w:rPr>
                      <w:color w:val="auto"/>
                    </w:rPr>
                  </w:pPr>
                  <w:r>
                    <w:rPr>
                      <w:rFonts w:hint="eastAsia"/>
                      <w:color w:val="auto"/>
                    </w:rPr>
                    <w:t>81.3</w:t>
                  </w:r>
                </w:p>
              </w:tc>
              <w:tc>
                <w:tcPr>
                  <w:tcW w:w="613" w:type="pct"/>
                  <w:tcBorders>
                    <w:tl2br w:val="nil"/>
                    <w:tr2bl w:val="nil"/>
                  </w:tcBorders>
                  <w:vAlign w:val="center"/>
                </w:tcPr>
                <w:p>
                  <w:pPr>
                    <w:jc w:val="center"/>
                    <w:rPr>
                      <w:color w:val="auto"/>
                    </w:rPr>
                  </w:pPr>
                  <w:r>
                    <w:rPr>
                      <w:color w:val="auto"/>
                    </w:rPr>
                    <w:t>达标</w:t>
                  </w:r>
                </w:p>
              </w:tc>
              <w:tc>
                <w:tcPr>
                  <w:tcW w:w="887" w:type="pct"/>
                  <w:tcBorders>
                    <w:tl2br w:val="nil"/>
                    <w:tr2bl w:val="nil"/>
                  </w:tcBorders>
                  <w:vAlign w:val="center"/>
                </w:tcPr>
                <w:p>
                  <w:pPr>
                    <w:jc w:val="center"/>
                    <w:rPr>
                      <w:color w:val="auto"/>
                    </w:rPr>
                  </w:pPr>
                  <w:r>
                    <w:rPr>
                      <w:rFonts w:hint="eastAsia"/>
                      <w:color w:val="auto"/>
                    </w:rPr>
                    <w:t>0.3</w:t>
                  </w:r>
                  <w:r>
                    <w:rPr>
                      <w:color w:val="auto"/>
                    </w:rPr>
                    <w:t>mg/m</w:t>
                  </w:r>
                  <w:r>
                    <w:rPr>
                      <w:color w:val="auto"/>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c>
                <w:tcPr>
                  <w:tcW w:w="901" w:type="pct"/>
                  <w:tcBorders>
                    <w:tl2br w:val="nil"/>
                    <w:tr2bl w:val="nil"/>
                  </w:tcBorders>
                  <w:vAlign w:val="center"/>
                </w:tcPr>
                <w:p>
                  <w:pPr>
                    <w:jc w:val="center"/>
                    <w:rPr>
                      <w:rFonts w:hint="default" w:eastAsia="宋体"/>
                      <w:color w:val="auto"/>
                      <w:lang w:val="en-US" w:eastAsia="zh-CN"/>
                    </w:rPr>
                  </w:pPr>
                  <w:r>
                    <w:rPr>
                      <w:rFonts w:hint="eastAsia"/>
                      <w:color w:val="auto"/>
                      <w:lang w:val="en-US" w:eastAsia="zh-CN"/>
                    </w:rPr>
                    <w:t>非甲烷总烃</w:t>
                  </w:r>
                </w:p>
              </w:tc>
              <w:tc>
                <w:tcPr>
                  <w:tcW w:w="747" w:type="pct"/>
                  <w:vMerge w:val="restart"/>
                  <w:tcBorders>
                    <w:tl2br w:val="nil"/>
                    <w:tr2bl w:val="nil"/>
                  </w:tcBorders>
                  <w:vAlign w:val="center"/>
                </w:tcPr>
                <w:p>
                  <w:pPr>
                    <w:jc w:val="center"/>
                    <w:rPr>
                      <w:rFonts w:hint="default" w:eastAsia="宋体"/>
                      <w:color w:val="auto"/>
                      <w:lang w:val="en-US" w:eastAsia="zh-CN"/>
                    </w:rPr>
                  </w:pPr>
                  <w:r>
                    <w:rPr>
                      <w:rFonts w:hint="eastAsia"/>
                      <w:color w:val="auto"/>
                      <w:lang w:val="en-US" w:eastAsia="zh-CN"/>
                    </w:rPr>
                    <w:t>项目区下风向</w:t>
                  </w:r>
                </w:p>
              </w:tc>
              <w:tc>
                <w:tcPr>
                  <w:tcW w:w="1059" w:type="pct"/>
                  <w:tcBorders>
                    <w:tl2br w:val="nil"/>
                    <w:tr2bl w:val="nil"/>
                  </w:tcBorders>
                  <w:vAlign w:val="center"/>
                </w:tcPr>
                <w:p>
                  <w:pPr>
                    <w:jc w:val="center"/>
                    <w:rPr>
                      <w:rFonts w:hint="default" w:eastAsia="宋体"/>
                      <w:color w:val="auto"/>
                      <w:lang w:val="en-US" w:eastAsia="zh-CN"/>
                    </w:rPr>
                  </w:pPr>
                  <w:r>
                    <w:rPr>
                      <w:rFonts w:hint="eastAsia"/>
                      <w:color w:val="auto"/>
                    </w:rPr>
                    <w:t>0.</w:t>
                  </w:r>
                  <w:r>
                    <w:rPr>
                      <w:rFonts w:hint="eastAsia"/>
                      <w:color w:val="auto"/>
                      <w:lang w:val="en-US" w:eastAsia="zh-CN"/>
                    </w:rPr>
                    <w:t>61</w:t>
                  </w:r>
                  <w:r>
                    <w:rPr>
                      <w:rFonts w:hint="eastAsia"/>
                      <w:color w:val="auto"/>
                    </w:rPr>
                    <w:t>~0.</w:t>
                  </w:r>
                  <w:r>
                    <w:rPr>
                      <w:rFonts w:hint="eastAsia"/>
                      <w:color w:val="auto"/>
                      <w:lang w:val="en-US" w:eastAsia="zh-CN"/>
                    </w:rPr>
                    <w:t>69</w:t>
                  </w:r>
                </w:p>
              </w:tc>
              <w:tc>
                <w:tcPr>
                  <w:tcW w:w="788" w:type="pct"/>
                  <w:tcBorders>
                    <w:tl2br w:val="nil"/>
                    <w:tr2bl w:val="nil"/>
                  </w:tcBorders>
                  <w:vAlign w:val="center"/>
                </w:tcPr>
                <w:p>
                  <w:pPr>
                    <w:jc w:val="center"/>
                    <w:rPr>
                      <w:rFonts w:hint="default" w:eastAsia="宋体"/>
                      <w:color w:val="auto"/>
                      <w:lang w:val="en-US" w:eastAsia="zh-CN"/>
                    </w:rPr>
                  </w:pPr>
                  <w:r>
                    <w:rPr>
                      <w:rFonts w:hint="eastAsia"/>
                      <w:color w:val="auto"/>
                      <w:lang w:val="en-US" w:eastAsia="zh-CN"/>
                    </w:rPr>
                    <w:t>34.5</w:t>
                  </w:r>
                </w:p>
              </w:tc>
              <w:tc>
                <w:tcPr>
                  <w:tcW w:w="613" w:type="pct"/>
                  <w:tcBorders>
                    <w:tl2br w:val="nil"/>
                    <w:tr2bl w:val="nil"/>
                  </w:tcBorders>
                  <w:vAlign w:val="center"/>
                </w:tcPr>
                <w:p>
                  <w:pPr>
                    <w:jc w:val="center"/>
                    <w:rPr>
                      <w:color w:val="auto"/>
                    </w:rPr>
                  </w:pPr>
                  <w:r>
                    <w:rPr>
                      <w:color w:val="auto"/>
                    </w:rPr>
                    <w:t>达标</w:t>
                  </w:r>
                </w:p>
              </w:tc>
              <w:tc>
                <w:tcPr>
                  <w:tcW w:w="887" w:type="pct"/>
                  <w:tcBorders>
                    <w:tl2br w:val="nil"/>
                    <w:tr2bl w:val="nil"/>
                  </w:tcBorders>
                  <w:vAlign w:val="center"/>
                </w:tcPr>
                <w:p>
                  <w:pPr>
                    <w:jc w:val="center"/>
                    <w:rPr>
                      <w:rFonts w:hint="eastAsia"/>
                      <w:color w:val="auto"/>
                    </w:rPr>
                  </w:pPr>
                  <w:r>
                    <w:rPr>
                      <w:rFonts w:hint="eastAsia"/>
                      <w:color w:val="auto"/>
                      <w:lang w:val="en-US" w:eastAsia="zh-CN"/>
                    </w:rPr>
                    <w:t>2</w:t>
                  </w:r>
                  <w:r>
                    <w:rPr>
                      <w:color w:val="auto"/>
                    </w:rPr>
                    <w:t>mg/m</w:t>
                  </w:r>
                  <w:r>
                    <w:rPr>
                      <w:color w:val="auto"/>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c>
                <w:tcPr>
                  <w:tcW w:w="901" w:type="pct"/>
                  <w:tcBorders>
                    <w:tl2br w:val="nil"/>
                    <w:tr2bl w:val="nil"/>
                  </w:tcBorders>
                  <w:vAlign w:val="center"/>
                </w:tcPr>
                <w:p>
                  <w:pPr>
                    <w:jc w:val="center"/>
                    <w:rPr>
                      <w:rFonts w:hint="eastAsia" w:eastAsia="宋体"/>
                      <w:color w:val="auto"/>
                      <w:lang w:val="en-US" w:eastAsia="zh-CN"/>
                    </w:rPr>
                  </w:pPr>
                  <w:r>
                    <w:rPr>
                      <w:rFonts w:hint="eastAsia"/>
                      <w:color w:val="auto"/>
                      <w:lang w:val="en-US" w:eastAsia="zh-CN"/>
                    </w:rPr>
                    <w:t>氨</w:t>
                  </w:r>
                </w:p>
              </w:tc>
              <w:tc>
                <w:tcPr>
                  <w:tcW w:w="747" w:type="pct"/>
                  <w:vMerge w:val="continue"/>
                  <w:tcBorders>
                    <w:tl2br w:val="nil"/>
                    <w:tr2bl w:val="nil"/>
                  </w:tcBorders>
                  <w:vAlign w:val="center"/>
                </w:tcPr>
                <w:p>
                  <w:pPr>
                    <w:jc w:val="center"/>
                    <w:rPr>
                      <w:rFonts w:hint="eastAsia"/>
                      <w:color w:val="auto"/>
                    </w:rPr>
                  </w:pPr>
                </w:p>
              </w:tc>
              <w:tc>
                <w:tcPr>
                  <w:tcW w:w="1059" w:type="pct"/>
                  <w:tcBorders>
                    <w:tl2br w:val="nil"/>
                    <w:tr2bl w:val="nil"/>
                  </w:tcBorders>
                  <w:vAlign w:val="center"/>
                </w:tcPr>
                <w:p>
                  <w:pPr>
                    <w:jc w:val="center"/>
                    <w:rPr>
                      <w:rFonts w:hint="default" w:eastAsia="宋体"/>
                      <w:color w:val="auto"/>
                      <w:lang w:val="en-US" w:eastAsia="zh-CN"/>
                    </w:rPr>
                  </w:pPr>
                  <w:r>
                    <w:rPr>
                      <w:rFonts w:hint="eastAsia"/>
                      <w:color w:val="auto"/>
                    </w:rPr>
                    <w:t>0.</w:t>
                  </w:r>
                  <w:r>
                    <w:rPr>
                      <w:rFonts w:hint="eastAsia"/>
                      <w:color w:val="auto"/>
                      <w:lang w:val="en-US" w:eastAsia="zh-CN"/>
                    </w:rPr>
                    <w:t>03</w:t>
                  </w:r>
                  <w:r>
                    <w:rPr>
                      <w:rFonts w:hint="eastAsia"/>
                      <w:color w:val="auto"/>
                    </w:rPr>
                    <w:t>~0.</w:t>
                  </w:r>
                  <w:r>
                    <w:rPr>
                      <w:rFonts w:hint="eastAsia"/>
                      <w:color w:val="auto"/>
                      <w:lang w:val="en-US" w:eastAsia="zh-CN"/>
                    </w:rPr>
                    <w:t>05</w:t>
                  </w:r>
                </w:p>
              </w:tc>
              <w:tc>
                <w:tcPr>
                  <w:tcW w:w="788" w:type="pct"/>
                  <w:tcBorders>
                    <w:tl2br w:val="nil"/>
                    <w:tr2bl w:val="nil"/>
                  </w:tcBorders>
                  <w:vAlign w:val="center"/>
                </w:tcPr>
                <w:p>
                  <w:pPr>
                    <w:jc w:val="center"/>
                    <w:rPr>
                      <w:rFonts w:hint="default" w:eastAsia="宋体"/>
                      <w:color w:val="auto"/>
                      <w:lang w:val="en-US" w:eastAsia="zh-CN"/>
                    </w:rPr>
                  </w:pPr>
                  <w:r>
                    <w:rPr>
                      <w:rFonts w:hint="eastAsia"/>
                      <w:color w:val="auto"/>
                      <w:lang w:val="en-US" w:eastAsia="zh-CN"/>
                    </w:rPr>
                    <w:t>25</w:t>
                  </w:r>
                </w:p>
              </w:tc>
              <w:tc>
                <w:tcPr>
                  <w:tcW w:w="613" w:type="pct"/>
                  <w:tcBorders>
                    <w:tl2br w:val="nil"/>
                    <w:tr2bl w:val="nil"/>
                  </w:tcBorders>
                  <w:vAlign w:val="center"/>
                </w:tcPr>
                <w:p>
                  <w:pPr>
                    <w:jc w:val="center"/>
                    <w:rPr>
                      <w:color w:val="auto"/>
                    </w:rPr>
                  </w:pPr>
                  <w:r>
                    <w:rPr>
                      <w:color w:val="auto"/>
                    </w:rPr>
                    <w:t>达标</w:t>
                  </w:r>
                </w:p>
              </w:tc>
              <w:tc>
                <w:tcPr>
                  <w:tcW w:w="887" w:type="pct"/>
                  <w:tcBorders>
                    <w:tl2br w:val="nil"/>
                    <w:tr2bl w:val="nil"/>
                  </w:tcBorders>
                  <w:vAlign w:val="center"/>
                </w:tcPr>
                <w:p>
                  <w:pPr>
                    <w:jc w:val="center"/>
                    <w:rPr>
                      <w:rFonts w:hint="eastAsia"/>
                      <w:color w:val="auto"/>
                    </w:rPr>
                  </w:pPr>
                  <w:r>
                    <w:rPr>
                      <w:rFonts w:hint="eastAsia"/>
                      <w:color w:val="auto"/>
                      <w:lang w:val="en-US" w:eastAsia="zh-CN"/>
                    </w:rPr>
                    <w:t>0.2</w:t>
                  </w:r>
                  <w:r>
                    <w:rPr>
                      <w:color w:val="auto"/>
                    </w:rPr>
                    <w:t>mg/m</w:t>
                  </w:r>
                  <w:r>
                    <w:rPr>
                      <w:color w:val="auto"/>
                      <w:vertAlign w:val="superscript"/>
                    </w:rPr>
                    <w:t>3</w:t>
                  </w:r>
                </w:p>
              </w:tc>
            </w:tr>
          </w:tbl>
          <w:p>
            <w:pPr>
              <w:autoSpaceDE w:val="0"/>
              <w:autoSpaceDN w:val="0"/>
              <w:adjustRightInd w:val="0"/>
              <w:spacing w:line="520" w:lineRule="exact"/>
              <w:ind w:firstLine="480" w:firstLineChars="200"/>
              <w:rPr>
                <w:b/>
                <w:bCs/>
                <w:color w:val="auto"/>
                <w:sz w:val="24"/>
              </w:rPr>
            </w:pPr>
            <w:r>
              <w:rPr>
                <w:rFonts w:hint="eastAsia"/>
                <w:color w:val="auto"/>
                <w:sz w:val="24"/>
              </w:rPr>
              <w:t>根据监测结果可知</w:t>
            </w:r>
            <w:r>
              <w:rPr>
                <w:color w:val="auto"/>
                <w:sz w:val="24"/>
              </w:rPr>
              <w:t>，</w:t>
            </w:r>
            <w:r>
              <w:rPr>
                <w:rFonts w:hint="eastAsia" w:ascii="宋体" w:hAnsi="宋体" w:eastAsia="宋体" w:cs="宋体"/>
                <w:color w:val="auto"/>
                <w:kern w:val="0"/>
                <w:sz w:val="24"/>
                <w:szCs w:val="24"/>
                <w:lang w:val="en-US" w:eastAsia="zh-CN" w:bidi="ar"/>
              </w:rPr>
              <w:t>环境空气污染物其他项目中，</w:t>
            </w:r>
            <w:r>
              <w:rPr>
                <w:rFonts w:hint="default" w:ascii="Times New Roman" w:hAnsi="Times New Roman" w:eastAsia="宋体" w:cs="Times New Roman"/>
                <w:color w:val="auto"/>
                <w:kern w:val="0"/>
                <w:sz w:val="24"/>
                <w:szCs w:val="24"/>
                <w:lang w:val="en-US" w:eastAsia="zh-CN" w:bidi="ar"/>
              </w:rPr>
              <w:t>TSP</w:t>
            </w:r>
            <w:r>
              <w:rPr>
                <w:rFonts w:hint="eastAsia" w:ascii="宋体" w:hAnsi="宋体" w:eastAsia="宋体" w:cs="宋体"/>
                <w:color w:val="auto"/>
                <w:kern w:val="0"/>
                <w:sz w:val="24"/>
                <w:szCs w:val="24"/>
                <w:lang w:val="en-US" w:eastAsia="zh-CN" w:bidi="ar"/>
              </w:rPr>
              <w:t>满足《环境空气质量标准》（</w:t>
            </w:r>
            <w:r>
              <w:rPr>
                <w:rFonts w:hint="default" w:ascii="Times New Roman" w:hAnsi="Times New Roman" w:eastAsia="宋体" w:cs="Times New Roman"/>
                <w:color w:val="auto"/>
                <w:kern w:val="0"/>
                <w:sz w:val="24"/>
                <w:szCs w:val="24"/>
                <w:lang w:val="en-US" w:eastAsia="zh-CN" w:bidi="ar"/>
              </w:rPr>
              <w:t>GB3095-2012</w:t>
            </w:r>
            <w:r>
              <w:rPr>
                <w:rFonts w:hint="eastAsia" w:ascii="宋体" w:hAnsi="宋体" w:eastAsia="宋体" w:cs="宋体"/>
                <w:color w:val="auto"/>
                <w:kern w:val="0"/>
                <w:sz w:val="24"/>
                <w:szCs w:val="24"/>
                <w:lang w:val="en-US" w:eastAsia="zh-CN" w:bidi="ar"/>
              </w:rPr>
              <w:t>）的二级标准，</w:t>
            </w:r>
            <w:r>
              <w:rPr>
                <w:rFonts w:hint="eastAsia" w:ascii="宋体" w:hAnsi="宋体" w:cs="宋体"/>
                <w:color w:val="auto"/>
                <w:kern w:val="0"/>
                <w:sz w:val="24"/>
                <w:szCs w:val="24"/>
                <w:lang w:val="en-US" w:eastAsia="zh-CN" w:bidi="ar"/>
              </w:rPr>
              <w:t>氨满足</w:t>
            </w:r>
            <w:r>
              <w:rPr>
                <w:rFonts w:hint="eastAsia" w:ascii="宋体" w:hAnsi="宋体" w:eastAsia="宋体" w:cs="宋体"/>
                <w:color w:val="auto"/>
                <w:kern w:val="0"/>
                <w:sz w:val="24"/>
                <w:szCs w:val="24"/>
                <w:lang w:val="en-US" w:eastAsia="zh-CN" w:bidi="ar"/>
              </w:rPr>
              <w:t>《环境影响评价技术导则</w:t>
            </w:r>
            <w:r>
              <w:rPr>
                <w:rFonts w:hint="default" w:ascii="Times New Roman" w:hAnsi="Times New Roman" w:eastAsia="宋体" w:cs="Times New Roman"/>
                <w:color w:val="auto"/>
                <w:kern w:val="0"/>
                <w:sz w:val="24"/>
                <w:szCs w:val="24"/>
                <w:lang w:val="en-US" w:eastAsia="zh-CN" w:bidi="ar"/>
              </w:rPr>
              <w:t xml:space="preserve"> </w:t>
            </w:r>
            <w:r>
              <w:rPr>
                <w:rFonts w:hint="eastAsia" w:ascii="Times New Roman" w:hAnsi="Times New Roman" w:eastAsia="宋体" w:cs="Times New Roman"/>
                <w:color w:val="auto"/>
                <w:kern w:val="0"/>
                <w:sz w:val="24"/>
                <w:szCs w:val="24"/>
                <w:lang w:val="en-US" w:eastAsia="zh-CN" w:bidi="ar"/>
              </w:rPr>
              <w:t xml:space="preserve"> </w:t>
            </w:r>
            <w:r>
              <w:rPr>
                <w:rFonts w:hint="eastAsia" w:ascii="宋体" w:hAnsi="宋体" w:eastAsia="宋体" w:cs="宋体"/>
                <w:color w:val="auto"/>
                <w:kern w:val="0"/>
                <w:sz w:val="24"/>
                <w:szCs w:val="24"/>
                <w:lang w:val="en-US" w:eastAsia="zh-CN" w:bidi="ar"/>
              </w:rPr>
              <w:t>大气环境》（</w:t>
            </w:r>
            <w:r>
              <w:rPr>
                <w:rFonts w:hint="default" w:ascii="Times New Roman" w:hAnsi="Times New Roman" w:eastAsia="宋体" w:cs="Times New Roman"/>
                <w:color w:val="auto"/>
                <w:kern w:val="0"/>
                <w:sz w:val="24"/>
                <w:szCs w:val="24"/>
                <w:lang w:val="en-US" w:eastAsia="zh-CN" w:bidi="ar"/>
              </w:rPr>
              <w:t>HJ2.2-2018</w:t>
            </w:r>
            <w:r>
              <w:rPr>
                <w:rFonts w:hint="eastAsia" w:ascii="宋体" w:hAnsi="宋体" w:eastAsia="宋体" w:cs="宋体"/>
                <w:color w:val="auto"/>
                <w:kern w:val="0"/>
                <w:sz w:val="24"/>
                <w:szCs w:val="24"/>
                <w:lang w:val="en-US" w:eastAsia="zh-CN" w:bidi="ar"/>
              </w:rPr>
              <w:t>）附录</w:t>
            </w:r>
            <w:r>
              <w:rPr>
                <w:rFonts w:hint="default" w:ascii="Times New Roman" w:hAnsi="Times New Roman" w:eastAsia="宋体" w:cs="Times New Roman"/>
                <w:color w:val="auto"/>
                <w:kern w:val="0"/>
                <w:sz w:val="24"/>
                <w:szCs w:val="24"/>
                <w:lang w:val="en-US" w:eastAsia="zh-CN" w:bidi="ar"/>
              </w:rPr>
              <w:t>D.1</w:t>
            </w:r>
            <w:r>
              <w:rPr>
                <w:rFonts w:hint="eastAsia" w:ascii="宋体" w:hAnsi="宋体" w:eastAsia="宋体" w:cs="宋体"/>
                <w:color w:val="auto"/>
                <w:kern w:val="0"/>
                <w:sz w:val="24"/>
                <w:szCs w:val="24"/>
                <w:lang w:val="en-US" w:eastAsia="zh-CN" w:bidi="ar"/>
              </w:rPr>
              <w:t>相关</w:t>
            </w:r>
            <w:r>
              <w:rPr>
                <w:rFonts w:hint="eastAsia" w:ascii="宋体" w:hAnsi="宋体" w:cs="宋体"/>
                <w:color w:val="auto"/>
                <w:kern w:val="0"/>
                <w:sz w:val="24"/>
                <w:szCs w:val="24"/>
                <w:lang w:val="en-US" w:eastAsia="zh-CN" w:bidi="ar"/>
              </w:rPr>
              <w:t>限值</w:t>
            </w:r>
            <w:r>
              <w:rPr>
                <w:rFonts w:hint="eastAsia" w:ascii="宋体" w:hAnsi="宋体" w:eastAsia="宋体" w:cs="宋体"/>
                <w:color w:val="auto"/>
                <w:kern w:val="0"/>
                <w:sz w:val="24"/>
                <w:szCs w:val="24"/>
                <w:lang w:val="en-US" w:eastAsia="zh-CN" w:bidi="ar"/>
              </w:rPr>
              <w:t>要求，非甲烷总烃</w:t>
            </w:r>
            <w:r>
              <w:rPr>
                <w:rFonts w:hint="eastAsia" w:ascii="宋体" w:hAnsi="宋体" w:cs="宋体"/>
                <w:color w:val="auto"/>
                <w:kern w:val="0"/>
                <w:sz w:val="24"/>
                <w:szCs w:val="24"/>
                <w:lang w:val="en-US" w:eastAsia="zh-CN" w:bidi="ar"/>
              </w:rPr>
              <w:t>满足</w:t>
            </w:r>
            <w:r>
              <w:rPr>
                <w:rFonts w:hint="eastAsia" w:ascii="宋体" w:hAnsi="宋体" w:eastAsia="宋体" w:cs="宋体"/>
                <w:color w:val="auto"/>
                <w:kern w:val="0"/>
                <w:sz w:val="24"/>
                <w:szCs w:val="24"/>
                <w:lang w:val="en-US" w:eastAsia="zh-CN" w:bidi="ar"/>
              </w:rPr>
              <w:t>《大气污染物综合排放标准》（</w:t>
            </w:r>
            <w:r>
              <w:rPr>
                <w:rFonts w:hint="default" w:ascii="Times New Roman" w:hAnsi="Times New Roman" w:eastAsia="宋体" w:cs="Times New Roman"/>
                <w:color w:val="auto"/>
                <w:kern w:val="0"/>
                <w:sz w:val="24"/>
                <w:szCs w:val="24"/>
                <w:lang w:val="en-US" w:eastAsia="zh-CN" w:bidi="ar"/>
              </w:rPr>
              <w:t>GB16297-1996</w:t>
            </w:r>
            <w:r>
              <w:rPr>
                <w:rFonts w:hint="eastAsia" w:ascii="宋体" w:hAnsi="宋体" w:eastAsia="宋体" w:cs="宋体"/>
                <w:color w:val="auto"/>
                <w:kern w:val="0"/>
                <w:sz w:val="24"/>
                <w:szCs w:val="24"/>
                <w:lang w:val="en-US" w:eastAsia="zh-CN" w:bidi="ar"/>
              </w:rPr>
              <w:t>）详解取值</w:t>
            </w:r>
            <w:r>
              <w:rPr>
                <w:rFonts w:hint="eastAsia" w:ascii="宋体" w:hAnsi="宋体" w:cs="宋体"/>
                <w:color w:val="auto"/>
                <w:kern w:val="0"/>
                <w:sz w:val="24"/>
                <w:szCs w:val="24"/>
                <w:lang w:val="en-US" w:eastAsia="zh-CN" w:bidi="ar"/>
              </w:rPr>
              <w:t>要求</w:t>
            </w:r>
            <w:r>
              <w:rPr>
                <w:rFonts w:hint="eastAsia" w:ascii="宋体" w:hAnsi="宋体" w:eastAsia="宋体" w:cs="宋体"/>
                <w:color w:val="auto"/>
                <w:kern w:val="0"/>
                <w:sz w:val="24"/>
                <w:szCs w:val="24"/>
                <w:lang w:val="en-US" w:eastAsia="zh-CN" w:bidi="ar"/>
              </w:rPr>
              <w:t>。</w:t>
            </w:r>
          </w:p>
          <w:p>
            <w:pPr>
              <w:autoSpaceDE w:val="0"/>
              <w:autoSpaceDN w:val="0"/>
              <w:adjustRightInd w:val="0"/>
              <w:spacing w:line="520" w:lineRule="exact"/>
              <w:ind w:firstLine="482" w:firstLineChars="200"/>
              <w:rPr>
                <w:b/>
                <w:bCs/>
                <w:color w:val="auto"/>
                <w:sz w:val="24"/>
              </w:rPr>
            </w:pPr>
            <w:r>
              <w:rPr>
                <w:rFonts w:hint="eastAsia"/>
                <w:b/>
                <w:bCs/>
                <w:color w:val="auto"/>
                <w:sz w:val="24"/>
              </w:rPr>
              <w:t>2、地表水</w:t>
            </w:r>
          </w:p>
          <w:p>
            <w:pPr>
              <w:pStyle w:val="70"/>
              <w:rPr>
                <w:color w:val="auto"/>
              </w:rPr>
            </w:pPr>
            <w:r>
              <w:rPr>
                <w:color w:val="auto"/>
                <w:lang w:val="zh-CN"/>
              </w:rPr>
              <w:t>本项目</w:t>
            </w:r>
            <w:r>
              <w:rPr>
                <w:rFonts w:hint="eastAsia"/>
                <w:color w:val="auto"/>
                <w:lang w:val="zh-CN"/>
              </w:rPr>
              <w:t>运营期</w:t>
            </w:r>
            <w:r>
              <w:rPr>
                <w:rFonts w:hint="eastAsia"/>
                <w:color w:val="auto"/>
              </w:rPr>
              <w:t>废水依托现有工程已建的处理设施处理达标后用于厂区绿化，不与地表水产生水力联系</w:t>
            </w:r>
            <w:r>
              <w:rPr>
                <w:color w:val="auto"/>
              </w:rPr>
              <w:t>。</w:t>
            </w:r>
            <w:r>
              <w:rPr>
                <w:rFonts w:hint="eastAsia"/>
                <w:color w:val="auto"/>
                <w:lang w:val="zh-CN"/>
              </w:rPr>
              <w:t>根据</w:t>
            </w:r>
            <w:r>
              <w:rPr>
                <w:color w:val="auto"/>
                <w:lang w:val="zh-CN"/>
              </w:rPr>
              <w:t>《环境影响评价技术导则</w:t>
            </w:r>
            <w:r>
              <w:rPr>
                <w:rFonts w:hint="eastAsia"/>
                <w:color w:val="auto"/>
              </w:rPr>
              <w:t xml:space="preserve">  </w:t>
            </w:r>
            <w:r>
              <w:rPr>
                <w:color w:val="auto"/>
                <w:lang w:val="zh-CN"/>
              </w:rPr>
              <w:t>地面水环境》（HJ/T2.3-2018）</w:t>
            </w:r>
            <w:r>
              <w:rPr>
                <w:rFonts w:hint="eastAsia"/>
                <w:color w:val="auto"/>
              </w:rPr>
              <w:t>本次评价不开展地表水质量现状调查。</w:t>
            </w:r>
          </w:p>
          <w:p>
            <w:pPr>
              <w:pStyle w:val="70"/>
              <w:ind w:firstLine="482"/>
              <w:rPr>
                <w:b/>
                <w:bCs/>
                <w:color w:val="auto"/>
              </w:rPr>
            </w:pPr>
            <w:r>
              <w:rPr>
                <w:rFonts w:hint="eastAsia"/>
                <w:b/>
                <w:bCs/>
                <w:color w:val="auto"/>
              </w:rPr>
              <w:t>3、地下水</w:t>
            </w:r>
          </w:p>
          <w:p>
            <w:pPr>
              <w:widowControl/>
              <w:spacing w:line="520" w:lineRule="exact"/>
              <w:ind w:firstLine="480" w:firstLineChars="200"/>
              <w:rPr>
                <w:color w:val="auto"/>
                <w:sz w:val="24"/>
              </w:rPr>
            </w:pPr>
            <w:r>
              <w:rPr>
                <w:rFonts w:hint="eastAsia"/>
                <w:color w:val="auto"/>
                <w:sz w:val="24"/>
              </w:rPr>
              <w:t>本次评价引用《现场混装多孔粒状铵油炸药生产系统及危险品储存库区搬迁改造项目环境影响报告表》中的环境质量现状监测数据评价项目区地下水环境质量状况。</w:t>
            </w:r>
          </w:p>
          <w:p>
            <w:pPr>
              <w:adjustRightInd w:val="0"/>
              <w:snapToGrid w:val="0"/>
              <w:spacing w:line="520" w:lineRule="exact"/>
              <w:ind w:firstLine="480" w:firstLineChars="200"/>
              <w:rPr>
                <w:color w:val="auto"/>
                <w:sz w:val="24"/>
              </w:rPr>
            </w:pPr>
            <w:r>
              <w:rPr>
                <w:color w:val="auto"/>
                <w:sz w:val="24"/>
              </w:rPr>
              <w:t>（1）监测点与监测时间</w:t>
            </w:r>
          </w:p>
          <w:p>
            <w:pPr>
              <w:adjustRightInd w:val="0"/>
              <w:snapToGrid w:val="0"/>
              <w:spacing w:line="520" w:lineRule="exact"/>
              <w:ind w:firstLine="480" w:firstLineChars="200"/>
              <w:rPr>
                <w:color w:val="auto"/>
                <w:sz w:val="24"/>
              </w:rPr>
            </w:pPr>
            <w:r>
              <w:rPr>
                <w:color w:val="auto"/>
                <w:sz w:val="24"/>
              </w:rPr>
              <w:t>监测时间为20</w:t>
            </w:r>
            <w:r>
              <w:rPr>
                <w:rFonts w:hint="eastAsia"/>
                <w:color w:val="auto"/>
                <w:sz w:val="24"/>
              </w:rPr>
              <w:t>22</w:t>
            </w:r>
            <w:r>
              <w:rPr>
                <w:color w:val="auto"/>
                <w:sz w:val="24"/>
              </w:rPr>
              <w:t>年</w:t>
            </w:r>
            <w:r>
              <w:rPr>
                <w:rFonts w:hint="eastAsia"/>
                <w:color w:val="auto"/>
                <w:sz w:val="24"/>
              </w:rPr>
              <w:t>3</w:t>
            </w:r>
            <w:r>
              <w:rPr>
                <w:color w:val="auto"/>
                <w:sz w:val="24"/>
              </w:rPr>
              <w:t>月</w:t>
            </w:r>
            <w:r>
              <w:rPr>
                <w:rFonts w:hint="eastAsia"/>
                <w:color w:val="auto"/>
                <w:sz w:val="24"/>
              </w:rPr>
              <w:t>24</w:t>
            </w:r>
            <w:r>
              <w:rPr>
                <w:color w:val="auto"/>
                <w:sz w:val="24"/>
              </w:rPr>
              <w:t>日，共设置</w:t>
            </w:r>
            <w:r>
              <w:rPr>
                <w:rFonts w:hint="eastAsia"/>
                <w:color w:val="auto"/>
                <w:sz w:val="24"/>
              </w:rPr>
              <w:t>3</w:t>
            </w:r>
            <w:r>
              <w:rPr>
                <w:color w:val="auto"/>
                <w:sz w:val="24"/>
              </w:rPr>
              <w:t>个地下水监测采样点，分别为</w:t>
            </w:r>
            <w:r>
              <w:rPr>
                <w:rFonts w:hint="eastAsia"/>
                <w:color w:val="auto"/>
                <w:sz w:val="24"/>
              </w:rPr>
              <w:t>项目区上游D1</w:t>
            </w:r>
            <w:r>
              <w:rPr>
                <w:color w:val="auto"/>
                <w:sz w:val="24"/>
              </w:rPr>
              <w:t>（</w:t>
            </w:r>
            <w:r>
              <w:rPr>
                <w:color w:val="auto"/>
                <w:kern w:val="0"/>
                <w:sz w:val="24"/>
              </w:rPr>
              <w:t>N:</w:t>
            </w:r>
            <w:r>
              <w:rPr>
                <w:rFonts w:hint="eastAsia"/>
                <w:color w:val="auto"/>
                <w:kern w:val="0"/>
                <w:sz w:val="24"/>
              </w:rPr>
              <w:t>43</w:t>
            </w:r>
            <w:r>
              <w:rPr>
                <w:color w:val="auto"/>
                <w:kern w:val="0"/>
                <w:sz w:val="24"/>
              </w:rPr>
              <w:t>°</w:t>
            </w:r>
            <w:r>
              <w:rPr>
                <w:rFonts w:hint="eastAsia"/>
                <w:color w:val="auto"/>
                <w:kern w:val="0"/>
                <w:sz w:val="24"/>
              </w:rPr>
              <w:t>58</w:t>
            </w:r>
            <w:r>
              <w:rPr>
                <w:color w:val="auto"/>
                <w:kern w:val="0"/>
                <w:sz w:val="24"/>
              </w:rPr>
              <w:t>´</w:t>
            </w:r>
            <w:r>
              <w:rPr>
                <w:rFonts w:hint="eastAsia"/>
                <w:color w:val="auto"/>
                <w:kern w:val="0"/>
                <w:sz w:val="24"/>
              </w:rPr>
              <w:t>29</w:t>
            </w:r>
            <w:r>
              <w:rPr>
                <w:color w:val="auto"/>
                <w:kern w:val="0"/>
                <w:sz w:val="24"/>
              </w:rPr>
              <w:t>"，E:</w:t>
            </w:r>
            <w:r>
              <w:rPr>
                <w:rFonts w:hint="eastAsia"/>
                <w:color w:val="auto"/>
                <w:kern w:val="0"/>
                <w:sz w:val="24"/>
              </w:rPr>
              <w:t>88</w:t>
            </w:r>
            <w:r>
              <w:rPr>
                <w:color w:val="auto"/>
                <w:kern w:val="0"/>
                <w:sz w:val="24"/>
              </w:rPr>
              <w:t>°</w:t>
            </w:r>
            <w:r>
              <w:rPr>
                <w:rFonts w:hint="eastAsia"/>
                <w:color w:val="auto"/>
                <w:kern w:val="0"/>
                <w:sz w:val="24"/>
              </w:rPr>
              <w:t>58</w:t>
            </w:r>
            <w:r>
              <w:rPr>
                <w:color w:val="auto"/>
                <w:kern w:val="0"/>
                <w:sz w:val="24"/>
              </w:rPr>
              <w:t>´</w:t>
            </w:r>
            <w:r>
              <w:rPr>
                <w:rFonts w:hint="eastAsia"/>
                <w:color w:val="auto"/>
                <w:kern w:val="0"/>
                <w:sz w:val="24"/>
              </w:rPr>
              <w:t>8</w:t>
            </w:r>
            <w:r>
              <w:rPr>
                <w:color w:val="auto"/>
                <w:kern w:val="0"/>
                <w:sz w:val="24"/>
              </w:rPr>
              <w:t>"</w:t>
            </w:r>
            <w:r>
              <w:rPr>
                <w:color w:val="auto"/>
                <w:sz w:val="24"/>
              </w:rPr>
              <w:t>）、</w:t>
            </w:r>
            <w:r>
              <w:rPr>
                <w:rFonts w:hint="eastAsia"/>
                <w:color w:val="auto"/>
                <w:sz w:val="24"/>
              </w:rPr>
              <w:t>项目区测游D2</w:t>
            </w:r>
            <w:r>
              <w:rPr>
                <w:color w:val="auto"/>
                <w:sz w:val="24"/>
              </w:rPr>
              <w:t>（</w:t>
            </w:r>
            <w:r>
              <w:rPr>
                <w:color w:val="auto"/>
                <w:kern w:val="0"/>
                <w:sz w:val="24"/>
              </w:rPr>
              <w:t>N:</w:t>
            </w:r>
            <w:r>
              <w:rPr>
                <w:rFonts w:hint="eastAsia"/>
                <w:color w:val="auto"/>
                <w:kern w:val="0"/>
                <w:sz w:val="24"/>
              </w:rPr>
              <w:t>43</w:t>
            </w:r>
            <w:r>
              <w:rPr>
                <w:color w:val="auto"/>
                <w:kern w:val="0"/>
                <w:sz w:val="24"/>
              </w:rPr>
              <w:t>°</w:t>
            </w:r>
            <w:r>
              <w:rPr>
                <w:rFonts w:hint="eastAsia"/>
                <w:color w:val="auto"/>
                <w:kern w:val="0"/>
                <w:sz w:val="24"/>
              </w:rPr>
              <w:t>59</w:t>
            </w:r>
            <w:r>
              <w:rPr>
                <w:color w:val="auto"/>
                <w:kern w:val="0"/>
                <w:sz w:val="24"/>
              </w:rPr>
              <w:t>´</w:t>
            </w:r>
            <w:r>
              <w:rPr>
                <w:rFonts w:hint="eastAsia"/>
                <w:color w:val="auto"/>
                <w:kern w:val="0"/>
                <w:sz w:val="24"/>
              </w:rPr>
              <w:t>25</w:t>
            </w:r>
            <w:r>
              <w:rPr>
                <w:color w:val="auto"/>
                <w:kern w:val="0"/>
                <w:sz w:val="24"/>
              </w:rPr>
              <w:t>"，E:</w:t>
            </w:r>
            <w:r>
              <w:rPr>
                <w:rFonts w:hint="eastAsia"/>
                <w:color w:val="auto"/>
                <w:kern w:val="0"/>
                <w:sz w:val="24"/>
              </w:rPr>
              <w:t>88</w:t>
            </w:r>
            <w:r>
              <w:rPr>
                <w:color w:val="auto"/>
                <w:kern w:val="0"/>
                <w:sz w:val="24"/>
              </w:rPr>
              <w:t>°</w:t>
            </w:r>
            <w:r>
              <w:rPr>
                <w:rFonts w:hint="eastAsia"/>
                <w:color w:val="auto"/>
                <w:kern w:val="0"/>
                <w:sz w:val="24"/>
              </w:rPr>
              <w:t>58</w:t>
            </w:r>
            <w:r>
              <w:rPr>
                <w:color w:val="auto"/>
                <w:kern w:val="0"/>
                <w:sz w:val="24"/>
              </w:rPr>
              <w:t>´</w:t>
            </w:r>
            <w:r>
              <w:rPr>
                <w:rFonts w:hint="eastAsia"/>
                <w:color w:val="auto"/>
                <w:kern w:val="0"/>
                <w:sz w:val="24"/>
              </w:rPr>
              <w:t>32</w:t>
            </w:r>
            <w:r>
              <w:rPr>
                <w:color w:val="auto"/>
                <w:kern w:val="0"/>
                <w:sz w:val="24"/>
              </w:rPr>
              <w:t>"</w:t>
            </w:r>
            <w:r>
              <w:rPr>
                <w:color w:val="auto"/>
                <w:sz w:val="24"/>
              </w:rPr>
              <w:t>）、</w:t>
            </w:r>
            <w:r>
              <w:rPr>
                <w:rFonts w:hint="eastAsia"/>
                <w:color w:val="auto"/>
                <w:sz w:val="24"/>
              </w:rPr>
              <w:t>项目区下游D3</w:t>
            </w:r>
            <w:r>
              <w:rPr>
                <w:color w:val="auto"/>
                <w:sz w:val="24"/>
              </w:rPr>
              <w:t>（</w:t>
            </w:r>
            <w:r>
              <w:rPr>
                <w:color w:val="auto"/>
                <w:kern w:val="0"/>
                <w:sz w:val="24"/>
              </w:rPr>
              <w:t>N:43°5</w:t>
            </w:r>
            <w:r>
              <w:rPr>
                <w:rFonts w:hint="eastAsia"/>
                <w:color w:val="auto"/>
                <w:kern w:val="0"/>
                <w:sz w:val="24"/>
              </w:rPr>
              <w:t>9</w:t>
            </w:r>
            <w:r>
              <w:rPr>
                <w:color w:val="auto"/>
                <w:kern w:val="0"/>
                <w:sz w:val="24"/>
              </w:rPr>
              <w:t>´</w:t>
            </w:r>
            <w:r>
              <w:rPr>
                <w:rFonts w:hint="eastAsia"/>
                <w:color w:val="auto"/>
                <w:kern w:val="0"/>
                <w:sz w:val="24"/>
              </w:rPr>
              <w:t>7</w:t>
            </w:r>
            <w:r>
              <w:rPr>
                <w:color w:val="auto"/>
                <w:kern w:val="0"/>
                <w:sz w:val="24"/>
              </w:rPr>
              <w:t>"，E:</w:t>
            </w:r>
            <w:r>
              <w:rPr>
                <w:rFonts w:hint="eastAsia"/>
                <w:color w:val="auto"/>
                <w:kern w:val="0"/>
                <w:sz w:val="24"/>
              </w:rPr>
              <w:t>88</w:t>
            </w:r>
            <w:r>
              <w:rPr>
                <w:color w:val="auto"/>
                <w:kern w:val="0"/>
                <w:sz w:val="24"/>
              </w:rPr>
              <w:t>°</w:t>
            </w:r>
            <w:r>
              <w:rPr>
                <w:rFonts w:hint="eastAsia"/>
                <w:color w:val="auto"/>
                <w:kern w:val="0"/>
                <w:sz w:val="24"/>
              </w:rPr>
              <w:t>58</w:t>
            </w:r>
            <w:r>
              <w:rPr>
                <w:color w:val="auto"/>
                <w:kern w:val="0"/>
                <w:sz w:val="24"/>
              </w:rPr>
              <w:t>´</w:t>
            </w:r>
            <w:r>
              <w:rPr>
                <w:rFonts w:hint="eastAsia"/>
                <w:color w:val="auto"/>
                <w:kern w:val="0"/>
                <w:sz w:val="24"/>
              </w:rPr>
              <w:t>27</w:t>
            </w:r>
            <w:r>
              <w:rPr>
                <w:color w:val="auto"/>
                <w:kern w:val="0"/>
                <w:sz w:val="24"/>
              </w:rPr>
              <w:t>"</w:t>
            </w:r>
            <w:r>
              <w:rPr>
                <w:color w:val="auto"/>
                <w:sz w:val="24"/>
              </w:rPr>
              <w:t>）。</w:t>
            </w:r>
          </w:p>
          <w:p>
            <w:pPr>
              <w:adjustRightInd w:val="0"/>
              <w:snapToGrid w:val="0"/>
              <w:spacing w:line="520" w:lineRule="exact"/>
              <w:ind w:firstLine="480" w:firstLineChars="200"/>
              <w:rPr>
                <w:color w:val="auto"/>
                <w:sz w:val="24"/>
              </w:rPr>
            </w:pPr>
            <w:r>
              <w:rPr>
                <w:color w:val="auto"/>
                <w:sz w:val="24"/>
              </w:rPr>
              <w:t>（2）监测项目及分析方法</w:t>
            </w:r>
          </w:p>
          <w:p>
            <w:pPr>
              <w:adjustRightInd w:val="0"/>
              <w:snapToGrid w:val="0"/>
              <w:spacing w:line="520" w:lineRule="exact"/>
              <w:ind w:firstLine="480" w:firstLineChars="200"/>
              <w:rPr>
                <w:color w:val="auto"/>
                <w:sz w:val="24"/>
              </w:rPr>
            </w:pPr>
            <w:r>
              <w:rPr>
                <w:color w:val="auto"/>
                <w:sz w:val="24"/>
              </w:rPr>
              <w:t>监测分析项目总硬度、溶解性总固体、铅、汞、镉、硫酸盐、氯化物、铁、锰、钾、钠、钙、镁、碳酸</w:t>
            </w:r>
            <w:r>
              <w:rPr>
                <w:rFonts w:hint="eastAsia"/>
                <w:color w:val="auto"/>
                <w:sz w:val="24"/>
              </w:rPr>
              <w:t>盐</w:t>
            </w:r>
            <w:r>
              <w:rPr>
                <w:color w:val="auto"/>
                <w:sz w:val="24"/>
              </w:rPr>
              <w:t>、碳酸氢根、六价铬、铜等共</w:t>
            </w:r>
            <w:r>
              <w:rPr>
                <w:rFonts w:hint="eastAsia"/>
                <w:color w:val="auto"/>
                <w:sz w:val="24"/>
              </w:rPr>
              <w:t>27</w:t>
            </w:r>
            <w:r>
              <w:rPr>
                <w:color w:val="auto"/>
                <w:sz w:val="24"/>
              </w:rPr>
              <w:t>项。</w:t>
            </w:r>
          </w:p>
          <w:p>
            <w:pPr>
              <w:adjustRightInd w:val="0"/>
              <w:snapToGrid w:val="0"/>
              <w:spacing w:line="520" w:lineRule="exact"/>
              <w:ind w:firstLine="480" w:firstLineChars="200"/>
              <w:rPr>
                <w:color w:val="auto"/>
                <w:sz w:val="24"/>
              </w:rPr>
            </w:pPr>
            <w:r>
              <w:rPr>
                <w:color w:val="auto"/>
                <w:sz w:val="24"/>
              </w:rPr>
              <w:t>水质现状监测项目及分析方法依照《环境水质监测质量保证手册》与《水和废水监测分析方法》的规定进行。</w:t>
            </w:r>
          </w:p>
          <w:p>
            <w:pPr>
              <w:adjustRightInd w:val="0"/>
              <w:snapToGrid w:val="0"/>
              <w:spacing w:line="520" w:lineRule="exact"/>
              <w:ind w:firstLine="480" w:firstLineChars="200"/>
              <w:rPr>
                <w:color w:val="auto"/>
                <w:sz w:val="24"/>
              </w:rPr>
            </w:pPr>
            <w:r>
              <w:rPr>
                <w:color w:val="auto"/>
                <w:sz w:val="24"/>
              </w:rPr>
              <w:t>（3）监测结果统计</w:t>
            </w:r>
          </w:p>
          <w:p>
            <w:pPr>
              <w:adjustRightInd w:val="0"/>
              <w:snapToGrid w:val="0"/>
              <w:spacing w:line="520" w:lineRule="exact"/>
              <w:ind w:firstLine="480" w:firstLineChars="200"/>
              <w:rPr>
                <w:color w:val="auto"/>
                <w:sz w:val="24"/>
              </w:rPr>
            </w:pPr>
            <w:r>
              <w:rPr>
                <w:color w:val="auto"/>
                <w:sz w:val="24"/>
              </w:rPr>
              <w:t>地下水水质监测及评价结果统计见表3</w:t>
            </w:r>
            <w:r>
              <w:rPr>
                <w:rFonts w:hint="eastAsia"/>
                <w:color w:val="auto"/>
                <w:sz w:val="24"/>
              </w:rPr>
              <w:t>-3</w:t>
            </w:r>
            <w:r>
              <w:rPr>
                <w:color w:val="auto"/>
                <w:sz w:val="24"/>
              </w:rPr>
              <w:t>。</w:t>
            </w:r>
          </w:p>
          <w:p>
            <w:pPr>
              <w:pStyle w:val="36"/>
              <w:rPr>
                <w:color w:val="auto"/>
              </w:rPr>
            </w:pPr>
            <w:r>
              <w:rPr>
                <w:rFonts w:hint="eastAsia"/>
                <w:color w:val="auto"/>
              </w:rPr>
              <w:t>表3-3  地下水监测结果  单位：mg/L（pH无量纲）</w:t>
            </w:r>
          </w:p>
          <w:tbl>
            <w:tblPr>
              <w:tblStyle w:val="28"/>
              <w:tblW w:w="4998" w:type="pct"/>
              <w:tblInd w:w="1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02"/>
              <w:gridCol w:w="1252"/>
              <w:gridCol w:w="1094"/>
              <w:gridCol w:w="1215"/>
              <w:gridCol w:w="1038"/>
              <w:gridCol w:w="1111"/>
              <w:gridCol w:w="98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3" w:type="pct"/>
                  <w:vMerge w:val="restart"/>
                  <w:tcBorders>
                    <w:tl2br w:val="nil"/>
                    <w:tr2bl w:val="nil"/>
                  </w:tcBorders>
                  <w:vAlign w:val="center"/>
                </w:tcPr>
                <w:p>
                  <w:pPr>
                    <w:snapToGrid w:val="0"/>
                    <w:jc w:val="center"/>
                    <w:rPr>
                      <w:color w:val="auto"/>
                      <w:szCs w:val="21"/>
                    </w:rPr>
                  </w:pPr>
                  <w:r>
                    <w:rPr>
                      <w:color w:val="auto"/>
                      <w:szCs w:val="21"/>
                    </w:rPr>
                    <w:t>采样点</w:t>
                  </w:r>
                </w:p>
                <w:p>
                  <w:pPr>
                    <w:snapToGrid w:val="0"/>
                    <w:jc w:val="center"/>
                    <w:rPr>
                      <w:color w:val="auto"/>
                      <w:szCs w:val="21"/>
                    </w:rPr>
                  </w:pPr>
                  <w:r>
                    <w:rPr>
                      <w:color w:val="auto"/>
                      <w:szCs w:val="21"/>
                    </w:rPr>
                    <w:t>项目</w:t>
                  </w:r>
                </w:p>
              </w:tc>
              <w:tc>
                <w:tcPr>
                  <w:tcW w:w="1396" w:type="pct"/>
                  <w:gridSpan w:val="2"/>
                  <w:tcBorders>
                    <w:tl2br w:val="nil"/>
                    <w:tr2bl w:val="nil"/>
                  </w:tcBorders>
                  <w:vAlign w:val="center"/>
                </w:tcPr>
                <w:p>
                  <w:pPr>
                    <w:widowControl/>
                    <w:jc w:val="center"/>
                    <w:rPr>
                      <w:color w:val="auto"/>
                      <w:szCs w:val="21"/>
                    </w:rPr>
                  </w:pPr>
                  <w:r>
                    <w:rPr>
                      <w:color w:val="auto"/>
                      <w:szCs w:val="21"/>
                    </w:rPr>
                    <w:t>D1</w:t>
                  </w:r>
                </w:p>
              </w:tc>
              <w:tc>
                <w:tcPr>
                  <w:tcW w:w="1341" w:type="pct"/>
                  <w:gridSpan w:val="2"/>
                  <w:tcBorders>
                    <w:tl2br w:val="nil"/>
                    <w:tr2bl w:val="nil"/>
                  </w:tcBorders>
                  <w:vAlign w:val="center"/>
                </w:tcPr>
                <w:p>
                  <w:pPr>
                    <w:widowControl/>
                    <w:jc w:val="center"/>
                    <w:rPr>
                      <w:color w:val="auto"/>
                      <w:szCs w:val="21"/>
                    </w:rPr>
                  </w:pPr>
                  <w:r>
                    <w:rPr>
                      <w:color w:val="auto"/>
                      <w:szCs w:val="21"/>
                    </w:rPr>
                    <w:t>D2</w:t>
                  </w:r>
                </w:p>
              </w:tc>
              <w:tc>
                <w:tcPr>
                  <w:tcW w:w="1249" w:type="pct"/>
                  <w:gridSpan w:val="2"/>
                  <w:tcBorders>
                    <w:tl2br w:val="nil"/>
                    <w:tr2bl w:val="nil"/>
                  </w:tcBorders>
                  <w:vAlign w:val="center"/>
                </w:tcPr>
                <w:p>
                  <w:pPr>
                    <w:widowControl/>
                    <w:jc w:val="center"/>
                    <w:rPr>
                      <w:color w:val="auto"/>
                      <w:szCs w:val="21"/>
                    </w:rPr>
                  </w:pPr>
                  <w:r>
                    <w:rPr>
                      <w:color w:val="auto"/>
                      <w:szCs w:val="21"/>
                    </w:rPr>
                    <w:t>D3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1" w:hRule="atLeast"/>
              </w:trPr>
              <w:tc>
                <w:tcPr>
                  <w:tcW w:w="1013" w:type="pct"/>
                  <w:vMerge w:val="continue"/>
                  <w:tcBorders>
                    <w:tl2br w:val="nil"/>
                    <w:tr2bl w:val="nil"/>
                  </w:tcBorders>
                  <w:vAlign w:val="center"/>
                </w:tcPr>
                <w:p>
                  <w:pPr>
                    <w:snapToGrid w:val="0"/>
                    <w:jc w:val="center"/>
                    <w:rPr>
                      <w:color w:val="auto"/>
                      <w:szCs w:val="21"/>
                    </w:rPr>
                  </w:pPr>
                </w:p>
              </w:tc>
              <w:tc>
                <w:tcPr>
                  <w:tcW w:w="745" w:type="pct"/>
                  <w:tcBorders>
                    <w:tl2br w:val="nil"/>
                    <w:tr2bl w:val="nil"/>
                  </w:tcBorders>
                  <w:vAlign w:val="center"/>
                </w:tcPr>
                <w:p>
                  <w:pPr>
                    <w:snapToGrid w:val="0"/>
                    <w:jc w:val="center"/>
                    <w:rPr>
                      <w:color w:val="auto"/>
                      <w:szCs w:val="21"/>
                    </w:rPr>
                  </w:pPr>
                  <w:r>
                    <w:rPr>
                      <w:color w:val="auto"/>
                      <w:szCs w:val="21"/>
                    </w:rPr>
                    <w:t>监测值</w:t>
                  </w:r>
                </w:p>
              </w:tc>
              <w:tc>
                <w:tcPr>
                  <w:tcW w:w="651" w:type="pct"/>
                  <w:tcBorders>
                    <w:tl2br w:val="nil"/>
                    <w:tr2bl w:val="nil"/>
                  </w:tcBorders>
                  <w:vAlign w:val="center"/>
                </w:tcPr>
                <w:p>
                  <w:pPr>
                    <w:snapToGrid w:val="0"/>
                    <w:jc w:val="center"/>
                    <w:rPr>
                      <w:color w:val="auto"/>
                      <w:szCs w:val="21"/>
                    </w:rPr>
                  </w:pPr>
                  <w:r>
                    <w:rPr>
                      <w:color w:val="auto"/>
                      <w:szCs w:val="21"/>
                    </w:rPr>
                    <w:t>标准指数</w:t>
                  </w:r>
                </w:p>
              </w:tc>
              <w:tc>
                <w:tcPr>
                  <w:tcW w:w="723" w:type="pct"/>
                  <w:tcBorders>
                    <w:tl2br w:val="nil"/>
                    <w:tr2bl w:val="nil"/>
                  </w:tcBorders>
                  <w:vAlign w:val="center"/>
                </w:tcPr>
                <w:p>
                  <w:pPr>
                    <w:snapToGrid w:val="0"/>
                    <w:jc w:val="center"/>
                    <w:rPr>
                      <w:color w:val="auto"/>
                      <w:szCs w:val="21"/>
                    </w:rPr>
                  </w:pPr>
                  <w:r>
                    <w:rPr>
                      <w:color w:val="auto"/>
                      <w:szCs w:val="21"/>
                    </w:rPr>
                    <w:t>监测值</w:t>
                  </w:r>
                </w:p>
              </w:tc>
              <w:tc>
                <w:tcPr>
                  <w:tcW w:w="617" w:type="pct"/>
                  <w:tcBorders>
                    <w:tl2br w:val="nil"/>
                    <w:tr2bl w:val="nil"/>
                  </w:tcBorders>
                  <w:vAlign w:val="center"/>
                </w:tcPr>
                <w:p>
                  <w:pPr>
                    <w:snapToGrid w:val="0"/>
                    <w:jc w:val="center"/>
                    <w:rPr>
                      <w:color w:val="auto"/>
                      <w:szCs w:val="21"/>
                    </w:rPr>
                  </w:pPr>
                  <w:r>
                    <w:rPr>
                      <w:color w:val="auto"/>
                      <w:szCs w:val="21"/>
                    </w:rPr>
                    <w:t>标准指数</w:t>
                  </w:r>
                </w:p>
              </w:tc>
              <w:tc>
                <w:tcPr>
                  <w:tcW w:w="661" w:type="pct"/>
                  <w:tcBorders>
                    <w:tl2br w:val="nil"/>
                    <w:tr2bl w:val="nil"/>
                  </w:tcBorders>
                  <w:vAlign w:val="center"/>
                </w:tcPr>
                <w:p>
                  <w:pPr>
                    <w:snapToGrid w:val="0"/>
                    <w:jc w:val="center"/>
                    <w:rPr>
                      <w:color w:val="auto"/>
                      <w:szCs w:val="21"/>
                    </w:rPr>
                  </w:pPr>
                  <w:r>
                    <w:rPr>
                      <w:color w:val="auto"/>
                      <w:szCs w:val="21"/>
                    </w:rPr>
                    <w:t>监测值</w:t>
                  </w:r>
                </w:p>
              </w:tc>
              <w:tc>
                <w:tcPr>
                  <w:tcW w:w="588" w:type="pct"/>
                  <w:tcBorders>
                    <w:tl2br w:val="nil"/>
                    <w:tr2bl w:val="nil"/>
                  </w:tcBorders>
                  <w:vAlign w:val="center"/>
                </w:tcPr>
                <w:p>
                  <w:pPr>
                    <w:snapToGrid w:val="0"/>
                    <w:jc w:val="center"/>
                    <w:rPr>
                      <w:color w:val="auto"/>
                      <w:szCs w:val="21"/>
                    </w:rPr>
                  </w:pPr>
                  <w:r>
                    <w:rPr>
                      <w:color w:val="auto"/>
                      <w:szCs w:val="21"/>
                    </w:rPr>
                    <w:t>标准指数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13" w:type="pct"/>
                  <w:tcBorders>
                    <w:tl2br w:val="nil"/>
                    <w:tr2bl w:val="nil"/>
                  </w:tcBorders>
                  <w:vAlign w:val="center"/>
                </w:tcPr>
                <w:p>
                  <w:pPr>
                    <w:snapToGrid w:val="0"/>
                    <w:jc w:val="center"/>
                    <w:rPr>
                      <w:color w:val="auto"/>
                      <w:szCs w:val="21"/>
                    </w:rPr>
                  </w:pPr>
                  <w:r>
                    <w:rPr>
                      <w:color w:val="auto"/>
                      <w:szCs w:val="21"/>
                    </w:rPr>
                    <w:t>pH值</w:t>
                  </w:r>
                </w:p>
              </w:tc>
              <w:tc>
                <w:tcPr>
                  <w:tcW w:w="745" w:type="pct"/>
                  <w:tcBorders>
                    <w:tl2br w:val="nil"/>
                    <w:tr2bl w:val="nil"/>
                  </w:tcBorders>
                  <w:vAlign w:val="center"/>
                </w:tcPr>
                <w:p>
                  <w:pPr>
                    <w:snapToGrid w:val="0"/>
                    <w:jc w:val="center"/>
                    <w:rPr>
                      <w:color w:val="auto"/>
                      <w:szCs w:val="21"/>
                    </w:rPr>
                  </w:pPr>
                  <w:r>
                    <w:rPr>
                      <w:color w:val="auto"/>
                      <w:szCs w:val="21"/>
                    </w:rPr>
                    <w:t>7.6</w:t>
                  </w:r>
                </w:p>
              </w:tc>
              <w:tc>
                <w:tcPr>
                  <w:tcW w:w="651" w:type="pct"/>
                  <w:tcBorders>
                    <w:tl2br w:val="nil"/>
                    <w:tr2bl w:val="nil"/>
                  </w:tcBorders>
                  <w:vAlign w:val="center"/>
                </w:tcPr>
                <w:p>
                  <w:pPr>
                    <w:snapToGrid w:val="0"/>
                    <w:jc w:val="center"/>
                    <w:rPr>
                      <w:color w:val="auto"/>
                      <w:szCs w:val="21"/>
                    </w:rPr>
                  </w:pPr>
                  <w:r>
                    <w:rPr>
                      <w:color w:val="auto"/>
                      <w:szCs w:val="21"/>
                    </w:rPr>
                    <w:t>0.4</w:t>
                  </w:r>
                </w:p>
              </w:tc>
              <w:tc>
                <w:tcPr>
                  <w:tcW w:w="723" w:type="pct"/>
                  <w:tcBorders>
                    <w:tl2br w:val="nil"/>
                    <w:tr2bl w:val="nil"/>
                  </w:tcBorders>
                  <w:vAlign w:val="center"/>
                </w:tcPr>
                <w:p>
                  <w:pPr>
                    <w:snapToGrid w:val="0"/>
                    <w:jc w:val="center"/>
                    <w:rPr>
                      <w:color w:val="auto"/>
                      <w:szCs w:val="21"/>
                    </w:rPr>
                  </w:pPr>
                  <w:r>
                    <w:rPr>
                      <w:color w:val="auto"/>
                      <w:szCs w:val="21"/>
                    </w:rPr>
                    <w:t>7.5</w:t>
                  </w:r>
                </w:p>
              </w:tc>
              <w:tc>
                <w:tcPr>
                  <w:tcW w:w="617" w:type="pct"/>
                  <w:tcBorders>
                    <w:tl2br w:val="nil"/>
                    <w:tr2bl w:val="nil"/>
                  </w:tcBorders>
                  <w:vAlign w:val="center"/>
                </w:tcPr>
                <w:p>
                  <w:pPr>
                    <w:snapToGrid w:val="0"/>
                    <w:jc w:val="center"/>
                    <w:rPr>
                      <w:color w:val="auto"/>
                      <w:szCs w:val="21"/>
                    </w:rPr>
                  </w:pPr>
                  <w:r>
                    <w:rPr>
                      <w:color w:val="auto"/>
                      <w:szCs w:val="21"/>
                    </w:rPr>
                    <w:t>0.33</w:t>
                  </w:r>
                </w:p>
              </w:tc>
              <w:tc>
                <w:tcPr>
                  <w:tcW w:w="661" w:type="pct"/>
                  <w:tcBorders>
                    <w:tl2br w:val="nil"/>
                    <w:tr2bl w:val="nil"/>
                  </w:tcBorders>
                  <w:vAlign w:val="center"/>
                </w:tcPr>
                <w:p>
                  <w:pPr>
                    <w:snapToGrid w:val="0"/>
                    <w:jc w:val="center"/>
                    <w:rPr>
                      <w:color w:val="auto"/>
                      <w:szCs w:val="21"/>
                    </w:rPr>
                  </w:pPr>
                  <w:r>
                    <w:rPr>
                      <w:color w:val="auto"/>
                      <w:szCs w:val="21"/>
                    </w:rPr>
                    <w:t>7.7</w:t>
                  </w:r>
                </w:p>
              </w:tc>
              <w:tc>
                <w:tcPr>
                  <w:tcW w:w="588" w:type="pct"/>
                  <w:tcBorders>
                    <w:tl2br w:val="nil"/>
                    <w:tr2bl w:val="nil"/>
                  </w:tcBorders>
                  <w:vAlign w:val="center"/>
                </w:tcPr>
                <w:p>
                  <w:pPr>
                    <w:snapToGrid w:val="0"/>
                    <w:jc w:val="center"/>
                    <w:rPr>
                      <w:color w:val="auto"/>
                      <w:szCs w:val="21"/>
                    </w:rPr>
                  </w:pPr>
                  <w:r>
                    <w:rPr>
                      <w:color w:val="auto"/>
                      <w:szCs w:val="21"/>
                    </w:rPr>
                    <w:t>0.47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3" w:type="pct"/>
                  <w:tcBorders>
                    <w:tl2br w:val="nil"/>
                    <w:tr2bl w:val="nil"/>
                  </w:tcBorders>
                  <w:vAlign w:val="center"/>
                </w:tcPr>
                <w:p>
                  <w:pPr>
                    <w:snapToGrid w:val="0"/>
                    <w:jc w:val="center"/>
                    <w:rPr>
                      <w:color w:val="auto"/>
                      <w:szCs w:val="21"/>
                    </w:rPr>
                  </w:pPr>
                  <w:r>
                    <w:rPr>
                      <w:color w:val="auto"/>
                      <w:szCs w:val="21"/>
                    </w:rPr>
                    <w:t>溶解性总</w:t>
                  </w:r>
                </w:p>
                <w:p>
                  <w:pPr>
                    <w:snapToGrid w:val="0"/>
                    <w:jc w:val="center"/>
                    <w:rPr>
                      <w:color w:val="auto"/>
                      <w:szCs w:val="21"/>
                    </w:rPr>
                  </w:pPr>
                  <w:r>
                    <w:rPr>
                      <w:color w:val="auto"/>
                      <w:szCs w:val="21"/>
                    </w:rPr>
                    <w:t>固体</w:t>
                  </w:r>
                </w:p>
              </w:tc>
              <w:tc>
                <w:tcPr>
                  <w:tcW w:w="745" w:type="pct"/>
                  <w:tcBorders>
                    <w:tl2br w:val="nil"/>
                    <w:tr2bl w:val="nil"/>
                  </w:tcBorders>
                  <w:vAlign w:val="center"/>
                </w:tcPr>
                <w:p>
                  <w:pPr>
                    <w:snapToGrid w:val="0"/>
                    <w:jc w:val="center"/>
                    <w:rPr>
                      <w:color w:val="auto"/>
                      <w:szCs w:val="21"/>
                    </w:rPr>
                  </w:pPr>
                  <w:r>
                    <w:rPr>
                      <w:color w:val="auto"/>
                      <w:szCs w:val="21"/>
                    </w:rPr>
                    <w:t>268</w:t>
                  </w:r>
                </w:p>
              </w:tc>
              <w:tc>
                <w:tcPr>
                  <w:tcW w:w="651" w:type="pct"/>
                  <w:tcBorders>
                    <w:tl2br w:val="nil"/>
                    <w:tr2bl w:val="nil"/>
                  </w:tcBorders>
                  <w:vAlign w:val="center"/>
                </w:tcPr>
                <w:p>
                  <w:pPr>
                    <w:snapToGrid w:val="0"/>
                    <w:jc w:val="center"/>
                    <w:rPr>
                      <w:color w:val="auto"/>
                      <w:szCs w:val="21"/>
                    </w:rPr>
                  </w:pPr>
                  <w:r>
                    <w:rPr>
                      <w:color w:val="auto"/>
                      <w:szCs w:val="21"/>
                    </w:rPr>
                    <w:t>0.268</w:t>
                  </w:r>
                </w:p>
              </w:tc>
              <w:tc>
                <w:tcPr>
                  <w:tcW w:w="723" w:type="pct"/>
                  <w:tcBorders>
                    <w:tl2br w:val="nil"/>
                    <w:tr2bl w:val="nil"/>
                  </w:tcBorders>
                  <w:vAlign w:val="center"/>
                </w:tcPr>
                <w:p>
                  <w:pPr>
                    <w:snapToGrid w:val="0"/>
                    <w:jc w:val="center"/>
                    <w:rPr>
                      <w:color w:val="auto"/>
                      <w:szCs w:val="21"/>
                    </w:rPr>
                  </w:pPr>
                  <w:r>
                    <w:rPr>
                      <w:color w:val="auto"/>
                      <w:szCs w:val="21"/>
                    </w:rPr>
                    <w:t>281</w:t>
                  </w:r>
                </w:p>
              </w:tc>
              <w:tc>
                <w:tcPr>
                  <w:tcW w:w="617" w:type="pct"/>
                  <w:tcBorders>
                    <w:tl2br w:val="nil"/>
                    <w:tr2bl w:val="nil"/>
                  </w:tcBorders>
                  <w:vAlign w:val="center"/>
                </w:tcPr>
                <w:p>
                  <w:pPr>
                    <w:snapToGrid w:val="0"/>
                    <w:jc w:val="center"/>
                    <w:rPr>
                      <w:color w:val="auto"/>
                      <w:szCs w:val="21"/>
                    </w:rPr>
                  </w:pPr>
                  <w:r>
                    <w:rPr>
                      <w:color w:val="auto"/>
                      <w:szCs w:val="21"/>
                    </w:rPr>
                    <w:t>0.281</w:t>
                  </w:r>
                </w:p>
              </w:tc>
              <w:tc>
                <w:tcPr>
                  <w:tcW w:w="661" w:type="pct"/>
                  <w:tcBorders>
                    <w:tl2br w:val="nil"/>
                    <w:tr2bl w:val="nil"/>
                  </w:tcBorders>
                  <w:vAlign w:val="center"/>
                </w:tcPr>
                <w:p>
                  <w:pPr>
                    <w:snapToGrid w:val="0"/>
                    <w:jc w:val="center"/>
                    <w:rPr>
                      <w:color w:val="auto"/>
                      <w:szCs w:val="21"/>
                    </w:rPr>
                  </w:pPr>
                  <w:r>
                    <w:rPr>
                      <w:color w:val="auto"/>
                      <w:szCs w:val="21"/>
                    </w:rPr>
                    <w:t>277</w:t>
                  </w:r>
                </w:p>
              </w:tc>
              <w:tc>
                <w:tcPr>
                  <w:tcW w:w="588" w:type="pct"/>
                  <w:tcBorders>
                    <w:tl2br w:val="nil"/>
                    <w:tr2bl w:val="nil"/>
                  </w:tcBorders>
                  <w:vAlign w:val="center"/>
                </w:tcPr>
                <w:p>
                  <w:pPr>
                    <w:snapToGrid w:val="0"/>
                    <w:jc w:val="center"/>
                    <w:rPr>
                      <w:color w:val="auto"/>
                      <w:szCs w:val="21"/>
                    </w:rPr>
                  </w:pPr>
                  <w:r>
                    <w:rPr>
                      <w:color w:val="auto"/>
                      <w:szCs w:val="21"/>
                    </w:rPr>
                    <w:t>0.277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3" w:type="pct"/>
                  <w:tcBorders>
                    <w:tl2br w:val="nil"/>
                    <w:tr2bl w:val="nil"/>
                  </w:tcBorders>
                  <w:vAlign w:val="center"/>
                </w:tcPr>
                <w:p>
                  <w:pPr>
                    <w:snapToGrid w:val="0"/>
                    <w:jc w:val="center"/>
                    <w:rPr>
                      <w:color w:val="auto"/>
                      <w:szCs w:val="21"/>
                    </w:rPr>
                  </w:pPr>
                  <w:r>
                    <w:rPr>
                      <w:color w:val="auto"/>
                      <w:szCs w:val="21"/>
                    </w:rPr>
                    <w:t>氨氮</w:t>
                  </w:r>
                </w:p>
              </w:tc>
              <w:tc>
                <w:tcPr>
                  <w:tcW w:w="745" w:type="pct"/>
                  <w:tcBorders>
                    <w:tl2br w:val="nil"/>
                    <w:tr2bl w:val="nil"/>
                  </w:tcBorders>
                  <w:vAlign w:val="center"/>
                </w:tcPr>
                <w:p>
                  <w:pPr>
                    <w:snapToGrid w:val="0"/>
                    <w:jc w:val="center"/>
                    <w:rPr>
                      <w:color w:val="auto"/>
                      <w:szCs w:val="21"/>
                    </w:rPr>
                  </w:pPr>
                  <w:r>
                    <w:rPr>
                      <w:color w:val="auto"/>
                      <w:szCs w:val="21"/>
                    </w:rPr>
                    <w:t>0.283</w:t>
                  </w:r>
                </w:p>
              </w:tc>
              <w:tc>
                <w:tcPr>
                  <w:tcW w:w="651" w:type="pct"/>
                  <w:tcBorders>
                    <w:tl2br w:val="nil"/>
                    <w:tr2bl w:val="nil"/>
                  </w:tcBorders>
                  <w:vAlign w:val="center"/>
                </w:tcPr>
                <w:p>
                  <w:pPr>
                    <w:snapToGrid w:val="0"/>
                    <w:jc w:val="center"/>
                    <w:rPr>
                      <w:color w:val="auto"/>
                      <w:szCs w:val="21"/>
                    </w:rPr>
                  </w:pPr>
                  <w:r>
                    <w:rPr>
                      <w:color w:val="auto"/>
                      <w:szCs w:val="21"/>
                    </w:rPr>
                    <w:t>0.566</w:t>
                  </w:r>
                </w:p>
              </w:tc>
              <w:tc>
                <w:tcPr>
                  <w:tcW w:w="723" w:type="pct"/>
                  <w:tcBorders>
                    <w:tl2br w:val="nil"/>
                    <w:tr2bl w:val="nil"/>
                  </w:tcBorders>
                  <w:vAlign w:val="center"/>
                </w:tcPr>
                <w:p>
                  <w:pPr>
                    <w:snapToGrid w:val="0"/>
                    <w:jc w:val="center"/>
                    <w:rPr>
                      <w:color w:val="auto"/>
                      <w:szCs w:val="21"/>
                    </w:rPr>
                  </w:pPr>
                  <w:r>
                    <w:rPr>
                      <w:color w:val="auto"/>
                      <w:szCs w:val="21"/>
                    </w:rPr>
                    <w:t>0.295</w:t>
                  </w:r>
                </w:p>
              </w:tc>
              <w:tc>
                <w:tcPr>
                  <w:tcW w:w="617" w:type="pct"/>
                  <w:tcBorders>
                    <w:tl2br w:val="nil"/>
                    <w:tr2bl w:val="nil"/>
                  </w:tcBorders>
                  <w:vAlign w:val="center"/>
                </w:tcPr>
                <w:p>
                  <w:pPr>
                    <w:snapToGrid w:val="0"/>
                    <w:jc w:val="center"/>
                    <w:rPr>
                      <w:color w:val="auto"/>
                      <w:szCs w:val="21"/>
                    </w:rPr>
                  </w:pPr>
                  <w:r>
                    <w:rPr>
                      <w:color w:val="auto"/>
                      <w:szCs w:val="21"/>
                    </w:rPr>
                    <w:t>0.59</w:t>
                  </w:r>
                </w:p>
              </w:tc>
              <w:tc>
                <w:tcPr>
                  <w:tcW w:w="661" w:type="pct"/>
                  <w:tcBorders>
                    <w:tl2br w:val="nil"/>
                    <w:tr2bl w:val="nil"/>
                  </w:tcBorders>
                  <w:vAlign w:val="center"/>
                </w:tcPr>
                <w:p>
                  <w:pPr>
                    <w:snapToGrid w:val="0"/>
                    <w:jc w:val="center"/>
                    <w:rPr>
                      <w:color w:val="auto"/>
                      <w:szCs w:val="21"/>
                    </w:rPr>
                  </w:pPr>
                  <w:r>
                    <w:rPr>
                      <w:color w:val="auto"/>
                      <w:szCs w:val="21"/>
                    </w:rPr>
                    <w:t>0.310</w:t>
                  </w:r>
                </w:p>
              </w:tc>
              <w:tc>
                <w:tcPr>
                  <w:tcW w:w="588" w:type="pct"/>
                  <w:tcBorders>
                    <w:tl2br w:val="nil"/>
                    <w:tr2bl w:val="nil"/>
                  </w:tcBorders>
                  <w:vAlign w:val="center"/>
                </w:tcPr>
                <w:p>
                  <w:pPr>
                    <w:snapToGrid w:val="0"/>
                    <w:jc w:val="center"/>
                    <w:rPr>
                      <w:color w:val="auto"/>
                      <w:szCs w:val="21"/>
                    </w:rPr>
                  </w:pPr>
                  <w:r>
                    <w:rPr>
                      <w:color w:val="auto"/>
                      <w:szCs w:val="21"/>
                    </w:rPr>
                    <w:t>0.62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3" w:type="pct"/>
                  <w:tcBorders>
                    <w:tl2br w:val="nil"/>
                    <w:tr2bl w:val="nil"/>
                  </w:tcBorders>
                  <w:vAlign w:val="center"/>
                </w:tcPr>
                <w:p>
                  <w:pPr>
                    <w:widowControl/>
                    <w:jc w:val="center"/>
                    <w:rPr>
                      <w:color w:val="auto"/>
                      <w:szCs w:val="21"/>
                    </w:rPr>
                  </w:pPr>
                  <w:r>
                    <w:rPr>
                      <w:color w:val="auto"/>
                      <w:szCs w:val="21"/>
                    </w:rPr>
                    <w:t>氟化物</w:t>
                  </w:r>
                </w:p>
              </w:tc>
              <w:tc>
                <w:tcPr>
                  <w:tcW w:w="745" w:type="pct"/>
                  <w:tcBorders>
                    <w:tl2br w:val="nil"/>
                    <w:tr2bl w:val="nil"/>
                  </w:tcBorders>
                  <w:vAlign w:val="center"/>
                </w:tcPr>
                <w:p>
                  <w:pPr>
                    <w:snapToGrid w:val="0"/>
                    <w:jc w:val="center"/>
                    <w:rPr>
                      <w:color w:val="auto"/>
                      <w:szCs w:val="21"/>
                    </w:rPr>
                  </w:pPr>
                  <w:r>
                    <w:rPr>
                      <w:color w:val="auto"/>
                      <w:szCs w:val="21"/>
                    </w:rPr>
                    <w:t>0.768</w:t>
                  </w:r>
                </w:p>
              </w:tc>
              <w:tc>
                <w:tcPr>
                  <w:tcW w:w="651" w:type="pct"/>
                  <w:tcBorders>
                    <w:tl2br w:val="nil"/>
                    <w:tr2bl w:val="nil"/>
                  </w:tcBorders>
                  <w:vAlign w:val="center"/>
                </w:tcPr>
                <w:p>
                  <w:pPr>
                    <w:snapToGrid w:val="0"/>
                    <w:jc w:val="center"/>
                    <w:rPr>
                      <w:color w:val="auto"/>
                      <w:szCs w:val="21"/>
                    </w:rPr>
                  </w:pPr>
                  <w:r>
                    <w:rPr>
                      <w:color w:val="auto"/>
                      <w:szCs w:val="21"/>
                    </w:rPr>
                    <w:t>0.768</w:t>
                  </w:r>
                </w:p>
              </w:tc>
              <w:tc>
                <w:tcPr>
                  <w:tcW w:w="723" w:type="pct"/>
                  <w:tcBorders>
                    <w:tl2br w:val="nil"/>
                    <w:tr2bl w:val="nil"/>
                  </w:tcBorders>
                  <w:vAlign w:val="center"/>
                </w:tcPr>
                <w:p>
                  <w:pPr>
                    <w:snapToGrid w:val="0"/>
                    <w:jc w:val="center"/>
                    <w:rPr>
                      <w:color w:val="auto"/>
                      <w:szCs w:val="21"/>
                    </w:rPr>
                  </w:pPr>
                  <w:r>
                    <w:rPr>
                      <w:color w:val="auto"/>
                      <w:szCs w:val="21"/>
                    </w:rPr>
                    <w:t>0.682</w:t>
                  </w:r>
                </w:p>
              </w:tc>
              <w:tc>
                <w:tcPr>
                  <w:tcW w:w="617" w:type="pct"/>
                  <w:tcBorders>
                    <w:tl2br w:val="nil"/>
                    <w:tr2bl w:val="nil"/>
                  </w:tcBorders>
                  <w:vAlign w:val="center"/>
                </w:tcPr>
                <w:p>
                  <w:pPr>
                    <w:snapToGrid w:val="0"/>
                    <w:jc w:val="center"/>
                    <w:rPr>
                      <w:color w:val="auto"/>
                      <w:szCs w:val="21"/>
                    </w:rPr>
                  </w:pPr>
                  <w:r>
                    <w:rPr>
                      <w:color w:val="auto"/>
                      <w:szCs w:val="21"/>
                    </w:rPr>
                    <w:t>0.682</w:t>
                  </w:r>
                </w:p>
              </w:tc>
              <w:tc>
                <w:tcPr>
                  <w:tcW w:w="661" w:type="pct"/>
                  <w:tcBorders>
                    <w:tl2br w:val="nil"/>
                    <w:tr2bl w:val="nil"/>
                  </w:tcBorders>
                  <w:vAlign w:val="center"/>
                </w:tcPr>
                <w:p>
                  <w:pPr>
                    <w:snapToGrid w:val="0"/>
                    <w:jc w:val="center"/>
                    <w:rPr>
                      <w:color w:val="auto"/>
                      <w:szCs w:val="21"/>
                    </w:rPr>
                  </w:pPr>
                  <w:r>
                    <w:rPr>
                      <w:color w:val="auto"/>
                      <w:szCs w:val="21"/>
                    </w:rPr>
                    <w:t>0.515</w:t>
                  </w:r>
                </w:p>
              </w:tc>
              <w:tc>
                <w:tcPr>
                  <w:tcW w:w="588" w:type="pct"/>
                  <w:tcBorders>
                    <w:tl2br w:val="nil"/>
                    <w:tr2bl w:val="nil"/>
                  </w:tcBorders>
                  <w:vAlign w:val="center"/>
                </w:tcPr>
                <w:p>
                  <w:pPr>
                    <w:snapToGrid w:val="0"/>
                    <w:jc w:val="center"/>
                    <w:rPr>
                      <w:color w:val="auto"/>
                      <w:szCs w:val="21"/>
                    </w:rPr>
                  </w:pPr>
                  <w:r>
                    <w:rPr>
                      <w:color w:val="auto"/>
                      <w:szCs w:val="21"/>
                    </w:rPr>
                    <w:t>0.515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3" w:type="pct"/>
                  <w:tcBorders>
                    <w:tl2br w:val="nil"/>
                    <w:tr2bl w:val="nil"/>
                  </w:tcBorders>
                  <w:vAlign w:val="center"/>
                </w:tcPr>
                <w:p>
                  <w:pPr>
                    <w:widowControl/>
                    <w:jc w:val="center"/>
                    <w:rPr>
                      <w:color w:val="auto"/>
                      <w:szCs w:val="21"/>
                    </w:rPr>
                  </w:pPr>
                  <w:r>
                    <w:rPr>
                      <w:color w:val="auto"/>
                      <w:kern w:val="0"/>
                      <w:szCs w:val="21"/>
                    </w:rPr>
                    <w:t>氯化物</w:t>
                  </w:r>
                </w:p>
              </w:tc>
              <w:tc>
                <w:tcPr>
                  <w:tcW w:w="745" w:type="pct"/>
                  <w:tcBorders>
                    <w:tl2br w:val="nil"/>
                    <w:tr2bl w:val="nil"/>
                  </w:tcBorders>
                  <w:vAlign w:val="center"/>
                </w:tcPr>
                <w:p>
                  <w:pPr>
                    <w:snapToGrid w:val="0"/>
                    <w:jc w:val="center"/>
                    <w:rPr>
                      <w:color w:val="auto"/>
                      <w:szCs w:val="21"/>
                    </w:rPr>
                  </w:pPr>
                  <w:r>
                    <w:rPr>
                      <w:color w:val="auto"/>
                      <w:szCs w:val="21"/>
                    </w:rPr>
                    <w:t>38.9</w:t>
                  </w:r>
                </w:p>
              </w:tc>
              <w:tc>
                <w:tcPr>
                  <w:tcW w:w="651" w:type="pct"/>
                  <w:tcBorders>
                    <w:tl2br w:val="nil"/>
                    <w:tr2bl w:val="nil"/>
                  </w:tcBorders>
                  <w:vAlign w:val="center"/>
                </w:tcPr>
                <w:p>
                  <w:pPr>
                    <w:snapToGrid w:val="0"/>
                    <w:jc w:val="center"/>
                    <w:rPr>
                      <w:color w:val="auto"/>
                      <w:szCs w:val="21"/>
                    </w:rPr>
                  </w:pPr>
                  <w:r>
                    <w:rPr>
                      <w:color w:val="auto"/>
                      <w:szCs w:val="21"/>
                    </w:rPr>
                    <w:t>0.156</w:t>
                  </w:r>
                </w:p>
              </w:tc>
              <w:tc>
                <w:tcPr>
                  <w:tcW w:w="723" w:type="pct"/>
                  <w:tcBorders>
                    <w:tl2br w:val="nil"/>
                    <w:tr2bl w:val="nil"/>
                  </w:tcBorders>
                  <w:vAlign w:val="center"/>
                </w:tcPr>
                <w:p>
                  <w:pPr>
                    <w:snapToGrid w:val="0"/>
                    <w:jc w:val="center"/>
                    <w:rPr>
                      <w:color w:val="auto"/>
                      <w:szCs w:val="21"/>
                    </w:rPr>
                  </w:pPr>
                  <w:r>
                    <w:rPr>
                      <w:color w:val="auto"/>
                      <w:szCs w:val="21"/>
                    </w:rPr>
                    <w:t>39.5</w:t>
                  </w:r>
                </w:p>
              </w:tc>
              <w:tc>
                <w:tcPr>
                  <w:tcW w:w="617" w:type="pct"/>
                  <w:tcBorders>
                    <w:tl2br w:val="nil"/>
                    <w:tr2bl w:val="nil"/>
                  </w:tcBorders>
                  <w:vAlign w:val="center"/>
                </w:tcPr>
                <w:p>
                  <w:pPr>
                    <w:snapToGrid w:val="0"/>
                    <w:jc w:val="center"/>
                    <w:rPr>
                      <w:color w:val="auto"/>
                      <w:szCs w:val="21"/>
                    </w:rPr>
                  </w:pPr>
                  <w:r>
                    <w:rPr>
                      <w:color w:val="auto"/>
                      <w:szCs w:val="21"/>
                    </w:rPr>
                    <w:t>0.158</w:t>
                  </w:r>
                </w:p>
              </w:tc>
              <w:tc>
                <w:tcPr>
                  <w:tcW w:w="661" w:type="pct"/>
                  <w:tcBorders>
                    <w:tl2br w:val="nil"/>
                    <w:tr2bl w:val="nil"/>
                  </w:tcBorders>
                  <w:vAlign w:val="center"/>
                </w:tcPr>
                <w:p>
                  <w:pPr>
                    <w:snapToGrid w:val="0"/>
                    <w:jc w:val="center"/>
                    <w:rPr>
                      <w:color w:val="auto"/>
                      <w:szCs w:val="21"/>
                    </w:rPr>
                  </w:pPr>
                  <w:r>
                    <w:rPr>
                      <w:color w:val="auto"/>
                      <w:szCs w:val="21"/>
                    </w:rPr>
                    <w:t>44.7</w:t>
                  </w:r>
                </w:p>
              </w:tc>
              <w:tc>
                <w:tcPr>
                  <w:tcW w:w="588" w:type="pct"/>
                  <w:tcBorders>
                    <w:tl2br w:val="nil"/>
                    <w:tr2bl w:val="nil"/>
                  </w:tcBorders>
                  <w:vAlign w:val="center"/>
                </w:tcPr>
                <w:p>
                  <w:pPr>
                    <w:snapToGrid w:val="0"/>
                    <w:jc w:val="center"/>
                    <w:rPr>
                      <w:color w:val="auto"/>
                      <w:szCs w:val="21"/>
                    </w:rPr>
                  </w:pPr>
                  <w:r>
                    <w:rPr>
                      <w:color w:val="auto"/>
                      <w:szCs w:val="21"/>
                    </w:rPr>
                    <w:t>0.179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3" w:type="pct"/>
                  <w:tcBorders>
                    <w:tl2br w:val="nil"/>
                    <w:tr2bl w:val="nil"/>
                  </w:tcBorders>
                  <w:vAlign w:val="center"/>
                </w:tcPr>
                <w:p>
                  <w:pPr>
                    <w:snapToGrid w:val="0"/>
                    <w:jc w:val="center"/>
                    <w:rPr>
                      <w:color w:val="auto"/>
                      <w:szCs w:val="21"/>
                    </w:rPr>
                  </w:pPr>
                  <w:r>
                    <w:rPr>
                      <w:color w:val="auto"/>
                      <w:szCs w:val="21"/>
                    </w:rPr>
                    <w:t>硝酸盐</w:t>
                  </w:r>
                </w:p>
                <w:p>
                  <w:pPr>
                    <w:snapToGrid w:val="0"/>
                    <w:jc w:val="center"/>
                    <w:rPr>
                      <w:color w:val="auto"/>
                      <w:szCs w:val="21"/>
                    </w:rPr>
                  </w:pPr>
                  <w:r>
                    <w:rPr>
                      <w:color w:val="auto"/>
                      <w:szCs w:val="21"/>
                    </w:rPr>
                    <w:t>（以N计）</w:t>
                  </w:r>
                </w:p>
              </w:tc>
              <w:tc>
                <w:tcPr>
                  <w:tcW w:w="745" w:type="pct"/>
                  <w:tcBorders>
                    <w:tl2br w:val="nil"/>
                    <w:tr2bl w:val="nil"/>
                  </w:tcBorders>
                  <w:vAlign w:val="center"/>
                </w:tcPr>
                <w:p>
                  <w:pPr>
                    <w:snapToGrid w:val="0"/>
                    <w:jc w:val="center"/>
                    <w:rPr>
                      <w:color w:val="auto"/>
                      <w:szCs w:val="21"/>
                    </w:rPr>
                  </w:pPr>
                  <w:r>
                    <w:rPr>
                      <w:color w:val="auto"/>
                      <w:szCs w:val="21"/>
                    </w:rPr>
                    <w:t>1.86</w:t>
                  </w:r>
                </w:p>
              </w:tc>
              <w:tc>
                <w:tcPr>
                  <w:tcW w:w="651" w:type="pct"/>
                  <w:tcBorders>
                    <w:tl2br w:val="nil"/>
                    <w:tr2bl w:val="nil"/>
                  </w:tcBorders>
                  <w:vAlign w:val="center"/>
                </w:tcPr>
                <w:p>
                  <w:pPr>
                    <w:snapToGrid w:val="0"/>
                    <w:jc w:val="center"/>
                    <w:rPr>
                      <w:color w:val="auto"/>
                      <w:szCs w:val="21"/>
                    </w:rPr>
                  </w:pPr>
                  <w:r>
                    <w:rPr>
                      <w:color w:val="auto"/>
                      <w:szCs w:val="21"/>
                    </w:rPr>
                    <w:t>0.093</w:t>
                  </w:r>
                </w:p>
              </w:tc>
              <w:tc>
                <w:tcPr>
                  <w:tcW w:w="723" w:type="pct"/>
                  <w:tcBorders>
                    <w:tl2br w:val="nil"/>
                    <w:tr2bl w:val="nil"/>
                  </w:tcBorders>
                  <w:vAlign w:val="center"/>
                </w:tcPr>
                <w:p>
                  <w:pPr>
                    <w:snapToGrid w:val="0"/>
                    <w:jc w:val="center"/>
                    <w:rPr>
                      <w:color w:val="auto"/>
                      <w:szCs w:val="21"/>
                    </w:rPr>
                  </w:pPr>
                  <w:r>
                    <w:rPr>
                      <w:color w:val="auto"/>
                      <w:szCs w:val="21"/>
                    </w:rPr>
                    <w:t>2.02</w:t>
                  </w:r>
                </w:p>
              </w:tc>
              <w:tc>
                <w:tcPr>
                  <w:tcW w:w="617" w:type="pct"/>
                  <w:tcBorders>
                    <w:tl2br w:val="nil"/>
                    <w:tr2bl w:val="nil"/>
                  </w:tcBorders>
                  <w:vAlign w:val="center"/>
                </w:tcPr>
                <w:p>
                  <w:pPr>
                    <w:snapToGrid w:val="0"/>
                    <w:jc w:val="center"/>
                    <w:rPr>
                      <w:color w:val="auto"/>
                      <w:szCs w:val="21"/>
                    </w:rPr>
                  </w:pPr>
                  <w:r>
                    <w:rPr>
                      <w:color w:val="auto"/>
                      <w:szCs w:val="21"/>
                    </w:rPr>
                    <w:t>0.101</w:t>
                  </w:r>
                </w:p>
              </w:tc>
              <w:tc>
                <w:tcPr>
                  <w:tcW w:w="661" w:type="pct"/>
                  <w:tcBorders>
                    <w:tl2br w:val="nil"/>
                    <w:tr2bl w:val="nil"/>
                  </w:tcBorders>
                  <w:vAlign w:val="center"/>
                </w:tcPr>
                <w:p>
                  <w:pPr>
                    <w:snapToGrid w:val="0"/>
                    <w:jc w:val="center"/>
                    <w:rPr>
                      <w:color w:val="auto"/>
                      <w:szCs w:val="21"/>
                    </w:rPr>
                  </w:pPr>
                  <w:r>
                    <w:rPr>
                      <w:color w:val="auto"/>
                      <w:szCs w:val="21"/>
                    </w:rPr>
                    <w:t>1.55</w:t>
                  </w:r>
                </w:p>
              </w:tc>
              <w:tc>
                <w:tcPr>
                  <w:tcW w:w="588" w:type="pct"/>
                  <w:tcBorders>
                    <w:tl2br w:val="nil"/>
                    <w:tr2bl w:val="nil"/>
                  </w:tcBorders>
                  <w:vAlign w:val="center"/>
                </w:tcPr>
                <w:p>
                  <w:pPr>
                    <w:snapToGrid w:val="0"/>
                    <w:jc w:val="center"/>
                    <w:rPr>
                      <w:color w:val="auto"/>
                      <w:szCs w:val="21"/>
                    </w:rPr>
                  </w:pPr>
                  <w:r>
                    <w:rPr>
                      <w:color w:val="auto"/>
                      <w:szCs w:val="21"/>
                    </w:rPr>
                    <w:t>0.078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3" w:type="pct"/>
                  <w:tcBorders>
                    <w:tl2br w:val="nil"/>
                    <w:tr2bl w:val="nil"/>
                  </w:tcBorders>
                  <w:vAlign w:val="center"/>
                </w:tcPr>
                <w:p>
                  <w:pPr>
                    <w:widowControl/>
                    <w:jc w:val="center"/>
                    <w:rPr>
                      <w:color w:val="auto"/>
                      <w:szCs w:val="21"/>
                    </w:rPr>
                  </w:pPr>
                  <w:r>
                    <w:rPr>
                      <w:color w:val="auto"/>
                      <w:szCs w:val="21"/>
                    </w:rPr>
                    <w:t>硫酸盐</w:t>
                  </w:r>
                </w:p>
              </w:tc>
              <w:tc>
                <w:tcPr>
                  <w:tcW w:w="745" w:type="pct"/>
                  <w:tcBorders>
                    <w:tl2br w:val="nil"/>
                    <w:tr2bl w:val="nil"/>
                  </w:tcBorders>
                  <w:vAlign w:val="center"/>
                </w:tcPr>
                <w:p>
                  <w:pPr>
                    <w:snapToGrid w:val="0"/>
                    <w:jc w:val="center"/>
                    <w:rPr>
                      <w:color w:val="auto"/>
                      <w:szCs w:val="21"/>
                    </w:rPr>
                  </w:pPr>
                  <w:r>
                    <w:rPr>
                      <w:color w:val="auto"/>
                      <w:szCs w:val="21"/>
                    </w:rPr>
                    <w:t>147</w:t>
                  </w:r>
                </w:p>
              </w:tc>
              <w:tc>
                <w:tcPr>
                  <w:tcW w:w="651" w:type="pct"/>
                  <w:tcBorders>
                    <w:tl2br w:val="nil"/>
                    <w:tr2bl w:val="nil"/>
                  </w:tcBorders>
                  <w:vAlign w:val="center"/>
                </w:tcPr>
                <w:p>
                  <w:pPr>
                    <w:snapToGrid w:val="0"/>
                    <w:jc w:val="center"/>
                    <w:rPr>
                      <w:color w:val="auto"/>
                      <w:szCs w:val="21"/>
                    </w:rPr>
                  </w:pPr>
                  <w:r>
                    <w:rPr>
                      <w:color w:val="auto"/>
                      <w:szCs w:val="21"/>
                    </w:rPr>
                    <w:t>0.588</w:t>
                  </w:r>
                </w:p>
              </w:tc>
              <w:tc>
                <w:tcPr>
                  <w:tcW w:w="723" w:type="pct"/>
                  <w:tcBorders>
                    <w:tl2br w:val="nil"/>
                    <w:tr2bl w:val="nil"/>
                  </w:tcBorders>
                  <w:vAlign w:val="center"/>
                </w:tcPr>
                <w:p>
                  <w:pPr>
                    <w:snapToGrid w:val="0"/>
                    <w:jc w:val="center"/>
                    <w:rPr>
                      <w:color w:val="auto"/>
                      <w:szCs w:val="21"/>
                    </w:rPr>
                  </w:pPr>
                  <w:r>
                    <w:rPr>
                      <w:color w:val="auto"/>
                      <w:szCs w:val="21"/>
                    </w:rPr>
                    <w:t>151</w:t>
                  </w:r>
                </w:p>
              </w:tc>
              <w:tc>
                <w:tcPr>
                  <w:tcW w:w="617" w:type="pct"/>
                  <w:tcBorders>
                    <w:tl2br w:val="nil"/>
                    <w:tr2bl w:val="nil"/>
                  </w:tcBorders>
                  <w:vAlign w:val="center"/>
                </w:tcPr>
                <w:p>
                  <w:pPr>
                    <w:snapToGrid w:val="0"/>
                    <w:jc w:val="center"/>
                    <w:rPr>
                      <w:color w:val="auto"/>
                      <w:szCs w:val="21"/>
                    </w:rPr>
                  </w:pPr>
                  <w:r>
                    <w:rPr>
                      <w:color w:val="auto"/>
                      <w:szCs w:val="21"/>
                    </w:rPr>
                    <w:t>0.604</w:t>
                  </w:r>
                </w:p>
              </w:tc>
              <w:tc>
                <w:tcPr>
                  <w:tcW w:w="661" w:type="pct"/>
                  <w:tcBorders>
                    <w:tl2br w:val="nil"/>
                    <w:tr2bl w:val="nil"/>
                  </w:tcBorders>
                  <w:vAlign w:val="center"/>
                </w:tcPr>
                <w:p>
                  <w:pPr>
                    <w:snapToGrid w:val="0"/>
                    <w:jc w:val="center"/>
                    <w:rPr>
                      <w:color w:val="auto"/>
                      <w:szCs w:val="21"/>
                    </w:rPr>
                  </w:pPr>
                  <w:r>
                    <w:rPr>
                      <w:color w:val="auto"/>
                      <w:szCs w:val="21"/>
                    </w:rPr>
                    <w:t>149</w:t>
                  </w:r>
                </w:p>
              </w:tc>
              <w:tc>
                <w:tcPr>
                  <w:tcW w:w="588" w:type="pct"/>
                  <w:tcBorders>
                    <w:tl2br w:val="nil"/>
                    <w:tr2bl w:val="nil"/>
                  </w:tcBorders>
                  <w:vAlign w:val="center"/>
                </w:tcPr>
                <w:p>
                  <w:pPr>
                    <w:snapToGrid w:val="0"/>
                    <w:jc w:val="center"/>
                    <w:rPr>
                      <w:color w:val="auto"/>
                      <w:szCs w:val="21"/>
                    </w:rPr>
                  </w:pPr>
                  <w:r>
                    <w:rPr>
                      <w:color w:val="auto"/>
                      <w:szCs w:val="21"/>
                    </w:rPr>
                    <w:t>0.596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3" w:type="pct"/>
                  <w:tcBorders>
                    <w:tl2br w:val="nil"/>
                    <w:tr2bl w:val="nil"/>
                  </w:tcBorders>
                  <w:vAlign w:val="center"/>
                </w:tcPr>
                <w:p>
                  <w:pPr>
                    <w:widowControl/>
                    <w:jc w:val="center"/>
                    <w:rPr>
                      <w:color w:val="auto"/>
                      <w:szCs w:val="21"/>
                    </w:rPr>
                  </w:pPr>
                  <w:r>
                    <w:rPr>
                      <w:color w:val="auto"/>
                      <w:szCs w:val="21"/>
                    </w:rPr>
                    <w:t>亚硝酸盐氮</w:t>
                  </w:r>
                </w:p>
              </w:tc>
              <w:tc>
                <w:tcPr>
                  <w:tcW w:w="745" w:type="pct"/>
                  <w:tcBorders>
                    <w:tl2br w:val="nil"/>
                    <w:tr2bl w:val="nil"/>
                  </w:tcBorders>
                  <w:vAlign w:val="center"/>
                </w:tcPr>
                <w:p>
                  <w:pPr>
                    <w:jc w:val="center"/>
                    <w:rPr>
                      <w:color w:val="auto"/>
                      <w:szCs w:val="21"/>
                    </w:rPr>
                  </w:pPr>
                  <w:r>
                    <w:rPr>
                      <w:color w:val="auto"/>
                      <w:szCs w:val="21"/>
                    </w:rPr>
                    <w:t>＜0.003</w:t>
                  </w:r>
                </w:p>
              </w:tc>
              <w:tc>
                <w:tcPr>
                  <w:tcW w:w="651" w:type="pct"/>
                  <w:tcBorders>
                    <w:tl2br w:val="nil"/>
                    <w:tr2bl w:val="nil"/>
                  </w:tcBorders>
                  <w:vAlign w:val="center"/>
                </w:tcPr>
                <w:p>
                  <w:pPr>
                    <w:snapToGrid w:val="0"/>
                    <w:jc w:val="center"/>
                    <w:rPr>
                      <w:color w:val="auto"/>
                      <w:szCs w:val="21"/>
                    </w:rPr>
                  </w:pPr>
                  <w:r>
                    <w:rPr>
                      <w:color w:val="auto"/>
                      <w:szCs w:val="21"/>
                    </w:rPr>
                    <w:t>＜0.003</w:t>
                  </w:r>
                </w:p>
              </w:tc>
              <w:tc>
                <w:tcPr>
                  <w:tcW w:w="723" w:type="pct"/>
                  <w:tcBorders>
                    <w:tl2br w:val="nil"/>
                    <w:tr2bl w:val="nil"/>
                  </w:tcBorders>
                  <w:vAlign w:val="center"/>
                </w:tcPr>
                <w:p>
                  <w:pPr>
                    <w:jc w:val="center"/>
                    <w:rPr>
                      <w:color w:val="auto"/>
                      <w:szCs w:val="21"/>
                    </w:rPr>
                  </w:pPr>
                  <w:r>
                    <w:rPr>
                      <w:color w:val="auto"/>
                      <w:szCs w:val="21"/>
                    </w:rPr>
                    <w:t>＜0.003</w:t>
                  </w:r>
                </w:p>
              </w:tc>
              <w:tc>
                <w:tcPr>
                  <w:tcW w:w="617" w:type="pct"/>
                  <w:tcBorders>
                    <w:tl2br w:val="nil"/>
                    <w:tr2bl w:val="nil"/>
                  </w:tcBorders>
                  <w:vAlign w:val="center"/>
                </w:tcPr>
                <w:p>
                  <w:pPr>
                    <w:snapToGrid w:val="0"/>
                    <w:jc w:val="center"/>
                    <w:rPr>
                      <w:color w:val="auto"/>
                      <w:szCs w:val="21"/>
                    </w:rPr>
                  </w:pPr>
                  <w:r>
                    <w:rPr>
                      <w:color w:val="auto"/>
                      <w:szCs w:val="21"/>
                    </w:rPr>
                    <w:t>＜0.003</w:t>
                  </w:r>
                </w:p>
              </w:tc>
              <w:tc>
                <w:tcPr>
                  <w:tcW w:w="661" w:type="pct"/>
                  <w:tcBorders>
                    <w:tl2br w:val="nil"/>
                    <w:tr2bl w:val="nil"/>
                  </w:tcBorders>
                  <w:vAlign w:val="center"/>
                </w:tcPr>
                <w:p>
                  <w:pPr>
                    <w:jc w:val="center"/>
                    <w:rPr>
                      <w:color w:val="auto"/>
                      <w:szCs w:val="21"/>
                    </w:rPr>
                  </w:pPr>
                  <w:r>
                    <w:rPr>
                      <w:color w:val="auto"/>
                      <w:szCs w:val="21"/>
                    </w:rPr>
                    <w:t>＜0.003</w:t>
                  </w:r>
                </w:p>
              </w:tc>
              <w:tc>
                <w:tcPr>
                  <w:tcW w:w="588" w:type="pct"/>
                  <w:tcBorders>
                    <w:tl2br w:val="nil"/>
                    <w:tr2bl w:val="nil"/>
                  </w:tcBorders>
                  <w:vAlign w:val="center"/>
                </w:tcPr>
                <w:p>
                  <w:pPr>
                    <w:snapToGrid w:val="0"/>
                    <w:jc w:val="center"/>
                    <w:rPr>
                      <w:color w:val="auto"/>
                      <w:szCs w:val="21"/>
                    </w:rPr>
                  </w:pPr>
                  <w:r>
                    <w:rPr>
                      <w:color w:val="auto"/>
                      <w:szCs w:val="21"/>
                    </w:rPr>
                    <w:t>＜0.003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3" w:type="pct"/>
                  <w:tcBorders>
                    <w:tl2br w:val="nil"/>
                    <w:tr2bl w:val="nil"/>
                  </w:tcBorders>
                  <w:vAlign w:val="center"/>
                </w:tcPr>
                <w:p>
                  <w:pPr>
                    <w:snapToGrid w:val="0"/>
                    <w:jc w:val="center"/>
                    <w:rPr>
                      <w:color w:val="auto"/>
                      <w:szCs w:val="21"/>
                    </w:rPr>
                  </w:pPr>
                  <w:r>
                    <w:rPr>
                      <w:color w:val="auto"/>
                      <w:kern w:val="0"/>
                      <w:szCs w:val="21"/>
                    </w:rPr>
                    <w:t>总硬度</w:t>
                  </w:r>
                </w:p>
              </w:tc>
              <w:tc>
                <w:tcPr>
                  <w:tcW w:w="745" w:type="pct"/>
                  <w:tcBorders>
                    <w:tl2br w:val="nil"/>
                    <w:tr2bl w:val="nil"/>
                  </w:tcBorders>
                  <w:vAlign w:val="center"/>
                </w:tcPr>
                <w:p>
                  <w:pPr>
                    <w:snapToGrid w:val="0"/>
                    <w:jc w:val="center"/>
                    <w:rPr>
                      <w:color w:val="auto"/>
                      <w:szCs w:val="21"/>
                    </w:rPr>
                  </w:pPr>
                  <w:r>
                    <w:rPr>
                      <w:color w:val="auto"/>
                      <w:szCs w:val="21"/>
                    </w:rPr>
                    <w:t>185</w:t>
                  </w:r>
                </w:p>
              </w:tc>
              <w:tc>
                <w:tcPr>
                  <w:tcW w:w="651" w:type="pct"/>
                  <w:tcBorders>
                    <w:tl2br w:val="nil"/>
                    <w:tr2bl w:val="nil"/>
                  </w:tcBorders>
                  <w:vAlign w:val="center"/>
                </w:tcPr>
                <w:p>
                  <w:pPr>
                    <w:snapToGrid w:val="0"/>
                    <w:jc w:val="center"/>
                    <w:rPr>
                      <w:color w:val="auto"/>
                      <w:szCs w:val="21"/>
                    </w:rPr>
                  </w:pPr>
                  <w:r>
                    <w:rPr>
                      <w:color w:val="auto"/>
                      <w:szCs w:val="21"/>
                    </w:rPr>
                    <w:t>0.41</w:t>
                  </w:r>
                </w:p>
              </w:tc>
              <w:tc>
                <w:tcPr>
                  <w:tcW w:w="723" w:type="pct"/>
                  <w:tcBorders>
                    <w:tl2br w:val="nil"/>
                    <w:tr2bl w:val="nil"/>
                  </w:tcBorders>
                  <w:vAlign w:val="center"/>
                </w:tcPr>
                <w:p>
                  <w:pPr>
                    <w:snapToGrid w:val="0"/>
                    <w:jc w:val="center"/>
                    <w:rPr>
                      <w:color w:val="auto"/>
                      <w:szCs w:val="21"/>
                    </w:rPr>
                  </w:pPr>
                  <w:r>
                    <w:rPr>
                      <w:color w:val="auto"/>
                      <w:szCs w:val="21"/>
                    </w:rPr>
                    <w:t>207</w:t>
                  </w:r>
                </w:p>
              </w:tc>
              <w:tc>
                <w:tcPr>
                  <w:tcW w:w="617" w:type="pct"/>
                  <w:tcBorders>
                    <w:tl2br w:val="nil"/>
                    <w:tr2bl w:val="nil"/>
                  </w:tcBorders>
                  <w:vAlign w:val="center"/>
                </w:tcPr>
                <w:p>
                  <w:pPr>
                    <w:snapToGrid w:val="0"/>
                    <w:jc w:val="center"/>
                    <w:rPr>
                      <w:color w:val="auto"/>
                      <w:szCs w:val="21"/>
                    </w:rPr>
                  </w:pPr>
                  <w:r>
                    <w:rPr>
                      <w:color w:val="auto"/>
                      <w:szCs w:val="21"/>
                    </w:rPr>
                    <w:t>0.46</w:t>
                  </w:r>
                </w:p>
              </w:tc>
              <w:tc>
                <w:tcPr>
                  <w:tcW w:w="661" w:type="pct"/>
                  <w:tcBorders>
                    <w:tl2br w:val="nil"/>
                    <w:tr2bl w:val="nil"/>
                  </w:tcBorders>
                  <w:vAlign w:val="center"/>
                </w:tcPr>
                <w:p>
                  <w:pPr>
                    <w:snapToGrid w:val="0"/>
                    <w:jc w:val="center"/>
                    <w:rPr>
                      <w:color w:val="auto"/>
                      <w:szCs w:val="21"/>
                    </w:rPr>
                  </w:pPr>
                  <w:r>
                    <w:rPr>
                      <w:color w:val="auto"/>
                      <w:szCs w:val="21"/>
                    </w:rPr>
                    <w:t>200</w:t>
                  </w:r>
                </w:p>
              </w:tc>
              <w:tc>
                <w:tcPr>
                  <w:tcW w:w="588" w:type="pct"/>
                  <w:tcBorders>
                    <w:tl2br w:val="nil"/>
                    <w:tr2bl w:val="nil"/>
                  </w:tcBorders>
                  <w:vAlign w:val="center"/>
                </w:tcPr>
                <w:p>
                  <w:pPr>
                    <w:snapToGrid w:val="0"/>
                    <w:jc w:val="center"/>
                    <w:rPr>
                      <w:color w:val="auto"/>
                      <w:szCs w:val="21"/>
                    </w:rPr>
                  </w:pPr>
                  <w:r>
                    <w:rPr>
                      <w:color w:val="auto"/>
                      <w:szCs w:val="21"/>
                    </w:rPr>
                    <w:t>0.44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3" w:type="pct"/>
                  <w:tcBorders>
                    <w:tl2br w:val="nil"/>
                    <w:tr2bl w:val="nil"/>
                  </w:tcBorders>
                  <w:vAlign w:val="center"/>
                </w:tcPr>
                <w:p>
                  <w:pPr>
                    <w:snapToGrid w:val="0"/>
                    <w:jc w:val="center"/>
                    <w:rPr>
                      <w:color w:val="auto"/>
                      <w:szCs w:val="21"/>
                    </w:rPr>
                  </w:pPr>
                  <w:r>
                    <w:rPr>
                      <w:color w:val="auto"/>
                      <w:szCs w:val="21"/>
                    </w:rPr>
                    <w:t>耗氧量</w:t>
                  </w:r>
                </w:p>
              </w:tc>
              <w:tc>
                <w:tcPr>
                  <w:tcW w:w="745" w:type="pct"/>
                  <w:tcBorders>
                    <w:tl2br w:val="nil"/>
                    <w:tr2bl w:val="nil"/>
                  </w:tcBorders>
                  <w:vAlign w:val="center"/>
                </w:tcPr>
                <w:p>
                  <w:pPr>
                    <w:snapToGrid w:val="0"/>
                    <w:jc w:val="center"/>
                    <w:rPr>
                      <w:color w:val="auto"/>
                      <w:szCs w:val="21"/>
                    </w:rPr>
                  </w:pPr>
                  <w:r>
                    <w:rPr>
                      <w:color w:val="auto"/>
                      <w:szCs w:val="21"/>
                    </w:rPr>
                    <w:t>1.90</w:t>
                  </w:r>
                </w:p>
              </w:tc>
              <w:tc>
                <w:tcPr>
                  <w:tcW w:w="651" w:type="pct"/>
                  <w:tcBorders>
                    <w:tl2br w:val="nil"/>
                    <w:tr2bl w:val="nil"/>
                  </w:tcBorders>
                  <w:vAlign w:val="center"/>
                </w:tcPr>
                <w:p>
                  <w:pPr>
                    <w:snapToGrid w:val="0"/>
                    <w:jc w:val="center"/>
                    <w:rPr>
                      <w:color w:val="auto"/>
                      <w:szCs w:val="21"/>
                    </w:rPr>
                  </w:pPr>
                  <w:r>
                    <w:rPr>
                      <w:color w:val="auto"/>
                      <w:szCs w:val="21"/>
                    </w:rPr>
                    <w:t>0.63</w:t>
                  </w:r>
                </w:p>
              </w:tc>
              <w:tc>
                <w:tcPr>
                  <w:tcW w:w="723" w:type="pct"/>
                  <w:tcBorders>
                    <w:tl2br w:val="nil"/>
                    <w:tr2bl w:val="nil"/>
                  </w:tcBorders>
                  <w:vAlign w:val="center"/>
                </w:tcPr>
                <w:p>
                  <w:pPr>
                    <w:snapToGrid w:val="0"/>
                    <w:jc w:val="center"/>
                    <w:rPr>
                      <w:color w:val="auto"/>
                      <w:szCs w:val="21"/>
                    </w:rPr>
                  </w:pPr>
                  <w:r>
                    <w:rPr>
                      <w:color w:val="auto"/>
                      <w:szCs w:val="21"/>
                    </w:rPr>
                    <w:t>1.84</w:t>
                  </w:r>
                </w:p>
              </w:tc>
              <w:tc>
                <w:tcPr>
                  <w:tcW w:w="617" w:type="pct"/>
                  <w:tcBorders>
                    <w:tl2br w:val="nil"/>
                    <w:tr2bl w:val="nil"/>
                  </w:tcBorders>
                  <w:vAlign w:val="center"/>
                </w:tcPr>
                <w:p>
                  <w:pPr>
                    <w:snapToGrid w:val="0"/>
                    <w:jc w:val="center"/>
                    <w:rPr>
                      <w:color w:val="auto"/>
                      <w:szCs w:val="21"/>
                    </w:rPr>
                  </w:pPr>
                  <w:r>
                    <w:rPr>
                      <w:color w:val="auto"/>
                      <w:szCs w:val="21"/>
                    </w:rPr>
                    <w:t>0.613</w:t>
                  </w:r>
                </w:p>
              </w:tc>
              <w:tc>
                <w:tcPr>
                  <w:tcW w:w="661" w:type="pct"/>
                  <w:tcBorders>
                    <w:tl2br w:val="nil"/>
                    <w:tr2bl w:val="nil"/>
                  </w:tcBorders>
                  <w:vAlign w:val="center"/>
                </w:tcPr>
                <w:p>
                  <w:pPr>
                    <w:snapToGrid w:val="0"/>
                    <w:jc w:val="center"/>
                    <w:rPr>
                      <w:color w:val="auto"/>
                      <w:szCs w:val="21"/>
                    </w:rPr>
                  </w:pPr>
                  <w:r>
                    <w:rPr>
                      <w:color w:val="auto"/>
                      <w:szCs w:val="21"/>
                    </w:rPr>
                    <w:t>1.87</w:t>
                  </w:r>
                </w:p>
              </w:tc>
              <w:tc>
                <w:tcPr>
                  <w:tcW w:w="588" w:type="pct"/>
                  <w:tcBorders>
                    <w:tl2br w:val="nil"/>
                    <w:tr2bl w:val="nil"/>
                  </w:tcBorders>
                  <w:vAlign w:val="center"/>
                </w:tcPr>
                <w:p>
                  <w:pPr>
                    <w:snapToGrid w:val="0"/>
                    <w:jc w:val="center"/>
                    <w:rPr>
                      <w:color w:val="auto"/>
                      <w:szCs w:val="21"/>
                    </w:rPr>
                  </w:pPr>
                  <w:r>
                    <w:rPr>
                      <w:color w:val="auto"/>
                      <w:szCs w:val="21"/>
                    </w:rPr>
                    <w:t>0.623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3" w:type="pct"/>
                  <w:tcBorders>
                    <w:tl2br w:val="nil"/>
                    <w:tr2bl w:val="nil"/>
                  </w:tcBorders>
                  <w:vAlign w:val="center"/>
                </w:tcPr>
                <w:p>
                  <w:pPr>
                    <w:snapToGrid w:val="0"/>
                    <w:jc w:val="center"/>
                    <w:rPr>
                      <w:color w:val="auto"/>
                      <w:szCs w:val="21"/>
                    </w:rPr>
                  </w:pPr>
                  <w:r>
                    <w:rPr>
                      <w:color w:val="auto"/>
                      <w:szCs w:val="21"/>
                    </w:rPr>
                    <w:t>氰化物</w:t>
                  </w:r>
                </w:p>
              </w:tc>
              <w:tc>
                <w:tcPr>
                  <w:tcW w:w="745" w:type="pct"/>
                  <w:tcBorders>
                    <w:tl2br w:val="nil"/>
                    <w:tr2bl w:val="nil"/>
                  </w:tcBorders>
                  <w:vAlign w:val="center"/>
                </w:tcPr>
                <w:p>
                  <w:pPr>
                    <w:jc w:val="center"/>
                    <w:rPr>
                      <w:color w:val="auto"/>
                      <w:szCs w:val="21"/>
                    </w:rPr>
                  </w:pPr>
                  <w:r>
                    <w:rPr>
                      <w:color w:val="auto"/>
                      <w:szCs w:val="21"/>
                    </w:rPr>
                    <w:t>＜0.004</w:t>
                  </w:r>
                </w:p>
              </w:tc>
              <w:tc>
                <w:tcPr>
                  <w:tcW w:w="651" w:type="pct"/>
                  <w:tcBorders>
                    <w:tl2br w:val="nil"/>
                    <w:tr2bl w:val="nil"/>
                  </w:tcBorders>
                  <w:vAlign w:val="center"/>
                </w:tcPr>
                <w:p>
                  <w:pPr>
                    <w:snapToGrid w:val="0"/>
                    <w:jc w:val="center"/>
                    <w:rPr>
                      <w:color w:val="auto"/>
                      <w:szCs w:val="21"/>
                    </w:rPr>
                  </w:pPr>
                  <w:r>
                    <w:rPr>
                      <w:color w:val="auto"/>
                      <w:szCs w:val="21"/>
                    </w:rPr>
                    <w:t>＜0.008</w:t>
                  </w:r>
                </w:p>
              </w:tc>
              <w:tc>
                <w:tcPr>
                  <w:tcW w:w="723" w:type="pct"/>
                  <w:tcBorders>
                    <w:tl2br w:val="nil"/>
                    <w:tr2bl w:val="nil"/>
                  </w:tcBorders>
                  <w:vAlign w:val="center"/>
                </w:tcPr>
                <w:p>
                  <w:pPr>
                    <w:jc w:val="center"/>
                    <w:rPr>
                      <w:color w:val="auto"/>
                      <w:szCs w:val="21"/>
                    </w:rPr>
                  </w:pPr>
                  <w:r>
                    <w:rPr>
                      <w:color w:val="auto"/>
                      <w:szCs w:val="21"/>
                    </w:rPr>
                    <w:t>＜0.004</w:t>
                  </w:r>
                </w:p>
              </w:tc>
              <w:tc>
                <w:tcPr>
                  <w:tcW w:w="617" w:type="pct"/>
                  <w:tcBorders>
                    <w:tl2br w:val="nil"/>
                    <w:tr2bl w:val="nil"/>
                  </w:tcBorders>
                  <w:vAlign w:val="center"/>
                </w:tcPr>
                <w:p>
                  <w:pPr>
                    <w:snapToGrid w:val="0"/>
                    <w:jc w:val="center"/>
                    <w:rPr>
                      <w:color w:val="auto"/>
                      <w:szCs w:val="21"/>
                    </w:rPr>
                  </w:pPr>
                  <w:r>
                    <w:rPr>
                      <w:color w:val="auto"/>
                      <w:szCs w:val="21"/>
                    </w:rPr>
                    <w:t>＜0.008</w:t>
                  </w:r>
                </w:p>
              </w:tc>
              <w:tc>
                <w:tcPr>
                  <w:tcW w:w="661" w:type="pct"/>
                  <w:tcBorders>
                    <w:tl2br w:val="nil"/>
                    <w:tr2bl w:val="nil"/>
                  </w:tcBorders>
                  <w:vAlign w:val="center"/>
                </w:tcPr>
                <w:p>
                  <w:pPr>
                    <w:jc w:val="center"/>
                    <w:rPr>
                      <w:color w:val="auto"/>
                      <w:szCs w:val="21"/>
                    </w:rPr>
                  </w:pPr>
                  <w:r>
                    <w:rPr>
                      <w:color w:val="auto"/>
                      <w:szCs w:val="21"/>
                    </w:rPr>
                    <w:t>＜0.004</w:t>
                  </w:r>
                </w:p>
              </w:tc>
              <w:tc>
                <w:tcPr>
                  <w:tcW w:w="588" w:type="pct"/>
                  <w:tcBorders>
                    <w:tl2br w:val="nil"/>
                    <w:tr2bl w:val="nil"/>
                  </w:tcBorders>
                  <w:vAlign w:val="center"/>
                </w:tcPr>
                <w:p>
                  <w:pPr>
                    <w:snapToGrid w:val="0"/>
                    <w:jc w:val="center"/>
                    <w:rPr>
                      <w:color w:val="auto"/>
                      <w:szCs w:val="21"/>
                    </w:rPr>
                  </w:pPr>
                  <w:r>
                    <w:rPr>
                      <w:color w:val="auto"/>
                      <w:szCs w:val="21"/>
                    </w:rPr>
                    <w:t>＜0.008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3" w:type="pct"/>
                  <w:tcBorders>
                    <w:tl2br w:val="nil"/>
                    <w:tr2bl w:val="nil"/>
                  </w:tcBorders>
                  <w:vAlign w:val="center"/>
                </w:tcPr>
                <w:p>
                  <w:pPr>
                    <w:widowControl/>
                    <w:jc w:val="center"/>
                    <w:rPr>
                      <w:color w:val="auto"/>
                      <w:szCs w:val="21"/>
                    </w:rPr>
                  </w:pPr>
                  <w:r>
                    <w:rPr>
                      <w:color w:val="auto"/>
                      <w:kern w:val="0"/>
                      <w:szCs w:val="21"/>
                    </w:rPr>
                    <w:t>挥发酚</w:t>
                  </w:r>
                </w:p>
              </w:tc>
              <w:tc>
                <w:tcPr>
                  <w:tcW w:w="745" w:type="pct"/>
                  <w:tcBorders>
                    <w:tl2br w:val="nil"/>
                    <w:tr2bl w:val="nil"/>
                  </w:tcBorders>
                  <w:vAlign w:val="center"/>
                </w:tcPr>
                <w:p>
                  <w:pPr>
                    <w:snapToGrid w:val="0"/>
                    <w:jc w:val="center"/>
                    <w:rPr>
                      <w:color w:val="auto"/>
                      <w:szCs w:val="21"/>
                    </w:rPr>
                  </w:pPr>
                  <w:r>
                    <w:rPr>
                      <w:color w:val="auto"/>
                      <w:szCs w:val="21"/>
                    </w:rPr>
                    <w:t>＜0.0003</w:t>
                  </w:r>
                </w:p>
              </w:tc>
              <w:tc>
                <w:tcPr>
                  <w:tcW w:w="651" w:type="pct"/>
                  <w:tcBorders>
                    <w:tl2br w:val="nil"/>
                    <w:tr2bl w:val="nil"/>
                  </w:tcBorders>
                  <w:vAlign w:val="center"/>
                </w:tcPr>
                <w:p>
                  <w:pPr>
                    <w:snapToGrid w:val="0"/>
                    <w:jc w:val="center"/>
                    <w:rPr>
                      <w:color w:val="auto"/>
                      <w:szCs w:val="21"/>
                    </w:rPr>
                  </w:pPr>
                  <w:r>
                    <w:rPr>
                      <w:color w:val="auto"/>
                      <w:szCs w:val="21"/>
                    </w:rPr>
                    <w:t>＜0.15</w:t>
                  </w:r>
                </w:p>
              </w:tc>
              <w:tc>
                <w:tcPr>
                  <w:tcW w:w="723" w:type="pct"/>
                  <w:tcBorders>
                    <w:tl2br w:val="nil"/>
                    <w:tr2bl w:val="nil"/>
                  </w:tcBorders>
                  <w:vAlign w:val="center"/>
                </w:tcPr>
                <w:p>
                  <w:pPr>
                    <w:snapToGrid w:val="0"/>
                    <w:jc w:val="center"/>
                    <w:rPr>
                      <w:color w:val="auto"/>
                      <w:szCs w:val="21"/>
                    </w:rPr>
                  </w:pPr>
                  <w:r>
                    <w:rPr>
                      <w:color w:val="auto"/>
                      <w:szCs w:val="21"/>
                    </w:rPr>
                    <w:t>＜0.0003</w:t>
                  </w:r>
                </w:p>
              </w:tc>
              <w:tc>
                <w:tcPr>
                  <w:tcW w:w="617" w:type="pct"/>
                  <w:tcBorders>
                    <w:tl2br w:val="nil"/>
                    <w:tr2bl w:val="nil"/>
                  </w:tcBorders>
                  <w:vAlign w:val="center"/>
                </w:tcPr>
                <w:p>
                  <w:pPr>
                    <w:snapToGrid w:val="0"/>
                    <w:jc w:val="center"/>
                    <w:rPr>
                      <w:color w:val="auto"/>
                      <w:szCs w:val="21"/>
                    </w:rPr>
                  </w:pPr>
                  <w:r>
                    <w:rPr>
                      <w:color w:val="auto"/>
                      <w:szCs w:val="21"/>
                    </w:rPr>
                    <w:t>＜0.15</w:t>
                  </w:r>
                </w:p>
              </w:tc>
              <w:tc>
                <w:tcPr>
                  <w:tcW w:w="661" w:type="pct"/>
                  <w:tcBorders>
                    <w:tl2br w:val="nil"/>
                    <w:tr2bl w:val="nil"/>
                  </w:tcBorders>
                  <w:vAlign w:val="center"/>
                </w:tcPr>
                <w:p>
                  <w:pPr>
                    <w:snapToGrid w:val="0"/>
                    <w:jc w:val="center"/>
                    <w:rPr>
                      <w:color w:val="auto"/>
                      <w:szCs w:val="21"/>
                    </w:rPr>
                  </w:pPr>
                  <w:r>
                    <w:rPr>
                      <w:color w:val="auto"/>
                      <w:szCs w:val="21"/>
                    </w:rPr>
                    <w:t>＜0.0003</w:t>
                  </w:r>
                </w:p>
              </w:tc>
              <w:tc>
                <w:tcPr>
                  <w:tcW w:w="588" w:type="pct"/>
                  <w:tcBorders>
                    <w:tl2br w:val="nil"/>
                    <w:tr2bl w:val="nil"/>
                  </w:tcBorders>
                  <w:vAlign w:val="center"/>
                </w:tcPr>
                <w:p>
                  <w:pPr>
                    <w:snapToGrid w:val="0"/>
                    <w:jc w:val="center"/>
                    <w:rPr>
                      <w:color w:val="auto"/>
                      <w:szCs w:val="21"/>
                    </w:rPr>
                  </w:pPr>
                  <w:r>
                    <w:rPr>
                      <w:color w:val="auto"/>
                      <w:szCs w:val="21"/>
                    </w:rPr>
                    <w:t>＜0.15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3" w:type="pct"/>
                  <w:tcBorders>
                    <w:tl2br w:val="nil"/>
                    <w:tr2bl w:val="nil"/>
                  </w:tcBorders>
                  <w:vAlign w:val="center"/>
                </w:tcPr>
                <w:p>
                  <w:pPr>
                    <w:snapToGrid w:val="0"/>
                    <w:jc w:val="center"/>
                    <w:rPr>
                      <w:color w:val="auto"/>
                      <w:szCs w:val="21"/>
                    </w:rPr>
                  </w:pPr>
                  <w:r>
                    <w:rPr>
                      <w:color w:val="auto"/>
                      <w:szCs w:val="21"/>
                    </w:rPr>
                    <w:t>六价铬</w:t>
                  </w:r>
                </w:p>
              </w:tc>
              <w:tc>
                <w:tcPr>
                  <w:tcW w:w="745" w:type="pct"/>
                  <w:tcBorders>
                    <w:tl2br w:val="nil"/>
                    <w:tr2bl w:val="nil"/>
                  </w:tcBorders>
                  <w:vAlign w:val="center"/>
                </w:tcPr>
                <w:p>
                  <w:pPr>
                    <w:jc w:val="center"/>
                    <w:rPr>
                      <w:color w:val="auto"/>
                      <w:szCs w:val="21"/>
                    </w:rPr>
                  </w:pPr>
                  <w:r>
                    <w:rPr>
                      <w:color w:val="auto"/>
                      <w:szCs w:val="21"/>
                    </w:rPr>
                    <w:t>＜0.004</w:t>
                  </w:r>
                </w:p>
              </w:tc>
              <w:tc>
                <w:tcPr>
                  <w:tcW w:w="651" w:type="pct"/>
                  <w:tcBorders>
                    <w:tl2br w:val="nil"/>
                    <w:tr2bl w:val="nil"/>
                  </w:tcBorders>
                  <w:vAlign w:val="center"/>
                </w:tcPr>
                <w:p>
                  <w:pPr>
                    <w:snapToGrid w:val="0"/>
                    <w:jc w:val="center"/>
                    <w:rPr>
                      <w:color w:val="auto"/>
                      <w:szCs w:val="21"/>
                    </w:rPr>
                  </w:pPr>
                  <w:r>
                    <w:rPr>
                      <w:color w:val="auto"/>
                      <w:szCs w:val="21"/>
                    </w:rPr>
                    <w:t>＜0.08</w:t>
                  </w:r>
                </w:p>
              </w:tc>
              <w:tc>
                <w:tcPr>
                  <w:tcW w:w="723" w:type="pct"/>
                  <w:tcBorders>
                    <w:tl2br w:val="nil"/>
                    <w:tr2bl w:val="nil"/>
                  </w:tcBorders>
                  <w:vAlign w:val="center"/>
                </w:tcPr>
                <w:p>
                  <w:pPr>
                    <w:jc w:val="center"/>
                    <w:rPr>
                      <w:color w:val="auto"/>
                      <w:szCs w:val="21"/>
                    </w:rPr>
                  </w:pPr>
                  <w:r>
                    <w:rPr>
                      <w:color w:val="auto"/>
                      <w:szCs w:val="21"/>
                    </w:rPr>
                    <w:t>＜0.004</w:t>
                  </w:r>
                </w:p>
              </w:tc>
              <w:tc>
                <w:tcPr>
                  <w:tcW w:w="617" w:type="pct"/>
                  <w:tcBorders>
                    <w:tl2br w:val="nil"/>
                    <w:tr2bl w:val="nil"/>
                  </w:tcBorders>
                  <w:vAlign w:val="center"/>
                </w:tcPr>
                <w:p>
                  <w:pPr>
                    <w:snapToGrid w:val="0"/>
                    <w:jc w:val="center"/>
                    <w:rPr>
                      <w:color w:val="auto"/>
                      <w:szCs w:val="21"/>
                    </w:rPr>
                  </w:pPr>
                  <w:r>
                    <w:rPr>
                      <w:color w:val="auto"/>
                      <w:szCs w:val="21"/>
                    </w:rPr>
                    <w:t>＜0.08</w:t>
                  </w:r>
                </w:p>
              </w:tc>
              <w:tc>
                <w:tcPr>
                  <w:tcW w:w="661" w:type="pct"/>
                  <w:tcBorders>
                    <w:tl2br w:val="nil"/>
                    <w:tr2bl w:val="nil"/>
                  </w:tcBorders>
                  <w:vAlign w:val="center"/>
                </w:tcPr>
                <w:p>
                  <w:pPr>
                    <w:jc w:val="center"/>
                    <w:rPr>
                      <w:color w:val="auto"/>
                      <w:szCs w:val="21"/>
                    </w:rPr>
                  </w:pPr>
                  <w:r>
                    <w:rPr>
                      <w:color w:val="auto"/>
                      <w:szCs w:val="21"/>
                    </w:rPr>
                    <w:t>＜0.004</w:t>
                  </w:r>
                </w:p>
              </w:tc>
              <w:tc>
                <w:tcPr>
                  <w:tcW w:w="588" w:type="pct"/>
                  <w:tcBorders>
                    <w:tl2br w:val="nil"/>
                    <w:tr2bl w:val="nil"/>
                  </w:tcBorders>
                  <w:vAlign w:val="center"/>
                </w:tcPr>
                <w:p>
                  <w:pPr>
                    <w:snapToGrid w:val="0"/>
                    <w:jc w:val="center"/>
                    <w:rPr>
                      <w:color w:val="auto"/>
                      <w:szCs w:val="21"/>
                    </w:rPr>
                  </w:pPr>
                  <w:r>
                    <w:rPr>
                      <w:color w:val="auto"/>
                      <w:szCs w:val="21"/>
                    </w:rPr>
                    <w:t>＜0.08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3" w:type="pct"/>
                  <w:tcBorders>
                    <w:tl2br w:val="nil"/>
                    <w:tr2bl w:val="nil"/>
                  </w:tcBorders>
                  <w:vAlign w:val="center"/>
                </w:tcPr>
                <w:p>
                  <w:pPr>
                    <w:snapToGrid w:val="0"/>
                    <w:jc w:val="center"/>
                    <w:rPr>
                      <w:color w:val="auto"/>
                      <w:szCs w:val="21"/>
                    </w:rPr>
                  </w:pPr>
                  <w:r>
                    <w:rPr>
                      <w:color w:val="auto"/>
                      <w:szCs w:val="21"/>
                    </w:rPr>
                    <w:t>汞</w:t>
                  </w:r>
                </w:p>
              </w:tc>
              <w:tc>
                <w:tcPr>
                  <w:tcW w:w="745" w:type="pct"/>
                  <w:tcBorders>
                    <w:tl2br w:val="nil"/>
                    <w:tr2bl w:val="nil"/>
                  </w:tcBorders>
                  <w:vAlign w:val="center"/>
                </w:tcPr>
                <w:p>
                  <w:pPr>
                    <w:snapToGrid w:val="0"/>
                    <w:jc w:val="center"/>
                    <w:rPr>
                      <w:color w:val="auto"/>
                      <w:szCs w:val="21"/>
                    </w:rPr>
                  </w:pPr>
                  <w:r>
                    <w:rPr>
                      <w:color w:val="auto"/>
                      <w:szCs w:val="21"/>
                    </w:rPr>
                    <w:t>＜0.00004</w:t>
                  </w:r>
                </w:p>
              </w:tc>
              <w:tc>
                <w:tcPr>
                  <w:tcW w:w="651" w:type="pct"/>
                  <w:tcBorders>
                    <w:tl2br w:val="nil"/>
                    <w:tr2bl w:val="nil"/>
                  </w:tcBorders>
                  <w:vAlign w:val="center"/>
                </w:tcPr>
                <w:p>
                  <w:pPr>
                    <w:snapToGrid w:val="0"/>
                    <w:jc w:val="center"/>
                    <w:rPr>
                      <w:color w:val="auto"/>
                      <w:szCs w:val="21"/>
                    </w:rPr>
                  </w:pPr>
                  <w:r>
                    <w:rPr>
                      <w:color w:val="auto"/>
                      <w:szCs w:val="21"/>
                    </w:rPr>
                    <w:t>＜0.04</w:t>
                  </w:r>
                </w:p>
              </w:tc>
              <w:tc>
                <w:tcPr>
                  <w:tcW w:w="723" w:type="pct"/>
                  <w:tcBorders>
                    <w:tl2br w:val="nil"/>
                    <w:tr2bl w:val="nil"/>
                  </w:tcBorders>
                  <w:vAlign w:val="center"/>
                </w:tcPr>
                <w:p>
                  <w:pPr>
                    <w:snapToGrid w:val="0"/>
                    <w:jc w:val="center"/>
                    <w:rPr>
                      <w:color w:val="auto"/>
                      <w:szCs w:val="21"/>
                    </w:rPr>
                  </w:pPr>
                  <w:r>
                    <w:rPr>
                      <w:color w:val="auto"/>
                      <w:szCs w:val="21"/>
                    </w:rPr>
                    <w:t>＜0.00004</w:t>
                  </w:r>
                </w:p>
              </w:tc>
              <w:tc>
                <w:tcPr>
                  <w:tcW w:w="617" w:type="pct"/>
                  <w:tcBorders>
                    <w:tl2br w:val="nil"/>
                    <w:tr2bl w:val="nil"/>
                  </w:tcBorders>
                  <w:vAlign w:val="center"/>
                </w:tcPr>
                <w:p>
                  <w:pPr>
                    <w:snapToGrid w:val="0"/>
                    <w:jc w:val="center"/>
                    <w:rPr>
                      <w:color w:val="auto"/>
                      <w:szCs w:val="21"/>
                    </w:rPr>
                  </w:pPr>
                  <w:r>
                    <w:rPr>
                      <w:color w:val="auto"/>
                      <w:szCs w:val="21"/>
                    </w:rPr>
                    <w:t>＜0.04</w:t>
                  </w:r>
                </w:p>
              </w:tc>
              <w:tc>
                <w:tcPr>
                  <w:tcW w:w="661" w:type="pct"/>
                  <w:tcBorders>
                    <w:tl2br w:val="nil"/>
                    <w:tr2bl w:val="nil"/>
                  </w:tcBorders>
                  <w:vAlign w:val="center"/>
                </w:tcPr>
                <w:p>
                  <w:pPr>
                    <w:snapToGrid w:val="0"/>
                    <w:jc w:val="center"/>
                    <w:rPr>
                      <w:color w:val="auto"/>
                      <w:szCs w:val="21"/>
                    </w:rPr>
                  </w:pPr>
                  <w:r>
                    <w:rPr>
                      <w:color w:val="auto"/>
                      <w:szCs w:val="21"/>
                    </w:rPr>
                    <w:t>＜0.00004</w:t>
                  </w:r>
                </w:p>
              </w:tc>
              <w:tc>
                <w:tcPr>
                  <w:tcW w:w="588" w:type="pct"/>
                  <w:tcBorders>
                    <w:tl2br w:val="nil"/>
                    <w:tr2bl w:val="nil"/>
                  </w:tcBorders>
                  <w:vAlign w:val="center"/>
                </w:tcPr>
                <w:p>
                  <w:pPr>
                    <w:snapToGrid w:val="0"/>
                    <w:jc w:val="center"/>
                    <w:rPr>
                      <w:color w:val="auto"/>
                      <w:szCs w:val="21"/>
                    </w:rPr>
                  </w:pPr>
                  <w:r>
                    <w:rPr>
                      <w:color w:val="auto"/>
                      <w:szCs w:val="21"/>
                    </w:rPr>
                    <w:t>＜0.04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3" w:type="pct"/>
                  <w:tcBorders>
                    <w:tl2br w:val="nil"/>
                    <w:tr2bl w:val="nil"/>
                  </w:tcBorders>
                  <w:vAlign w:val="center"/>
                </w:tcPr>
                <w:p>
                  <w:pPr>
                    <w:snapToGrid w:val="0"/>
                    <w:jc w:val="center"/>
                    <w:rPr>
                      <w:color w:val="auto"/>
                      <w:szCs w:val="21"/>
                    </w:rPr>
                  </w:pPr>
                  <w:r>
                    <w:rPr>
                      <w:color w:val="auto"/>
                      <w:szCs w:val="21"/>
                    </w:rPr>
                    <w:t>砷</w:t>
                  </w:r>
                </w:p>
              </w:tc>
              <w:tc>
                <w:tcPr>
                  <w:tcW w:w="745" w:type="pct"/>
                  <w:tcBorders>
                    <w:tl2br w:val="nil"/>
                    <w:tr2bl w:val="nil"/>
                  </w:tcBorders>
                  <w:vAlign w:val="center"/>
                </w:tcPr>
                <w:p>
                  <w:pPr>
                    <w:snapToGrid w:val="0"/>
                    <w:jc w:val="center"/>
                    <w:rPr>
                      <w:color w:val="auto"/>
                      <w:szCs w:val="21"/>
                    </w:rPr>
                  </w:pPr>
                  <w:r>
                    <w:rPr>
                      <w:color w:val="auto"/>
                      <w:szCs w:val="21"/>
                    </w:rPr>
                    <w:t>＜0.0003</w:t>
                  </w:r>
                </w:p>
              </w:tc>
              <w:tc>
                <w:tcPr>
                  <w:tcW w:w="651" w:type="pct"/>
                  <w:tcBorders>
                    <w:tl2br w:val="nil"/>
                    <w:tr2bl w:val="nil"/>
                  </w:tcBorders>
                  <w:vAlign w:val="center"/>
                </w:tcPr>
                <w:p>
                  <w:pPr>
                    <w:snapToGrid w:val="0"/>
                    <w:jc w:val="center"/>
                    <w:rPr>
                      <w:color w:val="auto"/>
                      <w:szCs w:val="21"/>
                    </w:rPr>
                  </w:pPr>
                  <w:r>
                    <w:rPr>
                      <w:color w:val="auto"/>
                      <w:szCs w:val="21"/>
                    </w:rPr>
                    <w:t>＜0.03</w:t>
                  </w:r>
                </w:p>
              </w:tc>
              <w:tc>
                <w:tcPr>
                  <w:tcW w:w="723" w:type="pct"/>
                  <w:tcBorders>
                    <w:tl2br w:val="nil"/>
                    <w:tr2bl w:val="nil"/>
                  </w:tcBorders>
                  <w:vAlign w:val="center"/>
                </w:tcPr>
                <w:p>
                  <w:pPr>
                    <w:snapToGrid w:val="0"/>
                    <w:jc w:val="center"/>
                    <w:rPr>
                      <w:color w:val="auto"/>
                      <w:szCs w:val="21"/>
                    </w:rPr>
                  </w:pPr>
                  <w:r>
                    <w:rPr>
                      <w:color w:val="auto"/>
                      <w:szCs w:val="21"/>
                    </w:rPr>
                    <w:t>＜0.0003</w:t>
                  </w:r>
                </w:p>
              </w:tc>
              <w:tc>
                <w:tcPr>
                  <w:tcW w:w="617" w:type="pct"/>
                  <w:tcBorders>
                    <w:tl2br w:val="nil"/>
                    <w:tr2bl w:val="nil"/>
                  </w:tcBorders>
                  <w:vAlign w:val="center"/>
                </w:tcPr>
                <w:p>
                  <w:pPr>
                    <w:snapToGrid w:val="0"/>
                    <w:jc w:val="center"/>
                    <w:rPr>
                      <w:color w:val="auto"/>
                      <w:szCs w:val="21"/>
                    </w:rPr>
                  </w:pPr>
                  <w:r>
                    <w:rPr>
                      <w:color w:val="auto"/>
                      <w:szCs w:val="21"/>
                    </w:rPr>
                    <w:t>＜0.03</w:t>
                  </w:r>
                </w:p>
              </w:tc>
              <w:tc>
                <w:tcPr>
                  <w:tcW w:w="661" w:type="pct"/>
                  <w:tcBorders>
                    <w:tl2br w:val="nil"/>
                    <w:tr2bl w:val="nil"/>
                  </w:tcBorders>
                  <w:vAlign w:val="center"/>
                </w:tcPr>
                <w:p>
                  <w:pPr>
                    <w:snapToGrid w:val="0"/>
                    <w:jc w:val="center"/>
                    <w:rPr>
                      <w:color w:val="auto"/>
                      <w:szCs w:val="21"/>
                    </w:rPr>
                  </w:pPr>
                  <w:r>
                    <w:rPr>
                      <w:color w:val="auto"/>
                      <w:szCs w:val="21"/>
                    </w:rPr>
                    <w:t>＜0.0003</w:t>
                  </w:r>
                </w:p>
              </w:tc>
              <w:tc>
                <w:tcPr>
                  <w:tcW w:w="588" w:type="pct"/>
                  <w:tcBorders>
                    <w:tl2br w:val="nil"/>
                    <w:tr2bl w:val="nil"/>
                  </w:tcBorders>
                  <w:vAlign w:val="center"/>
                </w:tcPr>
                <w:p>
                  <w:pPr>
                    <w:snapToGrid w:val="0"/>
                    <w:jc w:val="center"/>
                    <w:rPr>
                      <w:color w:val="auto"/>
                      <w:szCs w:val="21"/>
                    </w:rPr>
                  </w:pPr>
                  <w:r>
                    <w:rPr>
                      <w:color w:val="auto"/>
                      <w:szCs w:val="21"/>
                    </w:rPr>
                    <w:t>＜0.03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3" w:type="pct"/>
                  <w:tcBorders>
                    <w:tl2br w:val="nil"/>
                    <w:tr2bl w:val="nil"/>
                  </w:tcBorders>
                  <w:vAlign w:val="center"/>
                </w:tcPr>
                <w:p>
                  <w:pPr>
                    <w:snapToGrid w:val="0"/>
                    <w:jc w:val="center"/>
                    <w:rPr>
                      <w:color w:val="auto"/>
                      <w:szCs w:val="21"/>
                    </w:rPr>
                  </w:pPr>
                  <w:r>
                    <w:rPr>
                      <w:color w:val="auto"/>
                      <w:szCs w:val="21"/>
                    </w:rPr>
                    <w:t>铅</w:t>
                  </w:r>
                </w:p>
              </w:tc>
              <w:tc>
                <w:tcPr>
                  <w:tcW w:w="745" w:type="pct"/>
                  <w:tcBorders>
                    <w:tl2br w:val="nil"/>
                    <w:tr2bl w:val="nil"/>
                  </w:tcBorders>
                  <w:vAlign w:val="center"/>
                </w:tcPr>
                <w:p>
                  <w:pPr>
                    <w:snapToGrid w:val="0"/>
                    <w:jc w:val="center"/>
                    <w:rPr>
                      <w:color w:val="auto"/>
                      <w:szCs w:val="21"/>
                    </w:rPr>
                  </w:pPr>
                  <w:r>
                    <w:rPr>
                      <w:color w:val="auto"/>
                      <w:szCs w:val="21"/>
                    </w:rPr>
                    <w:t>＜0.001</w:t>
                  </w:r>
                </w:p>
              </w:tc>
              <w:tc>
                <w:tcPr>
                  <w:tcW w:w="651" w:type="pct"/>
                  <w:tcBorders>
                    <w:tl2br w:val="nil"/>
                    <w:tr2bl w:val="nil"/>
                  </w:tcBorders>
                  <w:vAlign w:val="center"/>
                </w:tcPr>
                <w:p>
                  <w:pPr>
                    <w:snapToGrid w:val="0"/>
                    <w:jc w:val="center"/>
                    <w:rPr>
                      <w:color w:val="auto"/>
                      <w:szCs w:val="21"/>
                    </w:rPr>
                  </w:pPr>
                  <w:r>
                    <w:rPr>
                      <w:color w:val="auto"/>
                      <w:szCs w:val="21"/>
                    </w:rPr>
                    <w:t>＜0.1</w:t>
                  </w:r>
                </w:p>
              </w:tc>
              <w:tc>
                <w:tcPr>
                  <w:tcW w:w="723" w:type="pct"/>
                  <w:tcBorders>
                    <w:tl2br w:val="nil"/>
                    <w:tr2bl w:val="nil"/>
                  </w:tcBorders>
                  <w:vAlign w:val="center"/>
                </w:tcPr>
                <w:p>
                  <w:pPr>
                    <w:snapToGrid w:val="0"/>
                    <w:jc w:val="center"/>
                    <w:rPr>
                      <w:color w:val="auto"/>
                      <w:szCs w:val="21"/>
                    </w:rPr>
                  </w:pPr>
                  <w:r>
                    <w:rPr>
                      <w:color w:val="auto"/>
                      <w:szCs w:val="21"/>
                    </w:rPr>
                    <w:t>＜0.001</w:t>
                  </w:r>
                </w:p>
              </w:tc>
              <w:tc>
                <w:tcPr>
                  <w:tcW w:w="617" w:type="pct"/>
                  <w:tcBorders>
                    <w:tl2br w:val="nil"/>
                    <w:tr2bl w:val="nil"/>
                  </w:tcBorders>
                  <w:vAlign w:val="center"/>
                </w:tcPr>
                <w:p>
                  <w:pPr>
                    <w:snapToGrid w:val="0"/>
                    <w:jc w:val="center"/>
                    <w:rPr>
                      <w:color w:val="auto"/>
                      <w:szCs w:val="21"/>
                    </w:rPr>
                  </w:pPr>
                  <w:r>
                    <w:rPr>
                      <w:color w:val="auto"/>
                      <w:szCs w:val="21"/>
                    </w:rPr>
                    <w:t>＜0.1</w:t>
                  </w:r>
                </w:p>
              </w:tc>
              <w:tc>
                <w:tcPr>
                  <w:tcW w:w="661" w:type="pct"/>
                  <w:tcBorders>
                    <w:tl2br w:val="nil"/>
                    <w:tr2bl w:val="nil"/>
                  </w:tcBorders>
                  <w:vAlign w:val="center"/>
                </w:tcPr>
                <w:p>
                  <w:pPr>
                    <w:snapToGrid w:val="0"/>
                    <w:jc w:val="center"/>
                    <w:rPr>
                      <w:color w:val="auto"/>
                      <w:szCs w:val="21"/>
                    </w:rPr>
                  </w:pPr>
                  <w:r>
                    <w:rPr>
                      <w:color w:val="auto"/>
                      <w:szCs w:val="21"/>
                    </w:rPr>
                    <w:t>＜0.001</w:t>
                  </w:r>
                </w:p>
              </w:tc>
              <w:tc>
                <w:tcPr>
                  <w:tcW w:w="588" w:type="pct"/>
                  <w:tcBorders>
                    <w:tl2br w:val="nil"/>
                    <w:tr2bl w:val="nil"/>
                  </w:tcBorders>
                  <w:vAlign w:val="center"/>
                </w:tcPr>
                <w:p>
                  <w:pPr>
                    <w:snapToGrid w:val="0"/>
                    <w:jc w:val="center"/>
                    <w:rPr>
                      <w:color w:val="auto"/>
                      <w:szCs w:val="21"/>
                    </w:rPr>
                  </w:pPr>
                  <w:r>
                    <w:rPr>
                      <w:color w:val="auto"/>
                      <w:szCs w:val="21"/>
                    </w:rPr>
                    <w:t>＜0.1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3" w:type="pct"/>
                  <w:tcBorders>
                    <w:tl2br w:val="nil"/>
                    <w:tr2bl w:val="nil"/>
                  </w:tcBorders>
                  <w:vAlign w:val="center"/>
                </w:tcPr>
                <w:p>
                  <w:pPr>
                    <w:snapToGrid w:val="0"/>
                    <w:jc w:val="center"/>
                    <w:rPr>
                      <w:color w:val="auto"/>
                      <w:szCs w:val="21"/>
                    </w:rPr>
                  </w:pPr>
                  <w:r>
                    <w:rPr>
                      <w:color w:val="auto"/>
                      <w:szCs w:val="21"/>
                    </w:rPr>
                    <w:t>镉</w:t>
                  </w:r>
                </w:p>
              </w:tc>
              <w:tc>
                <w:tcPr>
                  <w:tcW w:w="745" w:type="pct"/>
                  <w:tcBorders>
                    <w:tl2br w:val="nil"/>
                    <w:tr2bl w:val="nil"/>
                  </w:tcBorders>
                  <w:vAlign w:val="center"/>
                </w:tcPr>
                <w:p>
                  <w:pPr>
                    <w:snapToGrid w:val="0"/>
                    <w:jc w:val="center"/>
                    <w:rPr>
                      <w:color w:val="auto"/>
                      <w:szCs w:val="21"/>
                    </w:rPr>
                  </w:pPr>
                  <w:r>
                    <w:rPr>
                      <w:color w:val="auto"/>
                      <w:szCs w:val="21"/>
                    </w:rPr>
                    <w:t>＜0.001</w:t>
                  </w:r>
                </w:p>
              </w:tc>
              <w:tc>
                <w:tcPr>
                  <w:tcW w:w="651" w:type="pct"/>
                  <w:tcBorders>
                    <w:tl2br w:val="nil"/>
                    <w:tr2bl w:val="nil"/>
                  </w:tcBorders>
                  <w:vAlign w:val="center"/>
                </w:tcPr>
                <w:p>
                  <w:pPr>
                    <w:snapToGrid w:val="0"/>
                    <w:jc w:val="center"/>
                    <w:rPr>
                      <w:color w:val="auto"/>
                      <w:szCs w:val="21"/>
                    </w:rPr>
                  </w:pPr>
                  <w:r>
                    <w:rPr>
                      <w:color w:val="auto"/>
                      <w:szCs w:val="21"/>
                    </w:rPr>
                    <w:t>＜0.2</w:t>
                  </w:r>
                </w:p>
              </w:tc>
              <w:tc>
                <w:tcPr>
                  <w:tcW w:w="723" w:type="pct"/>
                  <w:tcBorders>
                    <w:tl2br w:val="nil"/>
                    <w:tr2bl w:val="nil"/>
                  </w:tcBorders>
                  <w:vAlign w:val="center"/>
                </w:tcPr>
                <w:p>
                  <w:pPr>
                    <w:snapToGrid w:val="0"/>
                    <w:jc w:val="center"/>
                    <w:rPr>
                      <w:color w:val="auto"/>
                      <w:szCs w:val="21"/>
                    </w:rPr>
                  </w:pPr>
                  <w:r>
                    <w:rPr>
                      <w:color w:val="auto"/>
                      <w:szCs w:val="21"/>
                    </w:rPr>
                    <w:t>＜0.001</w:t>
                  </w:r>
                </w:p>
              </w:tc>
              <w:tc>
                <w:tcPr>
                  <w:tcW w:w="617" w:type="pct"/>
                  <w:tcBorders>
                    <w:tl2br w:val="nil"/>
                    <w:tr2bl w:val="nil"/>
                  </w:tcBorders>
                  <w:vAlign w:val="center"/>
                </w:tcPr>
                <w:p>
                  <w:pPr>
                    <w:snapToGrid w:val="0"/>
                    <w:jc w:val="center"/>
                    <w:rPr>
                      <w:color w:val="auto"/>
                      <w:szCs w:val="21"/>
                    </w:rPr>
                  </w:pPr>
                  <w:r>
                    <w:rPr>
                      <w:color w:val="auto"/>
                      <w:szCs w:val="21"/>
                    </w:rPr>
                    <w:t>＜0.2</w:t>
                  </w:r>
                </w:p>
              </w:tc>
              <w:tc>
                <w:tcPr>
                  <w:tcW w:w="661" w:type="pct"/>
                  <w:tcBorders>
                    <w:tl2br w:val="nil"/>
                    <w:tr2bl w:val="nil"/>
                  </w:tcBorders>
                  <w:vAlign w:val="center"/>
                </w:tcPr>
                <w:p>
                  <w:pPr>
                    <w:snapToGrid w:val="0"/>
                    <w:jc w:val="center"/>
                    <w:rPr>
                      <w:color w:val="auto"/>
                      <w:szCs w:val="21"/>
                    </w:rPr>
                  </w:pPr>
                  <w:r>
                    <w:rPr>
                      <w:color w:val="auto"/>
                      <w:szCs w:val="21"/>
                    </w:rPr>
                    <w:t>＜0.001</w:t>
                  </w:r>
                </w:p>
              </w:tc>
              <w:tc>
                <w:tcPr>
                  <w:tcW w:w="588" w:type="pct"/>
                  <w:tcBorders>
                    <w:tl2br w:val="nil"/>
                    <w:tr2bl w:val="nil"/>
                  </w:tcBorders>
                  <w:vAlign w:val="center"/>
                </w:tcPr>
                <w:p>
                  <w:pPr>
                    <w:snapToGrid w:val="0"/>
                    <w:jc w:val="center"/>
                    <w:rPr>
                      <w:color w:val="auto"/>
                      <w:szCs w:val="21"/>
                    </w:rPr>
                  </w:pPr>
                  <w:r>
                    <w:rPr>
                      <w:color w:val="auto"/>
                      <w:szCs w:val="21"/>
                    </w:rPr>
                    <w:t>＜0.2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3" w:type="pct"/>
                  <w:tcBorders>
                    <w:tl2br w:val="nil"/>
                    <w:tr2bl w:val="nil"/>
                  </w:tcBorders>
                  <w:vAlign w:val="center"/>
                </w:tcPr>
                <w:p>
                  <w:pPr>
                    <w:widowControl/>
                    <w:jc w:val="center"/>
                    <w:rPr>
                      <w:color w:val="auto"/>
                      <w:szCs w:val="21"/>
                    </w:rPr>
                  </w:pPr>
                  <w:r>
                    <w:rPr>
                      <w:color w:val="auto"/>
                      <w:szCs w:val="21"/>
                    </w:rPr>
                    <w:t>铁</w:t>
                  </w:r>
                </w:p>
              </w:tc>
              <w:tc>
                <w:tcPr>
                  <w:tcW w:w="745" w:type="pct"/>
                  <w:tcBorders>
                    <w:tl2br w:val="nil"/>
                    <w:tr2bl w:val="nil"/>
                  </w:tcBorders>
                  <w:vAlign w:val="center"/>
                </w:tcPr>
                <w:p>
                  <w:pPr>
                    <w:snapToGrid w:val="0"/>
                    <w:jc w:val="center"/>
                    <w:rPr>
                      <w:color w:val="auto"/>
                      <w:szCs w:val="21"/>
                    </w:rPr>
                  </w:pPr>
                  <w:r>
                    <w:rPr>
                      <w:color w:val="auto"/>
                      <w:szCs w:val="21"/>
                    </w:rPr>
                    <w:t>＜0.03</w:t>
                  </w:r>
                </w:p>
              </w:tc>
              <w:tc>
                <w:tcPr>
                  <w:tcW w:w="651" w:type="pct"/>
                  <w:tcBorders>
                    <w:tl2br w:val="nil"/>
                    <w:tr2bl w:val="nil"/>
                  </w:tcBorders>
                  <w:vAlign w:val="center"/>
                </w:tcPr>
                <w:p>
                  <w:pPr>
                    <w:snapToGrid w:val="0"/>
                    <w:jc w:val="center"/>
                    <w:rPr>
                      <w:color w:val="auto"/>
                      <w:szCs w:val="21"/>
                    </w:rPr>
                  </w:pPr>
                  <w:r>
                    <w:rPr>
                      <w:color w:val="auto"/>
                      <w:szCs w:val="21"/>
                    </w:rPr>
                    <w:t>＜0.1</w:t>
                  </w:r>
                </w:p>
              </w:tc>
              <w:tc>
                <w:tcPr>
                  <w:tcW w:w="723" w:type="pct"/>
                  <w:tcBorders>
                    <w:tl2br w:val="nil"/>
                    <w:tr2bl w:val="nil"/>
                  </w:tcBorders>
                  <w:vAlign w:val="center"/>
                </w:tcPr>
                <w:p>
                  <w:pPr>
                    <w:snapToGrid w:val="0"/>
                    <w:jc w:val="center"/>
                    <w:rPr>
                      <w:color w:val="auto"/>
                      <w:szCs w:val="21"/>
                    </w:rPr>
                  </w:pPr>
                  <w:r>
                    <w:rPr>
                      <w:color w:val="auto"/>
                      <w:szCs w:val="21"/>
                    </w:rPr>
                    <w:t>＜0.03</w:t>
                  </w:r>
                </w:p>
              </w:tc>
              <w:tc>
                <w:tcPr>
                  <w:tcW w:w="617" w:type="pct"/>
                  <w:tcBorders>
                    <w:tl2br w:val="nil"/>
                    <w:tr2bl w:val="nil"/>
                  </w:tcBorders>
                  <w:vAlign w:val="center"/>
                </w:tcPr>
                <w:p>
                  <w:pPr>
                    <w:snapToGrid w:val="0"/>
                    <w:jc w:val="center"/>
                    <w:rPr>
                      <w:color w:val="auto"/>
                      <w:szCs w:val="21"/>
                    </w:rPr>
                  </w:pPr>
                  <w:r>
                    <w:rPr>
                      <w:color w:val="auto"/>
                      <w:szCs w:val="21"/>
                    </w:rPr>
                    <w:t>＜0.1</w:t>
                  </w:r>
                </w:p>
              </w:tc>
              <w:tc>
                <w:tcPr>
                  <w:tcW w:w="661" w:type="pct"/>
                  <w:tcBorders>
                    <w:tl2br w:val="nil"/>
                    <w:tr2bl w:val="nil"/>
                  </w:tcBorders>
                  <w:vAlign w:val="center"/>
                </w:tcPr>
                <w:p>
                  <w:pPr>
                    <w:snapToGrid w:val="0"/>
                    <w:jc w:val="center"/>
                    <w:rPr>
                      <w:color w:val="auto"/>
                      <w:szCs w:val="21"/>
                    </w:rPr>
                  </w:pPr>
                  <w:r>
                    <w:rPr>
                      <w:color w:val="auto"/>
                      <w:szCs w:val="21"/>
                    </w:rPr>
                    <w:t>＜0.03</w:t>
                  </w:r>
                </w:p>
              </w:tc>
              <w:tc>
                <w:tcPr>
                  <w:tcW w:w="588" w:type="pct"/>
                  <w:tcBorders>
                    <w:tl2br w:val="nil"/>
                    <w:tr2bl w:val="nil"/>
                  </w:tcBorders>
                  <w:vAlign w:val="center"/>
                </w:tcPr>
                <w:p>
                  <w:pPr>
                    <w:snapToGrid w:val="0"/>
                    <w:jc w:val="center"/>
                    <w:rPr>
                      <w:color w:val="auto"/>
                      <w:szCs w:val="21"/>
                    </w:rPr>
                  </w:pPr>
                  <w:r>
                    <w:rPr>
                      <w:color w:val="auto"/>
                      <w:szCs w:val="21"/>
                    </w:rPr>
                    <w:t>＜0.1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3" w:type="pct"/>
                  <w:tcBorders>
                    <w:tl2br w:val="nil"/>
                    <w:tr2bl w:val="nil"/>
                  </w:tcBorders>
                  <w:vAlign w:val="center"/>
                </w:tcPr>
                <w:p>
                  <w:pPr>
                    <w:snapToGrid w:val="0"/>
                    <w:jc w:val="center"/>
                    <w:rPr>
                      <w:color w:val="auto"/>
                      <w:szCs w:val="21"/>
                    </w:rPr>
                  </w:pPr>
                  <w:r>
                    <w:rPr>
                      <w:color w:val="auto"/>
                      <w:kern w:val="0"/>
                      <w:szCs w:val="21"/>
                    </w:rPr>
                    <w:t>锰</w:t>
                  </w:r>
                </w:p>
              </w:tc>
              <w:tc>
                <w:tcPr>
                  <w:tcW w:w="745" w:type="pct"/>
                  <w:tcBorders>
                    <w:tl2br w:val="nil"/>
                    <w:tr2bl w:val="nil"/>
                  </w:tcBorders>
                  <w:vAlign w:val="center"/>
                </w:tcPr>
                <w:p>
                  <w:pPr>
                    <w:snapToGrid w:val="0"/>
                    <w:jc w:val="center"/>
                    <w:rPr>
                      <w:color w:val="auto"/>
                      <w:szCs w:val="21"/>
                    </w:rPr>
                  </w:pPr>
                  <w:r>
                    <w:rPr>
                      <w:color w:val="auto"/>
                      <w:szCs w:val="21"/>
                    </w:rPr>
                    <w:t>＜0.01</w:t>
                  </w:r>
                </w:p>
              </w:tc>
              <w:tc>
                <w:tcPr>
                  <w:tcW w:w="651" w:type="pct"/>
                  <w:tcBorders>
                    <w:tl2br w:val="nil"/>
                    <w:tr2bl w:val="nil"/>
                  </w:tcBorders>
                  <w:vAlign w:val="center"/>
                </w:tcPr>
                <w:p>
                  <w:pPr>
                    <w:snapToGrid w:val="0"/>
                    <w:jc w:val="center"/>
                    <w:rPr>
                      <w:color w:val="auto"/>
                      <w:szCs w:val="21"/>
                    </w:rPr>
                  </w:pPr>
                  <w:r>
                    <w:rPr>
                      <w:color w:val="auto"/>
                      <w:szCs w:val="21"/>
                    </w:rPr>
                    <w:t>＜0.1</w:t>
                  </w:r>
                </w:p>
              </w:tc>
              <w:tc>
                <w:tcPr>
                  <w:tcW w:w="723" w:type="pct"/>
                  <w:tcBorders>
                    <w:tl2br w:val="nil"/>
                    <w:tr2bl w:val="nil"/>
                  </w:tcBorders>
                  <w:vAlign w:val="center"/>
                </w:tcPr>
                <w:p>
                  <w:pPr>
                    <w:snapToGrid w:val="0"/>
                    <w:jc w:val="center"/>
                    <w:rPr>
                      <w:color w:val="auto"/>
                      <w:szCs w:val="21"/>
                    </w:rPr>
                  </w:pPr>
                  <w:r>
                    <w:rPr>
                      <w:color w:val="auto"/>
                      <w:szCs w:val="21"/>
                    </w:rPr>
                    <w:t>＜0.01</w:t>
                  </w:r>
                </w:p>
              </w:tc>
              <w:tc>
                <w:tcPr>
                  <w:tcW w:w="617" w:type="pct"/>
                  <w:tcBorders>
                    <w:tl2br w:val="nil"/>
                    <w:tr2bl w:val="nil"/>
                  </w:tcBorders>
                  <w:vAlign w:val="center"/>
                </w:tcPr>
                <w:p>
                  <w:pPr>
                    <w:snapToGrid w:val="0"/>
                    <w:jc w:val="center"/>
                    <w:rPr>
                      <w:color w:val="auto"/>
                      <w:szCs w:val="21"/>
                    </w:rPr>
                  </w:pPr>
                  <w:r>
                    <w:rPr>
                      <w:color w:val="auto"/>
                      <w:szCs w:val="21"/>
                    </w:rPr>
                    <w:t>＜0.1</w:t>
                  </w:r>
                </w:p>
              </w:tc>
              <w:tc>
                <w:tcPr>
                  <w:tcW w:w="661" w:type="pct"/>
                  <w:tcBorders>
                    <w:tl2br w:val="nil"/>
                    <w:tr2bl w:val="nil"/>
                  </w:tcBorders>
                  <w:vAlign w:val="center"/>
                </w:tcPr>
                <w:p>
                  <w:pPr>
                    <w:snapToGrid w:val="0"/>
                    <w:jc w:val="center"/>
                    <w:rPr>
                      <w:color w:val="auto"/>
                      <w:szCs w:val="21"/>
                    </w:rPr>
                  </w:pPr>
                  <w:r>
                    <w:rPr>
                      <w:color w:val="auto"/>
                      <w:szCs w:val="21"/>
                    </w:rPr>
                    <w:t>＜0.01</w:t>
                  </w:r>
                </w:p>
              </w:tc>
              <w:tc>
                <w:tcPr>
                  <w:tcW w:w="588" w:type="pct"/>
                  <w:tcBorders>
                    <w:tl2br w:val="nil"/>
                    <w:tr2bl w:val="nil"/>
                  </w:tcBorders>
                  <w:vAlign w:val="center"/>
                </w:tcPr>
                <w:p>
                  <w:pPr>
                    <w:snapToGrid w:val="0"/>
                    <w:jc w:val="center"/>
                    <w:rPr>
                      <w:color w:val="auto"/>
                      <w:szCs w:val="21"/>
                    </w:rPr>
                  </w:pPr>
                  <w:r>
                    <w:rPr>
                      <w:color w:val="auto"/>
                      <w:szCs w:val="21"/>
                    </w:rPr>
                    <w:t>＜0.1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3" w:type="pct"/>
                  <w:tcBorders>
                    <w:tl2br w:val="nil"/>
                    <w:tr2bl w:val="nil"/>
                  </w:tcBorders>
                  <w:vAlign w:val="center"/>
                </w:tcPr>
                <w:p>
                  <w:pPr>
                    <w:snapToGrid w:val="0"/>
                    <w:jc w:val="center"/>
                    <w:rPr>
                      <w:color w:val="auto"/>
                      <w:szCs w:val="21"/>
                    </w:rPr>
                  </w:pPr>
                  <w:r>
                    <w:rPr>
                      <w:color w:val="auto"/>
                      <w:szCs w:val="21"/>
                    </w:rPr>
                    <w:t>钾</w:t>
                  </w:r>
                </w:p>
              </w:tc>
              <w:tc>
                <w:tcPr>
                  <w:tcW w:w="745" w:type="pct"/>
                  <w:tcBorders>
                    <w:tl2br w:val="nil"/>
                    <w:tr2bl w:val="nil"/>
                  </w:tcBorders>
                  <w:vAlign w:val="center"/>
                </w:tcPr>
                <w:p>
                  <w:pPr>
                    <w:snapToGrid w:val="0"/>
                    <w:jc w:val="center"/>
                    <w:rPr>
                      <w:color w:val="auto"/>
                      <w:szCs w:val="21"/>
                    </w:rPr>
                  </w:pPr>
                  <w:r>
                    <w:rPr>
                      <w:color w:val="auto"/>
                      <w:szCs w:val="21"/>
                    </w:rPr>
                    <w:t>3.25</w:t>
                  </w:r>
                </w:p>
              </w:tc>
              <w:tc>
                <w:tcPr>
                  <w:tcW w:w="651" w:type="pct"/>
                  <w:tcBorders>
                    <w:tl2br w:val="nil"/>
                    <w:tr2bl w:val="nil"/>
                  </w:tcBorders>
                  <w:vAlign w:val="center"/>
                </w:tcPr>
                <w:p>
                  <w:pPr>
                    <w:snapToGrid w:val="0"/>
                    <w:jc w:val="center"/>
                    <w:rPr>
                      <w:color w:val="auto"/>
                      <w:szCs w:val="21"/>
                    </w:rPr>
                  </w:pPr>
                  <w:r>
                    <w:rPr>
                      <w:color w:val="auto"/>
                      <w:szCs w:val="21"/>
                    </w:rPr>
                    <w:t>/</w:t>
                  </w:r>
                </w:p>
              </w:tc>
              <w:tc>
                <w:tcPr>
                  <w:tcW w:w="723" w:type="pct"/>
                  <w:tcBorders>
                    <w:tl2br w:val="nil"/>
                    <w:tr2bl w:val="nil"/>
                  </w:tcBorders>
                  <w:vAlign w:val="center"/>
                </w:tcPr>
                <w:p>
                  <w:pPr>
                    <w:snapToGrid w:val="0"/>
                    <w:jc w:val="center"/>
                    <w:rPr>
                      <w:color w:val="auto"/>
                      <w:szCs w:val="21"/>
                    </w:rPr>
                  </w:pPr>
                  <w:r>
                    <w:rPr>
                      <w:color w:val="auto"/>
                      <w:szCs w:val="21"/>
                    </w:rPr>
                    <w:t>3.25</w:t>
                  </w:r>
                </w:p>
              </w:tc>
              <w:tc>
                <w:tcPr>
                  <w:tcW w:w="617" w:type="pct"/>
                  <w:tcBorders>
                    <w:tl2br w:val="nil"/>
                    <w:tr2bl w:val="nil"/>
                  </w:tcBorders>
                  <w:vAlign w:val="center"/>
                </w:tcPr>
                <w:p>
                  <w:pPr>
                    <w:snapToGrid w:val="0"/>
                    <w:jc w:val="center"/>
                    <w:rPr>
                      <w:color w:val="auto"/>
                      <w:szCs w:val="21"/>
                    </w:rPr>
                  </w:pPr>
                  <w:r>
                    <w:rPr>
                      <w:color w:val="auto"/>
                      <w:szCs w:val="21"/>
                    </w:rPr>
                    <w:t>/</w:t>
                  </w:r>
                </w:p>
              </w:tc>
              <w:tc>
                <w:tcPr>
                  <w:tcW w:w="661" w:type="pct"/>
                  <w:tcBorders>
                    <w:tl2br w:val="nil"/>
                    <w:tr2bl w:val="nil"/>
                  </w:tcBorders>
                  <w:vAlign w:val="center"/>
                </w:tcPr>
                <w:p>
                  <w:pPr>
                    <w:snapToGrid w:val="0"/>
                    <w:jc w:val="center"/>
                    <w:rPr>
                      <w:color w:val="auto"/>
                      <w:szCs w:val="21"/>
                    </w:rPr>
                  </w:pPr>
                  <w:r>
                    <w:rPr>
                      <w:color w:val="auto"/>
                      <w:szCs w:val="21"/>
                    </w:rPr>
                    <w:t>3.26</w:t>
                  </w:r>
                </w:p>
              </w:tc>
              <w:tc>
                <w:tcPr>
                  <w:tcW w:w="588" w:type="pct"/>
                  <w:tcBorders>
                    <w:tl2br w:val="nil"/>
                    <w:tr2bl w:val="nil"/>
                  </w:tcBorders>
                  <w:vAlign w:val="center"/>
                </w:tcPr>
                <w:p>
                  <w:pPr>
                    <w:snapToGrid w:val="0"/>
                    <w:jc w:val="center"/>
                    <w:rPr>
                      <w:color w:val="auto"/>
                      <w:szCs w:val="21"/>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3" w:type="pct"/>
                  <w:tcBorders>
                    <w:tl2br w:val="nil"/>
                    <w:tr2bl w:val="nil"/>
                  </w:tcBorders>
                  <w:vAlign w:val="center"/>
                </w:tcPr>
                <w:p>
                  <w:pPr>
                    <w:snapToGrid w:val="0"/>
                    <w:jc w:val="center"/>
                    <w:rPr>
                      <w:color w:val="auto"/>
                      <w:szCs w:val="21"/>
                    </w:rPr>
                  </w:pPr>
                  <w:r>
                    <w:rPr>
                      <w:color w:val="auto"/>
                      <w:szCs w:val="21"/>
                    </w:rPr>
                    <w:t>钠</w:t>
                  </w:r>
                </w:p>
              </w:tc>
              <w:tc>
                <w:tcPr>
                  <w:tcW w:w="745" w:type="pct"/>
                  <w:tcBorders>
                    <w:tl2br w:val="nil"/>
                    <w:tr2bl w:val="nil"/>
                  </w:tcBorders>
                  <w:vAlign w:val="center"/>
                </w:tcPr>
                <w:p>
                  <w:pPr>
                    <w:snapToGrid w:val="0"/>
                    <w:jc w:val="center"/>
                    <w:rPr>
                      <w:color w:val="auto"/>
                      <w:szCs w:val="21"/>
                    </w:rPr>
                  </w:pPr>
                  <w:r>
                    <w:rPr>
                      <w:color w:val="auto"/>
                      <w:szCs w:val="21"/>
                    </w:rPr>
                    <w:t>50.8</w:t>
                  </w:r>
                </w:p>
              </w:tc>
              <w:tc>
                <w:tcPr>
                  <w:tcW w:w="651" w:type="pct"/>
                  <w:tcBorders>
                    <w:tl2br w:val="nil"/>
                    <w:tr2bl w:val="nil"/>
                  </w:tcBorders>
                  <w:vAlign w:val="center"/>
                </w:tcPr>
                <w:p>
                  <w:pPr>
                    <w:snapToGrid w:val="0"/>
                    <w:jc w:val="center"/>
                    <w:rPr>
                      <w:color w:val="auto"/>
                      <w:szCs w:val="21"/>
                    </w:rPr>
                  </w:pPr>
                  <w:r>
                    <w:rPr>
                      <w:color w:val="auto"/>
                      <w:szCs w:val="21"/>
                    </w:rPr>
                    <w:t>0.254</w:t>
                  </w:r>
                </w:p>
              </w:tc>
              <w:tc>
                <w:tcPr>
                  <w:tcW w:w="723" w:type="pct"/>
                  <w:tcBorders>
                    <w:tl2br w:val="nil"/>
                    <w:tr2bl w:val="nil"/>
                  </w:tcBorders>
                  <w:vAlign w:val="center"/>
                </w:tcPr>
                <w:p>
                  <w:pPr>
                    <w:snapToGrid w:val="0"/>
                    <w:jc w:val="center"/>
                    <w:rPr>
                      <w:color w:val="auto"/>
                      <w:szCs w:val="21"/>
                    </w:rPr>
                  </w:pPr>
                  <w:r>
                    <w:rPr>
                      <w:color w:val="auto"/>
                      <w:szCs w:val="21"/>
                    </w:rPr>
                    <w:t>52.9</w:t>
                  </w:r>
                </w:p>
              </w:tc>
              <w:tc>
                <w:tcPr>
                  <w:tcW w:w="617" w:type="pct"/>
                  <w:tcBorders>
                    <w:tl2br w:val="nil"/>
                    <w:tr2bl w:val="nil"/>
                  </w:tcBorders>
                  <w:vAlign w:val="center"/>
                </w:tcPr>
                <w:p>
                  <w:pPr>
                    <w:snapToGrid w:val="0"/>
                    <w:jc w:val="center"/>
                    <w:rPr>
                      <w:color w:val="auto"/>
                      <w:szCs w:val="21"/>
                    </w:rPr>
                  </w:pPr>
                  <w:r>
                    <w:rPr>
                      <w:color w:val="auto"/>
                      <w:szCs w:val="21"/>
                    </w:rPr>
                    <w:t>0.265</w:t>
                  </w:r>
                </w:p>
              </w:tc>
              <w:tc>
                <w:tcPr>
                  <w:tcW w:w="661" w:type="pct"/>
                  <w:tcBorders>
                    <w:tl2br w:val="nil"/>
                    <w:tr2bl w:val="nil"/>
                  </w:tcBorders>
                  <w:vAlign w:val="center"/>
                </w:tcPr>
                <w:p>
                  <w:pPr>
                    <w:snapToGrid w:val="0"/>
                    <w:jc w:val="center"/>
                    <w:rPr>
                      <w:color w:val="auto"/>
                      <w:szCs w:val="21"/>
                    </w:rPr>
                  </w:pPr>
                  <w:r>
                    <w:rPr>
                      <w:color w:val="auto"/>
                      <w:szCs w:val="21"/>
                    </w:rPr>
                    <w:t>51.6</w:t>
                  </w:r>
                </w:p>
              </w:tc>
              <w:tc>
                <w:tcPr>
                  <w:tcW w:w="588" w:type="pct"/>
                  <w:tcBorders>
                    <w:tl2br w:val="nil"/>
                    <w:tr2bl w:val="nil"/>
                  </w:tcBorders>
                  <w:vAlign w:val="center"/>
                </w:tcPr>
                <w:p>
                  <w:pPr>
                    <w:snapToGrid w:val="0"/>
                    <w:jc w:val="center"/>
                    <w:rPr>
                      <w:color w:val="auto"/>
                      <w:szCs w:val="21"/>
                    </w:rPr>
                  </w:pPr>
                  <w:r>
                    <w:rPr>
                      <w:color w:val="auto"/>
                      <w:szCs w:val="21"/>
                    </w:rPr>
                    <w:t>0.258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3" w:type="pct"/>
                  <w:tcBorders>
                    <w:tl2br w:val="nil"/>
                    <w:tr2bl w:val="nil"/>
                  </w:tcBorders>
                  <w:vAlign w:val="center"/>
                </w:tcPr>
                <w:p>
                  <w:pPr>
                    <w:snapToGrid w:val="0"/>
                    <w:jc w:val="center"/>
                    <w:rPr>
                      <w:color w:val="auto"/>
                      <w:szCs w:val="21"/>
                    </w:rPr>
                  </w:pPr>
                  <w:r>
                    <w:rPr>
                      <w:color w:val="auto"/>
                      <w:szCs w:val="21"/>
                    </w:rPr>
                    <w:t>钙</w:t>
                  </w:r>
                </w:p>
              </w:tc>
              <w:tc>
                <w:tcPr>
                  <w:tcW w:w="745" w:type="pct"/>
                  <w:tcBorders>
                    <w:tl2br w:val="nil"/>
                    <w:tr2bl w:val="nil"/>
                  </w:tcBorders>
                  <w:vAlign w:val="center"/>
                </w:tcPr>
                <w:p>
                  <w:pPr>
                    <w:snapToGrid w:val="0"/>
                    <w:jc w:val="center"/>
                    <w:rPr>
                      <w:color w:val="auto"/>
                      <w:szCs w:val="21"/>
                    </w:rPr>
                  </w:pPr>
                  <w:r>
                    <w:rPr>
                      <w:color w:val="auto"/>
                      <w:szCs w:val="21"/>
                    </w:rPr>
                    <w:t>72.6</w:t>
                  </w:r>
                </w:p>
              </w:tc>
              <w:tc>
                <w:tcPr>
                  <w:tcW w:w="651" w:type="pct"/>
                  <w:tcBorders>
                    <w:tl2br w:val="nil"/>
                    <w:tr2bl w:val="nil"/>
                  </w:tcBorders>
                  <w:vAlign w:val="center"/>
                </w:tcPr>
                <w:p>
                  <w:pPr>
                    <w:snapToGrid w:val="0"/>
                    <w:jc w:val="center"/>
                    <w:rPr>
                      <w:color w:val="auto"/>
                      <w:szCs w:val="21"/>
                    </w:rPr>
                  </w:pPr>
                  <w:r>
                    <w:rPr>
                      <w:color w:val="auto"/>
                      <w:szCs w:val="21"/>
                    </w:rPr>
                    <w:t>/</w:t>
                  </w:r>
                </w:p>
              </w:tc>
              <w:tc>
                <w:tcPr>
                  <w:tcW w:w="723" w:type="pct"/>
                  <w:tcBorders>
                    <w:tl2br w:val="nil"/>
                    <w:tr2bl w:val="nil"/>
                  </w:tcBorders>
                  <w:vAlign w:val="center"/>
                </w:tcPr>
                <w:p>
                  <w:pPr>
                    <w:snapToGrid w:val="0"/>
                    <w:jc w:val="center"/>
                    <w:rPr>
                      <w:color w:val="auto"/>
                      <w:szCs w:val="21"/>
                    </w:rPr>
                  </w:pPr>
                  <w:r>
                    <w:rPr>
                      <w:color w:val="auto"/>
                      <w:szCs w:val="21"/>
                    </w:rPr>
                    <w:t>72.7</w:t>
                  </w:r>
                </w:p>
              </w:tc>
              <w:tc>
                <w:tcPr>
                  <w:tcW w:w="617" w:type="pct"/>
                  <w:tcBorders>
                    <w:tl2br w:val="nil"/>
                    <w:tr2bl w:val="nil"/>
                  </w:tcBorders>
                  <w:vAlign w:val="center"/>
                </w:tcPr>
                <w:p>
                  <w:pPr>
                    <w:snapToGrid w:val="0"/>
                    <w:jc w:val="center"/>
                    <w:rPr>
                      <w:color w:val="auto"/>
                      <w:szCs w:val="21"/>
                    </w:rPr>
                  </w:pPr>
                  <w:r>
                    <w:rPr>
                      <w:color w:val="auto"/>
                      <w:szCs w:val="21"/>
                    </w:rPr>
                    <w:t>/</w:t>
                  </w:r>
                </w:p>
              </w:tc>
              <w:tc>
                <w:tcPr>
                  <w:tcW w:w="661" w:type="pct"/>
                  <w:tcBorders>
                    <w:tl2br w:val="nil"/>
                    <w:tr2bl w:val="nil"/>
                  </w:tcBorders>
                  <w:vAlign w:val="center"/>
                </w:tcPr>
                <w:p>
                  <w:pPr>
                    <w:snapToGrid w:val="0"/>
                    <w:jc w:val="center"/>
                    <w:rPr>
                      <w:color w:val="auto"/>
                      <w:szCs w:val="21"/>
                    </w:rPr>
                  </w:pPr>
                  <w:r>
                    <w:rPr>
                      <w:color w:val="auto"/>
                      <w:szCs w:val="21"/>
                    </w:rPr>
                    <w:t>71.9</w:t>
                  </w:r>
                </w:p>
              </w:tc>
              <w:tc>
                <w:tcPr>
                  <w:tcW w:w="588" w:type="pct"/>
                  <w:tcBorders>
                    <w:tl2br w:val="nil"/>
                    <w:tr2bl w:val="nil"/>
                  </w:tcBorders>
                  <w:vAlign w:val="center"/>
                </w:tcPr>
                <w:p>
                  <w:pPr>
                    <w:snapToGrid w:val="0"/>
                    <w:jc w:val="center"/>
                    <w:rPr>
                      <w:color w:val="auto"/>
                      <w:szCs w:val="21"/>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3" w:type="pct"/>
                  <w:tcBorders>
                    <w:tl2br w:val="nil"/>
                    <w:tr2bl w:val="nil"/>
                  </w:tcBorders>
                  <w:vAlign w:val="center"/>
                </w:tcPr>
                <w:p>
                  <w:pPr>
                    <w:snapToGrid w:val="0"/>
                    <w:jc w:val="center"/>
                    <w:rPr>
                      <w:color w:val="auto"/>
                      <w:szCs w:val="21"/>
                    </w:rPr>
                  </w:pPr>
                  <w:r>
                    <w:rPr>
                      <w:color w:val="auto"/>
                      <w:szCs w:val="21"/>
                    </w:rPr>
                    <w:t>镁</w:t>
                  </w:r>
                </w:p>
              </w:tc>
              <w:tc>
                <w:tcPr>
                  <w:tcW w:w="745" w:type="pct"/>
                  <w:tcBorders>
                    <w:tl2br w:val="nil"/>
                    <w:tr2bl w:val="nil"/>
                  </w:tcBorders>
                  <w:vAlign w:val="center"/>
                </w:tcPr>
                <w:p>
                  <w:pPr>
                    <w:snapToGrid w:val="0"/>
                    <w:jc w:val="center"/>
                    <w:rPr>
                      <w:color w:val="auto"/>
                      <w:szCs w:val="21"/>
                    </w:rPr>
                  </w:pPr>
                  <w:r>
                    <w:rPr>
                      <w:color w:val="auto"/>
                      <w:szCs w:val="21"/>
                    </w:rPr>
                    <w:t>10.1</w:t>
                  </w:r>
                </w:p>
              </w:tc>
              <w:tc>
                <w:tcPr>
                  <w:tcW w:w="651" w:type="pct"/>
                  <w:tcBorders>
                    <w:tl2br w:val="nil"/>
                    <w:tr2bl w:val="nil"/>
                  </w:tcBorders>
                  <w:vAlign w:val="center"/>
                </w:tcPr>
                <w:p>
                  <w:pPr>
                    <w:snapToGrid w:val="0"/>
                    <w:jc w:val="center"/>
                    <w:rPr>
                      <w:color w:val="auto"/>
                      <w:szCs w:val="21"/>
                    </w:rPr>
                  </w:pPr>
                  <w:r>
                    <w:rPr>
                      <w:color w:val="auto"/>
                      <w:szCs w:val="21"/>
                    </w:rPr>
                    <w:t>/</w:t>
                  </w:r>
                </w:p>
              </w:tc>
              <w:tc>
                <w:tcPr>
                  <w:tcW w:w="723" w:type="pct"/>
                  <w:tcBorders>
                    <w:tl2br w:val="nil"/>
                    <w:tr2bl w:val="nil"/>
                  </w:tcBorders>
                  <w:vAlign w:val="center"/>
                </w:tcPr>
                <w:p>
                  <w:pPr>
                    <w:snapToGrid w:val="0"/>
                    <w:jc w:val="center"/>
                    <w:rPr>
                      <w:color w:val="auto"/>
                      <w:szCs w:val="21"/>
                    </w:rPr>
                  </w:pPr>
                  <w:r>
                    <w:rPr>
                      <w:color w:val="auto"/>
                      <w:szCs w:val="21"/>
                    </w:rPr>
                    <w:t>10.2</w:t>
                  </w:r>
                </w:p>
              </w:tc>
              <w:tc>
                <w:tcPr>
                  <w:tcW w:w="617" w:type="pct"/>
                  <w:tcBorders>
                    <w:tl2br w:val="nil"/>
                    <w:tr2bl w:val="nil"/>
                  </w:tcBorders>
                  <w:vAlign w:val="center"/>
                </w:tcPr>
                <w:p>
                  <w:pPr>
                    <w:snapToGrid w:val="0"/>
                    <w:jc w:val="center"/>
                    <w:rPr>
                      <w:color w:val="auto"/>
                      <w:szCs w:val="21"/>
                    </w:rPr>
                  </w:pPr>
                  <w:r>
                    <w:rPr>
                      <w:color w:val="auto"/>
                      <w:szCs w:val="21"/>
                    </w:rPr>
                    <w:t>/</w:t>
                  </w:r>
                </w:p>
              </w:tc>
              <w:tc>
                <w:tcPr>
                  <w:tcW w:w="661" w:type="pct"/>
                  <w:tcBorders>
                    <w:tl2br w:val="nil"/>
                    <w:tr2bl w:val="nil"/>
                  </w:tcBorders>
                  <w:vAlign w:val="center"/>
                </w:tcPr>
                <w:p>
                  <w:pPr>
                    <w:snapToGrid w:val="0"/>
                    <w:jc w:val="center"/>
                    <w:rPr>
                      <w:color w:val="auto"/>
                      <w:szCs w:val="21"/>
                    </w:rPr>
                  </w:pPr>
                  <w:r>
                    <w:rPr>
                      <w:color w:val="auto"/>
                      <w:szCs w:val="21"/>
                    </w:rPr>
                    <w:t>10.2</w:t>
                  </w:r>
                </w:p>
              </w:tc>
              <w:tc>
                <w:tcPr>
                  <w:tcW w:w="588" w:type="pct"/>
                  <w:tcBorders>
                    <w:tl2br w:val="nil"/>
                    <w:tr2bl w:val="nil"/>
                  </w:tcBorders>
                  <w:vAlign w:val="center"/>
                </w:tcPr>
                <w:p>
                  <w:pPr>
                    <w:snapToGrid w:val="0"/>
                    <w:jc w:val="center"/>
                    <w:rPr>
                      <w:color w:val="auto"/>
                      <w:szCs w:val="21"/>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3" w:type="pct"/>
                  <w:tcBorders>
                    <w:tl2br w:val="nil"/>
                    <w:tr2bl w:val="nil"/>
                  </w:tcBorders>
                  <w:vAlign w:val="center"/>
                </w:tcPr>
                <w:p>
                  <w:pPr>
                    <w:snapToGrid w:val="0"/>
                    <w:jc w:val="center"/>
                    <w:rPr>
                      <w:color w:val="auto"/>
                      <w:szCs w:val="21"/>
                    </w:rPr>
                  </w:pPr>
                  <w:r>
                    <w:rPr>
                      <w:color w:val="auto"/>
                      <w:szCs w:val="21"/>
                    </w:rPr>
                    <w:t>碳酸盐（以CaCO</w:t>
                  </w:r>
                  <w:r>
                    <w:rPr>
                      <w:color w:val="auto"/>
                      <w:szCs w:val="21"/>
                      <w:vertAlign w:val="subscript"/>
                    </w:rPr>
                    <w:t>3</w:t>
                  </w:r>
                  <w:r>
                    <w:rPr>
                      <w:color w:val="auto"/>
                      <w:szCs w:val="21"/>
                    </w:rPr>
                    <w:t>计）</w:t>
                  </w:r>
                </w:p>
              </w:tc>
              <w:tc>
                <w:tcPr>
                  <w:tcW w:w="745" w:type="pct"/>
                  <w:tcBorders>
                    <w:tl2br w:val="nil"/>
                    <w:tr2bl w:val="nil"/>
                  </w:tcBorders>
                  <w:vAlign w:val="center"/>
                </w:tcPr>
                <w:p>
                  <w:pPr>
                    <w:snapToGrid w:val="0"/>
                    <w:jc w:val="center"/>
                    <w:rPr>
                      <w:color w:val="auto"/>
                      <w:szCs w:val="21"/>
                    </w:rPr>
                  </w:pPr>
                  <w:r>
                    <w:rPr>
                      <w:color w:val="auto"/>
                      <w:szCs w:val="21"/>
                    </w:rPr>
                    <w:t>0</w:t>
                  </w:r>
                </w:p>
              </w:tc>
              <w:tc>
                <w:tcPr>
                  <w:tcW w:w="651" w:type="pct"/>
                  <w:tcBorders>
                    <w:tl2br w:val="nil"/>
                    <w:tr2bl w:val="nil"/>
                  </w:tcBorders>
                  <w:vAlign w:val="center"/>
                </w:tcPr>
                <w:p>
                  <w:pPr>
                    <w:snapToGrid w:val="0"/>
                    <w:jc w:val="center"/>
                    <w:rPr>
                      <w:color w:val="auto"/>
                      <w:szCs w:val="21"/>
                    </w:rPr>
                  </w:pPr>
                  <w:r>
                    <w:rPr>
                      <w:color w:val="auto"/>
                      <w:szCs w:val="21"/>
                    </w:rPr>
                    <w:t>/</w:t>
                  </w:r>
                </w:p>
              </w:tc>
              <w:tc>
                <w:tcPr>
                  <w:tcW w:w="723" w:type="pct"/>
                  <w:tcBorders>
                    <w:tl2br w:val="nil"/>
                    <w:tr2bl w:val="nil"/>
                  </w:tcBorders>
                  <w:vAlign w:val="center"/>
                </w:tcPr>
                <w:p>
                  <w:pPr>
                    <w:snapToGrid w:val="0"/>
                    <w:jc w:val="center"/>
                    <w:rPr>
                      <w:color w:val="auto"/>
                      <w:szCs w:val="21"/>
                    </w:rPr>
                  </w:pPr>
                  <w:r>
                    <w:rPr>
                      <w:color w:val="auto"/>
                      <w:szCs w:val="21"/>
                    </w:rPr>
                    <w:t>0</w:t>
                  </w:r>
                </w:p>
              </w:tc>
              <w:tc>
                <w:tcPr>
                  <w:tcW w:w="617" w:type="pct"/>
                  <w:tcBorders>
                    <w:tl2br w:val="nil"/>
                    <w:tr2bl w:val="nil"/>
                  </w:tcBorders>
                  <w:vAlign w:val="center"/>
                </w:tcPr>
                <w:p>
                  <w:pPr>
                    <w:snapToGrid w:val="0"/>
                    <w:jc w:val="center"/>
                    <w:rPr>
                      <w:color w:val="auto"/>
                      <w:szCs w:val="21"/>
                    </w:rPr>
                  </w:pPr>
                  <w:r>
                    <w:rPr>
                      <w:color w:val="auto"/>
                      <w:szCs w:val="21"/>
                    </w:rPr>
                    <w:t>/</w:t>
                  </w:r>
                </w:p>
              </w:tc>
              <w:tc>
                <w:tcPr>
                  <w:tcW w:w="661" w:type="pct"/>
                  <w:tcBorders>
                    <w:tl2br w:val="nil"/>
                    <w:tr2bl w:val="nil"/>
                  </w:tcBorders>
                  <w:vAlign w:val="center"/>
                </w:tcPr>
                <w:p>
                  <w:pPr>
                    <w:snapToGrid w:val="0"/>
                    <w:jc w:val="center"/>
                    <w:rPr>
                      <w:color w:val="auto"/>
                      <w:szCs w:val="21"/>
                    </w:rPr>
                  </w:pPr>
                  <w:r>
                    <w:rPr>
                      <w:color w:val="auto"/>
                      <w:szCs w:val="21"/>
                    </w:rPr>
                    <w:t>0</w:t>
                  </w:r>
                </w:p>
              </w:tc>
              <w:tc>
                <w:tcPr>
                  <w:tcW w:w="588" w:type="pct"/>
                  <w:tcBorders>
                    <w:tl2br w:val="nil"/>
                    <w:tr2bl w:val="nil"/>
                  </w:tcBorders>
                  <w:vAlign w:val="center"/>
                </w:tcPr>
                <w:p>
                  <w:pPr>
                    <w:snapToGrid w:val="0"/>
                    <w:jc w:val="center"/>
                    <w:rPr>
                      <w:color w:val="auto"/>
                      <w:szCs w:val="21"/>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3" w:type="pct"/>
                  <w:tcBorders>
                    <w:tl2br w:val="nil"/>
                    <w:tr2bl w:val="nil"/>
                  </w:tcBorders>
                  <w:vAlign w:val="center"/>
                </w:tcPr>
                <w:p>
                  <w:pPr>
                    <w:snapToGrid w:val="0"/>
                    <w:jc w:val="center"/>
                    <w:rPr>
                      <w:color w:val="auto"/>
                      <w:szCs w:val="21"/>
                    </w:rPr>
                  </w:pPr>
                  <w:r>
                    <w:rPr>
                      <w:color w:val="auto"/>
                      <w:szCs w:val="21"/>
                    </w:rPr>
                    <w:t>重碳酸盐（以CaCO</w:t>
                  </w:r>
                  <w:r>
                    <w:rPr>
                      <w:color w:val="auto"/>
                      <w:szCs w:val="21"/>
                      <w:vertAlign w:val="subscript"/>
                    </w:rPr>
                    <w:t>3</w:t>
                  </w:r>
                  <w:r>
                    <w:rPr>
                      <w:color w:val="auto"/>
                      <w:szCs w:val="21"/>
                    </w:rPr>
                    <w:t>计）</w:t>
                  </w:r>
                </w:p>
              </w:tc>
              <w:tc>
                <w:tcPr>
                  <w:tcW w:w="745" w:type="pct"/>
                  <w:tcBorders>
                    <w:tl2br w:val="nil"/>
                    <w:tr2bl w:val="nil"/>
                  </w:tcBorders>
                  <w:vAlign w:val="center"/>
                </w:tcPr>
                <w:p>
                  <w:pPr>
                    <w:snapToGrid w:val="0"/>
                    <w:jc w:val="center"/>
                    <w:rPr>
                      <w:color w:val="auto"/>
                      <w:szCs w:val="21"/>
                    </w:rPr>
                  </w:pPr>
                  <w:r>
                    <w:rPr>
                      <w:color w:val="auto"/>
                      <w:szCs w:val="21"/>
                    </w:rPr>
                    <w:t>123</w:t>
                  </w:r>
                </w:p>
              </w:tc>
              <w:tc>
                <w:tcPr>
                  <w:tcW w:w="651" w:type="pct"/>
                  <w:tcBorders>
                    <w:tl2br w:val="nil"/>
                    <w:tr2bl w:val="nil"/>
                  </w:tcBorders>
                  <w:vAlign w:val="center"/>
                </w:tcPr>
                <w:p>
                  <w:pPr>
                    <w:snapToGrid w:val="0"/>
                    <w:jc w:val="center"/>
                    <w:rPr>
                      <w:color w:val="auto"/>
                      <w:szCs w:val="21"/>
                    </w:rPr>
                  </w:pPr>
                  <w:r>
                    <w:rPr>
                      <w:color w:val="auto"/>
                      <w:szCs w:val="21"/>
                    </w:rPr>
                    <w:t>/</w:t>
                  </w:r>
                </w:p>
              </w:tc>
              <w:tc>
                <w:tcPr>
                  <w:tcW w:w="723" w:type="pct"/>
                  <w:tcBorders>
                    <w:tl2br w:val="nil"/>
                    <w:tr2bl w:val="nil"/>
                  </w:tcBorders>
                  <w:vAlign w:val="center"/>
                </w:tcPr>
                <w:p>
                  <w:pPr>
                    <w:snapToGrid w:val="0"/>
                    <w:jc w:val="center"/>
                    <w:rPr>
                      <w:color w:val="auto"/>
                      <w:szCs w:val="21"/>
                    </w:rPr>
                  </w:pPr>
                  <w:r>
                    <w:rPr>
                      <w:color w:val="auto"/>
                      <w:szCs w:val="21"/>
                    </w:rPr>
                    <w:t>124</w:t>
                  </w:r>
                </w:p>
              </w:tc>
              <w:tc>
                <w:tcPr>
                  <w:tcW w:w="617" w:type="pct"/>
                  <w:tcBorders>
                    <w:tl2br w:val="nil"/>
                    <w:tr2bl w:val="nil"/>
                  </w:tcBorders>
                  <w:vAlign w:val="center"/>
                </w:tcPr>
                <w:p>
                  <w:pPr>
                    <w:snapToGrid w:val="0"/>
                    <w:jc w:val="center"/>
                    <w:rPr>
                      <w:color w:val="auto"/>
                      <w:szCs w:val="21"/>
                    </w:rPr>
                  </w:pPr>
                  <w:r>
                    <w:rPr>
                      <w:color w:val="auto"/>
                      <w:szCs w:val="21"/>
                    </w:rPr>
                    <w:t>/</w:t>
                  </w:r>
                </w:p>
              </w:tc>
              <w:tc>
                <w:tcPr>
                  <w:tcW w:w="661" w:type="pct"/>
                  <w:tcBorders>
                    <w:tl2br w:val="nil"/>
                    <w:tr2bl w:val="nil"/>
                  </w:tcBorders>
                  <w:vAlign w:val="center"/>
                </w:tcPr>
                <w:p>
                  <w:pPr>
                    <w:snapToGrid w:val="0"/>
                    <w:jc w:val="center"/>
                    <w:rPr>
                      <w:color w:val="auto"/>
                      <w:szCs w:val="21"/>
                    </w:rPr>
                  </w:pPr>
                  <w:r>
                    <w:rPr>
                      <w:color w:val="auto"/>
                      <w:szCs w:val="21"/>
                    </w:rPr>
                    <w:t>121</w:t>
                  </w:r>
                </w:p>
              </w:tc>
              <w:tc>
                <w:tcPr>
                  <w:tcW w:w="588" w:type="pct"/>
                  <w:tcBorders>
                    <w:tl2br w:val="nil"/>
                    <w:tr2bl w:val="nil"/>
                  </w:tcBorders>
                  <w:vAlign w:val="center"/>
                </w:tcPr>
                <w:p>
                  <w:pPr>
                    <w:snapToGrid w:val="0"/>
                    <w:jc w:val="center"/>
                    <w:rPr>
                      <w:color w:val="auto"/>
                      <w:szCs w:val="21"/>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3" w:type="pct"/>
                  <w:tcBorders>
                    <w:tl2br w:val="nil"/>
                    <w:tr2bl w:val="nil"/>
                  </w:tcBorders>
                  <w:vAlign w:val="center"/>
                </w:tcPr>
                <w:p>
                  <w:pPr>
                    <w:snapToGrid w:val="0"/>
                    <w:jc w:val="center"/>
                    <w:rPr>
                      <w:color w:val="auto"/>
                      <w:szCs w:val="21"/>
                    </w:rPr>
                  </w:pPr>
                  <w:r>
                    <w:rPr>
                      <w:color w:val="auto"/>
                      <w:szCs w:val="21"/>
                    </w:rPr>
                    <w:t>总大肠菌群</w:t>
                  </w:r>
                  <w:r>
                    <w:rPr>
                      <w:rFonts w:hint="eastAsia"/>
                      <w:color w:val="auto"/>
                      <w:sz w:val="20"/>
                      <w:szCs w:val="20"/>
                    </w:rPr>
                    <w:t>（MPN/100mL）</w:t>
                  </w:r>
                </w:p>
              </w:tc>
              <w:tc>
                <w:tcPr>
                  <w:tcW w:w="745" w:type="pct"/>
                  <w:tcBorders>
                    <w:tl2br w:val="nil"/>
                    <w:tr2bl w:val="nil"/>
                  </w:tcBorders>
                  <w:vAlign w:val="center"/>
                </w:tcPr>
                <w:p>
                  <w:pPr>
                    <w:snapToGrid w:val="0"/>
                    <w:jc w:val="center"/>
                    <w:rPr>
                      <w:color w:val="auto"/>
                      <w:szCs w:val="21"/>
                    </w:rPr>
                  </w:pPr>
                  <w:r>
                    <w:rPr>
                      <w:color w:val="auto"/>
                      <w:szCs w:val="21"/>
                    </w:rPr>
                    <w:t>＜</w:t>
                  </w:r>
                  <w:r>
                    <w:rPr>
                      <w:rFonts w:hint="eastAsia"/>
                      <w:color w:val="auto"/>
                      <w:szCs w:val="21"/>
                    </w:rPr>
                    <w:t>1</w:t>
                  </w:r>
                </w:p>
              </w:tc>
              <w:tc>
                <w:tcPr>
                  <w:tcW w:w="651" w:type="pct"/>
                  <w:tcBorders>
                    <w:tl2br w:val="nil"/>
                    <w:tr2bl w:val="nil"/>
                  </w:tcBorders>
                  <w:vAlign w:val="center"/>
                </w:tcPr>
                <w:p>
                  <w:pPr>
                    <w:snapToGrid w:val="0"/>
                    <w:jc w:val="center"/>
                    <w:rPr>
                      <w:color w:val="auto"/>
                      <w:szCs w:val="21"/>
                    </w:rPr>
                  </w:pPr>
                  <w:r>
                    <w:rPr>
                      <w:color w:val="auto"/>
                      <w:szCs w:val="21"/>
                    </w:rPr>
                    <w:t>＜0.</w:t>
                  </w:r>
                  <w:r>
                    <w:rPr>
                      <w:rFonts w:hint="eastAsia"/>
                      <w:color w:val="auto"/>
                      <w:szCs w:val="21"/>
                    </w:rPr>
                    <w:t>333</w:t>
                  </w:r>
                </w:p>
              </w:tc>
              <w:tc>
                <w:tcPr>
                  <w:tcW w:w="1154" w:type="dxa"/>
                  <w:tcBorders>
                    <w:tl2br w:val="nil"/>
                    <w:tr2bl w:val="nil"/>
                  </w:tcBorders>
                  <w:vAlign w:val="center"/>
                </w:tcPr>
                <w:p>
                  <w:pPr>
                    <w:snapToGrid w:val="0"/>
                    <w:jc w:val="center"/>
                    <w:rPr>
                      <w:color w:val="auto"/>
                      <w:szCs w:val="21"/>
                    </w:rPr>
                  </w:pPr>
                  <w:r>
                    <w:rPr>
                      <w:color w:val="auto"/>
                      <w:szCs w:val="21"/>
                    </w:rPr>
                    <w:t>＜</w:t>
                  </w:r>
                  <w:r>
                    <w:rPr>
                      <w:rFonts w:hint="eastAsia"/>
                      <w:color w:val="auto"/>
                      <w:szCs w:val="21"/>
                    </w:rPr>
                    <w:t>1</w:t>
                  </w:r>
                </w:p>
              </w:tc>
              <w:tc>
                <w:tcPr>
                  <w:tcW w:w="984" w:type="dxa"/>
                  <w:tcBorders>
                    <w:tl2br w:val="nil"/>
                    <w:tr2bl w:val="nil"/>
                  </w:tcBorders>
                  <w:vAlign w:val="center"/>
                </w:tcPr>
                <w:p>
                  <w:pPr>
                    <w:snapToGrid w:val="0"/>
                    <w:jc w:val="center"/>
                    <w:rPr>
                      <w:color w:val="auto"/>
                      <w:szCs w:val="21"/>
                    </w:rPr>
                  </w:pPr>
                  <w:r>
                    <w:rPr>
                      <w:color w:val="auto"/>
                      <w:szCs w:val="21"/>
                    </w:rPr>
                    <w:t>＜0.</w:t>
                  </w:r>
                  <w:r>
                    <w:rPr>
                      <w:rFonts w:hint="eastAsia"/>
                      <w:color w:val="auto"/>
                      <w:szCs w:val="21"/>
                    </w:rPr>
                    <w:t>333</w:t>
                  </w:r>
                </w:p>
              </w:tc>
              <w:tc>
                <w:tcPr>
                  <w:tcW w:w="1054" w:type="dxa"/>
                  <w:tcBorders>
                    <w:tl2br w:val="nil"/>
                    <w:tr2bl w:val="nil"/>
                  </w:tcBorders>
                  <w:vAlign w:val="center"/>
                </w:tcPr>
                <w:p>
                  <w:pPr>
                    <w:snapToGrid w:val="0"/>
                    <w:jc w:val="center"/>
                    <w:rPr>
                      <w:color w:val="auto"/>
                      <w:szCs w:val="21"/>
                    </w:rPr>
                  </w:pPr>
                  <w:r>
                    <w:rPr>
                      <w:color w:val="auto"/>
                      <w:szCs w:val="21"/>
                    </w:rPr>
                    <w:t>＜</w:t>
                  </w:r>
                  <w:r>
                    <w:rPr>
                      <w:rFonts w:hint="eastAsia"/>
                      <w:color w:val="auto"/>
                      <w:szCs w:val="21"/>
                    </w:rPr>
                    <w:t>1</w:t>
                  </w:r>
                </w:p>
              </w:tc>
              <w:tc>
                <w:tcPr>
                  <w:tcW w:w="938" w:type="dxa"/>
                  <w:tcBorders>
                    <w:tl2br w:val="nil"/>
                    <w:tr2bl w:val="nil"/>
                  </w:tcBorders>
                  <w:vAlign w:val="center"/>
                </w:tcPr>
                <w:p>
                  <w:pPr>
                    <w:snapToGrid w:val="0"/>
                    <w:jc w:val="center"/>
                    <w:rPr>
                      <w:color w:val="auto"/>
                      <w:szCs w:val="21"/>
                    </w:rPr>
                  </w:pPr>
                  <w:r>
                    <w:rPr>
                      <w:color w:val="auto"/>
                      <w:szCs w:val="21"/>
                    </w:rPr>
                    <w:t>＜0.</w:t>
                  </w:r>
                  <w:r>
                    <w:rPr>
                      <w:rFonts w:hint="eastAsia"/>
                      <w:color w:val="auto"/>
                      <w:szCs w:val="21"/>
                    </w:rPr>
                    <w:t>333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13" w:type="pct"/>
                  <w:tcBorders>
                    <w:tl2br w:val="nil"/>
                    <w:tr2bl w:val="nil"/>
                  </w:tcBorders>
                  <w:vAlign w:val="center"/>
                </w:tcPr>
                <w:p>
                  <w:pPr>
                    <w:snapToGrid w:val="0"/>
                    <w:jc w:val="center"/>
                    <w:rPr>
                      <w:color w:val="auto"/>
                      <w:szCs w:val="21"/>
                    </w:rPr>
                  </w:pPr>
                  <w:r>
                    <w:rPr>
                      <w:color w:val="auto"/>
                      <w:szCs w:val="21"/>
                    </w:rPr>
                    <w:t>细菌总数</w:t>
                  </w:r>
                  <w:r>
                    <w:rPr>
                      <w:rFonts w:hint="eastAsia"/>
                      <w:color w:val="auto"/>
                      <w:szCs w:val="21"/>
                    </w:rPr>
                    <w:t>（CFN/mL）</w:t>
                  </w:r>
                </w:p>
              </w:tc>
              <w:tc>
                <w:tcPr>
                  <w:tcW w:w="745" w:type="pct"/>
                  <w:tcBorders>
                    <w:tl2br w:val="nil"/>
                    <w:tr2bl w:val="nil"/>
                  </w:tcBorders>
                  <w:vAlign w:val="center"/>
                </w:tcPr>
                <w:p>
                  <w:pPr>
                    <w:snapToGrid w:val="0"/>
                    <w:jc w:val="center"/>
                    <w:rPr>
                      <w:color w:val="auto"/>
                      <w:szCs w:val="21"/>
                    </w:rPr>
                  </w:pPr>
                  <w:r>
                    <w:rPr>
                      <w:color w:val="auto"/>
                      <w:szCs w:val="21"/>
                    </w:rPr>
                    <w:t>56</w:t>
                  </w:r>
                </w:p>
              </w:tc>
              <w:tc>
                <w:tcPr>
                  <w:tcW w:w="651" w:type="pct"/>
                  <w:tcBorders>
                    <w:tl2br w:val="nil"/>
                    <w:tr2bl w:val="nil"/>
                  </w:tcBorders>
                  <w:vAlign w:val="center"/>
                </w:tcPr>
                <w:p>
                  <w:pPr>
                    <w:snapToGrid w:val="0"/>
                    <w:jc w:val="center"/>
                    <w:rPr>
                      <w:color w:val="auto"/>
                      <w:szCs w:val="21"/>
                    </w:rPr>
                  </w:pPr>
                  <w:r>
                    <w:rPr>
                      <w:color w:val="auto"/>
                      <w:szCs w:val="21"/>
                    </w:rPr>
                    <w:t>0.56</w:t>
                  </w:r>
                </w:p>
              </w:tc>
              <w:tc>
                <w:tcPr>
                  <w:tcW w:w="723" w:type="pct"/>
                  <w:tcBorders>
                    <w:tl2br w:val="nil"/>
                    <w:tr2bl w:val="nil"/>
                  </w:tcBorders>
                  <w:vAlign w:val="center"/>
                </w:tcPr>
                <w:p>
                  <w:pPr>
                    <w:snapToGrid w:val="0"/>
                    <w:jc w:val="center"/>
                    <w:rPr>
                      <w:color w:val="auto"/>
                      <w:szCs w:val="21"/>
                    </w:rPr>
                  </w:pPr>
                  <w:r>
                    <w:rPr>
                      <w:color w:val="auto"/>
                      <w:szCs w:val="21"/>
                    </w:rPr>
                    <w:t>62</w:t>
                  </w:r>
                </w:p>
              </w:tc>
              <w:tc>
                <w:tcPr>
                  <w:tcW w:w="617" w:type="pct"/>
                  <w:tcBorders>
                    <w:tl2br w:val="nil"/>
                    <w:tr2bl w:val="nil"/>
                  </w:tcBorders>
                  <w:vAlign w:val="center"/>
                </w:tcPr>
                <w:p>
                  <w:pPr>
                    <w:snapToGrid w:val="0"/>
                    <w:jc w:val="center"/>
                    <w:rPr>
                      <w:color w:val="auto"/>
                      <w:szCs w:val="21"/>
                    </w:rPr>
                  </w:pPr>
                  <w:r>
                    <w:rPr>
                      <w:color w:val="auto"/>
                      <w:szCs w:val="21"/>
                    </w:rPr>
                    <w:t>0.62</w:t>
                  </w:r>
                </w:p>
              </w:tc>
              <w:tc>
                <w:tcPr>
                  <w:tcW w:w="661" w:type="pct"/>
                  <w:tcBorders>
                    <w:tl2br w:val="nil"/>
                    <w:tr2bl w:val="nil"/>
                  </w:tcBorders>
                  <w:vAlign w:val="center"/>
                </w:tcPr>
                <w:p>
                  <w:pPr>
                    <w:snapToGrid w:val="0"/>
                    <w:jc w:val="center"/>
                    <w:rPr>
                      <w:color w:val="auto"/>
                      <w:szCs w:val="21"/>
                    </w:rPr>
                  </w:pPr>
                  <w:r>
                    <w:rPr>
                      <w:color w:val="auto"/>
                      <w:szCs w:val="21"/>
                    </w:rPr>
                    <w:t>66</w:t>
                  </w:r>
                </w:p>
              </w:tc>
              <w:tc>
                <w:tcPr>
                  <w:tcW w:w="588" w:type="pct"/>
                  <w:tcBorders>
                    <w:tl2br w:val="nil"/>
                    <w:tr2bl w:val="nil"/>
                  </w:tcBorders>
                  <w:vAlign w:val="center"/>
                </w:tcPr>
                <w:p>
                  <w:pPr>
                    <w:snapToGrid w:val="0"/>
                    <w:jc w:val="center"/>
                    <w:rPr>
                      <w:color w:val="auto"/>
                      <w:szCs w:val="21"/>
                    </w:rPr>
                  </w:pPr>
                  <w:r>
                    <w:rPr>
                      <w:color w:val="auto"/>
                      <w:szCs w:val="21"/>
                    </w:rPr>
                    <w:t>0.66</w:t>
                  </w:r>
                </w:p>
              </w:tc>
            </w:tr>
          </w:tbl>
          <w:p>
            <w:pPr>
              <w:autoSpaceDE w:val="0"/>
              <w:autoSpaceDN w:val="0"/>
              <w:adjustRightInd w:val="0"/>
              <w:spacing w:line="520" w:lineRule="exact"/>
              <w:ind w:firstLine="480" w:firstLineChars="200"/>
              <w:rPr>
                <w:b/>
                <w:bCs/>
                <w:color w:val="auto"/>
                <w:sz w:val="24"/>
              </w:rPr>
            </w:pPr>
            <w:r>
              <w:rPr>
                <w:rFonts w:hint="eastAsia"/>
                <w:color w:val="auto"/>
                <w:sz w:val="24"/>
                <w:lang w:val="zh-CN"/>
              </w:rPr>
              <w:t>根据</w:t>
            </w:r>
            <w:r>
              <w:rPr>
                <w:color w:val="auto"/>
                <w:sz w:val="24"/>
                <w:lang w:val="zh-CN"/>
              </w:rPr>
              <w:t>评价可知，</w:t>
            </w:r>
            <w:r>
              <w:rPr>
                <w:rFonts w:hint="eastAsia"/>
                <w:color w:val="auto"/>
                <w:sz w:val="24"/>
                <w:lang w:val="zh-CN"/>
              </w:rPr>
              <w:t>所有</w:t>
            </w:r>
            <w:r>
              <w:rPr>
                <w:color w:val="auto"/>
                <w:sz w:val="24"/>
                <w:lang w:val="zh-CN"/>
              </w:rPr>
              <w:t>监测指标</w:t>
            </w:r>
            <w:r>
              <w:rPr>
                <w:rFonts w:hint="eastAsia"/>
                <w:color w:val="auto"/>
                <w:sz w:val="24"/>
                <w:lang w:val="zh-CN"/>
              </w:rPr>
              <w:t>均</w:t>
            </w:r>
            <w:r>
              <w:rPr>
                <w:color w:val="auto"/>
                <w:sz w:val="24"/>
                <w:lang w:val="zh-CN"/>
              </w:rPr>
              <w:t>满足《地下水质量标准》（GB/T14848-</w:t>
            </w:r>
            <w:r>
              <w:rPr>
                <w:rFonts w:hint="eastAsia"/>
                <w:color w:val="auto"/>
                <w:sz w:val="24"/>
                <w:lang w:val="zh-CN"/>
              </w:rPr>
              <w:t>2017</w:t>
            </w:r>
            <w:r>
              <w:rPr>
                <w:color w:val="auto"/>
                <w:sz w:val="24"/>
                <w:lang w:val="zh-CN"/>
              </w:rPr>
              <w:t>）中</w:t>
            </w:r>
            <w:r>
              <w:rPr>
                <w:rFonts w:hint="eastAsia"/>
                <w:color w:val="auto"/>
                <w:sz w:val="24"/>
              </w:rPr>
              <w:t>III</w:t>
            </w:r>
            <w:r>
              <w:rPr>
                <w:color w:val="auto"/>
                <w:sz w:val="24"/>
                <w:lang w:val="zh-CN"/>
              </w:rPr>
              <w:t>类水标准的要</w:t>
            </w:r>
            <w:r>
              <w:rPr>
                <w:rFonts w:hint="eastAsia"/>
                <w:color w:val="auto"/>
                <w:sz w:val="24"/>
                <w:lang w:val="zh-CN"/>
              </w:rPr>
              <w:t>求</w:t>
            </w:r>
            <w:r>
              <w:rPr>
                <w:color w:val="auto"/>
                <w:sz w:val="24"/>
                <w:lang w:val="zh-CN"/>
              </w:rPr>
              <w:t>。</w:t>
            </w:r>
          </w:p>
          <w:p>
            <w:pPr>
              <w:autoSpaceDE w:val="0"/>
              <w:autoSpaceDN w:val="0"/>
              <w:adjustRightInd w:val="0"/>
              <w:spacing w:line="520" w:lineRule="exact"/>
              <w:ind w:firstLine="482" w:firstLineChars="200"/>
              <w:rPr>
                <w:b/>
                <w:bCs/>
                <w:color w:val="auto"/>
                <w:sz w:val="24"/>
                <w:szCs w:val="32"/>
              </w:rPr>
            </w:pPr>
            <w:r>
              <w:rPr>
                <w:rFonts w:hint="eastAsia"/>
                <w:b/>
                <w:bCs/>
                <w:color w:val="auto"/>
                <w:sz w:val="24"/>
                <w:szCs w:val="32"/>
              </w:rPr>
              <w:t>4、土壤环境</w:t>
            </w:r>
          </w:p>
          <w:p>
            <w:pPr>
              <w:autoSpaceDE w:val="0"/>
              <w:autoSpaceDN w:val="0"/>
              <w:adjustRightInd w:val="0"/>
              <w:spacing w:line="520" w:lineRule="exact"/>
              <w:ind w:firstLine="480" w:firstLineChars="200"/>
              <w:rPr>
                <w:color w:val="auto"/>
              </w:rPr>
            </w:pPr>
            <w:r>
              <w:rPr>
                <w:rFonts w:hint="eastAsia"/>
                <w:color w:val="auto"/>
                <w:sz w:val="24"/>
                <w:szCs w:val="32"/>
              </w:rPr>
              <w:t>根据《环境影响评价技术导则  土壤环境（试行）》（HJ964-2018）附录A中注1：仅切割组装的、单纯混合和分装的、编织物及其制造品制造的。列入IV类。本项目仅涉及原料的混合，所以本项目可不开展土壤环境影响评价。</w:t>
            </w:r>
          </w:p>
          <w:p>
            <w:pPr>
              <w:autoSpaceDE w:val="0"/>
              <w:autoSpaceDN w:val="0"/>
              <w:adjustRightInd w:val="0"/>
              <w:spacing w:line="520" w:lineRule="exact"/>
              <w:ind w:firstLine="482" w:firstLineChars="200"/>
              <w:rPr>
                <w:b/>
                <w:bCs/>
                <w:color w:val="auto"/>
                <w:sz w:val="24"/>
              </w:rPr>
            </w:pPr>
            <w:r>
              <w:rPr>
                <w:rFonts w:hint="eastAsia"/>
                <w:b/>
                <w:bCs/>
                <w:color w:val="auto"/>
                <w:sz w:val="24"/>
              </w:rPr>
              <w:t>5、</w:t>
            </w:r>
            <w:r>
              <w:rPr>
                <w:b/>
                <w:bCs/>
                <w:color w:val="auto"/>
                <w:sz w:val="24"/>
              </w:rPr>
              <w:t>声环境</w:t>
            </w:r>
          </w:p>
          <w:p>
            <w:pPr>
              <w:widowControl/>
              <w:autoSpaceDE w:val="0"/>
              <w:autoSpaceDN w:val="0"/>
              <w:spacing w:line="520" w:lineRule="exact"/>
              <w:ind w:firstLine="480" w:firstLineChars="200"/>
              <w:rPr>
                <w:color w:val="auto"/>
                <w:sz w:val="24"/>
                <w:lang w:val="zh-CN"/>
              </w:rPr>
            </w:pPr>
            <w:r>
              <w:rPr>
                <w:rFonts w:hint="eastAsia"/>
                <w:color w:val="auto"/>
                <w:sz w:val="24"/>
              </w:rPr>
              <w:t>根据《环境影响评价技术导则  声环境》（HJ2.4-2021）7.1.3内容，“调查评价范围内有明显影响的现状声源的名称、类型、数量、位置、源强等。评价范围内现状声源源强调查应采用现场监测法或收集资料</w:t>
            </w:r>
            <w:r>
              <w:rPr>
                <w:rFonts w:hint="eastAsia"/>
                <w:color w:val="auto"/>
                <w:sz w:val="24"/>
                <w:lang w:eastAsia="zh-CN"/>
              </w:rPr>
              <w:t>法</w:t>
            </w:r>
            <w:r>
              <w:rPr>
                <w:rFonts w:hint="eastAsia"/>
                <w:color w:val="auto"/>
                <w:sz w:val="24"/>
              </w:rPr>
              <w:t>确定。分析现状声源的结构及其影响，对现状调查结果进行评价。”</w:t>
            </w:r>
            <w:r>
              <w:rPr>
                <w:rFonts w:hint="eastAsia"/>
                <w:color w:val="auto"/>
                <w:sz w:val="24"/>
                <w:lang w:val="en-US" w:eastAsia="zh-CN"/>
              </w:rPr>
              <w:t>环评期间委托新疆国科检测有限公司对项目区厂界噪声进行了检测</w:t>
            </w:r>
            <w:r>
              <w:rPr>
                <w:rFonts w:hint="eastAsia"/>
                <w:bCs/>
                <w:color w:val="auto"/>
                <w:sz w:val="24"/>
              </w:rPr>
              <w:t>，监测时间为202</w:t>
            </w:r>
            <w:r>
              <w:rPr>
                <w:rFonts w:hint="eastAsia"/>
                <w:bCs/>
                <w:color w:val="auto"/>
                <w:sz w:val="24"/>
                <w:lang w:val="en-US" w:eastAsia="zh-CN"/>
              </w:rPr>
              <w:t>4</w:t>
            </w:r>
            <w:r>
              <w:rPr>
                <w:rFonts w:hint="eastAsia"/>
                <w:bCs/>
                <w:color w:val="auto"/>
                <w:sz w:val="24"/>
              </w:rPr>
              <w:t>年</w:t>
            </w:r>
            <w:r>
              <w:rPr>
                <w:rFonts w:hint="eastAsia"/>
                <w:bCs/>
                <w:color w:val="auto"/>
                <w:sz w:val="24"/>
                <w:lang w:val="en-US" w:eastAsia="zh-CN"/>
              </w:rPr>
              <w:t>5</w:t>
            </w:r>
            <w:r>
              <w:rPr>
                <w:rFonts w:hint="eastAsia"/>
                <w:bCs/>
                <w:color w:val="auto"/>
                <w:sz w:val="24"/>
              </w:rPr>
              <w:t>月</w:t>
            </w:r>
            <w:r>
              <w:rPr>
                <w:rFonts w:hint="eastAsia"/>
                <w:bCs/>
                <w:color w:val="auto"/>
                <w:sz w:val="24"/>
                <w:lang w:val="en-US" w:eastAsia="zh-CN"/>
              </w:rPr>
              <w:t>22</w:t>
            </w:r>
            <w:r>
              <w:rPr>
                <w:rFonts w:hint="eastAsia"/>
                <w:bCs/>
                <w:color w:val="auto"/>
                <w:sz w:val="24"/>
              </w:rPr>
              <w:t>日。</w:t>
            </w:r>
          </w:p>
          <w:p>
            <w:pPr>
              <w:adjustRightInd w:val="0"/>
              <w:snapToGrid w:val="0"/>
              <w:spacing w:line="520" w:lineRule="exact"/>
              <w:ind w:firstLine="480"/>
              <w:rPr>
                <w:color w:val="auto"/>
                <w:sz w:val="24"/>
              </w:rPr>
            </w:pPr>
            <w:r>
              <w:rPr>
                <w:rFonts w:hint="eastAsia"/>
                <w:color w:val="auto"/>
                <w:sz w:val="24"/>
              </w:rPr>
              <w:t>项目区</w:t>
            </w:r>
            <w:r>
              <w:rPr>
                <w:color w:val="auto"/>
                <w:sz w:val="24"/>
              </w:rPr>
              <w:t>厂界噪声监测结果见表</w:t>
            </w:r>
            <w:r>
              <w:rPr>
                <w:rFonts w:hint="eastAsia"/>
                <w:color w:val="auto"/>
                <w:sz w:val="24"/>
              </w:rPr>
              <w:t>3-4</w:t>
            </w:r>
            <w:r>
              <w:rPr>
                <w:color w:val="auto"/>
                <w:sz w:val="24"/>
              </w:rPr>
              <w:t>。</w:t>
            </w:r>
          </w:p>
          <w:p>
            <w:pPr>
              <w:pStyle w:val="36"/>
              <w:rPr>
                <w:rFonts w:eastAsia="黑体"/>
                <w:color w:val="auto"/>
              </w:rPr>
            </w:pPr>
            <w:r>
              <w:rPr>
                <w:rFonts w:hint="eastAsia"/>
                <w:color w:val="auto"/>
              </w:rPr>
              <w:t>表3-4  噪声监测结果  单位：</w:t>
            </w:r>
            <w:r>
              <w:rPr>
                <w:color w:val="auto"/>
              </w:rPr>
              <w:t>dB（A）</w:t>
            </w:r>
          </w:p>
          <w:tbl>
            <w:tblPr>
              <w:tblStyle w:val="2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19"/>
              <w:gridCol w:w="1489"/>
              <w:gridCol w:w="996"/>
              <w:gridCol w:w="606"/>
              <w:gridCol w:w="606"/>
              <w:gridCol w:w="1775"/>
              <w:gridCol w:w="606"/>
              <w:gridCol w:w="6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47" w:type="pct"/>
                  <w:tcBorders>
                    <w:top w:val="single" w:color="auto" w:sz="12" w:space="0"/>
                    <w:tl2br w:val="nil"/>
                    <w:tr2bl w:val="nil"/>
                  </w:tcBorders>
                  <w:noWrap/>
                  <w:vAlign w:val="center"/>
                </w:tcPr>
                <w:p>
                  <w:pPr>
                    <w:pStyle w:val="81"/>
                    <w:spacing w:line="280" w:lineRule="exact"/>
                    <w:rPr>
                      <w:color w:val="auto"/>
                    </w:rPr>
                  </w:pPr>
                  <w:r>
                    <w:rPr>
                      <w:color w:val="auto"/>
                    </w:rPr>
                    <w:t>监测</w:t>
                  </w:r>
                </w:p>
                <w:p>
                  <w:pPr>
                    <w:pStyle w:val="81"/>
                    <w:spacing w:line="280" w:lineRule="exact"/>
                    <w:rPr>
                      <w:color w:val="auto"/>
                    </w:rPr>
                  </w:pPr>
                  <w:r>
                    <w:rPr>
                      <w:color w:val="auto"/>
                    </w:rPr>
                    <w:t>日期</w:t>
                  </w:r>
                </w:p>
              </w:tc>
              <w:tc>
                <w:tcPr>
                  <w:tcW w:w="1164" w:type="pct"/>
                  <w:tcBorders>
                    <w:top w:val="single" w:color="auto" w:sz="12" w:space="0"/>
                    <w:tl2br w:val="nil"/>
                    <w:tr2bl w:val="nil"/>
                  </w:tcBorders>
                  <w:noWrap/>
                  <w:vAlign w:val="center"/>
                </w:tcPr>
                <w:p>
                  <w:pPr>
                    <w:pStyle w:val="81"/>
                    <w:spacing w:line="280" w:lineRule="exact"/>
                    <w:rPr>
                      <w:color w:val="auto"/>
                    </w:rPr>
                  </w:pPr>
                  <w:r>
                    <w:rPr>
                      <w:color w:val="auto"/>
                    </w:rPr>
                    <w:t>测点及编号</w:t>
                  </w:r>
                </w:p>
              </w:tc>
              <w:tc>
                <w:tcPr>
                  <w:tcW w:w="654" w:type="pct"/>
                  <w:tcBorders>
                    <w:tl2br w:val="nil"/>
                    <w:tr2bl w:val="nil"/>
                  </w:tcBorders>
                  <w:noWrap/>
                  <w:vAlign w:val="center"/>
                </w:tcPr>
                <w:p>
                  <w:pPr>
                    <w:pStyle w:val="81"/>
                    <w:spacing w:line="280" w:lineRule="exact"/>
                    <w:rPr>
                      <w:color w:val="auto"/>
                    </w:rPr>
                  </w:pPr>
                  <w:r>
                    <w:rPr>
                      <w:rFonts w:hint="eastAsia"/>
                      <w:color w:val="auto"/>
                    </w:rPr>
                    <w:t>监测结果</w:t>
                  </w:r>
                </w:p>
                <w:p>
                  <w:pPr>
                    <w:pStyle w:val="81"/>
                    <w:spacing w:line="280" w:lineRule="exact"/>
                    <w:rPr>
                      <w:color w:val="auto"/>
                    </w:rPr>
                  </w:pPr>
                  <w:r>
                    <w:rPr>
                      <w:rFonts w:hint="eastAsia"/>
                      <w:color w:val="auto"/>
                    </w:rPr>
                    <w:t>（</w:t>
                  </w:r>
                  <w:r>
                    <w:rPr>
                      <w:color w:val="auto"/>
                    </w:rPr>
                    <w:t>昼间</w:t>
                  </w:r>
                  <w:r>
                    <w:rPr>
                      <w:rFonts w:hint="eastAsia"/>
                      <w:color w:val="auto"/>
                    </w:rPr>
                    <w:t>）</w:t>
                  </w:r>
                </w:p>
              </w:tc>
              <w:tc>
                <w:tcPr>
                  <w:tcW w:w="458" w:type="pct"/>
                  <w:tcBorders>
                    <w:tl2br w:val="nil"/>
                    <w:tr2bl w:val="nil"/>
                  </w:tcBorders>
                  <w:noWrap/>
                  <w:vAlign w:val="center"/>
                </w:tcPr>
                <w:p>
                  <w:pPr>
                    <w:pStyle w:val="81"/>
                    <w:spacing w:line="280" w:lineRule="exact"/>
                    <w:rPr>
                      <w:color w:val="auto"/>
                    </w:rPr>
                  </w:pPr>
                  <w:r>
                    <w:rPr>
                      <w:color w:val="auto"/>
                    </w:rPr>
                    <w:t>标准</w:t>
                  </w:r>
                </w:p>
                <w:p>
                  <w:pPr>
                    <w:pStyle w:val="81"/>
                    <w:spacing w:line="280" w:lineRule="exact"/>
                    <w:rPr>
                      <w:color w:val="auto"/>
                    </w:rPr>
                  </w:pPr>
                  <w:r>
                    <w:rPr>
                      <w:color w:val="auto"/>
                    </w:rPr>
                    <w:t>限值</w:t>
                  </w:r>
                </w:p>
              </w:tc>
              <w:tc>
                <w:tcPr>
                  <w:tcW w:w="548" w:type="pct"/>
                  <w:tcBorders>
                    <w:tl2br w:val="nil"/>
                    <w:tr2bl w:val="nil"/>
                  </w:tcBorders>
                  <w:noWrap/>
                  <w:vAlign w:val="center"/>
                </w:tcPr>
                <w:p>
                  <w:pPr>
                    <w:pStyle w:val="81"/>
                    <w:spacing w:line="280" w:lineRule="exact"/>
                    <w:rPr>
                      <w:color w:val="auto"/>
                    </w:rPr>
                  </w:pPr>
                  <w:r>
                    <w:rPr>
                      <w:color w:val="auto"/>
                    </w:rPr>
                    <w:t>达标</w:t>
                  </w:r>
                </w:p>
                <w:p>
                  <w:pPr>
                    <w:pStyle w:val="81"/>
                    <w:spacing w:line="280" w:lineRule="exact"/>
                    <w:rPr>
                      <w:color w:val="auto"/>
                    </w:rPr>
                  </w:pPr>
                  <w:r>
                    <w:rPr>
                      <w:color w:val="auto"/>
                    </w:rPr>
                    <w:t>情况</w:t>
                  </w:r>
                </w:p>
              </w:tc>
              <w:tc>
                <w:tcPr>
                  <w:tcW w:w="652" w:type="pct"/>
                  <w:tcBorders>
                    <w:tl2br w:val="nil"/>
                    <w:tr2bl w:val="nil"/>
                  </w:tcBorders>
                  <w:noWrap/>
                  <w:vAlign w:val="center"/>
                </w:tcPr>
                <w:p>
                  <w:pPr>
                    <w:pStyle w:val="81"/>
                    <w:spacing w:line="280" w:lineRule="exact"/>
                    <w:rPr>
                      <w:color w:val="auto"/>
                    </w:rPr>
                  </w:pPr>
                  <w:r>
                    <w:rPr>
                      <w:rFonts w:hint="eastAsia"/>
                      <w:color w:val="auto"/>
                    </w:rPr>
                    <w:t>监测结果（</w:t>
                  </w:r>
                  <w:r>
                    <w:rPr>
                      <w:color w:val="auto"/>
                    </w:rPr>
                    <w:t>夜间</w:t>
                  </w:r>
                  <w:r>
                    <w:rPr>
                      <w:rFonts w:hint="eastAsia"/>
                      <w:color w:val="auto"/>
                    </w:rPr>
                    <w:t>）</w:t>
                  </w:r>
                </w:p>
              </w:tc>
              <w:tc>
                <w:tcPr>
                  <w:tcW w:w="435" w:type="pct"/>
                  <w:tcBorders>
                    <w:tl2br w:val="nil"/>
                    <w:tr2bl w:val="nil"/>
                  </w:tcBorders>
                  <w:noWrap/>
                  <w:vAlign w:val="center"/>
                </w:tcPr>
                <w:p>
                  <w:pPr>
                    <w:pStyle w:val="81"/>
                    <w:spacing w:line="280" w:lineRule="exact"/>
                    <w:rPr>
                      <w:color w:val="auto"/>
                    </w:rPr>
                  </w:pPr>
                  <w:r>
                    <w:rPr>
                      <w:color w:val="auto"/>
                    </w:rPr>
                    <w:t>标准</w:t>
                  </w:r>
                </w:p>
                <w:p>
                  <w:pPr>
                    <w:pStyle w:val="81"/>
                    <w:spacing w:line="280" w:lineRule="exact"/>
                    <w:rPr>
                      <w:color w:val="auto"/>
                    </w:rPr>
                  </w:pPr>
                  <w:r>
                    <w:rPr>
                      <w:color w:val="auto"/>
                    </w:rPr>
                    <w:t>限值</w:t>
                  </w:r>
                </w:p>
              </w:tc>
              <w:tc>
                <w:tcPr>
                  <w:tcW w:w="437" w:type="pct"/>
                  <w:tcBorders>
                    <w:tl2br w:val="nil"/>
                    <w:tr2bl w:val="nil"/>
                  </w:tcBorders>
                  <w:noWrap/>
                  <w:vAlign w:val="center"/>
                </w:tcPr>
                <w:p>
                  <w:pPr>
                    <w:pStyle w:val="81"/>
                    <w:spacing w:line="280" w:lineRule="exact"/>
                    <w:rPr>
                      <w:color w:val="auto"/>
                    </w:rPr>
                  </w:pPr>
                  <w:r>
                    <w:rPr>
                      <w:rFonts w:hint="eastAsia"/>
                      <w:color w:val="auto"/>
                    </w:rPr>
                    <w:t>达标</w:t>
                  </w:r>
                </w:p>
                <w:p>
                  <w:pPr>
                    <w:pStyle w:val="81"/>
                    <w:spacing w:line="280" w:lineRule="exact"/>
                    <w:rPr>
                      <w:color w:val="auto"/>
                    </w:rPr>
                  </w:pPr>
                  <w:r>
                    <w:rPr>
                      <w:rFonts w:hint="eastAsia"/>
                      <w:color w:val="auto"/>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647" w:type="pct"/>
                  <w:vMerge w:val="restart"/>
                  <w:tcBorders>
                    <w:tl2br w:val="nil"/>
                    <w:tr2bl w:val="nil"/>
                  </w:tcBorders>
                  <w:noWrap/>
                  <w:vAlign w:val="center"/>
                </w:tcPr>
                <w:p>
                  <w:pPr>
                    <w:pStyle w:val="81"/>
                    <w:spacing w:line="280" w:lineRule="exact"/>
                    <w:rPr>
                      <w:color w:val="auto"/>
                    </w:rPr>
                  </w:pPr>
                  <w:r>
                    <w:rPr>
                      <w:color w:val="auto"/>
                    </w:rPr>
                    <w:t>202</w:t>
                  </w:r>
                  <w:r>
                    <w:rPr>
                      <w:rFonts w:hint="eastAsia"/>
                      <w:color w:val="auto"/>
                      <w:lang w:val="en-US" w:eastAsia="zh-CN"/>
                    </w:rPr>
                    <w:t>4</w:t>
                  </w:r>
                  <w:r>
                    <w:rPr>
                      <w:color w:val="auto"/>
                    </w:rPr>
                    <w:t>年</w:t>
                  </w:r>
                  <w:r>
                    <w:rPr>
                      <w:rFonts w:hint="eastAsia"/>
                      <w:color w:val="auto"/>
                      <w:lang w:val="en-US" w:eastAsia="zh-CN"/>
                    </w:rPr>
                    <w:t>5月11</w:t>
                  </w:r>
                  <w:r>
                    <w:rPr>
                      <w:color w:val="auto"/>
                    </w:rPr>
                    <w:t>日</w:t>
                  </w:r>
                </w:p>
              </w:tc>
              <w:tc>
                <w:tcPr>
                  <w:tcW w:w="1164" w:type="pct"/>
                  <w:tcBorders>
                    <w:tl2br w:val="nil"/>
                    <w:tr2bl w:val="nil"/>
                  </w:tcBorders>
                  <w:noWrap/>
                  <w:vAlign w:val="center"/>
                </w:tcPr>
                <w:p>
                  <w:pPr>
                    <w:pStyle w:val="81"/>
                    <w:spacing w:line="280" w:lineRule="exact"/>
                    <w:rPr>
                      <w:color w:val="auto"/>
                    </w:rPr>
                  </w:pPr>
                  <w:r>
                    <w:rPr>
                      <w:rFonts w:hint="eastAsia"/>
                      <w:color w:val="auto"/>
                    </w:rPr>
                    <w:t>厂界北侧外1m</w:t>
                  </w:r>
                </w:p>
              </w:tc>
              <w:tc>
                <w:tcPr>
                  <w:tcW w:w="654" w:type="pct"/>
                  <w:tcBorders>
                    <w:tl2br w:val="nil"/>
                    <w:tr2bl w:val="nil"/>
                  </w:tcBorders>
                  <w:noWrap/>
                  <w:vAlign w:val="center"/>
                </w:tcPr>
                <w:p>
                  <w:pPr>
                    <w:pStyle w:val="81"/>
                    <w:rPr>
                      <w:rFonts w:hint="default" w:eastAsia="宋体"/>
                      <w:color w:val="auto"/>
                      <w:lang w:val="en-US" w:eastAsia="zh-CN"/>
                    </w:rPr>
                  </w:pPr>
                  <w:r>
                    <w:rPr>
                      <w:rFonts w:hint="eastAsia"/>
                      <w:color w:val="auto"/>
                      <w:lang w:val="en-US" w:eastAsia="zh-CN"/>
                    </w:rPr>
                    <w:t>47</w:t>
                  </w:r>
                </w:p>
              </w:tc>
              <w:tc>
                <w:tcPr>
                  <w:tcW w:w="458" w:type="pct"/>
                  <w:vMerge w:val="restart"/>
                  <w:tcBorders>
                    <w:tl2br w:val="nil"/>
                    <w:tr2bl w:val="nil"/>
                  </w:tcBorders>
                  <w:noWrap/>
                  <w:vAlign w:val="center"/>
                </w:tcPr>
                <w:p>
                  <w:pPr>
                    <w:pStyle w:val="81"/>
                    <w:spacing w:line="280" w:lineRule="exact"/>
                    <w:rPr>
                      <w:color w:val="auto"/>
                    </w:rPr>
                  </w:pPr>
                  <w:r>
                    <w:rPr>
                      <w:color w:val="auto"/>
                    </w:rPr>
                    <w:t>6</w:t>
                  </w:r>
                  <w:r>
                    <w:rPr>
                      <w:rFonts w:hint="eastAsia"/>
                      <w:color w:val="auto"/>
                    </w:rPr>
                    <w:t>0</w:t>
                  </w:r>
                </w:p>
              </w:tc>
              <w:tc>
                <w:tcPr>
                  <w:tcW w:w="548" w:type="pct"/>
                  <w:tcBorders>
                    <w:tl2br w:val="nil"/>
                    <w:tr2bl w:val="nil"/>
                  </w:tcBorders>
                  <w:noWrap/>
                  <w:vAlign w:val="center"/>
                </w:tcPr>
                <w:p>
                  <w:pPr>
                    <w:pStyle w:val="81"/>
                    <w:spacing w:line="280" w:lineRule="exact"/>
                    <w:rPr>
                      <w:color w:val="auto"/>
                    </w:rPr>
                  </w:pPr>
                  <w:r>
                    <w:rPr>
                      <w:color w:val="auto"/>
                    </w:rPr>
                    <w:t>达标</w:t>
                  </w:r>
                </w:p>
              </w:tc>
              <w:tc>
                <w:tcPr>
                  <w:tcW w:w="652" w:type="pct"/>
                  <w:tcBorders>
                    <w:tl2br w:val="nil"/>
                    <w:tr2bl w:val="nil"/>
                  </w:tcBorders>
                  <w:noWrap/>
                  <w:vAlign w:val="center"/>
                </w:tcPr>
                <w:p>
                  <w:pPr>
                    <w:pStyle w:val="81"/>
                    <w:rPr>
                      <w:rFonts w:hint="default" w:eastAsia="宋体"/>
                      <w:color w:val="auto"/>
                      <w:lang w:val="en-US" w:eastAsia="zh-CN"/>
                    </w:rPr>
                  </w:pPr>
                  <w:r>
                    <w:rPr>
                      <w:rFonts w:hint="eastAsia"/>
                      <w:color w:val="auto"/>
                      <w:lang w:val="en-US" w:eastAsia="zh-CN"/>
                    </w:rPr>
                    <w:t>43</w:t>
                  </w:r>
                </w:p>
              </w:tc>
              <w:tc>
                <w:tcPr>
                  <w:tcW w:w="435" w:type="pct"/>
                  <w:vMerge w:val="restart"/>
                  <w:tcBorders>
                    <w:tl2br w:val="nil"/>
                    <w:tr2bl w:val="nil"/>
                  </w:tcBorders>
                  <w:noWrap/>
                  <w:vAlign w:val="center"/>
                </w:tcPr>
                <w:p>
                  <w:pPr>
                    <w:pStyle w:val="81"/>
                    <w:spacing w:line="280" w:lineRule="exact"/>
                    <w:rPr>
                      <w:color w:val="auto"/>
                    </w:rPr>
                  </w:pPr>
                  <w:r>
                    <w:rPr>
                      <w:color w:val="auto"/>
                    </w:rPr>
                    <w:t>5</w:t>
                  </w:r>
                  <w:r>
                    <w:rPr>
                      <w:rFonts w:hint="eastAsia"/>
                      <w:color w:val="auto"/>
                    </w:rPr>
                    <w:t>0</w:t>
                  </w:r>
                </w:p>
              </w:tc>
              <w:tc>
                <w:tcPr>
                  <w:tcW w:w="437" w:type="pct"/>
                  <w:tcBorders>
                    <w:tl2br w:val="nil"/>
                    <w:tr2bl w:val="nil"/>
                  </w:tcBorders>
                  <w:noWrap/>
                  <w:vAlign w:val="center"/>
                </w:tcPr>
                <w:p>
                  <w:pPr>
                    <w:pStyle w:val="81"/>
                    <w:spacing w:line="280" w:lineRule="exact"/>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exact"/>
              </w:trPr>
              <w:tc>
                <w:tcPr>
                  <w:tcW w:w="647" w:type="pct"/>
                  <w:vMerge w:val="continue"/>
                  <w:tcBorders>
                    <w:tl2br w:val="nil"/>
                    <w:tr2bl w:val="nil"/>
                  </w:tcBorders>
                  <w:noWrap/>
                  <w:vAlign w:val="center"/>
                </w:tcPr>
                <w:p>
                  <w:pPr>
                    <w:pStyle w:val="81"/>
                    <w:spacing w:line="280" w:lineRule="exact"/>
                    <w:rPr>
                      <w:color w:val="auto"/>
                    </w:rPr>
                  </w:pPr>
                </w:p>
              </w:tc>
              <w:tc>
                <w:tcPr>
                  <w:tcW w:w="1164" w:type="pct"/>
                  <w:tcBorders>
                    <w:tl2br w:val="nil"/>
                    <w:tr2bl w:val="nil"/>
                  </w:tcBorders>
                  <w:noWrap/>
                  <w:vAlign w:val="center"/>
                </w:tcPr>
                <w:p>
                  <w:pPr>
                    <w:pStyle w:val="81"/>
                    <w:spacing w:line="280" w:lineRule="exact"/>
                    <w:rPr>
                      <w:color w:val="auto"/>
                    </w:rPr>
                  </w:pPr>
                  <w:r>
                    <w:rPr>
                      <w:color w:val="auto"/>
                    </w:rPr>
                    <w:t>厂界</w:t>
                  </w:r>
                  <w:r>
                    <w:rPr>
                      <w:rFonts w:hint="eastAsia"/>
                      <w:color w:val="auto"/>
                    </w:rPr>
                    <w:t>东侧外1m</w:t>
                  </w:r>
                </w:p>
              </w:tc>
              <w:tc>
                <w:tcPr>
                  <w:tcW w:w="654" w:type="pct"/>
                  <w:tcBorders>
                    <w:tl2br w:val="nil"/>
                    <w:tr2bl w:val="nil"/>
                  </w:tcBorders>
                  <w:noWrap/>
                  <w:vAlign w:val="center"/>
                </w:tcPr>
                <w:p>
                  <w:pPr>
                    <w:pStyle w:val="81"/>
                    <w:rPr>
                      <w:rFonts w:hint="default" w:eastAsia="宋体"/>
                      <w:color w:val="auto"/>
                      <w:lang w:val="en-US" w:eastAsia="zh-CN"/>
                    </w:rPr>
                  </w:pPr>
                  <w:r>
                    <w:rPr>
                      <w:rFonts w:hint="eastAsia"/>
                      <w:color w:val="auto"/>
                      <w:lang w:val="en-US" w:eastAsia="zh-CN"/>
                    </w:rPr>
                    <w:t>47</w:t>
                  </w:r>
                </w:p>
              </w:tc>
              <w:tc>
                <w:tcPr>
                  <w:tcW w:w="458" w:type="pct"/>
                  <w:vMerge w:val="continue"/>
                  <w:tcBorders>
                    <w:tl2br w:val="nil"/>
                    <w:tr2bl w:val="nil"/>
                  </w:tcBorders>
                  <w:noWrap/>
                  <w:vAlign w:val="center"/>
                </w:tcPr>
                <w:p>
                  <w:pPr>
                    <w:pStyle w:val="81"/>
                    <w:spacing w:line="280" w:lineRule="exact"/>
                    <w:rPr>
                      <w:color w:val="auto"/>
                    </w:rPr>
                  </w:pPr>
                </w:p>
              </w:tc>
              <w:tc>
                <w:tcPr>
                  <w:tcW w:w="548" w:type="pct"/>
                  <w:tcBorders>
                    <w:tl2br w:val="nil"/>
                    <w:tr2bl w:val="nil"/>
                  </w:tcBorders>
                  <w:noWrap/>
                  <w:vAlign w:val="center"/>
                </w:tcPr>
                <w:p>
                  <w:pPr>
                    <w:pStyle w:val="81"/>
                    <w:spacing w:line="280" w:lineRule="exact"/>
                    <w:rPr>
                      <w:color w:val="auto"/>
                    </w:rPr>
                  </w:pPr>
                  <w:r>
                    <w:rPr>
                      <w:color w:val="auto"/>
                    </w:rPr>
                    <w:t>达标</w:t>
                  </w:r>
                </w:p>
              </w:tc>
              <w:tc>
                <w:tcPr>
                  <w:tcW w:w="652" w:type="pct"/>
                  <w:tcBorders>
                    <w:tl2br w:val="nil"/>
                    <w:tr2bl w:val="nil"/>
                  </w:tcBorders>
                  <w:noWrap/>
                  <w:vAlign w:val="center"/>
                </w:tcPr>
                <w:p>
                  <w:pPr>
                    <w:pStyle w:val="81"/>
                    <w:rPr>
                      <w:rFonts w:hint="default" w:eastAsia="宋体"/>
                      <w:color w:val="auto"/>
                      <w:lang w:val="en-US" w:eastAsia="zh-CN"/>
                    </w:rPr>
                  </w:pPr>
                  <w:r>
                    <w:rPr>
                      <w:rFonts w:hint="eastAsia"/>
                      <w:color w:val="auto"/>
                      <w:lang w:val="en-US" w:eastAsia="zh-CN"/>
                    </w:rPr>
                    <w:t>45</w:t>
                  </w:r>
                </w:p>
              </w:tc>
              <w:tc>
                <w:tcPr>
                  <w:tcW w:w="435" w:type="pct"/>
                  <w:vMerge w:val="continue"/>
                  <w:tcBorders>
                    <w:tl2br w:val="nil"/>
                    <w:tr2bl w:val="nil"/>
                  </w:tcBorders>
                  <w:noWrap/>
                  <w:vAlign w:val="center"/>
                </w:tcPr>
                <w:p>
                  <w:pPr>
                    <w:pStyle w:val="81"/>
                    <w:spacing w:line="280" w:lineRule="exact"/>
                    <w:rPr>
                      <w:color w:val="auto"/>
                    </w:rPr>
                  </w:pPr>
                </w:p>
              </w:tc>
              <w:tc>
                <w:tcPr>
                  <w:tcW w:w="437" w:type="pct"/>
                  <w:tcBorders>
                    <w:tl2br w:val="nil"/>
                    <w:tr2bl w:val="nil"/>
                  </w:tcBorders>
                  <w:noWrap/>
                  <w:vAlign w:val="center"/>
                </w:tcPr>
                <w:p>
                  <w:pPr>
                    <w:pStyle w:val="81"/>
                    <w:spacing w:line="280" w:lineRule="exact"/>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exact"/>
              </w:trPr>
              <w:tc>
                <w:tcPr>
                  <w:tcW w:w="647" w:type="pct"/>
                  <w:vMerge w:val="continue"/>
                  <w:tcBorders>
                    <w:tl2br w:val="nil"/>
                    <w:tr2bl w:val="nil"/>
                  </w:tcBorders>
                  <w:noWrap/>
                  <w:vAlign w:val="center"/>
                </w:tcPr>
                <w:p>
                  <w:pPr>
                    <w:pStyle w:val="81"/>
                    <w:spacing w:line="280" w:lineRule="exact"/>
                    <w:rPr>
                      <w:color w:val="auto"/>
                    </w:rPr>
                  </w:pPr>
                </w:p>
              </w:tc>
              <w:tc>
                <w:tcPr>
                  <w:tcW w:w="1164" w:type="pct"/>
                  <w:tcBorders>
                    <w:tl2br w:val="nil"/>
                    <w:tr2bl w:val="nil"/>
                  </w:tcBorders>
                  <w:noWrap/>
                  <w:vAlign w:val="center"/>
                </w:tcPr>
                <w:p>
                  <w:pPr>
                    <w:pStyle w:val="81"/>
                    <w:spacing w:line="280" w:lineRule="exact"/>
                    <w:rPr>
                      <w:color w:val="auto"/>
                    </w:rPr>
                  </w:pPr>
                  <w:r>
                    <w:rPr>
                      <w:color w:val="auto"/>
                    </w:rPr>
                    <w:t>厂界</w:t>
                  </w:r>
                  <w:r>
                    <w:rPr>
                      <w:rFonts w:hint="eastAsia"/>
                      <w:color w:val="auto"/>
                    </w:rPr>
                    <w:t>南侧外1m</w:t>
                  </w:r>
                </w:p>
              </w:tc>
              <w:tc>
                <w:tcPr>
                  <w:tcW w:w="654" w:type="pct"/>
                  <w:tcBorders>
                    <w:tl2br w:val="nil"/>
                    <w:tr2bl w:val="nil"/>
                  </w:tcBorders>
                  <w:noWrap/>
                  <w:vAlign w:val="center"/>
                </w:tcPr>
                <w:p>
                  <w:pPr>
                    <w:pStyle w:val="81"/>
                    <w:rPr>
                      <w:rFonts w:hint="default" w:eastAsia="宋体"/>
                      <w:color w:val="auto"/>
                      <w:lang w:val="en-US" w:eastAsia="zh-CN"/>
                    </w:rPr>
                  </w:pPr>
                  <w:r>
                    <w:rPr>
                      <w:rFonts w:hint="eastAsia"/>
                      <w:color w:val="auto"/>
                      <w:lang w:val="en-US" w:eastAsia="zh-CN"/>
                    </w:rPr>
                    <w:t>47</w:t>
                  </w:r>
                </w:p>
              </w:tc>
              <w:tc>
                <w:tcPr>
                  <w:tcW w:w="458" w:type="pct"/>
                  <w:vMerge w:val="continue"/>
                  <w:tcBorders>
                    <w:tl2br w:val="nil"/>
                    <w:tr2bl w:val="nil"/>
                  </w:tcBorders>
                  <w:noWrap/>
                  <w:vAlign w:val="center"/>
                </w:tcPr>
                <w:p>
                  <w:pPr>
                    <w:pStyle w:val="81"/>
                    <w:spacing w:line="280" w:lineRule="exact"/>
                    <w:rPr>
                      <w:color w:val="auto"/>
                    </w:rPr>
                  </w:pPr>
                </w:p>
              </w:tc>
              <w:tc>
                <w:tcPr>
                  <w:tcW w:w="548" w:type="pct"/>
                  <w:tcBorders>
                    <w:tl2br w:val="nil"/>
                    <w:tr2bl w:val="nil"/>
                  </w:tcBorders>
                  <w:noWrap/>
                  <w:vAlign w:val="center"/>
                </w:tcPr>
                <w:p>
                  <w:pPr>
                    <w:pStyle w:val="81"/>
                    <w:spacing w:line="280" w:lineRule="exact"/>
                    <w:rPr>
                      <w:color w:val="auto"/>
                    </w:rPr>
                  </w:pPr>
                  <w:r>
                    <w:rPr>
                      <w:color w:val="auto"/>
                    </w:rPr>
                    <w:t>达标</w:t>
                  </w:r>
                </w:p>
              </w:tc>
              <w:tc>
                <w:tcPr>
                  <w:tcW w:w="652" w:type="pct"/>
                  <w:tcBorders>
                    <w:tl2br w:val="nil"/>
                    <w:tr2bl w:val="nil"/>
                  </w:tcBorders>
                  <w:noWrap/>
                  <w:vAlign w:val="center"/>
                </w:tcPr>
                <w:p>
                  <w:pPr>
                    <w:pStyle w:val="81"/>
                    <w:rPr>
                      <w:rFonts w:hint="default" w:eastAsia="宋体"/>
                      <w:color w:val="auto"/>
                      <w:lang w:val="en-US" w:eastAsia="zh-CN"/>
                    </w:rPr>
                  </w:pPr>
                  <w:r>
                    <w:rPr>
                      <w:rFonts w:hint="eastAsia"/>
                      <w:color w:val="auto"/>
                      <w:lang w:val="en-US" w:eastAsia="zh-CN"/>
                    </w:rPr>
                    <w:t>44</w:t>
                  </w:r>
                </w:p>
              </w:tc>
              <w:tc>
                <w:tcPr>
                  <w:tcW w:w="435" w:type="pct"/>
                  <w:vMerge w:val="continue"/>
                  <w:tcBorders>
                    <w:tl2br w:val="nil"/>
                    <w:tr2bl w:val="nil"/>
                  </w:tcBorders>
                  <w:noWrap/>
                  <w:vAlign w:val="center"/>
                </w:tcPr>
                <w:p>
                  <w:pPr>
                    <w:pStyle w:val="81"/>
                    <w:spacing w:line="280" w:lineRule="exact"/>
                    <w:rPr>
                      <w:color w:val="auto"/>
                    </w:rPr>
                  </w:pPr>
                </w:p>
              </w:tc>
              <w:tc>
                <w:tcPr>
                  <w:tcW w:w="437" w:type="pct"/>
                  <w:tcBorders>
                    <w:tl2br w:val="nil"/>
                    <w:tr2bl w:val="nil"/>
                  </w:tcBorders>
                  <w:noWrap/>
                  <w:vAlign w:val="center"/>
                </w:tcPr>
                <w:p>
                  <w:pPr>
                    <w:pStyle w:val="81"/>
                    <w:spacing w:line="280" w:lineRule="exact"/>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exact"/>
              </w:trPr>
              <w:tc>
                <w:tcPr>
                  <w:tcW w:w="647" w:type="pct"/>
                  <w:vMerge w:val="continue"/>
                  <w:tcBorders>
                    <w:tl2br w:val="nil"/>
                    <w:tr2bl w:val="nil"/>
                  </w:tcBorders>
                  <w:noWrap/>
                  <w:vAlign w:val="center"/>
                </w:tcPr>
                <w:p>
                  <w:pPr>
                    <w:pStyle w:val="81"/>
                    <w:spacing w:line="280" w:lineRule="exact"/>
                    <w:rPr>
                      <w:color w:val="auto"/>
                    </w:rPr>
                  </w:pPr>
                </w:p>
              </w:tc>
              <w:tc>
                <w:tcPr>
                  <w:tcW w:w="1164" w:type="pct"/>
                  <w:tcBorders>
                    <w:tl2br w:val="nil"/>
                    <w:tr2bl w:val="nil"/>
                  </w:tcBorders>
                  <w:noWrap/>
                  <w:vAlign w:val="center"/>
                </w:tcPr>
                <w:p>
                  <w:pPr>
                    <w:pStyle w:val="81"/>
                    <w:spacing w:line="280" w:lineRule="exact"/>
                    <w:rPr>
                      <w:color w:val="auto"/>
                    </w:rPr>
                  </w:pPr>
                  <w:r>
                    <w:rPr>
                      <w:color w:val="auto"/>
                    </w:rPr>
                    <w:t>厂界</w:t>
                  </w:r>
                  <w:r>
                    <w:rPr>
                      <w:rFonts w:hint="eastAsia"/>
                      <w:color w:val="auto"/>
                    </w:rPr>
                    <w:t>西侧外1m</w:t>
                  </w:r>
                </w:p>
              </w:tc>
              <w:tc>
                <w:tcPr>
                  <w:tcW w:w="654" w:type="pct"/>
                  <w:tcBorders>
                    <w:tl2br w:val="nil"/>
                    <w:tr2bl w:val="nil"/>
                  </w:tcBorders>
                  <w:noWrap/>
                  <w:vAlign w:val="center"/>
                </w:tcPr>
                <w:p>
                  <w:pPr>
                    <w:pStyle w:val="81"/>
                    <w:rPr>
                      <w:rFonts w:hint="default" w:eastAsia="宋体"/>
                      <w:color w:val="auto"/>
                      <w:lang w:val="en-US" w:eastAsia="zh-CN"/>
                    </w:rPr>
                  </w:pPr>
                  <w:r>
                    <w:rPr>
                      <w:rFonts w:hint="eastAsia"/>
                      <w:color w:val="auto"/>
                      <w:lang w:val="en-US" w:eastAsia="zh-CN"/>
                    </w:rPr>
                    <w:t>48</w:t>
                  </w:r>
                </w:p>
              </w:tc>
              <w:tc>
                <w:tcPr>
                  <w:tcW w:w="458" w:type="pct"/>
                  <w:vMerge w:val="continue"/>
                  <w:tcBorders>
                    <w:tl2br w:val="nil"/>
                    <w:tr2bl w:val="nil"/>
                  </w:tcBorders>
                  <w:noWrap/>
                  <w:vAlign w:val="center"/>
                </w:tcPr>
                <w:p>
                  <w:pPr>
                    <w:pStyle w:val="81"/>
                    <w:spacing w:line="280" w:lineRule="exact"/>
                    <w:rPr>
                      <w:color w:val="auto"/>
                    </w:rPr>
                  </w:pPr>
                </w:p>
              </w:tc>
              <w:tc>
                <w:tcPr>
                  <w:tcW w:w="548" w:type="pct"/>
                  <w:tcBorders>
                    <w:tl2br w:val="nil"/>
                    <w:tr2bl w:val="nil"/>
                  </w:tcBorders>
                  <w:noWrap/>
                  <w:vAlign w:val="center"/>
                </w:tcPr>
                <w:p>
                  <w:pPr>
                    <w:pStyle w:val="81"/>
                    <w:spacing w:line="280" w:lineRule="exact"/>
                    <w:rPr>
                      <w:color w:val="auto"/>
                    </w:rPr>
                  </w:pPr>
                  <w:r>
                    <w:rPr>
                      <w:color w:val="auto"/>
                    </w:rPr>
                    <w:t>达标</w:t>
                  </w:r>
                </w:p>
              </w:tc>
              <w:tc>
                <w:tcPr>
                  <w:tcW w:w="652" w:type="pct"/>
                  <w:tcBorders>
                    <w:tl2br w:val="nil"/>
                    <w:tr2bl w:val="nil"/>
                  </w:tcBorders>
                  <w:noWrap/>
                  <w:vAlign w:val="center"/>
                </w:tcPr>
                <w:p>
                  <w:pPr>
                    <w:pStyle w:val="81"/>
                    <w:rPr>
                      <w:rFonts w:hint="default" w:eastAsia="宋体"/>
                      <w:color w:val="auto"/>
                      <w:lang w:val="en-US" w:eastAsia="zh-CN"/>
                    </w:rPr>
                  </w:pPr>
                  <w:r>
                    <w:rPr>
                      <w:rFonts w:hint="eastAsia"/>
                      <w:color w:val="auto"/>
                      <w:lang w:val="en-US" w:eastAsia="zh-CN"/>
                    </w:rPr>
                    <w:t>47</w:t>
                  </w:r>
                </w:p>
              </w:tc>
              <w:tc>
                <w:tcPr>
                  <w:tcW w:w="435" w:type="pct"/>
                  <w:vMerge w:val="continue"/>
                  <w:tcBorders>
                    <w:tl2br w:val="nil"/>
                    <w:tr2bl w:val="nil"/>
                  </w:tcBorders>
                  <w:noWrap/>
                  <w:vAlign w:val="center"/>
                </w:tcPr>
                <w:p>
                  <w:pPr>
                    <w:pStyle w:val="81"/>
                    <w:spacing w:line="280" w:lineRule="exact"/>
                    <w:rPr>
                      <w:color w:val="auto"/>
                    </w:rPr>
                  </w:pPr>
                </w:p>
              </w:tc>
              <w:tc>
                <w:tcPr>
                  <w:tcW w:w="437" w:type="pct"/>
                  <w:tcBorders>
                    <w:tl2br w:val="nil"/>
                    <w:tr2bl w:val="nil"/>
                  </w:tcBorders>
                  <w:noWrap/>
                  <w:vAlign w:val="center"/>
                </w:tcPr>
                <w:p>
                  <w:pPr>
                    <w:pStyle w:val="81"/>
                    <w:spacing w:line="280" w:lineRule="exact"/>
                    <w:rPr>
                      <w:color w:val="auto"/>
                    </w:rPr>
                  </w:pPr>
                  <w:r>
                    <w:rPr>
                      <w:color w:val="auto"/>
                    </w:rPr>
                    <w:t>达标</w:t>
                  </w:r>
                </w:p>
              </w:tc>
            </w:tr>
          </w:tbl>
          <w:p>
            <w:pPr>
              <w:autoSpaceDE w:val="0"/>
              <w:autoSpaceDN w:val="0"/>
              <w:adjustRightInd w:val="0"/>
              <w:spacing w:line="520" w:lineRule="exact"/>
              <w:ind w:firstLine="480" w:firstLineChars="200"/>
              <w:rPr>
                <w:color w:val="auto"/>
                <w:sz w:val="24"/>
                <w:szCs w:val="32"/>
              </w:rPr>
            </w:pPr>
            <w:r>
              <w:rPr>
                <w:rFonts w:hint="eastAsia"/>
                <w:color w:val="auto"/>
                <w:sz w:val="24"/>
                <w:szCs w:val="32"/>
              </w:rPr>
              <w:t>由表上表可知，项目区厂界四周昼间、夜间噪声值均符合《声环境质量</w:t>
            </w:r>
            <w:r>
              <w:rPr>
                <w:rFonts w:hint="eastAsia"/>
                <w:color w:val="auto"/>
                <w:sz w:val="24"/>
              </w:rPr>
              <w:t>标准》（GB3096-2008）中2类标准要求。</w:t>
            </w:r>
          </w:p>
          <w:p>
            <w:pPr>
              <w:autoSpaceDE w:val="0"/>
              <w:autoSpaceDN w:val="0"/>
              <w:adjustRightInd w:val="0"/>
              <w:spacing w:line="520" w:lineRule="exact"/>
              <w:ind w:firstLine="420" w:firstLineChars="200"/>
              <w:rPr>
                <w:rFonts w:hAnsi="宋体" w:cs="宋体"/>
                <w:color w:val="auto"/>
                <w:kern w:val="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vAlign w:val="center"/>
          </w:tcPr>
          <w:p>
            <w:pPr>
              <w:adjustRightInd w:val="0"/>
              <w:snapToGrid w:val="0"/>
              <w:jc w:val="center"/>
              <w:rPr>
                <w:rFonts w:ascii="宋体" w:hAnsi="宋体" w:cs="宋体"/>
                <w:color w:val="auto"/>
                <w:kern w:val="0"/>
                <w:sz w:val="24"/>
              </w:rPr>
            </w:pPr>
            <w:r>
              <w:rPr>
                <w:rFonts w:hint="eastAsia" w:ascii="宋体" w:hAnsi="宋体" w:cs="宋体"/>
                <w:color w:val="auto"/>
                <w:kern w:val="0"/>
                <w:sz w:val="24"/>
              </w:rPr>
              <w:t>环</w:t>
            </w:r>
          </w:p>
          <w:p>
            <w:pPr>
              <w:adjustRightInd w:val="0"/>
              <w:snapToGrid w:val="0"/>
              <w:jc w:val="center"/>
              <w:rPr>
                <w:rFonts w:ascii="宋体" w:hAnsi="宋体" w:cs="宋体"/>
                <w:color w:val="auto"/>
                <w:kern w:val="0"/>
                <w:sz w:val="24"/>
              </w:rPr>
            </w:pPr>
            <w:r>
              <w:rPr>
                <w:rFonts w:hint="eastAsia" w:ascii="宋体" w:hAnsi="宋体" w:cs="宋体"/>
                <w:color w:val="auto"/>
                <w:kern w:val="0"/>
                <w:sz w:val="24"/>
              </w:rPr>
              <w:t>境</w:t>
            </w:r>
          </w:p>
          <w:p>
            <w:pPr>
              <w:adjustRightInd w:val="0"/>
              <w:snapToGrid w:val="0"/>
              <w:jc w:val="center"/>
              <w:rPr>
                <w:rFonts w:ascii="宋体" w:hAnsi="宋体" w:cs="宋体"/>
                <w:color w:val="auto"/>
                <w:kern w:val="0"/>
                <w:sz w:val="24"/>
              </w:rPr>
            </w:pPr>
            <w:r>
              <w:rPr>
                <w:rFonts w:hint="eastAsia" w:ascii="宋体" w:hAnsi="宋体" w:cs="宋体"/>
                <w:color w:val="auto"/>
                <w:kern w:val="0"/>
                <w:sz w:val="24"/>
              </w:rPr>
              <w:t>保</w:t>
            </w:r>
          </w:p>
          <w:p>
            <w:pPr>
              <w:adjustRightInd w:val="0"/>
              <w:snapToGrid w:val="0"/>
              <w:jc w:val="center"/>
              <w:rPr>
                <w:rFonts w:ascii="宋体" w:hAnsi="宋体" w:cs="宋体"/>
                <w:color w:val="auto"/>
                <w:kern w:val="0"/>
                <w:sz w:val="24"/>
              </w:rPr>
            </w:pPr>
            <w:r>
              <w:rPr>
                <w:rFonts w:hint="eastAsia" w:ascii="宋体" w:hAnsi="宋体" w:cs="宋体"/>
                <w:color w:val="auto"/>
                <w:kern w:val="0"/>
                <w:sz w:val="24"/>
              </w:rPr>
              <w:t>护</w:t>
            </w:r>
          </w:p>
          <w:p>
            <w:pPr>
              <w:adjustRightInd w:val="0"/>
              <w:snapToGrid w:val="0"/>
              <w:jc w:val="center"/>
              <w:rPr>
                <w:rFonts w:ascii="宋体" w:hAnsi="宋体" w:cs="宋体"/>
                <w:color w:val="auto"/>
                <w:kern w:val="0"/>
                <w:sz w:val="24"/>
              </w:rPr>
            </w:pPr>
            <w:r>
              <w:rPr>
                <w:rFonts w:hint="eastAsia" w:ascii="宋体" w:hAnsi="宋体" w:cs="宋体"/>
                <w:color w:val="auto"/>
                <w:kern w:val="0"/>
                <w:sz w:val="24"/>
              </w:rPr>
              <w:t>目</w:t>
            </w:r>
          </w:p>
          <w:p>
            <w:pPr>
              <w:adjustRightInd w:val="0"/>
              <w:snapToGrid w:val="0"/>
              <w:jc w:val="center"/>
              <w:rPr>
                <w:rFonts w:ascii="宋体" w:hAnsi="宋体" w:cs="宋体"/>
                <w:color w:val="auto"/>
                <w:kern w:val="0"/>
                <w:sz w:val="24"/>
              </w:rPr>
            </w:pPr>
            <w:r>
              <w:rPr>
                <w:rFonts w:hint="eastAsia" w:ascii="宋体" w:hAnsi="宋体" w:cs="宋体"/>
                <w:color w:val="auto"/>
                <w:kern w:val="0"/>
                <w:sz w:val="24"/>
              </w:rPr>
              <w:t>标</w:t>
            </w:r>
          </w:p>
        </w:tc>
        <w:tc>
          <w:tcPr>
            <w:tcW w:w="8190" w:type="dxa"/>
            <w:vAlign w:val="center"/>
          </w:tcPr>
          <w:p>
            <w:pPr>
              <w:spacing w:line="480" w:lineRule="exact"/>
              <w:ind w:firstLine="482" w:firstLineChars="200"/>
              <w:rPr>
                <w:b/>
                <w:bCs/>
                <w:color w:val="auto"/>
                <w:sz w:val="24"/>
              </w:rPr>
            </w:pPr>
            <w:r>
              <w:rPr>
                <w:rFonts w:hint="eastAsia"/>
                <w:b/>
                <w:bCs/>
                <w:color w:val="auto"/>
                <w:sz w:val="24"/>
              </w:rPr>
              <w:t>1、</w:t>
            </w:r>
            <w:r>
              <w:rPr>
                <w:b/>
                <w:bCs/>
                <w:color w:val="auto"/>
                <w:sz w:val="24"/>
              </w:rPr>
              <w:t>大气环境</w:t>
            </w:r>
          </w:p>
          <w:p>
            <w:pPr>
              <w:spacing w:line="480" w:lineRule="exact"/>
              <w:ind w:firstLine="480" w:firstLineChars="200"/>
              <w:rPr>
                <w:color w:val="auto"/>
                <w:sz w:val="24"/>
              </w:rPr>
            </w:pPr>
            <w:r>
              <w:rPr>
                <w:rFonts w:hint="eastAsia"/>
                <w:color w:val="auto"/>
                <w:sz w:val="24"/>
              </w:rPr>
              <w:t>本项目厂界外500m范围内无自然保护区、风景名胜区、居住区、文化区和农村地区中人群较集中的区域等保护目标。</w:t>
            </w:r>
          </w:p>
          <w:p>
            <w:pPr>
              <w:spacing w:line="480" w:lineRule="exact"/>
              <w:ind w:firstLine="482" w:firstLineChars="200"/>
              <w:rPr>
                <w:b/>
                <w:bCs/>
                <w:color w:val="auto"/>
                <w:sz w:val="24"/>
              </w:rPr>
            </w:pPr>
            <w:r>
              <w:rPr>
                <w:rFonts w:hint="eastAsia"/>
                <w:b/>
                <w:bCs/>
                <w:color w:val="auto"/>
                <w:sz w:val="24"/>
              </w:rPr>
              <w:t>2、</w:t>
            </w:r>
            <w:r>
              <w:rPr>
                <w:b/>
                <w:bCs/>
                <w:color w:val="auto"/>
                <w:sz w:val="24"/>
              </w:rPr>
              <w:t>声环境</w:t>
            </w:r>
          </w:p>
          <w:p>
            <w:pPr>
              <w:spacing w:line="480" w:lineRule="exact"/>
              <w:ind w:firstLine="480" w:firstLineChars="200"/>
              <w:rPr>
                <w:color w:val="auto"/>
                <w:sz w:val="24"/>
              </w:rPr>
            </w:pPr>
            <w:r>
              <w:rPr>
                <w:rFonts w:hint="eastAsia"/>
                <w:color w:val="auto"/>
                <w:sz w:val="24"/>
              </w:rPr>
              <w:t>本项目厂界外50m范围内无声环境保护目标。</w:t>
            </w:r>
          </w:p>
          <w:p>
            <w:pPr>
              <w:spacing w:line="480" w:lineRule="exact"/>
              <w:ind w:firstLine="482" w:firstLineChars="200"/>
              <w:rPr>
                <w:b/>
                <w:bCs/>
                <w:color w:val="auto"/>
                <w:sz w:val="24"/>
              </w:rPr>
            </w:pPr>
            <w:r>
              <w:rPr>
                <w:rFonts w:hint="eastAsia"/>
                <w:b/>
                <w:bCs/>
                <w:color w:val="auto"/>
                <w:sz w:val="24"/>
              </w:rPr>
              <w:t>3、</w:t>
            </w:r>
            <w:r>
              <w:rPr>
                <w:b/>
                <w:bCs/>
                <w:color w:val="auto"/>
                <w:sz w:val="24"/>
              </w:rPr>
              <w:t>地下水环境</w:t>
            </w:r>
          </w:p>
          <w:p>
            <w:pPr>
              <w:spacing w:line="480" w:lineRule="exact"/>
              <w:ind w:firstLine="480" w:firstLineChars="200"/>
              <w:rPr>
                <w:rFonts w:ascii="宋体" w:hAnsi="宋体"/>
                <w:color w:val="auto"/>
                <w:kern w:val="0"/>
              </w:rPr>
            </w:pPr>
            <w:r>
              <w:rPr>
                <w:rFonts w:hint="eastAsia"/>
                <w:color w:val="auto"/>
                <w:sz w:val="24"/>
              </w:rPr>
              <w:t>本项目厂界外500m范围内无地下水集中式饮用水水源和热水、矿泉水、温泉等特殊地下水资源。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tcMar>
              <w:left w:w="28" w:type="dxa"/>
              <w:right w:w="28" w:type="dxa"/>
            </w:tcMar>
            <w:vAlign w:val="center"/>
          </w:tcPr>
          <w:p>
            <w:pPr>
              <w:adjustRightInd w:val="0"/>
              <w:snapToGrid w:val="0"/>
              <w:jc w:val="center"/>
              <w:rPr>
                <w:rFonts w:ascii="宋体" w:hAnsi="宋体" w:cs="宋体"/>
                <w:color w:val="auto"/>
                <w:kern w:val="0"/>
                <w:sz w:val="24"/>
              </w:rPr>
            </w:pPr>
            <w:r>
              <w:rPr>
                <w:rFonts w:hint="eastAsia" w:ascii="宋体" w:hAnsi="宋体" w:cs="宋体"/>
                <w:color w:val="auto"/>
                <w:kern w:val="0"/>
                <w:sz w:val="24"/>
              </w:rPr>
              <w:t>污</w:t>
            </w:r>
          </w:p>
          <w:p>
            <w:pPr>
              <w:adjustRightInd w:val="0"/>
              <w:snapToGrid w:val="0"/>
              <w:jc w:val="center"/>
              <w:rPr>
                <w:rFonts w:ascii="宋体" w:hAnsi="宋体" w:cs="宋体"/>
                <w:color w:val="auto"/>
                <w:kern w:val="0"/>
                <w:sz w:val="24"/>
              </w:rPr>
            </w:pPr>
            <w:r>
              <w:rPr>
                <w:rFonts w:hint="eastAsia" w:ascii="宋体" w:hAnsi="宋体" w:cs="宋体"/>
                <w:color w:val="auto"/>
                <w:kern w:val="0"/>
                <w:sz w:val="24"/>
              </w:rPr>
              <w:t>染</w:t>
            </w:r>
          </w:p>
          <w:p>
            <w:pPr>
              <w:adjustRightInd w:val="0"/>
              <w:snapToGrid w:val="0"/>
              <w:jc w:val="center"/>
              <w:rPr>
                <w:rFonts w:ascii="宋体" w:hAnsi="宋体" w:cs="宋体"/>
                <w:color w:val="auto"/>
                <w:kern w:val="0"/>
                <w:sz w:val="24"/>
              </w:rPr>
            </w:pPr>
            <w:r>
              <w:rPr>
                <w:rFonts w:hint="eastAsia" w:ascii="宋体" w:hAnsi="宋体" w:cs="宋体"/>
                <w:color w:val="auto"/>
                <w:kern w:val="0"/>
                <w:sz w:val="24"/>
              </w:rPr>
              <w:t>物</w:t>
            </w:r>
          </w:p>
          <w:p>
            <w:pPr>
              <w:adjustRightInd w:val="0"/>
              <w:snapToGrid w:val="0"/>
              <w:jc w:val="center"/>
              <w:rPr>
                <w:rFonts w:ascii="宋体" w:hAnsi="宋体" w:cs="宋体"/>
                <w:color w:val="auto"/>
                <w:kern w:val="0"/>
                <w:sz w:val="24"/>
              </w:rPr>
            </w:pPr>
            <w:r>
              <w:rPr>
                <w:rFonts w:hint="eastAsia" w:ascii="宋体" w:hAnsi="宋体" w:cs="宋体"/>
                <w:color w:val="auto"/>
                <w:kern w:val="0"/>
                <w:sz w:val="24"/>
              </w:rPr>
              <w:t>排</w:t>
            </w:r>
          </w:p>
          <w:p>
            <w:pPr>
              <w:adjustRightInd w:val="0"/>
              <w:snapToGrid w:val="0"/>
              <w:jc w:val="center"/>
              <w:rPr>
                <w:rFonts w:ascii="宋体" w:hAnsi="宋体" w:cs="宋体"/>
                <w:color w:val="auto"/>
                <w:kern w:val="0"/>
                <w:sz w:val="24"/>
              </w:rPr>
            </w:pPr>
            <w:r>
              <w:rPr>
                <w:rFonts w:hint="eastAsia" w:ascii="宋体" w:hAnsi="宋体" w:cs="宋体"/>
                <w:color w:val="auto"/>
                <w:kern w:val="0"/>
                <w:sz w:val="24"/>
              </w:rPr>
              <w:t>放</w:t>
            </w:r>
          </w:p>
          <w:p>
            <w:pPr>
              <w:adjustRightInd w:val="0"/>
              <w:snapToGrid w:val="0"/>
              <w:jc w:val="center"/>
              <w:rPr>
                <w:rFonts w:ascii="宋体" w:hAnsi="宋体" w:cs="宋体"/>
                <w:color w:val="auto"/>
                <w:kern w:val="0"/>
                <w:sz w:val="24"/>
              </w:rPr>
            </w:pPr>
            <w:r>
              <w:rPr>
                <w:rFonts w:hint="eastAsia" w:ascii="宋体" w:hAnsi="宋体" w:cs="宋体"/>
                <w:color w:val="auto"/>
                <w:kern w:val="0"/>
                <w:sz w:val="24"/>
              </w:rPr>
              <w:t>控</w:t>
            </w:r>
          </w:p>
          <w:p>
            <w:pPr>
              <w:adjustRightInd w:val="0"/>
              <w:snapToGrid w:val="0"/>
              <w:jc w:val="center"/>
              <w:rPr>
                <w:rFonts w:ascii="宋体" w:hAnsi="宋体" w:cs="宋体"/>
                <w:color w:val="auto"/>
                <w:kern w:val="0"/>
                <w:sz w:val="24"/>
              </w:rPr>
            </w:pPr>
            <w:r>
              <w:rPr>
                <w:rFonts w:hint="eastAsia" w:ascii="宋体" w:hAnsi="宋体" w:cs="宋体"/>
                <w:color w:val="auto"/>
                <w:kern w:val="0"/>
                <w:sz w:val="24"/>
              </w:rPr>
              <w:t>制</w:t>
            </w:r>
          </w:p>
          <w:p>
            <w:pPr>
              <w:adjustRightInd w:val="0"/>
              <w:snapToGrid w:val="0"/>
              <w:jc w:val="center"/>
              <w:rPr>
                <w:rFonts w:ascii="宋体" w:hAnsi="宋体" w:cs="宋体"/>
                <w:color w:val="auto"/>
                <w:kern w:val="0"/>
                <w:sz w:val="24"/>
              </w:rPr>
            </w:pPr>
            <w:r>
              <w:rPr>
                <w:rFonts w:hint="eastAsia" w:ascii="宋体" w:hAnsi="宋体" w:cs="宋体"/>
                <w:color w:val="auto"/>
                <w:kern w:val="0"/>
                <w:sz w:val="24"/>
              </w:rPr>
              <w:t>标</w:t>
            </w:r>
          </w:p>
          <w:p>
            <w:pPr>
              <w:adjustRightInd w:val="0"/>
              <w:snapToGrid w:val="0"/>
              <w:jc w:val="center"/>
              <w:rPr>
                <w:rFonts w:ascii="宋体" w:hAnsi="宋体" w:cs="宋体"/>
                <w:color w:val="auto"/>
                <w:kern w:val="0"/>
                <w:sz w:val="24"/>
              </w:rPr>
            </w:pPr>
            <w:r>
              <w:rPr>
                <w:rFonts w:hint="eastAsia" w:ascii="宋体" w:hAnsi="宋体" w:cs="宋体"/>
                <w:color w:val="auto"/>
                <w:kern w:val="0"/>
                <w:sz w:val="24"/>
              </w:rPr>
              <w:t>准</w:t>
            </w:r>
          </w:p>
        </w:tc>
        <w:tc>
          <w:tcPr>
            <w:tcW w:w="8190" w:type="dxa"/>
            <w:vAlign w:val="center"/>
          </w:tcPr>
          <w:p>
            <w:pPr>
              <w:pStyle w:val="70"/>
              <w:numPr>
                <w:ilvl w:val="0"/>
                <w:numId w:val="12"/>
              </w:numPr>
              <w:rPr>
                <w:rFonts w:hAnsi="宋体"/>
                <w:color w:val="auto"/>
              </w:rPr>
            </w:pPr>
            <w:r>
              <w:rPr>
                <w:rFonts w:hint="eastAsia"/>
                <w:color w:val="auto"/>
                <w:szCs w:val="22"/>
              </w:rPr>
              <w:t>大气污染物</w:t>
            </w:r>
          </w:p>
          <w:p>
            <w:pPr>
              <w:pStyle w:val="70"/>
              <w:adjustRightInd/>
              <w:rPr>
                <w:rFonts w:hAnsi="宋体"/>
                <w:color w:val="auto"/>
              </w:rPr>
            </w:pPr>
            <w:r>
              <w:rPr>
                <w:rFonts w:hint="eastAsia"/>
                <w:color w:val="auto"/>
                <w:szCs w:val="22"/>
              </w:rPr>
              <w:t>运营期</w:t>
            </w:r>
            <w:r>
              <w:rPr>
                <w:rFonts w:hint="eastAsia" w:hAnsi="宋体"/>
                <w:color w:val="auto"/>
              </w:rPr>
              <w:t>厂界非甲烷总烃、颗粒物执行《大气污染物综合排放标准》（GB16297-1996）</w:t>
            </w:r>
            <w:r>
              <w:rPr>
                <w:rFonts w:hint="eastAsia"/>
                <w:color w:val="auto"/>
                <w:szCs w:val="22"/>
              </w:rPr>
              <w:t>表2颗粒物无组织排放限值</w:t>
            </w:r>
            <w:r>
              <w:rPr>
                <w:rFonts w:hint="eastAsia" w:hAnsi="宋体"/>
                <w:color w:val="auto"/>
              </w:rPr>
              <w:t>。</w:t>
            </w:r>
          </w:p>
          <w:p>
            <w:pPr>
              <w:pStyle w:val="70"/>
              <w:rPr>
                <w:color w:val="auto"/>
                <w:szCs w:val="22"/>
              </w:rPr>
            </w:pPr>
            <w:r>
              <w:rPr>
                <w:rFonts w:hint="eastAsia" w:hAnsi="宋体"/>
                <w:color w:val="auto"/>
              </w:rPr>
              <w:t>厂界VOCs执行《大气污染物综合排放标准》（GB16297-1996）</w:t>
            </w:r>
            <w:r>
              <w:rPr>
                <w:rFonts w:hint="eastAsia"/>
                <w:color w:val="auto"/>
                <w:szCs w:val="22"/>
              </w:rPr>
              <w:t>表2非甲烷总烃无组织排放限值（4mg/m</w:t>
            </w:r>
            <w:r>
              <w:rPr>
                <w:rFonts w:hint="eastAsia"/>
                <w:color w:val="auto"/>
                <w:szCs w:val="22"/>
                <w:vertAlign w:val="superscript"/>
              </w:rPr>
              <w:t>3</w:t>
            </w:r>
            <w:r>
              <w:rPr>
                <w:rFonts w:hint="eastAsia"/>
                <w:color w:val="auto"/>
                <w:szCs w:val="22"/>
              </w:rPr>
              <w:t>）；</w:t>
            </w:r>
            <w:r>
              <w:rPr>
                <w:rFonts w:hint="eastAsia"/>
                <w:color w:val="auto"/>
              </w:rPr>
              <w:t>氨执行</w:t>
            </w:r>
            <w:r>
              <w:rPr>
                <w:rFonts w:hint="eastAsia" w:ascii="宋体" w:hAnsi="宋体"/>
                <w:color w:val="auto"/>
                <w:kern w:val="0"/>
                <w:lang w:bidi="ar"/>
              </w:rPr>
              <w:t>《恶臭污染物排放标准》（</w:t>
            </w:r>
            <w:r>
              <w:rPr>
                <w:rFonts w:cs="Times New Roman"/>
                <w:color w:val="auto"/>
                <w:kern w:val="0"/>
                <w:lang w:bidi="ar"/>
              </w:rPr>
              <w:t>GB 14554-93</w:t>
            </w:r>
            <w:r>
              <w:rPr>
                <w:rFonts w:hint="eastAsia" w:ascii="宋体" w:hAnsi="宋体"/>
                <w:color w:val="auto"/>
                <w:kern w:val="0"/>
                <w:lang w:bidi="ar"/>
              </w:rPr>
              <w:t>）表</w:t>
            </w:r>
            <w:r>
              <w:rPr>
                <w:rFonts w:cs="Times New Roman"/>
                <w:color w:val="auto"/>
                <w:kern w:val="0"/>
                <w:lang w:bidi="ar"/>
              </w:rPr>
              <w:t>1</w:t>
            </w:r>
            <w:r>
              <w:rPr>
                <w:rFonts w:hint="eastAsia" w:ascii="宋体" w:hAnsi="宋体"/>
                <w:color w:val="auto"/>
                <w:kern w:val="0"/>
                <w:lang w:bidi="ar"/>
              </w:rPr>
              <w:t>厂界标准的二级标准（新扩改建）；</w:t>
            </w:r>
            <w:r>
              <w:rPr>
                <w:color w:val="auto"/>
              </w:rPr>
              <w:t>厂区内执行《挥发性有机物无组织排放控制标准》（GB37822—2019）表A.1中排放限值监控点处1h平均浓度</w:t>
            </w:r>
            <w:r>
              <w:rPr>
                <w:rFonts w:hint="eastAsia"/>
                <w:color w:val="auto"/>
              </w:rPr>
              <w:t>10</w:t>
            </w:r>
            <w:r>
              <w:rPr>
                <w:color w:val="auto"/>
              </w:rPr>
              <w:t>mg/m³及监控点处任意一次浓度值</w:t>
            </w:r>
            <w:r>
              <w:rPr>
                <w:rFonts w:hint="eastAsia"/>
                <w:color w:val="auto"/>
              </w:rPr>
              <w:t>3</w:t>
            </w:r>
            <w:r>
              <w:rPr>
                <w:color w:val="auto"/>
              </w:rPr>
              <w:t>0mg/m³要求</w:t>
            </w:r>
            <w:r>
              <w:rPr>
                <w:rFonts w:hint="eastAsia" w:hAnsi="宋体"/>
                <w:color w:val="auto"/>
              </w:rPr>
              <w:t>。</w:t>
            </w:r>
          </w:p>
          <w:p>
            <w:pPr>
              <w:pStyle w:val="36"/>
              <w:rPr>
                <w:color w:val="auto"/>
              </w:rPr>
            </w:pPr>
            <w:r>
              <w:rPr>
                <w:color w:val="auto"/>
              </w:rPr>
              <w:t>表3-</w:t>
            </w:r>
            <w:r>
              <w:rPr>
                <w:rFonts w:hint="eastAsia"/>
                <w:color w:val="auto"/>
              </w:rPr>
              <w:t>5</w:t>
            </w:r>
            <w:r>
              <w:rPr>
                <w:color w:val="auto"/>
              </w:rPr>
              <w:t xml:space="preserve">  </w:t>
            </w:r>
            <w:r>
              <w:rPr>
                <w:rFonts w:hint="eastAsia"/>
                <w:color w:val="auto"/>
              </w:rPr>
              <w:t>大气污染物排放限值  单位：</w:t>
            </w:r>
            <w:r>
              <w:rPr>
                <w:color w:val="auto"/>
              </w:rPr>
              <w:t>mg/m</w:t>
            </w:r>
            <w:r>
              <w:rPr>
                <w:color w:val="auto"/>
                <w:vertAlign w:val="superscript"/>
              </w:rPr>
              <w:t>3</w:t>
            </w:r>
          </w:p>
          <w:tbl>
            <w:tblPr>
              <w:tblStyle w:val="29"/>
              <w:tblW w:w="4998" w:type="pct"/>
              <w:tblInd w:w="1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442"/>
              <w:gridCol w:w="1277"/>
              <w:gridCol w:w="48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8" w:type="pct"/>
                  <w:tcBorders>
                    <w:tl2br w:val="nil"/>
                    <w:tr2bl w:val="nil"/>
                  </w:tcBorders>
                </w:tcPr>
                <w:p>
                  <w:pPr>
                    <w:pStyle w:val="46"/>
                    <w:ind w:firstLine="0" w:firstLineChars="0"/>
                    <w:jc w:val="center"/>
                    <w:rPr>
                      <w:color w:val="auto"/>
                      <w:szCs w:val="21"/>
                    </w:rPr>
                  </w:pPr>
                  <w:r>
                    <w:rPr>
                      <w:rFonts w:hint="eastAsia"/>
                      <w:color w:val="auto"/>
                      <w:szCs w:val="21"/>
                    </w:rPr>
                    <w:t>序号</w:t>
                  </w:r>
                </w:p>
              </w:tc>
              <w:tc>
                <w:tcPr>
                  <w:tcW w:w="858" w:type="pct"/>
                  <w:tcBorders>
                    <w:tl2br w:val="nil"/>
                    <w:tr2bl w:val="nil"/>
                  </w:tcBorders>
                </w:tcPr>
                <w:p>
                  <w:pPr>
                    <w:pStyle w:val="46"/>
                    <w:ind w:firstLine="0" w:firstLineChars="0"/>
                    <w:jc w:val="center"/>
                    <w:rPr>
                      <w:color w:val="auto"/>
                      <w:szCs w:val="21"/>
                    </w:rPr>
                  </w:pPr>
                  <w:r>
                    <w:rPr>
                      <w:rFonts w:hint="eastAsia"/>
                      <w:color w:val="auto"/>
                      <w:szCs w:val="21"/>
                    </w:rPr>
                    <w:t>污染物</w:t>
                  </w:r>
                </w:p>
              </w:tc>
              <w:tc>
                <w:tcPr>
                  <w:tcW w:w="760" w:type="pct"/>
                  <w:tcBorders>
                    <w:tl2br w:val="nil"/>
                    <w:tr2bl w:val="nil"/>
                  </w:tcBorders>
                </w:tcPr>
                <w:p>
                  <w:pPr>
                    <w:pStyle w:val="46"/>
                    <w:ind w:firstLine="0" w:firstLineChars="0"/>
                    <w:jc w:val="center"/>
                    <w:rPr>
                      <w:color w:val="auto"/>
                      <w:szCs w:val="21"/>
                    </w:rPr>
                  </w:pPr>
                  <w:r>
                    <w:rPr>
                      <w:rFonts w:hint="eastAsia"/>
                      <w:color w:val="auto"/>
                      <w:szCs w:val="21"/>
                    </w:rPr>
                    <w:t>标准值</w:t>
                  </w:r>
                </w:p>
              </w:tc>
              <w:tc>
                <w:tcPr>
                  <w:tcW w:w="2872" w:type="pct"/>
                  <w:tcBorders>
                    <w:tl2br w:val="nil"/>
                    <w:tr2bl w:val="nil"/>
                  </w:tcBorders>
                </w:tcPr>
                <w:p>
                  <w:pPr>
                    <w:pStyle w:val="46"/>
                    <w:ind w:firstLine="420"/>
                    <w:jc w:val="center"/>
                    <w:rPr>
                      <w:color w:val="auto"/>
                      <w:szCs w:val="21"/>
                    </w:rPr>
                  </w:pPr>
                  <w:r>
                    <w:rPr>
                      <w:color w:val="auto"/>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8" w:type="pct"/>
                  <w:tcBorders>
                    <w:tl2br w:val="nil"/>
                    <w:tr2bl w:val="nil"/>
                  </w:tcBorders>
                  <w:vAlign w:val="center"/>
                </w:tcPr>
                <w:p>
                  <w:pPr>
                    <w:pStyle w:val="46"/>
                    <w:ind w:firstLine="0" w:firstLineChars="0"/>
                    <w:jc w:val="center"/>
                    <w:rPr>
                      <w:color w:val="auto"/>
                      <w:szCs w:val="21"/>
                    </w:rPr>
                  </w:pPr>
                  <w:r>
                    <w:rPr>
                      <w:rFonts w:hint="eastAsia"/>
                      <w:color w:val="auto"/>
                      <w:szCs w:val="21"/>
                    </w:rPr>
                    <w:t>1</w:t>
                  </w:r>
                </w:p>
              </w:tc>
              <w:tc>
                <w:tcPr>
                  <w:tcW w:w="858" w:type="pct"/>
                  <w:tcBorders>
                    <w:tl2br w:val="nil"/>
                    <w:tr2bl w:val="nil"/>
                  </w:tcBorders>
                  <w:vAlign w:val="center"/>
                </w:tcPr>
                <w:p>
                  <w:pPr>
                    <w:pStyle w:val="46"/>
                    <w:ind w:firstLine="0" w:firstLineChars="0"/>
                    <w:jc w:val="center"/>
                    <w:rPr>
                      <w:color w:val="auto"/>
                      <w:szCs w:val="21"/>
                    </w:rPr>
                  </w:pPr>
                  <w:r>
                    <w:rPr>
                      <w:rFonts w:hint="eastAsia"/>
                      <w:color w:val="auto"/>
                      <w:szCs w:val="21"/>
                    </w:rPr>
                    <w:t>非甲烷总烃</w:t>
                  </w:r>
                </w:p>
              </w:tc>
              <w:tc>
                <w:tcPr>
                  <w:tcW w:w="760" w:type="pct"/>
                  <w:tcBorders>
                    <w:tl2br w:val="nil"/>
                    <w:tr2bl w:val="nil"/>
                  </w:tcBorders>
                  <w:vAlign w:val="center"/>
                </w:tcPr>
                <w:p>
                  <w:pPr>
                    <w:pStyle w:val="46"/>
                    <w:ind w:firstLine="0" w:firstLineChars="0"/>
                    <w:jc w:val="center"/>
                    <w:rPr>
                      <w:color w:val="auto"/>
                      <w:szCs w:val="21"/>
                    </w:rPr>
                  </w:pPr>
                  <w:r>
                    <w:rPr>
                      <w:rFonts w:hint="eastAsia"/>
                      <w:color w:val="auto"/>
                      <w:szCs w:val="21"/>
                    </w:rPr>
                    <w:t>4.0</w:t>
                  </w:r>
                  <w:r>
                    <w:rPr>
                      <w:color w:val="auto"/>
                      <w:szCs w:val="21"/>
                    </w:rPr>
                    <w:t>mg/m</w:t>
                  </w:r>
                  <w:r>
                    <w:rPr>
                      <w:color w:val="auto"/>
                      <w:szCs w:val="21"/>
                      <w:vertAlign w:val="superscript"/>
                    </w:rPr>
                    <w:t>3</w:t>
                  </w:r>
                </w:p>
              </w:tc>
              <w:tc>
                <w:tcPr>
                  <w:tcW w:w="2872" w:type="pct"/>
                  <w:vMerge w:val="restart"/>
                  <w:tcBorders>
                    <w:tl2br w:val="nil"/>
                    <w:tr2bl w:val="nil"/>
                  </w:tcBorders>
                  <w:vAlign w:val="center"/>
                </w:tcPr>
                <w:p>
                  <w:pPr>
                    <w:pStyle w:val="46"/>
                    <w:ind w:firstLine="0" w:firstLineChars="0"/>
                    <w:jc w:val="center"/>
                    <w:rPr>
                      <w:color w:val="auto"/>
                      <w:szCs w:val="21"/>
                    </w:rPr>
                  </w:pPr>
                  <w:r>
                    <w:rPr>
                      <w:rFonts w:hint="eastAsia"/>
                      <w:color w:val="auto"/>
                      <w:szCs w:val="21"/>
                    </w:rPr>
                    <w:t>《大气污染物综合排放标准》（GB16297-1996）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508" w:type="pct"/>
                  <w:tcBorders>
                    <w:tl2br w:val="nil"/>
                    <w:tr2bl w:val="nil"/>
                  </w:tcBorders>
                  <w:vAlign w:val="center"/>
                </w:tcPr>
                <w:p>
                  <w:pPr>
                    <w:pStyle w:val="46"/>
                    <w:ind w:firstLine="0" w:firstLineChars="0"/>
                    <w:jc w:val="center"/>
                    <w:rPr>
                      <w:color w:val="auto"/>
                      <w:szCs w:val="21"/>
                    </w:rPr>
                  </w:pPr>
                  <w:r>
                    <w:rPr>
                      <w:rFonts w:hint="eastAsia"/>
                      <w:color w:val="auto"/>
                      <w:szCs w:val="21"/>
                    </w:rPr>
                    <w:t>2</w:t>
                  </w:r>
                </w:p>
              </w:tc>
              <w:tc>
                <w:tcPr>
                  <w:tcW w:w="858" w:type="pct"/>
                  <w:tcBorders>
                    <w:tl2br w:val="nil"/>
                    <w:tr2bl w:val="nil"/>
                  </w:tcBorders>
                  <w:vAlign w:val="center"/>
                </w:tcPr>
                <w:p>
                  <w:pPr>
                    <w:pStyle w:val="46"/>
                    <w:ind w:firstLine="0" w:firstLineChars="0"/>
                    <w:jc w:val="center"/>
                    <w:rPr>
                      <w:color w:val="auto"/>
                      <w:szCs w:val="21"/>
                    </w:rPr>
                  </w:pPr>
                  <w:r>
                    <w:rPr>
                      <w:rFonts w:hint="eastAsia"/>
                      <w:color w:val="auto"/>
                      <w:szCs w:val="21"/>
                    </w:rPr>
                    <w:t>颗粒物</w:t>
                  </w:r>
                </w:p>
              </w:tc>
              <w:tc>
                <w:tcPr>
                  <w:tcW w:w="760" w:type="pct"/>
                  <w:tcBorders>
                    <w:tl2br w:val="nil"/>
                    <w:tr2bl w:val="nil"/>
                  </w:tcBorders>
                  <w:vAlign w:val="center"/>
                </w:tcPr>
                <w:p>
                  <w:pPr>
                    <w:pStyle w:val="46"/>
                    <w:ind w:firstLine="0" w:firstLineChars="0"/>
                    <w:jc w:val="center"/>
                    <w:rPr>
                      <w:color w:val="auto"/>
                      <w:szCs w:val="21"/>
                    </w:rPr>
                  </w:pPr>
                  <w:r>
                    <w:rPr>
                      <w:rFonts w:hint="eastAsia"/>
                      <w:color w:val="auto"/>
                      <w:szCs w:val="21"/>
                    </w:rPr>
                    <w:t>1.0</w:t>
                  </w:r>
                  <w:r>
                    <w:rPr>
                      <w:color w:val="auto"/>
                      <w:szCs w:val="21"/>
                    </w:rPr>
                    <w:t>mg/m</w:t>
                  </w:r>
                  <w:r>
                    <w:rPr>
                      <w:color w:val="auto"/>
                      <w:szCs w:val="21"/>
                      <w:vertAlign w:val="superscript"/>
                    </w:rPr>
                    <w:t>3</w:t>
                  </w:r>
                </w:p>
              </w:tc>
              <w:tc>
                <w:tcPr>
                  <w:tcW w:w="2872" w:type="pct"/>
                  <w:vMerge w:val="continue"/>
                  <w:tcBorders>
                    <w:tl2br w:val="nil"/>
                    <w:tr2bl w:val="nil"/>
                  </w:tcBorders>
                  <w:vAlign w:val="center"/>
                </w:tcPr>
                <w:p>
                  <w:pPr>
                    <w:pStyle w:val="46"/>
                    <w:ind w:firstLine="0" w:firstLineChars="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508" w:type="pct"/>
                  <w:tcBorders>
                    <w:tl2br w:val="nil"/>
                    <w:tr2bl w:val="nil"/>
                  </w:tcBorders>
                  <w:vAlign w:val="center"/>
                </w:tcPr>
                <w:p>
                  <w:pPr>
                    <w:pStyle w:val="46"/>
                    <w:ind w:firstLine="0" w:firstLineChars="0"/>
                    <w:jc w:val="center"/>
                    <w:rPr>
                      <w:color w:val="auto"/>
                      <w:szCs w:val="21"/>
                    </w:rPr>
                  </w:pPr>
                  <w:r>
                    <w:rPr>
                      <w:rFonts w:hint="eastAsia"/>
                      <w:color w:val="auto"/>
                      <w:szCs w:val="21"/>
                    </w:rPr>
                    <w:t>3</w:t>
                  </w:r>
                </w:p>
              </w:tc>
              <w:tc>
                <w:tcPr>
                  <w:tcW w:w="858" w:type="pct"/>
                  <w:tcBorders>
                    <w:tl2br w:val="nil"/>
                    <w:tr2bl w:val="nil"/>
                  </w:tcBorders>
                  <w:vAlign w:val="center"/>
                </w:tcPr>
                <w:p>
                  <w:pPr>
                    <w:pStyle w:val="46"/>
                    <w:ind w:firstLine="0" w:firstLineChars="0"/>
                    <w:jc w:val="center"/>
                    <w:rPr>
                      <w:color w:val="auto"/>
                      <w:szCs w:val="21"/>
                    </w:rPr>
                  </w:pPr>
                  <w:r>
                    <w:rPr>
                      <w:rFonts w:hint="eastAsia"/>
                      <w:color w:val="auto"/>
                      <w:szCs w:val="21"/>
                    </w:rPr>
                    <w:t>氨</w:t>
                  </w:r>
                </w:p>
              </w:tc>
              <w:tc>
                <w:tcPr>
                  <w:tcW w:w="760" w:type="pct"/>
                  <w:tcBorders>
                    <w:tl2br w:val="nil"/>
                    <w:tr2bl w:val="nil"/>
                  </w:tcBorders>
                  <w:vAlign w:val="center"/>
                </w:tcPr>
                <w:p>
                  <w:pPr>
                    <w:pStyle w:val="46"/>
                    <w:ind w:firstLine="0" w:firstLineChars="0"/>
                    <w:jc w:val="center"/>
                    <w:rPr>
                      <w:color w:val="auto"/>
                      <w:szCs w:val="21"/>
                    </w:rPr>
                  </w:pPr>
                  <w:r>
                    <w:rPr>
                      <w:rFonts w:hint="eastAsia"/>
                      <w:color w:val="auto"/>
                      <w:szCs w:val="21"/>
                    </w:rPr>
                    <w:t>1.5</w:t>
                  </w:r>
                  <w:r>
                    <w:rPr>
                      <w:color w:val="auto"/>
                      <w:szCs w:val="21"/>
                    </w:rPr>
                    <w:t>mg/m</w:t>
                  </w:r>
                  <w:r>
                    <w:rPr>
                      <w:color w:val="auto"/>
                      <w:szCs w:val="21"/>
                      <w:vertAlign w:val="superscript"/>
                    </w:rPr>
                    <w:t>3</w:t>
                  </w:r>
                </w:p>
              </w:tc>
              <w:tc>
                <w:tcPr>
                  <w:tcW w:w="2872" w:type="pct"/>
                  <w:vMerge w:val="restart"/>
                  <w:tcBorders>
                    <w:tl2br w:val="nil"/>
                    <w:tr2bl w:val="nil"/>
                  </w:tcBorders>
                  <w:vAlign w:val="center"/>
                </w:tcPr>
                <w:p>
                  <w:pPr>
                    <w:pStyle w:val="46"/>
                    <w:ind w:firstLine="0" w:firstLineChars="0"/>
                    <w:jc w:val="center"/>
                    <w:rPr>
                      <w:color w:val="auto"/>
                      <w:szCs w:val="21"/>
                    </w:rPr>
                  </w:pPr>
                  <w:r>
                    <w:rPr>
                      <w:rFonts w:hint="eastAsia" w:ascii="宋体" w:hAnsi="宋体" w:cs="宋体"/>
                      <w:color w:val="auto"/>
                      <w:szCs w:val="21"/>
                      <w:lang w:bidi="ar"/>
                    </w:rPr>
                    <w:t>《恶臭污染物排放标准》（</w:t>
                  </w:r>
                  <w:r>
                    <w:rPr>
                      <w:color w:val="auto"/>
                      <w:szCs w:val="21"/>
                      <w:lang w:bidi="ar"/>
                    </w:rPr>
                    <w:t>GB 14554-93</w:t>
                  </w:r>
                  <w:r>
                    <w:rPr>
                      <w:rFonts w:hint="eastAsia" w:ascii="宋体" w:hAnsi="宋体" w:cs="宋体"/>
                      <w:color w:val="auto"/>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508" w:type="pct"/>
                  <w:tcBorders>
                    <w:tl2br w:val="nil"/>
                    <w:tr2bl w:val="nil"/>
                  </w:tcBorders>
                  <w:vAlign w:val="center"/>
                </w:tcPr>
                <w:p>
                  <w:pPr>
                    <w:pStyle w:val="46"/>
                    <w:ind w:firstLine="0" w:firstLineChars="0"/>
                    <w:jc w:val="center"/>
                    <w:rPr>
                      <w:rFonts w:hint="eastAsia" w:eastAsia="宋体"/>
                      <w:color w:val="auto"/>
                      <w:szCs w:val="21"/>
                      <w:lang w:val="en-US" w:eastAsia="zh-CN"/>
                    </w:rPr>
                  </w:pPr>
                  <w:r>
                    <w:rPr>
                      <w:rFonts w:hint="eastAsia"/>
                      <w:color w:val="auto"/>
                      <w:szCs w:val="21"/>
                      <w:lang w:val="en-US" w:eastAsia="zh-CN"/>
                    </w:rPr>
                    <w:t>4</w:t>
                  </w:r>
                </w:p>
              </w:tc>
              <w:tc>
                <w:tcPr>
                  <w:tcW w:w="858" w:type="pct"/>
                  <w:tcBorders>
                    <w:tl2br w:val="nil"/>
                    <w:tr2bl w:val="nil"/>
                  </w:tcBorders>
                  <w:vAlign w:val="center"/>
                </w:tcPr>
                <w:p>
                  <w:pPr>
                    <w:pStyle w:val="46"/>
                    <w:ind w:firstLine="0" w:firstLineChars="0"/>
                    <w:jc w:val="center"/>
                    <w:rPr>
                      <w:rFonts w:hint="default" w:eastAsia="宋体"/>
                      <w:color w:val="auto"/>
                      <w:szCs w:val="21"/>
                      <w:lang w:val="en-US" w:eastAsia="zh-CN"/>
                    </w:rPr>
                  </w:pPr>
                  <w:r>
                    <w:rPr>
                      <w:rFonts w:hint="eastAsia"/>
                      <w:color w:val="auto"/>
                      <w:szCs w:val="21"/>
                      <w:lang w:val="en-US" w:eastAsia="zh-CN"/>
                    </w:rPr>
                    <w:t>臭气浓度</w:t>
                  </w:r>
                </w:p>
              </w:tc>
              <w:tc>
                <w:tcPr>
                  <w:tcW w:w="760" w:type="pct"/>
                  <w:tcBorders>
                    <w:tl2br w:val="nil"/>
                    <w:tr2bl w:val="nil"/>
                  </w:tcBorders>
                  <w:vAlign w:val="center"/>
                </w:tcPr>
                <w:p>
                  <w:pPr>
                    <w:pStyle w:val="46"/>
                    <w:ind w:firstLine="0" w:firstLineChars="0"/>
                    <w:jc w:val="center"/>
                    <w:rPr>
                      <w:rFonts w:hint="default" w:eastAsia="宋体"/>
                      <w:color w:val="auto"/>
                      <w:szCs w:val="21"/>
                      <w:lang w:val="en-US" w:eastAsia="zh-CN"/>
                    </w:rPr>
                  </w:pPr>
                  <w:r>
                    <w:rPr>
                      <w:rFonts w:hint="eastAsia"/>
                      <w:color w:val="auto"/>
                      <w:szCs w:val="21"/>
                      <w:lang w:val="en-US" w:eastAsia="zh-CN"/>
                    </w:rPr>
                    <w:t>20（无量纲）</w:t>
                  </w:r>
                </w:p>
              </w:tc>
              <w:tc>
                <w:tcPr>
                  <w:tcW w:w="2872" w:type="pct"/>
                  <w:vMerge w:val="continue"/>
                  <w:tcBorders>
                    <w:tl2br w:val="nil"/>
                    <w:tr2bl w:val="nil"/>
                  </w:tcBorders>
                  <w:vAlign w:val="center"/>
                </w:tcPr>
                <w:p>
                  <w:pPr>
                    <w:pStyle w:val="46"/>
                    <w:ind w:firstLine="0" w:firstLineChars="0"/>
                    <w:jc w:val="center"/>
                    <w:rPr>
                      <w:rFonts w:hint="eastAsia" w:ascii="宋体" w:hAnsi="宋体" w:cs="宋体"/>
                      <w:color w:val="auto"/>
                      <w:szCs w:val="21"/>
                      <w:lang w:bidi="ar"/>
                    </w:rPr>
                  </w:pPr>
                </w:p>
              </w:tc>
            </w:tr>
          </w:tbl>
          <w:p>
            <w:pPr>
              <w:pStyle w:val="36"/>
              <w:rPr>
                <w:color w:val="auto"/>
              </w:rPr>
            </w:pPr>
            <w:r>
              <w:rPr>
                <w:color w:val="auto"/>
              </w:rPr>
              <w:t>表3-</w:t>
            </w:r>
            <w:r>
              <w:rPr>
                <w:rFonts w:hint="eastAsia"/>
                <w:color w:val="auto"/>
              </w:rPr>
              <w:t xml:space="preserve">6 </w:t>
            </w:r>
            <w:r>
              <w:rPr>
                <w:color w:val="auto"/>
              </w:rPr>
              <w:t xml:space="preserve">   厂区内无组织废气控制标准</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6"/>
              <w:gridCol w:w="1963"/>
              <w:gridCol w:w="1714"/>
              <w:gridCol w:w="36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658" w:type="pct"/>
                  <w:tcBorders>
                    <w:top w:val="single" w:color="auto" w:sz="12" w:space="0"/>
                    <w:left w:val="nil"/>
                    <w:bottom w:val="single" w:color="auto" w:sz="4" w:space="0"/>
                    <w:right w:val="single" w:color="auto" w:sz="4" w:space="0"/>
                  </w:tcBorders>
                  <w:vAlign w:val="center"/>
                </w:tcPr>
                <w:p>
                  <w:pPr>
                    <w:overflowPunct w:val="0"/>
                    <w:jc w:val="center"/>
                    <w:rPr>
                      <w:color w:val="auto"/>
                      <w:kern w:val="0"/>
                      <w:szCs w:val="21"/>
                    </w:rPr>
                  </w:pPr>
                  <w:r>
                    <w:rPr>
                      <w:color w:val="auto"/>
                      <w:kern w:val="0"/>
                      <w:szCs w:val="21"/>
                    </w:rPr>
                    <w:t>污染物</w:t>
                  </w:r>
                </w:p>
              </w:tc>
              <w:tc>
                <w:tcPr>
                  <w:tcW w:w="1168" w:type="pct"/>
                  <w:tcBorders>
                    <w:top w:val="single" w:color="auto" w:sz="12" w:space="0"/>
                    <w:left w:val="single" w:color="auto" w:sz="4" w:space="0"/>
                    <w:bottom w:val="single" w:color="auto" w:sz="4" w:space="0"/>
                    <w:right w:val="single" w:color="auto" w:sz="4" w:space="0"/>
                  </w:tcBorders>
                  <w:vAlign w:val="center"/>
                </w:tcPr>
                <w:p>
                  <w:pPr>
                    <w:overflowPunct w:val="0"/>
                    <w:jc w:val="center"/>
                    <w:rPr>
                      <w:color w:val="auto"/>
                      <w:kern w:val="0"/>
                      <w:szCs w:val="21"/>
                    </w:rPr>
                  </w:pPr>
                  <w:r>
                    <w:rPr>
                      <w:color w:val="auto"/>
                      <w:kern w:val="0"/>
                      <w:szCs w:val="21"/>
                    </w:rPr>
                    <w:t>监控点1h评价浓度值</w:t>
                  </w:r>
                </w:p>
              </w:tc>
              <w:tc>
                <w:tcPr>
                  <w:tcW w:w="1020" w:type="pct"/>
                  <w:tcBorders>
                    <w:top w:val="single" w:color="auto" w:sz="12" w:space="0"/>
                    <w:left w:val="single" w:color="auto" w:sz="4" w:space="0"/>
                    <w:bottom w:val="single" w:color="auto" w:sz="4" w:space="0"/>
                    <w:right w:val="single" w:color="auto" w:sz="4" w:space="0"/>
                  </w:tcBorders>
                  <w:vAlign w:val="center"/>
                </w:tcPr>
                <w:p>
                  <w:pPr>
                    <w:overflowPunct w:val="0"/>
                    <w:jc w:val="center"/>
                    <w:rPr>
                      <w:color w:val="auto"/>
                      <w:kern w:val="0"/>
                      <w:szCs w:val="21"/>
                    </w:rPr>
                  </w:pPr>
                  <w:r>
                    <w:rPr>
                      <w:color w:val="auto"/>
                      <w:kern w:val="0"/>
                      <w:szCs w:val="21"/>
                    </w:rPr>
                    <w:t>监控点任意一次浓度值</w:t>
                  </w:r>
                </w:p>
              </w:tc>
              <w:tc>
                <w:tcPr>
                  <w:tcW w:w="2152" w:type="pct"/>
                  <w:tcBorders>
                    <w:top w:val="single" w:color="auto" w:sz="12" w:space="0"/>
                    <w:left w:val="single" w:color="auto" w:sz="4" w:space="0"/>
                    <w:bottom w:val="single" w:color="auto" w:sz="4" w:space="0"/>
                    <w:right w:val="nil"/>
                  </w:tcBorders>
                  <w:vAlign w:val="center"/>
                </w:tcPr>
                <w:p>
                  <w:pPr>
                    <w:overflowPunct w:val="0"/>
                    <w:jc w:val="center"/>
                    <w:rPr>
                      <w:color w:val="auto"/>
                      <w:kern w:val="0"/>
                      <w:szCs w:val="21"/>
                    </w:rPr>
                  </w:pPr>
                  <w:r>
                    <w:rPr>
                      <w:color w:val="auto"/>
                      <w:kern w:val="0"/>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658" w:type="pct"/>
                  <w:tcBorders>
                    <w:top w:val="single" w:color="auto" w:sz="4" w:space="0"/>
                    <w:left w:val="nil"/>
                    <w:bottom w:val="single" w:color="auto" w:sz="12" w:space="0"/>
                    <w:right w:val="single" w:color="auto" w:sz="4" w:space="0"/>
                  </w:tcBorders>
                  <w:vAlign w:val="center"/>
                </w:tcPr>
                <w:p>
                  <w:pPr>
                    <w:overflowPunct w:val="0"/>
                    <w:jc w:val="center"/>
                    <w:rPr>
                      <w:color w:val="auto"/>
                      <w:kern w:val="0"/>
                      <w:szCs w:val="21"/>
                    </w:rPr>
                  </w:pPr>
                  <w:r>
                    <w:rPr>
                      <w:color w:val="auto"/>
                      <w:kern w:val="0"/>
                      <w:szCs w:val="21"/>
                    </w:rPr>
                    <w:t>非甲烷总烃</w:t>
                  </w:r>
                </w:p>
              </w:tc>
              <w:tc>
                <w:tcPr>
                  <w:tcW w:w="1168" w:type="pct"/>
                  <w:tcBorders>
                    <w:top w:val="single" w:color="auto" w:sz="4" w:space="0"/>
                    <w:left w:val="single" w:color="auto" w:sz="4" w:space="0"/>
                    <w:bottom w:val="single" w:color="auto" w:sz="12" w:space="0"/>
                    <w:right w:val="single" w:color="auto" w:sz="4" w:space="0"/>
                  </w:tcBorders>
                  <w:vAlign w:val="center"/>
                </w:tcPr>
                <w:p>
                  <w:pPr>
                    <w:overflowPunct w:val="0"/>
                    <w:jc w:val="center"/>
                    <w:rPr>
                      <w:color w:val="auto"/>
                      <w:kern w:val="0"/>
                      <w:szCs w:val="21"/>
                    </w:rPr>
                  </w:pPr>
                  <w:r>
                    <w:rPr>
                      <w:rFonts w:hint="eastAsia"/>
                      <w:color w:val="auto"/>
                      <w:kern w:val="0"/>
                      <w:szCs w:val="21"/>
                    </w:rPr>
                    <w:t>10</w:t>
                  </w:r>
                  <w:r>
                    <w:rPr>
                      <w:color w:val="auto"/>
                      <w:kern w:val="0"/>
                      <w:szCs w:val="21"/>
                    </w:rPr>
                    <w:t>mg/m</w:t>
                  </w:r>
                  <w:r>
                    <w:rPr>
                      <w:color w:val="auto"/>
                      <w:kern w:val="0"/>
                      <w:szCs w:val="21"/>
                      <w:vertAlign w:val="superscript"/>
                    </w:rPr>
                    <w:t>3</w:t>
                  </w:r>
                </w:p>
              </w:tc>
              <w:tc>
                <w:tcPr>
                  <w:tcW w:w="1020" w:type="pct"/>
                  <w:tcBorders>
                    <w:top w:val="single" w:color="auto" w:sz="4" w:space="0"/>
                    <w:left w:val="single" w:color="auto" w:sz="4" w:space="0"/>
                    <w:bottom w:val="single" w:color="auto" w:sz="12" w:space="0"/>
                    <w:right w:val="single" w:color="auto" w:sz="4" w:space="0"/>
                  </w:tcBorders>
                  <w:vAlign w:val="center"/>
                </w:tcPr>
                <w:p>
                  <w:pPr>
                    <w:overflowPunct w:val="0"/>
                    <w:jc w:val="center"/>
                    <w:rPr>
                      <w:color w:val="auto"/>
                      <w:kern w:val="0"/>
                      <w:szCs w:val="21"/>
                    </w:rPr>
                  </w:pPr>
                  <w:r>
                    <w:rPr>
                      <w:rFonts w:hint="eastAsia"/>
                      <w:color w:val="auto"/>
                      <w:kern w:val="0"/>
                      <w:szCs w:val="21"/>
                    </w:rPr>
                    <w:t>30</w:t>
                  </w:r>
                  <w:r>
                    <w:rPr>
                      <w:color w:val="auto"/>
                      <w:kern w:val="0"/>
                      <w:szCs w:val="21"/>
                    </w:rPr>
                    <w:t>mg/m</w:t>
                  </w:r>
                  <w:r>
                    <w:rPr>
                      <w:color w:val="auto"/>
                      <w:kern w:val="0"/>
                      <w:szCs w:val="21"/>
                      <w:vertAlign w:val="superscript"/>
                    </w:rPr>
                    <w:t>3</w:t>
                  </w:r>
                </w:p>
              </w:tc>
              <w:tc>
                <w:tcPr>
                  <w:tcW w:w="2152" w:type="pct"/>
                  <w:tcBorders>
                    <w:top w:val="single" w:color="auto" w:sz="4" w:space="0"/>
                    <w:left w:val="single" w:color="auto" w:sz="4" w:space="0"/>
                    <w:bottom w:val="single" w:color="auto" w:sz="12" w:space="0"/>
                    <w:right w:val="nil"/>
                  </w:tcBorders>
                  <w:vAlign w:val="center"/>
                </w:tcPr>
                <w:p>
                  <w:pPr>
                    <w:overflowPunct w:val="0"/>
                    <w:jc w:val="center"/>
                    <w:rPr>
                      <w:color w:val="auto"/>
                      <w:kern w:val="0"/>
                      <w:szCs w:val="21"/>
                    </w:rPr>
                  </w:pPr>
                  <w:r>
                    <w:rPr>
                      <w:color w:val="auto"/>
                      <w:kern w:val="0"/>
                      <w:szCs w:val="21"/>
                    </w:rPr>
                    <w:t>《挥发性有机物无组织排放控制标准》（GB37822-2019）附录A.1</w:t>
                  </w:r>
                  <w:r>
                    <w:rPr>
                      <w:rFonts w:hint="eastAsia"/>
                      <w:color w:val="auto"/>
                      <w:kern w:val="0"/>
                      <w:szCs w:val="21"/>
                    </w:rPr>
                    <w:t>特别排放</w:t>
                  </w:r>
                  <w:r>
                    <w:rPr>
                      <w:color w:val="auto"/>
                      <w:kern w:val="0"/>
                      <w:szCs w:val="21"/>
                    </w:rPr>
                    <w:t>限值</w:t>
                  </w:r>
                </w:p>
              </w:tc>
            </w:tr>
          </w:tbl>
          <w:p>
            <w:pPr>
              <w:pStyle w:val="70"/>
              <w:rPr>
                <w:rFonts w:cs="Times New Roman"/>
                <w:color w:val="auto"/>
              </w:rPr>
            </w:pPr>
            <w:r>
              <w:rPr>
                <w:color w:val="auto"/>
              </w:rPr>
              <w:t>（2）废水：</w:t>
            </w:r>
            <w:r>
              <w:rPr>
                <w:rFonts w:hint="eastAsia"/>
                <w:color w:val="auto"/>
                <w:kern w:val="0"/>
              </w:rPr>
              <w:t>运营期废水执行</w:t>
            </w:r>
            <w:r>
              <w:rPr>
                <w:rFonts w:cs="Times New Roman"/>
                <w:color w:val="auto"/>
              </w:rPr>
              <w:t>《城市污水再利用城市杂用水水质》（GB/T18920-20</w:t>
            </w:r>
            <w:r>
              <w:rPr>
                <w:rFonts w:hint="eastAsia" w:cs="Times New Roman"/>
                <w:color w:val="auto"/>
              </w:rPr>
              <w:t>20</w:t>
            </w:r>
            <w:r>
              <w:rPr>
                <w:rFonts w:cs="Times New Roman"/>
                <w:color w:val="auto"/>
              </w:rPr>
              <w:t>）</w:t>
            </w:r>
            <w:r>
              <w:rPr>
                <w:rFonts w:hint="eastAsia" w:cs="Times New Roman"/>
                <w:color w:val="auto"/>
              </w:rPr>
              <w:t>绿化用水标准限值。</w:t>
            </w:r>
          </w:p>
          <w:p>
            <w:pPr>
              <w:pStyle w:val="36"/>
              <w:rPr>
                <w:color w:val="auto"/>
              </w:rPr>
            </w:pPr>
            <w:r>
              <w:rPr>
                <w:color w:val="auto"/>
              </w:rPr>
              <w:t>表3-</w:t>
            </w:r>
            <w:r>
              <w:rPr>
                <w:rFonts w:hint="eastAsia"/>
                <w:color w:val="auto"/>
              </w:rPr>
              <w:t>7</w:t>
            </w:r>
            <w:r>
              <w:rPr>
                <w:color w:val="auto"/>
              </w:rPr>
              <w:t xml:space="preserve"> 《城市污水再利用城市杂用水水质》（GB/T18920-2020）绿化用水</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7"/>
              <w:gridCol w:w="2798"/>
              <w:gridCol w:w="2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Borders>
                    <w:top w:val="single" w:color="auto" w:sz="12" w:space="0"/>
                    <w:left w:val="nil"/>
                    <w:bottom w:val="single" w:color="auto" w:sz="6" w:space="0"/>
                    <w:right w:val="single" w:color="auto" w:sz="6" w:space="0"/>
                  </w:tcBorders>
                </w:tcPr>
                <w:p>
                  <w:pPr>
                    <w:pStyle w:val="70"/>
                    <w:spacing w:line="240" w:lineRule="auto"/>
                    <w:ind w:firstLine="0" w:firstLineChars="0"/>
                    <w:jc w:val="center"/>
                    <w:rPr>
                      <w:color w:val="auto"/>
                      <w:sz w:val="21"/>
                      <w:szCs w:val="20"/>
                    </w:rPr>
                  </w:pPr>
                  <w:r>
                    <w:rPr>
                      <w:rFonts w:hint="eastAsia"/>
                      <w:color w:val="auto"/>
                      <w:sz w:val="21"/>
                      <w:szCs w:val="20"/>
                    </w:rPr>
                    <w:t>序号</w:t>
                  </w:r>
                </w:p>
              </w:tc>
              <w:tc>
                <w:tcPr>
                  <w:tcW w:w="1666" w:type="pct"/>
                  <w:tcBorders>
                    <w:top w:val="single" w:color="auto" w:sz="12" w:space="0"/>
                    <w:left w:val="single" w:color="auto" w:sz="6" w:space="0"/>
                    <w:bottom w:val="single" w:color="auto" w:sz="6" w:space="0"/>
                    <w:right w:val="single" w:color="auto" w:sz="6" w:space="0"/>
                  </w:tcBorders>
                </w:tcPr>
                <w:p>
                  <w:pPr>
                    <w:pStyle w:val="70"/>
                    <w:spacing w:line="240" w:lineRule="auto"/>
                    <w:ind w:firstLine="0" w:firstLineChars="0"/>
                    <w:jc w:val="center"/>
                    <w:rPr>
                      <w:color w:val="auto"/>
                      <w:sz w:val="21"/>
                      <w:szCs w:val="20"/>
                    </w:rPr>
                  </w:pPr>
                  <w:r>
                    <w:rPr>
                      <w:rFonts w:hint="eastAsia"/>
                      <w:color w:val="auto"/>
                      <w:sz w:val="21"/>
                      <w:szCs w:val="20"/>
                    </w:rPr>
                    <w:t>项目</w:t>
                  </w:r>
                </w:p>
              </w:tc>
              <w:tc>
                <w:tcPr>
                  <w:tcW w:w="1666" w:type="pct"/>
                  <w:tcBorders>
                    <w:top w:val="single" w:color="auto" w:sz="12" w:space="0"/>
                    <w:left w:val="single" w:color="auto" w:sz="6" w:space="0"/>
                    <w:bottom w:val="single" w:color="auto" w:sz="6" w:space="0"/>
                    <w:right w:val="nil"/>
                  </w:tcBorders>
                </w:tcPr>
                <w:p>
                  <w:pPr>
                    <w:pStyle w:val="70"/>
                    <w:spacing w:line="240" w:lineRule="auto"/>
                    <w:ind w:firstLine="0" w:firstLineChars="0"/>
                    <w:jc w:val="center"/>
                    <w:rPr>
                      <w:color w:val="auto"/>
                      <w:sz w:val="21"/>
                      <w:szCs w:val="20"/>
                    </w:rPr>
                  </w:pPr>
                  <w:r>
                    <w:rPr>
                      <w:rFonts w:hint="eastAsia"/>
                      <w:color w:val="auto"/>
                      <w:sz w:val="21"/>
                      <w:szCs w:val="20"/>
                    </w:rPr>
                    <w:t>城市绿化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Borders>
                    <w:top w:val="single" w:color="auto" w:sz="6" w:space="0"/>
                    <w:left w:val="nil"/>
                    <w:bottom w:val="single" w:color="auto" w:sz="6" w:space="0"/>
                    <w:right w:val="single" w:color="auto" w:sz="6" w:space="0"/>
                  </w:tcBorders>
                </w:tcPr>
                <w:p>
                  <w:pPr>
                    <w:pStyle w:val="70"/>
                    <w:spacing w:line="240" w:lineRule="auto"/>
                    <w:ind w:firstLine="0" w:firstLineChars="0"/>
                    <w:jc w:val="center"/>
                    <w:rPr>
                      <w:color w:val="auto"/>
                      <w:sz w:val="21"/>
                      <w:szCs w:val="20"/>
                    </w:rPr>
                  </w:pPr>
                  <w:r>
                    <w:rPr>
                      <w:rFonts w:hint="eastAsia"/>
                      <w:color w:val="auto"/>
                      <w:sz w:val="21"/>
                      <w:szCs w:val="20"/>
                    </w:rPr>
                    <w:t>1</w:t>
                  </w:r>
                </w:p>
              </w:tc>
              <w:tc>
                <w:tcPr>
                  <w:tcW w:w="1666" w:type="pct"/>
                  <w:tcBorders>
                    <w:top w:val="single" w:color="auto" w:sz="6" w:space="0"/>
                    <w:left w:val="single" w:color="auto" w:sz="6" w:space="0"/>
                    <w:bottom w:val="single" w:color="auto" w:sz="6" w:space="0"/>
                    <w:right w:val="single" w:color="auto" w:sz="6" w:space="0"/>
                  </w:tcBorders>
                </w:tcPr>
                <w:p>
                  <w:pPr>
                    <w:pStyle w:val="70"/>
                    <w:spacing w:line="240" w:lineRule="auto"/>
                    <w:ind w:firstLine="0" w:firstLineChars="0"/>
                    <w:jc w:val="center"/>
                    <w:rPr>
                      <w:color w:val="auto"/>
                      <w:sz w:val="21"/>
                      <w:szCs w:val="20"/>
                    </w:rPr>
                  </w:pPr>
                  <w:r>
                    <w:rPr>
                      <w:rFonts w:hint="eastAsia"/>
                      <w:color w:val="auto"/>
                      <w:sz w:val="21"/>
                      <w:szCs w:val="20"/>
                    </w:rPr>
                    <w:t>BOD</w:t>
                  </w:r>
                  <w:r>
                    <w:rPr>
                      <w:rFonts w:hint="eastAsia"/>
                      <w:color w:val="auto"/>
                      <w:sz w:val="21"/>
                      <w:szCs w:val="20"/>
                      <w:vertAlign w:val="subscript"/>
                    </w:rPr>
                    <w:t>5</w:t>
                  </w:r>
                  <w:r>
                    <w:rPr>
                      <w:rFonts w:hint="eastAsia"/>
                      <w:color w:val="auto"/>
                      <w:sz w:val="21"/>
                      <w:szCs w:val="20"/>
                    </w:rPr>
                    <w:t>（mg/L）</w:t>
                  </w:r>
                </w:p>
              </w:tc>
              <w:tc>
                <w:tcPr>
                  <w:tcW w:w="1666" w:type="pct"/>
                  <w:tcBorders>
                    <w:top w:val="single" w:color="auto" w:sz="6" w:space="0"/>
                    <w:left w:val="single" w:color="auto" w:sz="6" w:space="0"/>
                    <w:bottom w:val="single" w:color="auto" w:sz="6" w:space="0"/>
                    <w:right w:val="nil"/>
                  </w:tcBorders>
                </w:tcPr>
                <w:p>
                  <w:pPr>
                    <w:pStyle w:val="70"/>
                    <w:spacing w:line="240" w:lineRule="auto"/>
                    <w:ind w:firstLine="0" w:firstLineChars="0"/>
                    <w:jc w:val="center"/>
                    <w:rPr>
                      <w:color w:val="auto"/>
                      <w:sz w:val="21"/>
                      <w:szCs w:val="20"/>
                    </w:rPr>
                  </w:pPr>
                  <w:r>
                    <w:rPr>
                      <w:rFonts w:hint="eastAsia"/>
                      <w:color w:val="auto"/>
                      <w:sz w:val="21"/>
                      <w:szCs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Borders>
                    <w:top w:val="single" w:color="auto" w:sz="6" w:space="0"/>
                    <w:left w:val="nil"/>
                    <w:bottom w:val="single" w:color="auto" w:sz="6" w:space="0"/>
                    <w:right w:val="single" w:color="auto" w:sz="6" w:space="0"/>
                  </w:tcBorders>
                </w:tcPr>
                <w:p>
                  <w:pPr>
                    <w:pStyle w:val="70"/>
                    <w:spacing w:line="240" w:lineRule="auto"/>
                    <w:ind w:firstLine="0" w:firstLineChars="0"/>
                    <w:jc w:val="center"/>
                    <w:rPr>
                      <w:color w:val="auto"/>
                      <w:sz w:val="21"/>
                      <w:szCs w:val="20"/>
                    </w:rPr>
                  </w:pPr>
                  <w:r>
                    <w:rPr>
                      <w:rFonts w:hint="eastAsia"/>
                      <w:color w:val="auto"/>
                      <w:sz w:val="21"/>
                      <w:szCs w:val="20"/>
                    </w:rPr>
                    <w:t>2</w:t>
                  </w:r>
                </w:p>
              </w:tc>
              <w:tc>
                <w:tcPr>
                  <w:tcW w:w="1666" w:type="pct"/>
                  <w:tcBorders>
                    <w:top w:val="single" w:color="auto" w:sz="6" w:space="0"/>
                    <w:left w:val="single" w:color="auto" w:sz="6" w:space="0"/>
                    <w:bottom w:val="single" w:color="auto" w:sz="6" w:space="0"/>
                    <w:right w:val="single" w:color="auto" w:sz="6" w:space="0"/>
                  </w:tcBorders>
                </w:tcPr>
                <w:p>
                  <w:pPr>
                    <w:pStyle w:val="70"/>
                    <w:spacing w:line="240" w:lineRule="auto"/>
                    <w:ind w:firstLine="0" w:firstLineChars="0"/>
                    <w:jc w:val="center"/>
                    <w:rPr>
                      <w:color w:val="auto"/>
                      <w:sz w:val="21"/>
                      <w:szCs w:val="20"/>
                    </w:rPr>
                  </w:pPr>
                  <w:r>
                    <w:rPr>
                      <w:rFonts w:hint="eastAsia"/>
                      <w:color w:val="auto"/>
                      <w:sz w:val="21"/>
                      <w:szCs w:val="20"/>
                    </w:rPr>
                    <w:t>氨氮（mg/L）</w:t>
                  </w:r>
                </w:p>
              </w:tc>
              <w:tc>
                <w:tcPr>
                  <w:tcW w:w="1666" w:type="pct"/>
                  <w:tcBorders>
                    <w:top w:val="single" w:color="auto" w:sz="6" w:space="0"/>
                    <w:left w:val="single" w:color="auto" w:sz="6" w:space="0"/>
                    <w:bottom w:val="single" w:color="auto" w:sz="6" w:space="0"/>
                    <w:right w:val="nil"/>
                  </w:tcBorders>
                </w:tcPr>
                <w:p>
                  <w:pPr>
                    <w:pStyle w:val="70"/>
                    <w:spacing w:line="240" w:lineRule="auto"/>
                    <w:ind w:firstLine="0" w:firstLineChars="0"/>
                    <w:jc w:val="center"/>
                    <w:rPr>
                      <w:color w:val="auto"/>
                      <w:sz w:val="21"/>
                      <w:szCs w:val="20"/>
                    </w:rPr>
                  </w:pPr>
                  <w:r>
                    <w:rPr>
                      <w:rFonts w:hint="eastAsia"/>
                      <w:color w:val="auto"/>
                      <w:sz w:val="21"/>
                      <w:szCs w:val="2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Borders>
                    <w:top w:val="single" w:color="auto" w:sz="6" w:space="0"/>
                    <w:left w:val="nil"/>
                    <w:bottom w:val="single" w:color="auto" w:sz="6" w:space="0"/>
                    <w:right w:val="single" w:color="auto" w:sz="6" w:space="0"/>
                  </w:tcBorders>
                </w:tcPr>
                <w:p>
                  <w:pPr>
                    <w:pStyle w:val="70"/>
                    <w:spacing w:line="240" w:lineRule="auto"/>
                    <w:ind w:firstLine="0" w:firstLineChars="0"/>
                    <w:jc w:val="center"/>
                    <w:rPr>
                      <w:color w:val="auto"/>
                      <w:sz w:val="21"/>
                      <w:szCs w:val="20"/>
                    </w:rPr>
                  </w:pPr>
                  <w:r>
                    <w:rPr>
                      <w:rFonts w:hint="eastAsia"/>
                      <w:color w:val="auto"/>
                      <w:sz w:val="21"/>
                      <w:szCs w:val="20"/>
                    </w:rPr>
                    <w:t>3</w:t>
                  </w:r>
                </w:p>
              </w:tc>
              <w:tc>
                <w:tcPr>
                  <w:tcW w:w="1666" w:type="pct"/>
                  <w:tcBorders>
                    <w:top w:val="single" w:color="auto" w:sz="6" w:space="0"/>
                    <w:left w:val="single" w:color="auto" w:sz="6" w:space="0"/>
                    <w:bottom w:val="single" w:color="auto" w:sz="6" w:space="0"/>
                    <w:right w:val="single" w:color="auto" w:sz="6" w:space="0"/>
                  </w:tcBorders>
                </w:tcPr>
                <w:p>
                  <w:pPr>
                    <w:pStyle w:val="70"/>
                    <w:spacing w:line="240" w:lineRule="auto"/>
                    <w:ind w:firstLine="0" w:firstLineChars="0"/>
                    <w:jc w:val="center"/>
                    <w:rPr>
                      <w:color w:val="auto"/>
                      <w:sz w:val="21"/>
                      <w:szCs w:val="20"/>
                    </w:rPr>
                  </w:pPr>
                  <w:r>
                    <w:rPr>
                      <w:rFonts w:hint="eastAsia"/>
                      <w:color w:val="auto"/>
                      <w:sz w:val="21"/>
                      <w:szCs w:val="20"/>
                    </w:rPr>
                    <w:t>溶解性总固体（mg/L）</w:t>
                  </w:r>
                </w:p>
              </w:tc>
              <w:tc>
                <w:tcPr>
                  <w:tcW w:w="1666" w:type="pct"/>
                  <w:tcBorders>
                    <w:top w:val="single" w:color="auto" w:sz="6" w:space="0"/>
                    <w:left w:val="single" w:color="auto" w:sz="6" w:space="0"/>
                    <w:bottom w:val="single" w:color="auto" w:sz="6" w:space="0"/>
                    <w:right w:val="nil"/>
                  </w:tcBorders>
                </w:tcPr>
                <w:p>
                  <w:pPr>
                    <w:pStyle w:val="70"/>
                    <w:spacing w:line="240" w:lineRule="auto"/>
                    <w:ind w:firstLine="0" w:firstLineChars="0"/>
                    <w:jc w:val="center"/>
                    <w:rPr>
                      <w:color w:val="auto"/>
                      <w:sz w:val="21"/>
                      <w:szCs w:val="20"/>
                    </w:rPr>
                  </w:pPr>
                  <w:r>
                    <w:rPr>
                      <w:rFonts w:hint="eastAsia"/>
                      <w:color w:val="auto"/>
                      <w:sz w:val="21"/>
                      <w:szCs w:val="20"/>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Borders>
                    <w:top w:val="single" w:color="auto" w:sz="6" w:space="0"/>
                    <w:left w:val="nil"/>
                    <w:bottom w:val="single" w:color="auto" w:sz="6" w:space="0"/>
                    <w:right w:val="single" w:color="auto" w:sz="6" w:space="0"/>
                  </w:tcBorders>
                </w:tcPr>
                <w:p>
                  <w:pPr>
                    <w:pStyle w:val="70"/>
                    <w:spacing w:line="240" w:lineRule="auto"/>
                    <w:ind w:firstLine="0" w:firstLineChars="0"/>
                    <w:jc w:val="center"/>
                    <w:rPr>
                      <w:color w:val="auto"/>
                      <w:sz w:val="21"/>
                      <w:szCs w:val="20"/>
                    </w:rPr>
                  </w:pPr>
                  <w:r>
                    <w:rPr>
                      <w:rFonts w:hint="eastAsia"/>
                      <w:color w:val="auto"/>
                      <w:sz w:val="21"/>
                      <w:szCs w:val="20"/>
                    </w:rPr>
                    <w:t>4</w:t>
                  </w:r>
                </w:p>
              </w:tc>
              <w:tc>
                <w:tcPr>
                  <w:tcW w:w="1666" w:type="pct"/>
                  <w:tcBorders>
                    <w:top w:val="single" w:color="auto" w:sz="6" w:space="0"/>
                    <w:left w:val="single" w:color="auto" w:sz="6" w:space="0"/>
                    <w:bottom w:val="single" w:color="auto" w:sz="6" w:space="0"/>
                    <w:right w:val="single" w:color="auto" w:sz="6" w:space="0"/>
                  </w:tcBorders>
                </w:tcPr>
                <w:p>
                  <w:pPr>
                    <w:pStyle w:val="70"/>
                    <w:spacing w:line="240" w:lineRule="auto"/>
                    <w:ind w:firstLine="0" w:firstLineChars="0"/>
                    <w:jc w:val="center"/>
                    <w:rPr>
                      <w:color w:val="auto"/>
                      <w:sz w:val="21"/>
                      <w:szCs w:val="20"/>
                    </w:rPr>
                  </w:pPr>
                  <w:r>
                    <w:rPr>
                      <w:rFonts w:hint="eastAsia"/>
                      <w:color w:val="auto"/>
                      <w:sz w:val="21"/>
                      <w:szCs w:val="20"/>
                    </w:rPr>
                    <w:t>pH</w:t>
                  </w:r>
                </w:p>
              </w:tc>
              <w:tc>
                <w:tcPr>
                  <w:tcW w:w="1666" w:type="pct"/>
                  <w:tcBorders>
                    <w:top w:val="single" w:color="auto" w:sz="6" w:space="0"/>
                    <w:left w:val="single" w:color="auto" w:sz="6" w:space="0"/>
                    <w:bottom w:val="single" w:color="auto" w:sz="6" w:space="0"/>
                    <w:right w:val="nil"/>
                  </w:tcBorders>
                </w:tcPr>
                <w:p>
                  <w:pPr>
                    <w:pStyle w:val="70"/>
                    <w:spacing w:line="240" w:lineRule="auto"/>
                    <w:ind w:firstLine="0" w:firstLineChars="0"/>
                    <w:jc w:val="center"/>
                    <w:rPr>
                      <w:color w:val="auto"/>
                      <w:sz w:val="21"/>
                      <w:szCs w:val="20"/>
                    </w:rPr>
                  </w:pPr>
                  <w:r>
                    <w:rPr>
                      <w:rFonts w:hint="eastAsia"/>
                      <w:color w:val="auto"/>
                      <w:sz w:val="21"/>
                      <w:szCs w:val="20"/>
                    </w:rPr>
                    <w:t>6.0-9.0</w:t>
                  </w:r>
                </w:p>
              </w:tc>
            </w:tr>
          </w:tbl>
          <w:p>
            <w:pPr>
              <w:pStyle w:val="70"/>
              <w:rPr>
                <w:color w:val="auto"/>
                <w:szCs w:val="22"/>
              </w:rPr>
            </w:pPr>
            <w:r>
              <w:rPr>
                <w:rFonts w:hint="eastAsia"/>
                <w:color w:val="auto"/>
              </w:rPr>
              <w:t>噪声：</w:t>
            </w:r>
            <w:r>
              <w:rPr>
                <w:rFonts w:hint="eastAsia"/>
                <w:color w:val="auto"/>
                <w:szCs w:val="22"/>
              </w:rPr>
              <w:t>运营期厂界</w:t>
            </w:r>
            <w:r>
              <w:rPr>
                <w:color w:val="auto"/>
                <w:szCs w:val="22"/>
              </w:rPr>
              <w:t>噪声执行《工业企业厂界环境噪声排放标准》(GB12348-2008</w:t>
            </w:r>
            <w:r>
              <w:rPr>
                <w:rFonts w:hint="eastAsia"/>
                <w:color w:val="auto"/>
                <w:szCs w:val="22"/>
                <w:lang w:eastAsia="zh-CN"/>
              </w:rPr>
              <w:t>）</w:t>
            </w:r>
            <w:r>
              <w:rPr>
                <w:color w:val="auto"/>
                <w:szCs w:val="22"/>
              </w:rPr>
              <w:t>中</w:t>
            </w:r>
            <w:r>
              <w:rPr>
                <w:rFonts w:hint="eastAsia"/>
                <w:color w:val="auto"/>
                <w:szCs w:val="22"/>
              </w:rPr>
              <w:t>2</w:t>
            </w:r>
            <w:r>
              <w:rPr>
                <w:color w:val="auto"/>
                <w:szCs w:val="22"/>
              </w:rPr>
              <w:t>类标准</w:t>
            </w:r>
            <w:r>
              <w:rPr>
                <w:rFonts w:hint="eastAsia"/>
                <w:color w:val="auto"/>
                <w:szCs w:val="22"/>
              </w:rPr>
              <w:t>。</w:t>
            </w:r>
          </w:p>
          <w:p>
            <w:pPr>
              <w:pStyle w:val="36"/>
              <w:rPr>
                <w:color w:val="auto"/>
              </w:rPr>
            </w:pPr>
            <w:r>
              <w:rPr>
                <w:color w:val="auto"/>
              </w:rPr>
              <w:t>表3-</w:t>
            </w:r>
            <w:r>
              <w:rPr>
                <w:rFonts w:hint="eastAsia"/>
                <w:color w:val="auto"/>
              </w:rPr>
              <w:t>8</w:t>
            </w:r>
            <w:r>
              <w:rPr>
                <w:color w:val="auto"/>
              </w:rPr>
              <w:t xml:space="preserve">  工业企业厂界环境噪声排放标准</w:t>
            </w:r>
            <w:r>
              <w:rPr>
                <w:rStyle w:val="34"/>
                <w:color w:val="auto"/>
                <w:sz w:val="24"/>
              </w:rPr>
              <w:t xml:space="preserve">  </w:t>
            </w:r>
            <w:r>
              <w:rPr>
                <w:color w:val="auto"/>
              </w:rPr>
              <w:t>单位：dB（A）</w:t>
            </w:r>
          </w:p>
          <w:tbl>
            <w:tblPr>
              <w:tblStyle w:val="2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54"/>
              <w:gridCol w:w="2660"/>
              <w:gridCol w:w="26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2654" w:type="dxa"/>
                  <w:vAlign w:val="center"/>
                </w:tcPr>
                <w:p>
                  <w:pPr>
                    <w:jc w:val="center"/>
                    <w:rPr>
                      <w:color w:val="auto"/>
                      <w:szCs w:val="21"/>
                    </w:rPr>
                  </w:pPr>
                  <w:r>
                    <w:rPr>
                      <w:color w:val="auto"/>
                      <w:szCs w:val="21"/>
                    </w:rPr>
                    <w:t>类  别</w:t>
                  </w:r>
                </w:p>
              </w:tc>
              <w:tc>
                <w:tcPr>
                  <w:tcW w:w="2660" w:type="dxa"/>
                  <w:vAlign w:val="center"/>
                </w:tcPr>
                <w:p>
                  <w:pPr>
                    <w:jc w:val="center"/>
                    <w:rPr>
                      <w:color w:val="auto"/>
                      <w:szCs w:val="21"/>
                    </w:rPr>
                  </w:pPr>
                  <w:r>
                    <w:rPr>
                      <w:color w:val="auto"/>
                      <w:szCs w:val="21"/>
                    </w:rPr>
                    <w:t>昼  间</w:t>
                  </w:r>
                </w:p>
              </w:tc>
              <w:tc>
                <w:tcPr>
                  <w:tcW w:w="2660" w:type="dxa"/>
                  <w:vAlign w:val="center"/>
                </w:tcPr>
                <w:p>
                  <w:pPr>
                    <w:jc w:val="center"/>
                    <w:rPr>
                      <w:color w:val="auto"/>
                      <w:szCs w:val="21"/>
                    </w:rPr>
                  </w:pPr>
                  <w:r>
                    <w:rPr>
                      <w:color w:val="auto"/>
                      <w:szCs w:val="21"/>
                    </w:rPr>
                    <w:t>夜  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654" w:type="dxa"/>
                  <w:vAlign w:val="center"/>
                </w:tcPr>
                <w:p>
                  <w:pPr>
                    <w:jc w:val="center"/>
                    <w:rPr>
                      <w:color w:val="auto"/>
                      <w:szCs w:val="21"/>
                    </w:rPr>
                  </w:pPr>
                  <w:r>
                    <w:rPr>
                      <w:rFonts w:hint="eastAsia"/>
                      <w:color w:val="auto"/>
                      <w:szCs w:val="21"/>
                    </w:rPr>
                    <w:t>2</w:t>
                  </w:r>
                  <w:r>
                    <w:rPr>
                      <w:color w:val="auto"/>
                      <w:szCs w:val="21"/>
                    </w:rPr>
                    <w:t>类标准</w:t>
                  </w:r>
                </w:p>
              </w:tc>
              <w:tc>
                <w:tcPr>
                  <w:tcW w:w="2660" w:type="dxa"/>
                  <w:vAlign w:val="center"/>
                </w:tcPr>
                <w:p>
                  <w:pPr>
                    <w:jc w:val="center"/>
                    <w:rPr>
                      <w:color w:val="auto"/>
                      <w:szCs w:val="21"/>
                    </w:rPr>
                  </w:pPr>
                  <w:r>
                    <w:rPr>
                      <w:color w:val="auto"/>
                      <w:szCs w:val="21"/>
                    </w:rPr>
                    <w:t>6</w:t>
                  </w:r>
                  <w:r>
                    <w:rPr>
                      <w:rFonts w:hint="eastAsia"/>
                      <w:color w:val="auto"/>
                      <w:szCs w:val="21"/>
                    </w:rPr>
                    <w:t>0</w:t>
                  </w:r>
                  <w:r>
                    <w:rPr>
                      <w:color w:val="auto"/>
                    </w:rPr>
                    <w:t>dB（A）</w:t>
                  </w:r>
                </w:p>
              </w:tc>
              <w:tc>
                <w:tcPr>
                  <w:tcW w:w="2660" w:type="dxa"/>
                  <w:vAlign w:val="center"/>
                </w:tcPr>
                <w:p>
                  <w:pPr>
                    <w:jc w:val="center"/>
                    <w:rPr>
                      <w:color w:val="auto"/>
                      <w:szCs w:val="21"/>
                    </w:rPr>
                  </w:pPr>
                  <w:r>
                    <w:rPr>
                      <w:color w:val="auto"/>
                      <w:szCs w:val="21"/>
                    </w:rPr>
                    <w:t>5</w:t>
                  </w:r>
                  <w:r>
                    <w:rPr>
                      <w:rFonts w:hint="eastAsia"/>
                      <w:color w:val="auto"/>
                      <w:szCs w:val="21"/>
                    </w:rPr>
                    <w:t>0</w:t>
                  </w:r>
                  <w:r>
                    <w:rPr>
                      <w:color w:val="auto"/>
                    </w:rPr>
                    <w:t>dB（A）</w:t>
                  </w:r>
                </w:p>
              </w:tc>
            </w:tr>
          </w:tbl>
          <w:p>
            <w:pPr>
              <w:pStyle w:val="70"/>
              <w:rPr>
                <w:rFonts w:ascii="宋体" w:hAnsi="宋体"/>
                <w:color w:val="auto"/>
                <w:kern w:val="0"/>
              </w:rPr>
            </w:pPr>
            <w:r>
              <w:rPr>
                <w:rFonts w:hint="eastAsia"/>
                <w:color w:val="auto"/>
                <w:szCs w:val="22"/>
              </w:rPr>
              <w:t>（</w:t>
            </w:r>
            <w:r>
              <w:rPr>
                <w:rFonts w:hint="eastAsia"/>
                <w:color w:val="auto"/>
                <w:szCs w:val="22"/>
                <w:lang w:val="en-US" w:eastAsia="zh-CN"/>
              </w:rPr>
              <w:t>4</w:t>
            </w:r>
            <w:r>
              <w:rPr>
                <w:rFonts w:hint="eastAsia"/>
                <w:color w:val="auto"/>
                <w:szCs w:val="22"/>
              </w:rPr>
              <w:t>）危险废物：</w:t>
            </w:r>
            <w:r>
              <w:rPr>
                <w:color w:val="auto"/>
                <w:szCs w:val="22"/>
              </w:rPr>
              <w:t>危险</w:t>
            </w:r>
            <w:r>
              <w:rPr>
                <w:color w:val="auto"/>
              </w:rPr>
              <w:t>废物执行《危险废物贮存污染控制标准》（GB1859</w:t>
            </w:r>
            <w:r>
              <w:rPr>
                <w:rFonts w:hint="eastAsia"/>
                <w:color w:val="auto"/>
              </w:rPr>
              <w:t>7</w:t>
            </w:r>
            <w:r>
              <w:rPr>
                <w:color w:val="auto"/>
              </w:rPr>
              <w:t>-2</w:t>
            </w:r>
            <w:r>
              <w:rPr>
                <w:rFonts w:hint="eastAsia"/>
                <w:color w:val="auto"/>
                <w:lang w:val="en-US" w:eastAsia="zh-CN"/>
              </w:rPr>
              <w:t>023</w:t>
            </w:r>
            <w:r>
              <w:rPr>
                <w:color w:val="auto"/>
              </w:rPr>
              <w:t>）</w:t>
            </w:r>
            <w:r>
              <w:rPr>
                <w:rFonts w:hint="eastAsia"/>
                <w:color w:val="auto"/>
                <w:lang w:val="en-US" w:eastAsia="zh-CN"/>
              </w:rPr>
              <w:t>的相关要求</w:t>
            </w: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7" w:hRule="atLeast"/>
          <w:jc w:val="center"/>
        </w:trPr>
        <w:tc>
          <w:tcPr>
            <w:tcW w:w="800" w:type="dxa"/>
            <w:vAlign w:val="center"/>
          </w:tcPr>
          <w:p>
            <w:pPr>
              <w:adjustRightInd w:val="0"/>
              <w:snapToGrid w:val="0"/>
              <w:jc w:val="center"/>
              <w:rPr>
                <w:rFonts w:ascii="宋体" w:hAnsi="宋体" w:cs="宋体"/>
                <w:color w:val="auto"/>
                <w:kern w:val="0"/>
                <w:sz w:val="24"/>
              </w:rPr>
            </w:pPr>
            <w:r>
              <w:rPr>
                <w:rFonts w:hint="eastAsia" w:ascii="宋体" w:hAnsi="宋体" w:cs="宋体"/>
                <w:color w:val="auto"/>
                <w:kern w:val="0"/>
                <w:sz w:val="24"/>
              </w:rPr>
              <w:t>总</w:t>
            </w:r>
          </w:p>
          <w:p>
            <w:pPr>
              <w:adjustRightInd w:val="0"/>
              <w:snapToGrid w:val="0"/>
              <w:jc w:val="center"/>
              <w:rPr>
                <w:rFonts w:ascii="宋体" w:hAnsi="宋体" w:cs="宋体"/>
                <w:color w:val="auto"/>
                <w:kern w:val="0"/>
                <w:sz w:val="24"/>
              </w:rPr>
            </w:pPr>
            <w:r>
              <w:rPr>
                <w:rFonts w:hint="eastAsia" w:ascii="宋体" w:hAnsi="宋体" w:cs="宋体"/>
                <w:color w:val="auto"/>
                <w:kern w:val="0"/>
                <w:sz w:val="24"/>
              </w:rPr>
              <w:t>量</w:t>
            </w:r>
          </w:p>
          <w:p>
            <w:pPr>
              <w:adjustRightInd w:val="0"/>
              <w:snapToGrid w:val="0"/>
              <w:jc w:val="center"/>
              <w:rPr>
                <w:rFonts w:ascii="宋体" w:hAnsi="宋体" w:cs="宋体"/>
                <w:color w:val="auto"/>
                <w:kern w:val="0"/>
                <w:sz w:val="24"/>
              </w:rPr>
            </w:pPr>
            <w:r>
              <w:rPr>
                <w:rFonts w:hint="eastAsia" w:ascii="宋体" w:hAnsi="宋体" w:cs="宋体"/>
                <w:color w:val="auto"/>
                <w:kern w:val="0"/>
                <w:sz w:val="24"/>
              </w:rPr>
              <w:t>控</w:t>
            </w:r>
          </w:p>
          <w:p>
            <w:pPr>
              <w:adjustRightInd w:val="0"/>
              <w:snapToGrid w:val="0"/>
              <w:jc w:val="center"/>
              <w:rPr>
                <w:rFonts w:ascii="宋体" w:hAnsi="宋体" w:cs="宋体"/>
                <w:color w:val="auto"/>
                <w:kern w:val="0"/>
                <w:sz w:val="24"/>
              </w:rPr>
            </w:pPr>
            <w:r>
              <w:rPr>
                <w:rFonts w:hint="eastAsia" w:ascii="宋体" w:hAnsi="宋体" w:cs="宋体"/>
                <w:color w:val="auto"/>
                <w:kern w:val="0"/>
                <w:sz w:val="24"/>
              </w:rPr>
              <w:t>制</w:t>
            </w:r>
          </w:p>
          <w:p>
            <w:pPr>
              <w:adjustRightInd w:val="0"/>
              <w:snapToGrid w:val="0"/>
              <w:jc w:val="center"/>
              <w:rPr>
                <w:rFonts w:ascii="宋体" w:hAnsi="宋体" w:cs="宋体"/>
                <w:color w:val="auto"/>
                <w:kern w:val="0"/>
                <w:sz w:val="24"/>
              </w:rPr>
            </w:pPr>
            <w:r>
              <w:rPr>
                <w:rFonts w:hint="eastAsia" w:ascii="宋体" w:hAnsi="宋体" w:cs="宋体"/>
                <w:color w:val="auto"/>
                <w:kern w:val="0"/>
                <w:sz w:val="24"/>
              </w:rPr>
              <w:t>指</w:t>
            </w:r>
          </w:p>
          <w:p>
            <w:pPr>
              <w:adjustRightInd w:val="0"/>
              <w:snapToGrid w:val="0"/>
              <w:jc w:val="center"/>
              <w:rPr>
                <w:rFonts w:ascii="宋体" w:hAnsi="宋体" w:cs="宋体"/>
                <w:color w:val="auto"/>
                <w:kern w:val="0"/>
                <w:sz w:val="24"/>
              </w:rPr>
            </w:pPr>
            <w:r>
              <w:rPr>
                <w:rFonts w:hint="eastAsia" w:ascii="宋体" w:hAnsi="宋体" w:cs="宋体"/>
                <w:color w:val="auto"/>
                <w:kern w:val="0"/>
                <w:sz w:val="24"/>
              </w:rPr>
              <w:t>标</w:t>
            </w:r>
          </w:p>
        </w:tc>
        <w:tc>
          <w:tcPr>
            <w:tcW w:w="8190" w:type="dxa"/>
            <w:vAlign w:val="center"/>
          </w:tcPr>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color w:val="auto"/>
                <w:sz w:val="24"/>
              </w:rPr>
            </w:pPr>
          </w:p>
          <w:p>
            <w:pPr>
              <w:spacing w:line="360" w:lineRule="auto"/>
              <w:ind w:firstLine="480" w:firstLineChars="200"/>
              <w:rPr>
                <w:bCs/>
                <w:color w:val="auto"/>
                <w:sz w:val="24"/>
              </w:rPr>
            </w:pPr>
            <w:r>
              <w:rPr>
                <w:color w:val="auto"/>
                <w:sz w:val="24"/>
              </w:rPr>
              <w:t>根据国家规定的总量控制污染物种类，结合本项目的排污特点、所在区域的环境质量现状等因素综合考虑，本项目</w:t>
            </w:r>
            <w:r>
              <w:rPr>
                <w:rFonts w:hint="eastAsia"/>
                <w:color w:val="auto"/>
                <w:sz w:val="24"/>
              </w:rPr>
              <w:t>无需设置</w:t>
            </w:r>
            <w:r>
              <w:rPr>
                <w:color w:val="auto"/>
                <w:sz w:val="24"/>
              </w:rPr>
              <w:t>总量控制污染物</w:t>
            </w:r>
            <w:r>
              <w:rPr>
                <w:bCs/>
                <w:color w:val="auto"/>
                <w:sz w:val="24"/>
              </w:rPr>
              <w:t>。</w:t>
            </w:r>
          </w:p>
          <w:p>
            <w:pPr>
              <w:pStyle w:val="22"/>
              <w:rPr>
                <w:bCs/>
                <w:color w:val="auto"/>
                <w:sz w:val="24"/>
              </w:rPr>
            </w:pPr>
          </w:p>
          <w:p>
            <w:pPr>
              <w:rPr>
                <w:bCs/>
                <w:color w:val="auto"/>
                <w:sz w:val="24"/>
              </w:rPr>
            </w:pPr>
          </w:p>
          <w:p>
            <w:pPr>
              <w:pStyle w:val="22"/>
              <w:rPr>
                <w:bCs/>
                <w:color w:val="auto"/>
                <w:sz w:val="24"/>
              </w:rPr>
            </w:pPr>
          </w:p>
          <w:p>
            <w:pPr>
              <w:rPr>
                <w:bCs/>
                <w:color w:val="auto"/>
                <w:sz w:val="24"/>
              </w:rPr>
            </w:pPr>
          </w:p>
          <w:p>
            <w:pPr>
              <w:pStyle w:val="2"/>
              <w:rPr>
                <w:bCs/>
                <w:color w:val="auto"/>
                <w:sz w:val="24"/>
              </w:rPr>
            </w:pPr>
          </w:p>
          <w:p>
            <w:pPr>
              <w:pStyle w:val="3"/>
              <w:rPr>
                <w:bCs/>
                <w:color w:val="auto"/>
                <w:sz w:val="24"/>
              </w:rPr>
            </w:pPr>
          </w:p>
          <w:p>
            <w:pPr>
              <w:rPr>
                <w:bCs/>
                <w:color w:val="auto"/>
                <w:sz w:val="24"/>
              </w:rPr>
            </w:pPr>
          </w:p>
          <w:p>
            <w:pPr>
              <w:pStyle w:val="2"/>
              <w:rPr>
                <w:bCs/>
                <w:color w:val="auto"/>
                <w:sz w:val="24"/>
              </w:rPr>
            </w:pPr>
          </w:p>
          <w:p>
            <w:pPr>
              <w:pStyle w:val="3"/>
              <w:rPr>
                <w:bCs/>
                <w:color w:val="auto"/>
                <w:sz w:val="24"/>
              </w:rPr>
            </w:pPr>
          </w:p>
          <w:p>
            <w:pPr>
              <w:rPr>
                <w:bCs/>
                <w:color w:val="auto"/>
                <w:sz w:val="24"/>
              </w:rPr>
            </w:pPr>
          </w:p>
          <w:p>
            <w:pPr>
              <w:pStyle w:val="2"/>
              <w:rPr>
                <w:bCs/>
                <w:color w:val="auto"/>
                <w:sz w:val="24"/>
              </w:rPr>
            </w:pPr>
          </w:p>
          <w:p>
            <w:pPr>
              <w:pStyle w:val="3"/>
              <w:rPr>
                <w:bCs/>
                <w:color w:val="auto"/>
                <w:sz w:val="24"/>
              </w:rPr>
            </w:pPr>
          </w:p>
          <w:p>
            <w:pPr>
              <w:rPr>
                <w:bCs/>
                <w:color w:val="auto"/>
                <w:sz w:val="24"/>
              </w:rPr>
            </w:pPr>
          </w:p>
          <w:p>
            <w:pPr>
              <w:pStyle w:val="2"/>
              <w:rPr>
                <w:bCs/>
                <w:color w:val="auto"/>
                <w:sz w:val="24"/>
              </w:rPr>
            </w:pPr>
          </w:p>
          <w:p>
            <w:pPr>
              <w:pStyle w:val="3"/>
              <w:rPr>
                <w:bCs/>
                <w:color w:val="auto"/>
                <w:sz w:val="24"/>
              </w:rPr>
            </w:pPr>
          </w:p>
          <w:p>
            <w:pPr>
              <w:rPr>
                <w:bCs/>
                <w:color w:val="auto"/>
                <w:sz w:val="24"/>
              </w:rPr>
            </w:pPr>
          </w:p>
          <w:p>
            <w:pPr>
              <w:pStyle w:val="2"/>
              <w:rPr>
                <w:bCs/>
                <w:color w:val="auto"/>
                <w:sz w:val="24"/>
              </w:rPr>
            </w:pPr>
          </w:p>
          <w:p>
            <w:pPr>
              <w:pStyle w:val="3"/>
              <w:rPr>
                <w:bCs/>
                <w:color w:val="auto"/>
                <w:sz w:val="24"/>
              </w:rPr>
            </w:pPr>
          </w:p>
          <w:p>
            <w:pPr>
              <w:rPr>
                <w:bCs/>
                <w:color w:val="auto"/>
                <w:sz w:val="24"/>
              </w:rPr>
            </w:pPr>
          </w:p>
          <w:p>
            <w:pPr>
              <w:pStyle w:val="2"/>
              <w:rPr>
                <w:bCs/>
                <w:color w:val="auto"/>
                <w:sz w:val="24"/>
              </w:rPr>
            </w:pPr>
          </w:p>
          <w:p>
            <w:pPr>
              <w:pStyle w:val="3"/>
              <w:rPr>
                <w:bCs/>
                <w:color w:val="auto"/>
                <w:sz w:val="24"/>
              </w:rPr>
            </w:pPr>
          </w:p>
          <w:p>
            <w:pPr>
              <w:rPr>
                <w:color w:val="auto"/>
              </w:rPr>
            </w:pPr>
          </w:p>
          <w:p>
            <w:pPr>
              <w:pStyle w:val="22"/>
              <w:ind w:left="0" w:leftChars="0"/>
              <w:rPr>
                <w:color w:val="auto"/>
              </w:rPr>
            </w:pPr>
          </w:p>
        </w:tc>
      </w:tr>
    </w:tbl>
    <w:p>
      <w:pPr>
        <w:pStyle w:val="24"/>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r>
        <w:rPr>
          <w:rFonts w:hint="eastAsia" w:ascii="黑体" w:hAnsi="黑体" w:eastAsia="黑体"/>
          <w:snapToGrid w:val="0"/>
          <w:color w:val="auto"/>
          <w:sz w:val="30"/>
          <w:szCs w:val="30"/>
        </w:rPr>
        <w:t>四、主要环境影响和保护措施</w:t>
      </w:r>
    </w:p>
    <w:tbl>
      <w:tblPr>
        <w:tblStyle w:val="28"/>
        <w:tblW w:w="98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93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5" w:type="dxa"/>
            <w:tcMar>
              <w:left w:w="28" w:type="dxa"/>
              <w:right w:w="28" w:type="dxa"/>
            </w:tcMar>
            <w:vAlign w:val="center"/>
          </w:tcPr>
          <w:p>
            <w:pPr>
              <w:widowControl/>
              <w:spacing w:line="520" w:lineRule="exact"/>
              <w:jc w:val="center"/>
              <w:rPr>
                <w:color w:val="auto"/>
                <w:sz w:val="24"/>
              </w:rPr>
            </w:pPr>
            <w:r>
              <w:rPr>
                <w:color w:val="auto"/>
                <w:sz w:val="24"/>
              </w:rPr>
              <w:t>施工</w:t>
            </w:r>
          </w:p>
          <w:p>
            <w:pPr>
              <w:widowControl/>
              <w:spacing w:line="520" w:lineRule="exact"/>
              <w:jc w:val="center"/>
              <w:rPr>
                <w:color w:val="auto"/>
                <w:sz w:val="24"/>
              </w:rPr>
            </w:pPr>
            <w:r>
              <w:rPr>
                <w:color w:val="auto"/>
                <w:sz w:val="24"/>
              </w:rPr>
              <w:t>期环</w:t>
            </w:r>
          </w:p>
          <w:p>
            <w:pPr>
              <w:widowControl/>
              <w:spacing w:line="520" w:lineRule="exact"/>
              <w:jc w:val="center"/>
              <w:rPr>
                <w:color w:val="auto"/>
                <w:sz w:val="24"/>
              </w:rPr>
            </w:pPr>
            <w:r>
              <w:rPr>
                <w:color w:val="auto"/>
                <w:sz w:val="24"/>
              </w:rPr>
              <w:t>境保</w:t>
            </w:r>
          </w:p>
          <w:p>
            <w:pPr>
              <w:widowControl/>
              <w:spacing w:line="520" w:lineRule="exact"/>
              <w:jc w:val="center"/>
              <w:rPr>
                <w:color w:val="auto"/>
                <w:sz w:val="24"/>
              </w:rPr>
            </w:pPr>
            <w:r>
              <w:rPr>
                <w:color w:val="auto"/>
                <w:sz w:val="24"/>
              </w:rPr>
              <w:t>护措</w:t>
            </w:r>
          </w:p>
          <w:p>
            <w:pPr>
              <w:widowControl/>
              <w:spacing w:line="520" w:lineRule="exact"/>
              <w:jc w:val="center"/>
              <w:rPr>
                <w:color w:val="auto"/>
                <w:sz w:val="24"/>
              </w:rPr>
            </w:pPr>
            <w:r>
              <w:rPr>
                <w:color w:val="auto"/>
                <w:sz w:val="24"/>
              </w:rPr>
              <w:t>施</w:t>
            </w:r>
          </w:p>
        </w:tc>
        <w:tc>
          <w:tcPr>
            <w:tcW w:w="8991" w:type="dxa"/>
            <w:vAlign w:val="center"/>
          </w:tcPr>
          <w:p>
            <w:pPr>
              <w:widowControl/>
              <w:spacing w:line="520" w:lineRule="exact"/>
              <w:ind w:firstLine="482" w:firstLineChars="200"/>
              <w:rPr>
                <w:b/>
                <w:bCs/>
                <w:color w:val="auto"/>
                <w:sz w:val="24"/>
              </w:rPr>
            </w:pPr>
            <w:r>
              <w:rPr>
                <w:b/>
                <w:bCs/>
                <w:color w:val="auto"/>
                <w:sz w:val="24"/>
              </w:rPr>
              <w:t>1</w:t>
            </w:r>
            <w:r>
              <w:rPr>
                <w:rFonts w:hint="eastAsia"/>
                <w:b/>
                <w:bCs/>
                <w:color w:val="auto"/>
                <w:sz w:val="24"/>
              </w:rPr>
              <w:t>、</w:t>
            </w:r>
            <w:r>
              <w:rPr>
                <w:b/>
                <w:bCs/>
                <w:color w:val="auto"/>
                <w:sz w:val="24"/>
              </w:rPr>
              <w:t>大气环境</w:t>
            </w:r>
          </w:p>
          <w:p>
            <w:pPr>
              <w:widowControl/>
              <w:spacing w:line="520" w:lineRule="exact"/>
              <w:ind w:firstLine="480" w:firstLineChars="200"/>
              <w:rPr>
                <w:color w:val="auto"/>
                <w:sz w:val="24"/>
              </w:rPr>
            </w:pPr>
            <w:r>
              <w:rPr>
                <w:rFonts w:hint="eastAsia"/>
                <w:color w:val="auto"/>
                <w:sz w:val="24"/>
              </w:rPr>
              <w:t>本项目施工期主要大气污染物为扬尘和</w:t>
            </w:r>
            <w:r>
              <w:rPr>
                <w:color w:val="auto"/>
                <w:sz w:val="24"/>
              </w:rPr>
              <w:t>施工机械尾气</w:t>
            </w:r>
            <w:r>
              <w:rPr>
                <w:rFonts w:hint="eastAsia"/>
                <w:color w:val="auto"/>
                <w:sz w:val="24"/>
              </w:rPr>
              <w:t>。</w:t>
            </w:r>
          </w:p>
          <w:p>
            <w:pPr>
              <w:widowControl/>
              <w:spacing w:line="520" w:lineRule="exact"/>
              <w:ind w:firstLine="482" w:firstLineChars="200"/>
              <w:rPr>
                <w:color w:val="auto"/>
                <w:sz w:val="24"/>
              </w:rPr>
            </w:pPr>
            <w:r>
              <w:rPr>
                <w:rFonts w:hint="eastAsia"/>
                <w:b/>
                <w:bCs/>
                <w:color w:val="auto"/>
                <w:sz w:val="24"/>
              </w:rPr>
              <w:t>施工扬尘污染</w:t>
            </w:r>
            <w:r>
              <w:rPr>
                <w:b/>
                <w:bCs/>
                <w:color w:val="auto"/>
                <w:sz w:val="24"/>
              </w:rPr>
              <w:t>防治措施：</w:t>
            </w:r>
          </w:p>
          <w:p>
            <w:pPr>
              <w:widowControl/>
              <w:spacing w:line="520" w:lineRule="exact"/>
              <w:ind w:firstLine="480" w:firstLineChars="200"/>
              <w:rPr>
                <w:color w:val="auto"/>
                <w:sz w:val="24"/>
              </w:rPr>
            </w:pPr>
            <w:r>
              <w:rPr>
                <w:rFonts w:hint="eastAsia"/>
                <w:color w:val="auto"/>
                <w:sz w:val="24"/>
              </w:rPr>
              <w:t>（1）</w:t>
            </w:r>
            <w:r>
              <w:rPr>
                <w:color w:val="auto"/>
                <w:sz w:val="24"/>
              </w:rPr>
              <w:t>在施工机械机运行时洒水防止扬尘。对操作人员实行卫生防护，如配带口罩风镜等。</w:t>
            </w:r>
          </w:p>
          <w:p>
            <w:pPr>
              <w:widowControl/>
              <w:spacing w:line="520" w:lineRule="exact"/>
              <w:ind w:firstLine="480" w:firstLineChars="200"/>
              <w:rPr>
                <w:color w:val="auto"/>
                <w:sz w:val="24"/>
              </w:rPr>
            </w:pPr>
            <w:r>
              <w:rPr>
                <w:rFonts w:hint="eastAsia"/>
                <w:color w:val="auto"/>
                <w:sz w:val="24"/>
              </w:rPr>
              <w:t>（2）</w:t>
            </w:r>
            <w:r>
              <w:rPr>
                <w:color w:val="auto"/>
                <w:sz w:val="24"/>
              </w:rPr>
              <w:t>对于运输沙土及其它施工材料、倒运土方的车辆应加盖篷布，以避免运输过程中产生的粉尘影响运输道路沿途的空气质量，保证施工车辆工况良好，以降低尾气CO、NO</w:t>
            </w:r>
            <w:r>
              <w:rPr>
                <w:color w:val="auto"/>
                <w:sz w:val="24"/>
                <w:vertAlign w:val="subscript"/>
              </w:rPr>
              <w:t>x</w:t>
            </w:r>
            <w:r>
              <w:rPr>
                <w:color w:val="auto"/>
                <w:sz w:val="24"/>
              </w:rPr>
              <w:t>、SO</w:t>
            </w:r>
            <w:r>
              <w:rPr>
                <w:color w:val="auto"/>
                <w:sz w:val="24"/>
                <w:vertAlign w:val="subscript"/>
              </w:rPr>
              <w:t>2</w:t>
            </w:r>
            <w:r>
              <w:rPr>
                <w:color w:val="auto"/>
                <w:sz w:val="24"/>
              </w:rPr>
              <w:t>等的排放。</w:t>
            </w:r>
          </w:p>
          <w:p>
            <w:pPr>
              <w:widowControl/>
              <w:spacing w:line="520" w:lineRule="exact"/>
              <w:ind w:firstLine="480" w:firstLineChars="200"/>
              <w:rPr>
                <w:color w:val="auto"/>
                <w:sz w:val="24"/>
              </w:rPr>
            </w:pPr>
            <w:r>
              <w:rPr>
                <w:rFonts w:hint="eastAsia"/>
                <w:color w:val="auto"/>
                <w:sz w:val="24"/>
              </w:rPr>
              <w:t>（3）</w:t>
            </w:r>
            <w:r>
              <w:rPr>
                <w:color w:val="auto"/>
                <w:sz w:val="24"/>
              </w:rPr>
              <w:t>运输道路应经常洒水，以减少扬尘污染，限制车辆行驶速度（不大于5km/h）。</w:t>
            </w:r>
          </w:p>
          <w:p>
            <w:pPr>
              <w:widowControl/>
              <w:spacing w:line="520" w:lineRule="exact"/>
              <w:ind w:firstLine="480" w:firstLineChars="200"/>
              <w:rPr>
                <w:color w:val="auto"/>
                <w:sz w:val="24"/>
              </w:rPr>
            </w:pPr>
            <w:r>
              <w:rPr>
                <w:rFonts w:hint="eastAsia"/>
                <w:color w:val="auto"/>
                <w:sz w:val="24"/>
              </w:rPr>
              <w:t>（4）</w:t>
            </w:r>
            <w:r>
              <w:rPr>
                <w:color w:val="auto"/>
                <w:sz w:val="24"/>
              </w:rPr>
              <w:t>文明施工，对施工机械进行适当的保养、维修和操作，以减少施工作业中大气污染物的排放。</w:t>
            </w:r>
          </w:p>
          <w:p>
            <w:pPr>
              <w:widowControl/>
              <w:spacing w:line="520" w:lineRule="exact"/>
              <w:ind w:firstLine="480" w:firstLineChars="200"/>
              <w:rPr>
                <w:color w:val="auto"/>
                <w:sz w:val="24"/>
              </w:rPr>
            </w:pPr>
            <w:r>
              <w:rPr>
                <w:rFonts w:hint="eastAsia"/>
                <w:color w:val="auto"/>
                <w:sz w:val="24"/>
              </w:rPr>
              <w:t>（5）</w:t>
            </w:r>
            <w:r>
              <w:rPr>
                <w:color w:val="auto"/>
                <w:sz w:val="24"/>
              </w:rPr>
              <w:t>禁止</w:t>
            </w:r>
            <w:r>
              <w:rPr>
                <w:rFonts w:hint="eastAsia"/>
                <w:color w:val="auto"/>
                <w:sz w:val="24"/>
                <w:lang w:val="en-US" w:eastAsia="zh-CN"/>
              </w:rPr>
              <w:t>四</w:t>
            </w:r>
            <w:r>
              <w:rPr>
                <w:color w:val="auto"/>
                <w:sz w:val="24"/>
              </w:rPr>
              <w:t>级及以上大风天气施工，避免在大风天气进行大量挖土、堆土及运输土方的工作。</w:t>
            </w:r>
          </w:p>
          <w:p>
            <w:pPr>
              <w:widowControl/>
              <w:spacing w:line="520" w:lineRule="exact"/>
              <w:ind w:firstLine="480" w:firstLineChars="200"/>
              <w:rPr>
                <w:color w:val="auto"/>
                <w:sz w:val="24"/>
              </w:rPr>
            </w:pPr>
            <w:r>
              <w:rPr>
                <w:rFonts w:hint="eastAsia"/>
                <w:color w:val="auto"/>
                <w:sz w:val="24"/>
              </w:rPr>
              <w:t>（6）</w:t>
            </w:r>
            <w:r>
              <w:rPr>
                <w:color w:val="auto"/>
                <w:sz w:val="24"/>
              </w:rPr>
              <w:t>施工过程中如遇重污染天气预警，必须立即停止施工。</w:t>
            </w:r>
          </w:p>
          <w:p>
            <w:pPr>
              <w:widowControl/>
              <w:spacing w:line="520" w:lineRule="exact"/>
              <w:ind w:firstLine="480" w:firstLineChars="200"/>
              <w:rPr>
                <w:color w:val="auto"/>
                <w:sz w:val="24"/>
              </w:rPr>
            </w:pPr>
            <w:r>
              <w:rPr>
                <w:rFonts w:hint="eastAsia"/>
                <w:color w:val="auto"/>
                <w:sz w:val="24"/>
              </w:rPr>
              <w:t>（7）</w:t>
            </w:r>
            <w:r>
              <w:rPr>
                <w:color w:val="auto"/>
                <w:sz w:val="24"/>
              </w:rPr>
              <w:t>做好施工现场周边土地平整工作，对挖方产生的临时堆土实行定期喷洒、覆盖等防护措施。</w:t>
            </w:r>
          </w:p>
          <w:p>
            <w:pPr>
              <w:widowControl/>
              <w:spacing w:line="520" w:lineRule="exact"/>
              <w:ind w:firstLine="480" w:firstLineChars="200"/>
              <w:rPr>
                <w:color w:val="auto"/>
                <w:sz w:val="24"/>
              </w:rPr>
            </w:pPr>
            <w:r>
              <w:rPr>
                <w:rFonts w:hint="eastAsia"/>
                <w:color w:val="auto"/>
                <w:sz w:val="24"/>
              </w:rPr>
              <w:t>（8）</w:t>
            </w:r>
            <w:r>
              <w:rPr>
                <w:color w:val="auto"/>
                <w:sz w:val="24"/>
              </w:rPr>
              <w:t>施工场地四周设防尘彩钢板减少扬尘影响建设方在采取上述措施后，预计能减少施工废气对周围环境的影响，且这种影响是暂时的，随施工结束影响逐渐消失。</w:t>
            </w:r>
          </w:p>
          <w:p>
            <w:pPr>
              <w:widowControl/>
              <w:spacing w:line="520" w:lineRule="exact"/>
              <w:ind w:firstLine="482" w:firstLineChars="200"/>
              <w:rPr>
                <w:b/>
                <w:bCs/>
                <w:color w:val="auto"/>
                <w:sz w:val="24"/>
              </w:rPr>
            </w:pPr>
            <w:r>
              <w:rPr>
                <w:b/>
                <w:bCs/>
                <w:color w:val="auto"/>
                <w:sz w:val="24"/>
              </w:rPr>
              <w:t>运输车辆、机械设备废气</w:t>
            </w:r>
            <w:r>
              <w:rPr>
                <w:rFonts w:hint="eastAsia"/>
                <w:b/>
                <w:bCs/>
                <w:color w:val="auto"/>
                <w:sz w:val="24"/>
              </w:rPr>
              <w:t>防治措施</w:t>
            </w:r>
          </w:p>
          <w:p>
            <w:pPr>
              <w:widowControl/>
              <w:spacing w:line="520" w:lineRule="exact"/>
              <w:ind w:firstLine="480" w:firstLineChars="200"/>
              <w:rPr>
                <w:color w:val="auto"/>
                <w:sz w:val="24"/>
              </w:rPr>
            </w:pPr>
            <w:r>
              <w:rPr>
                <w:rFonts w:hint="eastAsia"/>
                <w:color w:val="auto"/>
                <w:sz w:val="24"/>
              </w:rPr>
              <w:t>施工机械尾气</w:t>
            </w:r>
            <w:r>
              <w:rPr>
                <w:color w:val="auto"/>
                <w:sz w:val="24"/>
              </w:rPr>
              <w:t>主要含有CO、NO</w:t>
            </w:r>
            <w:r>
              <w:rPr>
                <w:color w:val="auto"/>
                <w:sz w:val="24"/>
                <w:vertAlign w:val="subscript"/>
              </w:rPr>
              <w:t>x</w:t>
            </w:r>
            <w:r>
              <w:rPr>
                <w:color w:val="auto"/>
                <w:sz w:val="24"/>
              </w:rPr>
              <w:t>等污染物。</w:t>
            </w:r>
            <w:r>
              <w:rPr>
                <w:rFonts w:hint="eastAsia"/>
                <w:color w:val="auto"/>
                <w:sz w:val="24"/>
              </w:rPr>
              <w:t>应采取以下措施</w:t>
            </w:r>
            <w:r>
              <w:rPr>
                <w:rFonts w:hint="eastAsia"/>
                <w:b/>
                <w:bCs/>
                <w:color w:val="auto"/>
                <w:sz w:val="24"/>
              </w:rPr>
              <w:t>：</w:t>
            </w:r>
            <w:r>
              <w:rPr>
                <w:color w:val="auto"/>
                <w:sz w:val="24"/>
              </w:rPr>
              <w:t>施工场地内限速行驶并保持路面的清洁。加强对施工车辆的检修和维护，严禁使用超期服役和尾气超标的车辆。对施工期进出现场车流量进行合理安排，防止施工现场车流量过大。尽可能使用耗油低，排气小的施工车辆，选用优质燃油，减少机械和车辆有害废气排放。施工过程中禁止将废弃的建筑材料作为燃料燃烧</w:t>
            </w:r>
            <w:r>
              <w:rPr>
                <w:rFonts w:hint="eastAsia"/>
                <w:color w:val="auto"/>
                <w:sz w:val="24"/>
              </w:rPr>
              <w:t>。</w:t>
            </w:r>
          </w:p>
          <w:p>
            <w:pPr>
              <w:widowControl/>
              <w:spacing w:line="520" w:lineRule="exact"/>
              <w:ind w:firstLine="482" w:firstLineChars="200"/>
              <w:rPr>
                <w:b/>
                <w:bCs/>
                <w:color w:val="auto"/>
                <w:sz w:val="24"/>
              </w:rPr>
            </w:pPr>
            <w:r>
              <w:rPr>
                <w:b/>
                <w:bCs/>
                <w:color w:val="auto"/>
                <w:sz w:val="24"/>
              </w:rPr>
              <w:t>2</w:t>
            </w:r>
            <w:r>
              <w:rPr>
                <w:rFonts w:hint="eastAsia"/>
                <w:b/>
                <w:bCs/>
                <w:color w:val="auto"/>
                <w:sz w:val="24"/>
              </w:rPr>
              <w:t>、</w:t>
            </w:r>
            <w:r>
              <w:rPr>
                <w:b/>
                <w:bCs/>
                <w:color w:val="auto"/>
                <w:sz w:val="24"/>
              </w:rPr>
              <w:t>水环境</w:t>
            </w:r>
          </w:p>
          <w:p>
            <w:pPr>
              <w:widowControl/>
              <w:spacing w:line="520" w:lineRule="exact"/>
              <w:ind w:firstLine="480" w:firstLineChars="200"/>
              <w:rPr>
                <w:color w:val="auto"/>
                <w:sz w:val="24"/>
              </w:rPr>
            </w:pPr>
            <w:r>
              <w:rPr>
                <w:rFonts w:hint="eastAsia"/>
                <w:color w:val="auto"/>
                <w:sz w:val="24"/>
              </w:rPr>
              <w:t>施工废水包括施工机械清洗废水及施工人员生活污水，主要污染物有</w:t>
            </w:r>
            <w:r>
              <w:rPr>
                <w:color w:val="auto"/>
                <w:sz w:val="24"/>
              </w:rPr>
              <w:t>SS、石油类</w:t>
            </w:r>
            <w:r>
              <w:rPr>
                <w:rFonts w:hint="eastAsia"/>
                <w:color w:val="auto"/>
                <w:sz w:val="24"/>
              </w:rPr>
              <w:t>、</w:t>
            </w:r>
            <w:r>
              <w:rPr>
                <w:color w:val="auto"/>
                <w:sz w:val="24"/>
              </w:rPr>
              <w:t>COD</w:t>
            </w:r>
            <w:r>
              <w:rPr>
                <w:rFonts w:hint="eastAsia"/>
                <w:color w:val="auto"/>
                <w:sz w:val="24"/>
                <w:vertAlign w:val="subscript"/>
              </w:rPr>
              <w:t>Cr</w:t>
            </w:r>
            <w:r>
              <w:rPr>
                <w:color w:val="auto"/>
                <w:sz w:val="24"/>
              </w:rPr>
              <w:t>、BOD</w:t>
            </w:r>
            <w:r>
              <w:rPr>
                <w:rFonts w:hint="eastAsia"/>
                <w:color w:val="auto"/>
                <w:sz w:val="24"/>
                <w:vertAlign w:val="subscript"/>
              </w:rPr>
              <w:t>5</w:t>
            </w:r>
            <w:r>
              <w:rPr>
                <w:color w:val="auto"/>
                <w:sz w:val="24"/>
              </w:rPr>
              <w:t>等</w:t>
            </w:r>
            <w:r>
              <w:rPr>
                <w:rFonts w:hint="eastAsia"/>
                <w:color w:val="auto"/>
                <w:sz w:val="24"/>
              </w:rPr>
              <w:t>。</w:t>
            </w:r>
          </w:p>
          <w:p>
            <w:pPr>
              <w:widowControl/>
              <w:spacing w:line="520" w:lineRule="exact"/>
              <w:ind w:firstLine="480" w:firstLineChars="200"/>
              <w:rPr>
                <w:color w:val="auto"/>
                <w:sz w:val="24"/>
                <w:lang w:val="zh-CN"/>
              </w:rPr>
            </w:pPr>
            <w:r>
              <w:rPr>
                <w:rFonts w:hint="eastAsia"/>
                <w:color w:val="auto"/>
                <w:sz w:val="24"/>
              </w:rPr>
              <w:t>施工生产废水设临时沉砂池将废水沉淀后作为施工生产用水或场地洒水，生产废水不外排</w:t>
            </w:r>
            <w:r>
              <w:rPr>
                <w:color w:val="auto"/>
                <w:sz w:val="24"/>
              </w:rPr>
              <w:t>水</w:t>
            </w:r>
            <w:r>
              <w:rPr>
                <w:rFonts w:hint="eastAsia"/>
                <w:color w:val="auto"/>
                <w:sz w:val="24"/>
              </w:rPr>
              <w:t>；生活污水</w:t>
            </w:r>
            <w:r>
              <w:rPr>
                <w:rFonts w:hint="eastAsia"/>
                <w:color w:val="auto"/>
                <w:sz w:val="24"/>
                <w:lang w:val="en-US" w:eastAsia="zh-CN"/>
              </w:rPr>
              <w:t>经管网收集后排至现有工程污水处理站处理达标后用于厂区绿化</w:t>
            </w:r>
            <w:r>
              <w:rPr>
                <w:rFonts w:hint="eastAsia"/>
                <w:color w:val="auto"/>
                <w:sz w:val="24"/>
              </w:rPr>
              <w:t>。</w:t>
            </w:r>
          </w:p>
          <w:p>
            <w:pPr>
              <w:widowControl/>
              <w:spacing w:line="520" w:lineRule="exact"/>
              <w:ind w:firstLine="482" w:firstLineChars="200"/>
              <w:rPr>
                <w:b/>
                <w:bCs/>
                <w:color w:val="auto"/>
                <w:sz w:val="24"/>
              </w:rPr>
            </w:pPr>
            <w:r>
              <w:rPr>
                <w:b/>
                <w:bCs/>
                <w:color w:val="auto"/>
                <w:sz w:val="24"/>
              </w:rPr>
              <w:t>3</w:t>
            </w:r>
            <w:r>
              <w:rPr>
                <w:rFonts w:hint="eastAsia"/>
                <w:b/>
                <w:bCs/>
                <w:color w:val="auto"/>
                <w:sz w:val="24"/>
              </w:rPr>
              <w:t>、</w:t>
            </w:r>
            <w:r>
              <w:rPr>
                <w:b/>
                <w:bCs/>
                <w:color w:val="auto"/>
                <w:sz w:val="24"/>
              </w:rPr>
              <w:t>噪声</w:t>
            </w:r>
          </w:p>
          <w:p>
            <w:pPr>
              <w:widowControl/>
              <w:spacing w:line="520" w:lineRule="exact"/>
              <w:ind w:firstLine="480" w:firstLineChars="200"/>
              <w:rPr>
                <w:color w:val="auto"/>
                <w:sz w:val="24"/>
                <w:lang w:val="zh-CN"/>
              </w:rPr>
            </w:pPr>
            <w:r>
              <w:rPr>
                <w:color w:val="auto"/>
                <w:sz w:val="24"/>
                <w:lang w:val="zh-CN"/>
              </w:rPr>
              <w:t>本项目施工期间的噪声主要来自施工机械和运输车辆，为了减少施工现场噪声污染的影响，施工过程中可采取以下噪声防治措施：</w:t>
            </w:r>
          </w:p>
          <w:p>
            <w:pPr>
              <w:widowControl/>
              <w:spacing w:line="520" w:lineRule="exact"/>
              <w:ind w:firstLine="480" w:firstLineChars="200"/>
              <w:rPr>
                <w:color w:val="auto"/>
                <w:sz w:val="24"/>
                <w:lang w:val="zh-CN"/>
              </w:rPr>
            </w:pPr>
            <w:r>
              <w:rPr>
                <w:rFonts w:hint="eastAsia"/>
                <w:color w:val="auto"/>
                <w:sz w:val="24"/>
                <w:lang w:val="zh-CN"/>
              </w:rPr>
              <w:t>（</w:t>
            </w:r>
            <w:r>
              <w:rPr>
                <w:rFonts w:hint="eastAsia"/>
                <w:color w:val="auto"/>
                <w:sz w:val="24"/>
              </w:rPr>
              <w:t>1</w:t>
            </w:r>
            <w:r>
              <w:rPr>
                <w:rFonts w:hint="eastAsia"/>
                <w:color w:val="auto"/>
                <w:sz w:val="24"/>
                <w:lang w:val="zh-CN"/>
              </w:rPr>
              <w:t>）</w:t>
            </w:r>
            <w:r>
              <w:rPr>
                <w:color w:val="auto"/>
                <w:sz w:val="24"/>
                <w:lang w:val="zh-CN"/>
              </w:rPr>
              <w:t>合理布局高噪声设备，空压机、电锯等可移动的高噪声设备放置在远离环境敏感点一侧，避免在同一地点安排大量动力机械设备，以免局部声级过高。</w:t>
            </w:r>
          </w:p>
          <w:p>
            <w:pPr>
              <w:widowControl/>
              <w:spacing w:line="520" w:lineRule="exact"/>
              <w:ind w:firstLine="480" w:firstLineChars="200"/>
              <w:rPr>
                <w:color w:val="auto"/>
                <w:sz w:val="24"/>
                <w:lang w:val="zh-CN"/>
              </w:rPr>
            </w:pPr>
            <w:r>
              <w:rPr>
                <w:rFonts w:hint="eastAsia"/>
                <w:color w:val="auto"/>
                <w:sz w:val="24"/>
                <w:lang w:val="zh-CN"/>
              </w:rPr>
              <w:t>（</w:t>
            </w:r>
            <w:r>
              <w:rPr>
                <w:rFonts w:hint="eastAsia"/>
                <w:color w:val="auto"/>
                <w:sz w:val="24"/>
              </w:rPr>
              <w:t>2</w:t>
            </w:r>
            <w:r>
              <w:rPr>
                <w:rFonts w:hint="eastAsia"/>
                <w:color w:val="auto"/>
                <w:sz w:val="24"/>
                <w:lang w:val="zh-CN"/>
              </w:rPr>
              <w:t>）</w:t>
            </w:r>
            <w:r>
              <w:rPr>
                <w:color w:val="auto"/>
                <w:sz w:val="24"/>
                <w:lang w:val="zh-CN"/>
              </w:rPr>
              <w:t>施工单位应尽量选用低噪声或带有隔音、消音的机械设备，如以液压机械代替燃油机械，并加强对设备的维护保养。</w:t>
            </w:r>
          </w:p>
          <w:p>
            <w:pPr>
              <w:widowControl/>
              <w:spacing w:line="520" w:lineRule="exact"/>
              <w:ind w:firstLine="480" w:firstLineChars="200"/>
              <w:rPr>
                <w:color w:val="auto"/>
                <w:sz w:val="24"/>
                <w:lang w:val="zh-CN"/>
              </w:rPr>
            </w:pPr>
            <w:r>
              <w:rPr>
                <w:rFonts w:hint="eastAsia"/>
                <w:color w:val="auto"/>
                <w:sz w:val="24"/>
                <w:lang w:val="zh-CN"/>
              </w:rPr>
              <w:t>（</w:t>
            </w:r>
            <w:r>
              <w:rPr>
                <w:rFonts w:hint="eastAsia"/>
                <w:color w:val="auto"/>
                <w:sz w:val="24"/>
              </w:rPr>
              <w:t>3</w:t>
            </w:r>
            <w:r>
              <w:rPr>
                <w:rFonts w:hint="eastAsia"/>
                <w:color w:val="auto"/>
                <w:sz w:val="24"/>
                <w:lang w:val="zh-CN"/>
              </w:rPr>
              <w:t>）</w:t>
            </w:r>
            <w:r>
              <w:rPr>
                <w:color w:val="auto"/>
                <w:sz w:val="24"/>
                <w:lang w:val="zh-CN"/>
              </w:rPr>
              <w:t>降低人为噪声，按规定操作机械设备，模板、支架拆卸吊装过程中，遵守作业规定，减少碰撞噪音。尽量少用哨子等指挥作业，而代以现代化设备，如用无线对讲机等。</w:t>
            </w:r>
          </w:p>
          <w:p>
            <w:pPr>
              <w:widowControl/>
              <w:spacing w:line="520" w:lineRule="exact"/>
              <w:ind w:firstLine="480" w:firstLineChars="200"/>
              <w:rPr>
                <w:color w:val="auto"/>
                <w:sz w:val="24"/>
                <w:lang w:val="zh-CN"/>
              </w:rPr>
            </w:pPr>
            <w:r>
              <w:rPr>
                <w:rFonts w:hint="eastAsia"/>
                <w:color w:val="auto"/>
                <w:sz w:val="24"/>
                <w:lang w:val="zh-CN"/>
              </w:rPr>
              <w:t>（</w:t>
            </w:r>
            <w:r>
              <w:rPr>
                <w:rFonts w:hint="eastAsia"/>
                <w:color w:val="auto"/>
                <w:sz w:val="24"/>
              </w:rPr>
              <w:t>4</w:t>
            </w:r>
            <w:r>
              <w:rPr>
                <w:rFonts w:hint="eastAsia"/>
                <w:color w:val="auto"/>
                <w:sz w:val="24"/>
                <w:lang w:val="zh-CN"/>
              </w:rPr>
              <w:t>）</w:t>
            </w:r>
            <w:r>
              <w:rPr>
                <w:color w:val="auto"/>
                <w:sz w:val="24"/>
                <w:lang w:val="zh-CN"/>
              </w:rPr>
              <w:t>对位置相对固定的高噪声机械设备，尽量在工棚内操作，不能进入棚内的，可采取围档之类的单面隔声板。对各施工环节中噪声较为突出且又难以对声源进行降噪的设备装置，应采取临时围障措施，围障最好敷以吸声材料，以此达到降噪效果。</w:t>
            </w:r>
          </w:p>
          <w:p>
            <w:pPr>
              <w:widowControl/>
              <w:spacing w:line="520" w:lineRule="exact"/>
              <w:ind w:firstLine="480" w:firstLineChars="200"/>
              <w:rPr>
                <w:color w:val="auto"/>
                <w:sz w:val="24"/>
                <w:lang w:val="zh-CN"/>
              </w:rPr>
            </w:pPr>
            <w:r>
              <w:rPr>
                <w:rFonts w:hint="eastAsia"/>
                <w:color w:val="auto"/>
                <w:sz w:val="24"/>
                <w:lang w:val="zh-CN"/>
              </w:rPr>
              <w:t>（</w:t>
            </w:r>
            <w:r>
              <w:rPr>
                <w:rFonts w:hint="eastAsia"/>
                <w:color w:val="auto"/>
                <w:sz w:val="24"/>
              </w:rPr>
              <w:t>5</w:t>
            </w:r>
            <w:r>
              <w:rPr>
                <w:rFonts w:hint="eastAsia"/>
                <w:color w:val="auto"/>
                <w:sz w:val="24"/>
                <w:lang w:val="zh-CN"/>
              </w:rPr>
              <w:t>）</w:t>
            </w:r>
            <w:r>
              <w:rPr>
                <w:color w:val="auto"/>
                <w:sz w:val="24"/>
                <w:lang w:val="zh-CN"/>
              </w:rPr>
              <w:t>加强运输车辆的管理，按规定组织车辆运输，合理规定运输通道。施工场地内道路应尽量保持平坦，减少由于道路不平而引起的车辆颠簸噪声。</w:t>
            </w:r>
          </w:p>
          <w:p>
            <w:pPr>
              <w:widowControl/>
              <w:numPr>
                <w:ilvl w:val="0"/>
                <w:numId w:val="13"/>
              </w:numPr>
              <w:spacing w:line="520" w:lineRule="exact"/>
              <w:ind w:firstLine="482" w:firstLineChars="200"/>
              <w:rPr>
                <w:b/>
                <w:bCs/>
                <w:color w:val="auto"/>
                <w:sz w:val="24"/>
              </w:rPr>
            </w:pPr>
            <w:r>
              <w:rPr>
                <w:b/>
                <w:bCs/>
                <w:color w:val="auto"/>
                <w:sz w:val="24"/>
              </w:rPr>
              <w:t>固体废物</w:t>
            </w:r>
          </w:p>
          <w:p>
            <w:pPr>
              <w:widowControl/>
              <w:spacing w:line="520" w:lineRule="exact"/>
              <w:ind w:firstLine="480" w:firstLineChars="200"/>
              <w:rPr>
                <w:color w:val="auto"/>
                <w:sz w:val="24"/>
              </w:rPr>
            </w:pPr>
            <w:r>
              <w:rPr>
                <w:rFonts w:hint="eastAsia"/>
                <w:color w:val="auto"/>
                <w:sz w:val="24"/>
              </w:rPr>
              <w:t>施工期基础开挖产生的土石方，产生量较少，可就地用于场区平整。产生的建筑垃圾，主要包括废木料、废金属、废钢筋等杂物，可回收的应尽量回收，不能回收的经集中收集后由施工单位及时清运。</w:t>
            </w:r>
          </w:p>
          <w:p>
            <w:pPr>
              <w:pStyle w:val="70"/>
              <w:rPr>
                <w:color w:val="auto"/>
              </w:rPr>
            </w:pPr>
            <w:r>
              <w:rPr>
                <w:rFonts w:hint="eastAsia"/>
                <w:color w:val="auto"/>
              </w:rPr>
              <w:t>施工期员工生活垃圾收集后及时清运至生活垃圾填埋场处理，不得随意抛洒。</w:t>
            </w:r>
          </w:p>
          <w:p>
            <w:pPr>
              <w:widowControl/>
              <w:spacing w:line="520" w:lineRule="exact"/>
              <w:ind w:firstLine="482" w:firstLineChars="200"/>
              <w:rPr>
                <w:b/>
                <w:bCs/>
                <w:color w:val="auto"/>
                <w:sz w:val="24"/>
                <w:szCs w:val="32"/>
              </w:rPr>
            </w:pPr>
            <w:r>
              <w:rPr>
                <w:rFonts w:hint="eastAsia"/>
                <w:b/>
                <w:bCs/>
                <w:color w:val="auto"/>
                <w:sz w:val="24"/>
                <w:szCs w:val="32"/>
              </w:rPr>
              <w:t>5、</w:t>
            </w:r>
            <w:r>
              <w:rPr>
                <w:b/>
                <w:bCs/>
                <w:color w:val="auto"/>
                <w:sz w:val="24"/>
                <w:szCs w:val="32"/>
              </w:rPr>
              <w:t>防沙治沙</w:t>
            </w:r>
          </w:p>
          <w:p>
            <w:pPr>
              <w:pStyle w:val="76"/>
              <w:spacing w:beforeLines="0" w:line="520" w:lineRule="exact"/>
              <w:ind w:firstLine="480"/>
              <w:rPr>
                <w:rFonts w:ascii="Times New Roman" w:hAnsi="Times New Roman" w:eastAsia="宋体"/>
                <w:color w:val="auto"/>
                <w:sz w:val="24"/>
                <w:szCs w:val="24"/>
              </w:rPr>
            </w:pPr>
            <w:r>
              <w:rPr>
                <w:rFonts w:ascii="Times New Roman" w:hAnsi="Times New Roman" w:eastAsia="宋体"/>
                <w:color w:val="auto"/>
                <w:sz w:val="24"/>
                <w:szCs w:val="24"/>
              </w:rPr>
              <w:t>经现场踏勘，项目区周边植被较少，地表裸露，需要进行防沙治沙工作，应以预防为主，防治结合，综合治理的原则，遵循生态规律。</w:t>
            </w:r>
          </w:p>
          <w:p>
            <w:pPr>
              <w:pStyle w:val="76"/>
              <w:spacing w:beforeLines="0" w:line="520" w:lineRule="exact"/>
              <w:ind w:firstLine="480"/>
              <w:rPr>
                <w:rFonts w:ascii="Times New Roman" w:hAnsi="Times New Roman" w:eastAsia="宋体"/>
                <w:color w:val="auto"/>
                <w:sz w:val="24"/>
                <w:szCs w:val="24"/>
              </w:rPr>
            </w:pPr>
            <w:r>
              <w:rPr>
                <w:rFonts w:ascii="Times New Roman" w:hAnsi="Times New Roman" w:eastAsia="宋体"/>
                <w:color w:val="auto"/>
                <w:sz w:val="24"/>
                <w:szCs w:val="24"/>
              </w:rPr>
              <w:t>根据相关要求，本环评提出了以下防沙治沙措施。</w:t>
            </w:r>
          </w:p>
          <w:p>
            <w:pPr>
              <w:pStyle w:val="76"/>
              <w:numPr>
                <w:ilvl w:val="0"/>
                <w:numId w:val="14"/>
              </w:numPr>
              <w:spacing w:beforeLines="0" w:line="520" w:lineRule="exact"/>
              <w:ind w:firstLine="480"/>
              <w:rPr>
                <w:rFonts w:ascii="Times New Roman" w:hAnsi="Times New Roman" w:eastAsia="宋体"/>
                <w:color w:val="auto"/>
                <w:sz w:val="24"/>
                <w:szCs w:val="24"/>
              </w:rPr>
            </w:pPr>
            <w:r>
              <w:rPr>
                <w:rFonts w:ascii="Times New Roman" w:hAnsi="Times New Roman" w:eastAsia="宋体"/>
                <w:color w:val="auto"/>
                <w:sz w:val="24"/>
                <w:szCs w:val="24"/>
              </w:rPr>
              <w:t>应与当地防风固沙、环保绿化的政策结合，结合项目区所在的实际环境，主动配合风沙治理工作；</w:t>
            </w:r>
          </w:p>
          <w:p>
            <w:pPr>
              <w:widowControl/>
              <w:numPr>
                <w:ilvl w:val="0"/>
                <w:numId w:val="14"/>
              </w:numPr>
              <w:spacing w:line="520" w:lineRule="exact"/>
              <w:ind w:firstLine="480" w:firstLineChars="200"/>
              <w:jc w:val="left"/>
              <w:rPr>
                <w:color w:val="auto"/>
                <w:sz w:val="24"/>
              </w:rPr>
            </w:pPr>
            <w:r>
              <w:rPr>
                <w:color w:val="auto"/>
                <w:sz w:val="24"/>
              </w:rPr>
              <w:t>向职工灌输防风固沙，保护环境的理念，贴出防沙治沙措施标识牌，增强人员防沙治沙意识，提高防沙治沙能力</w:t>
            </w:r>
            <w:r>
              <w:rPr>
                <w:rFonts w:hint="eastAsia"/>
                <w:color w:val="auto"/>
                <w:sz w:val="24"/>
                <w:lang w:eastAsia="zh-CN"/>
              </w:rPr>
              <w:t>；</w:t>
            </w:r>
          </w:p>
          <w:p>
            <w:pPr>
              <w:widowControl/>
              <w:numPr>
                <w:ilvl w:val="0"/>
                <w:numId w:val="14"/>
              </w:numPr>
              <w:spacing w:line="520" w:lineRule="exact"/>
              <w:ind w:firstLine="480" w:firstLineChars="200"/>
              <w:jc w:val="left"/>
              <w:rPr>
                <w:color w:val="auto"/>
                <w:kern w:val="0"/>
                <w:sz w:val="24"/>
                <w:lang w:bidi="ar"/>
              </w:rPr>
            </w:pPr>
            <w:r>
              <w:rPr>
                <w:color w:val="auto"/>
                <w:kern w:val="0"/>
                <w:sz w:val="24"/>
                <w:lang w:bidi="ar"/>
              </w:rPr>
              <w:t>施工单位根据项目特点合理设计施工方案；</w:t>
            </w:r>
          </w:p>
          <w:p>
            <w:pPr>
              <w:widowControl/>
              <w:spacing w:line="520" w:lineRule="exact"/>
              <w:ind w:firstLine="480" w:firstLineChars="200"/>
              <w:jc w:val="left"/>
              <w:rPr>
                <w:color w:val="auto"/>
                <w:sz w:val="24"/>
              </w:rPr>
            </w:pPr>
            <w:r>
              <w:rPr>
                <w:color w:val="auto"/>
                <w:kern w:val="0"/>
                <w:sz w:val="24"/>
                <w:lang w:bidi="ar"/>
              </w:rPr>
              <w:t>（5）在施工过程中应划定施工场地范围，限定施工机械行驶路线，严禁扰动工程区以外的土地；</w:t>
            </w:r>
          </w:p>
          <w:p>
            <w:pPr>
              <w:widowControl/>
              <w:spacing w:line="520" w:lineRule="exact"/>
              <w:ind w:firstLine="480" w:firstLineChars="200"/>
              <w:jc w:val="left"/>
              <w:rPr>
                <w:color w:val="auto"/>
                <w:sz w:val="24"/>
              </w:rPr>
            </w:pPr>
            <w:r>
              <w:rPr>
                <w:color w:val="auto"/>
                <w:kern w:val="0"/>
                <w:sz w:val="24"/>
                <w:lang w:bidi="ar"/>
              </w:rPr>
              <w:t xml:space="preserve">（6）对于施工期工程平整场地的产生的弃方应集中堆放，严禁任意堆放，注意对开挖处及时进行回填、压实，以降低废土场侵蚀模数；要求在堆土区边界设立挡土墙及有组织的排水沟渠； </w:t>
            </w:r>
          </w:p>
          <w:p>
            <w:pPr>
              <w:widowControl/>
              <w:spacing w:line="520" w:lineRule="exact"/>
              <w:ind w:firstLine="480" w:firstLineChars="200"/>
              <w:jc w:val="left"/>
              <w:rPr>
                <w:color w:val="auto"/>
              </w:rPr>
            </w:pPr>
            <w:r>
              <w:rPr>
                <w:color w:val="auto"/>
                <w:kern w:val="0"/>
                <w:sz w:val="24"/>
                <w:lang w:bidi="ar"/>
              </w:rPr>
              <w:t>（7）实行施工全过程管理，加强施工队伍环保意识教育，加强施工期环境监理，文明施工</w:t>
            </w:r>
            <w:r>
              <w:rPr>
                <w:rFonts w:hint="eastAsia"/>
                <w:color w:val="auto"/>
                <w:kern w:val="0"/>
                <w:sz w:val="24"/>
                <w:lang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5" w:type="dxa"/>
            <w:tcMar>
              <w:left w:w="28" w:type="dxa"/>
              <w:right w:w="28" w:type="dxa"/>
            </w:tcMar>
            <w:vAlign w:val="center"/>
          </w:tcPr>
          <w:p>
            <w:pPr>
              <w:adjustRightInd w:val="0"/>
              <w:snapToGrid w:val="0"/>
              <w:spacing w:line="520" w:lineRule="exact"/>
              <w:jc w:val="center"/>
              <w:rPr>
                <w:bCs/>
                <w:color w:val="auto"/>
                <w:sz w:val="24"/>
              </w:rPr>
            </w:pPr>
            <w:r>
              <w:rPr>
                <w:bCs/>
                <w:color w:val="auto"/>
                <w:sz w:val="24"/>
              </w:rPr>
              <w:t>运营</w:t>
            </w:r>
          </w:p>
          <w:p>
            <w:pPr>
              <w:adjustRightInd w:val="0"/>
              <w:snapToGrid w:val="0"/>
              <w:spacing w:line="520" w:lineRule="exact"/>
              <w:jc w:val="center"/>
              <w:rPr>
                <w:bCs/>
                <w:color w:val="auto"/>
                <w:sz w:val="24"/>
              </w:rPr>
            </w:pPr>
            <w:r>
              <w:rPr>
                <w:bCs/>
                <w:color w:val="auto"/>
                <w:sz w:val="24"/>
              </w:rPr>
              <w:t>期环</w:t>
            </w:r>
          </w:p>
          <w:p>
            <w:pPr>
              <w:adjustRightInd w:val="0"/>
              <w:snapToGrid w:val="0"/>
              <w:spacing w:line="520" w:lineRule="exact"/>
              <w:jc w:val="center"/>
              <w:rPr>
                <w:bCs/>
                <w:color w:val="auto"/>
                <w:sz w:val="24"/>
              </w:rPr>
            </w:pPr>
            <w:r>
              <w:rPr>
                <w:bCs/>
                <w:color w:val="auto"/>
                <w:sz w:val="24"/>
              </w:rPr>
              <w:t>境影</w:t>
            </w:r>
          </w:p>
          <w:p>
            <w:pPr>
              <w:adjustRightInd w:val="0"/>
              <w:snapToGrid w:val="0"/>
              <w:spacing w:line="520" w:lineRule="exact"/>
              <w:jc w:val="center"/>
              <w:rPr>
                <w:bCs/>
                <w:color w:val="auto"/>
                <w:sz w:val="24"/>
              </w:rPr>
            </w:pPr>
            <w:r>
              <w:rPr>
                <w:bCs/>
                <w:color w:val="auto"/>
                <w:sz w:val="24"/>
              </w:rPr>
              <w:t>响和</w:t>
            </w:r>
          </w:p>
          <w:p>
            <w:pPr>
              <w:adjustRightInd w:val="0"/>
              <w:snapToGrid w:val="0"/>
              <w:spacing w:line="520" w:lineRule="exact"/>
              <w:jc w:val="center"/>
              <w:rPr>
                <w:bCs/>
                <w:color w:val="auto"/>
                <w:sz w:val="24"/>
              </w:rPr>
            </w:pPr>
            <w:r>
              <w:rPr>
                <w:bCs/>
                <w:color w:val="auto"/>
                <w:sz w:val="24"/>
              </w:rPr>
              <w:t>保护</w:t>
            </w:r>
          </w:p>
          <w:p>
            <w:pPr>
              <w:adjustRightInd w:val="0"/>
              <w:snapToGrid w:val="0"/>
              <w:spacing w:line="520" w:lineRule="exact"/>
              <w:jc w:val="center"/>
              <w:rPr>
                <w:bCs/>
                <w:color w:val="auto"/>
                <w:sz w:val="24"/>
              </w:rPr>
            </w:pPr>
            <w:r>
              <w:rPr>
                <w:bCs/>
                <w:color w:val="auto"/>
                <w:sz w:val="24"/>
              </w:rPr>
              <w:t>措施</w:t>
            </w:r>
          </w:p>
        </w:tc>
        <w:tc>
          <w:tcPr>
            <w:tcW w:w="8991" w:type="dxa"/>
            <w:vAlign w:val="center"/>
          </w:tcPr>
          <w:p>
            <w:pPr>
              <w:widowControl/>
              <w:numPr>
                <w:ilvl w:val="0"/>
                <w:numId w:val="15"/>
              </w:numPr>
              <w:spacing w:line="520" w:lineRule="exact"/>
              <w:ind w:left="-62" w:leftChars="0" w:firstLine="482" w:firstLineChars="0"/>
              <w:rPr>
                <w:b/>
                <w:bCs/>
                <w:color w:val="auto"/>
                <w:sz w:val="24"/>
              </w:rPr>
            </w:pPr>
            <w:r>
              <w:rPr>
                <w:rFonts w:hint="eastAsia"/>
                <w:b/>
                <w:bCs/>
                <w:color w:val="auto"/>
                <w:sz w:val="24"/>
              </w:rPr>
              <w:t>大气环境影响分析</w:t>
            </w:r>
          </w:p>
          <w:p>
            <w:pPr>
              <w:snapToGrid w:val="0"/>
              <w:spacing w:line="520" w:lineRule="exact"/>
              <w:ind w:firstLine="482" w:firstLineChars="200"/>
              <w:rPr>
                <w:rFonts w:hAnsi="宋体"/>
                <w:b/>
                <w:bCs/>
                <w:color w:val="auto"/>
                <w:sz w:val="24"/>
              </w:rPr>
            </w:pPr>
            <w:r>
              <w:rPr>
                <w:rFonts w:hint="eastAsia" w:hAnsi="宋体"/>
                <w:b/>
                <w:bCs/>
                <w:color w:val="auto"/>
                <w:sz w:val="24"/>
              </w:rPr>
              <w:t>1</w:t>
            </w:r>
            <w:r>
              <w:rPr>
                <w:rFonts w:hAnsi="宋体"/>
                <w:b/>
                <w:bCs/>
                <w:color w:val="auto"/>
                <w:sz w:val="24"/>
              </w:rPr>
              <w:t>.1</w:t>
            </w:r>
            <w:r>
              <w:rPr>
                <w:rFonts w:hint="eastAsia" w:hAnsi="宋体"/>
                <w:b/>
                <w:bCs/>
                <w:color w:val="auto"/>
                <w:sz w:val="24"/>
              </w:rPr>
              <w:t>大气污染物源强估算</w:t>
            </w:r>
          </w:p>
          <w:p>
            <w:pPr>
              <w:widowControl/>
              <w:spacing w:line="520" w:lineRule="exact"/>
              <w:ind w:firstLine="480" w:firstLineChars="200"/>
              <w:rPr>
                <w:color w:val="auto"/>
                <w:sz w:val="24"/>
              </w:rPr>
            </w:pPr>
            <w:r>
              <w:rPr>
                <w:rFonts w:hint="eastAsia" w:hAnsi="宋体"/>
                <w:color w:val="auto"/>
                <w:kern w:val="0"/>
                <w:sz w:val="24"/>
              </w:rPr>
              <w:t>（1）多孔粒状硝酸铵上料粉尘</w:t>
            </w:r>
          </w:p>
          <w:p>
            <w:pPr>
              <w:adjustRightInd w:val="0"/>
              <w:snapToGrid w:val="0"/>
              <w:spacing w:line="520" w:lineRule="exact"/>
              <w:ind w:firstLine="480" w:firstLineChars="200"/>
              <w:rPr>
                <w:color w:val="auto"/>
                <w:sz w:val="24"/>
              </w:rPr>
            </w:pPr>
            <w:r>
              <w:rPr>
                <w:color w:val="auto"/>
                <w:sz w:val="24"/>
              </w:rPr>
              <w:t>本项目新增</w:t>
            </w:r>
            <w:r>
              <w:rPr>
                <w:rFonts w:hint="eastAsia"/>
                <w:color w:val="auto"/>
                <w:sz w:val="24"/>
              </w:rPr>
              <w:t>10</w:t>
            </w:r>
            <w:r>
              <w:rPr>
                <w:color w:val="auto"/>
                <w:sz w:val="24"/>
              </w:rPr>
              <w:t>台现场混装多孔粒状铵油炸药车，扩能后全厂产能</w:t>
            </w:r>
            <w:r>
              <w:rPr>
                <w:rFonts w:hint="eastAsia"/>
                <w:color w:val="auto"/>
                <w:sz w:val="24"/>
                <w:lang w:val="en-US" w:eastAsia="zh-CN"/>
              </w:rPr>
              <w:t>由7200</w:t>
            </w:r>
            <w:r>
              <w:rPr>
                <w:color w:val="auto"/>
                <w:sz w:val="24"/>
              </w:rPr>
              <w:t>吨/年</w:t>
            </w:r>
            <w:r>
              <w:rPr>
                <w:rFonts w:hint="eastAsia"/>
                <w:color w:val="auto"/>
                <w:sz w:val="24"/>
              </w:rPr>
              <w:t>调整</w:t>
            </w:r>
            <w:r>
              <w:rPr>
                <w:color w:val="auto"/>
                <w:sz w:val="24"/>
              </w:rPr>
              <w:t>为</w:t>
            </w:r>
            <w:r>
              <w:rPr>
                <w:rFonts w:hint="eastAsia"/>
                <w:color w:val="auto"/>
                <w:sz w:val="24"/>
              </w:rPr>
              <w:t>260</w:t>
            </w:r>
            <w:r>
              <w:rPr>
                <w:color w:val="auto"/>
                <w:sz w:val="24"/>
              </w:rPr>
              <w:t>00吨/年，</w:t>
            </w:r>
            <w:r>
              <w:rPr>
                <w:rFonts w:hint="eastAsia"/>
                <w:color w:val="auto"/>
                <w:sz w:val="24"/>
              </w:rPr>
              <w:t>多孔粒状硝酸铵原料上料过程中会产生少量的颗粒物</w:t>
            </w:r>
            <w:r>
              <w:rPr>
                <w:color w:val="auto"/>
                <w:sz w:val="24"/>
              </w:rPr>
              <w:t>。</w:t>
            </w:r>
          </w:p>
          <w:p>
            <w:pPr>
              <w:adjustRightInd w:val="0"/>
              <w:snapToGrid w:val="0"/>
              <w:spacing w:line="520" w:lineRule="exact"/>
              <w:ind w:firstLine="480" w:firstLineChars="200"/>
              <w:rPr>
                <w:color w:val="auto"/>
                <w:sz w:val="24"/>
              </w:rPr>
            </w:pPr>
            <w:r>
              <w:rPr>
                <w:rFonts w:hint="eastAsia"/>
                <w:color w:val="auto"/>
                <w:sz w:val="24"/>
              </w:rPr>
              <w:t>本次扩能多孔粒状硝酸铵新增使用量为17860t/a。根据《环境影响实用技术指南》中建议无组织排放量可按原料年用量的0.1‰~0.4‰计算，本项目按0.25‰计，则本项目上料工序颗粒物产生量4.465t/a。本项目硝酸铵上料工序采用密闭式全自动上料，可减少99%的粉尘逸散，则本项目无组织颗粒物排放量为0.045t/a，本次扩能生产设备依托现有设施，上料工房安装有排风扇，上料过程产生的少量粉尘经排风扇排出室外，经稀释扩散后，对周围环境影响较小。</w:t>
            </w:r>
          </w:p>
          <w:p>
            <w:pPr>
              <w:adjustRightInd w:val="0"/>
              <w:snapToGrid w:val="0"/>
              <w:spacing w:line="520" w:lineRule="exact"/>
              <w:ind w:left="420" w:leftChars="200"/>
              <w:rPr>
                <w:color w:val="auto"/>
                <w:sz w:val="24"/>
              </w:rPr>
            </w:pPr>
            <w:r>
              <w:rPr>
                <w:rFonts w:hint="eastAsia"/>
                <w:color w:val="auto"/>
                <w:sz w:val="24"/>
              </w:rPr>
              <w:t>（2）硝酸铵库废气</w:t>
            </w:r>
          </w:p>
          <w:p>
            <w:pPr>
              <w:widowControl/>
              <w:spacing w:line="520" w:lineRule="exact"/>
              <w:ind w:firstLine="480" w:firstLineChars="200"/>
              <w:jc w:val="left"/>
              <w:rPr>
                <w:color w:val="auto"/>
              </w:rPr>
            </w:pPr>
            <w:r>
              <w:rPr>
                <w:rFonts w:ascii="宋体" w:hAnsi="宋体" w:eastAsia="宋体" w:cs="宋体"/>
                <w:color w:val="auto"/>
                <w:sz w:val="24"/>
                <w:szCs w:val="24"/>
              </w:rPr>
              <w:t>根据相关研究，纯净的硝酸铵是稳定的，分解温度为210</w:t>
            </w:r>
            <w:r>
              <w:rPr>
                <w:rFonts w:hint="eastAsia" w:ascii="宋体" w:hAnsi="宋体" w:eastAsia="宋体" w:cs="宋体"/>
                <w:color w:val="auto"/>
                <w:sz w:val="24"/>
                <w:szCs w:val="24"/>
                <w:lang w:val="en-US" w:eastAsia="zh-CN"/>
              </w:rPr>
              <w:t>℃</w:t>
            </w:r>
            <w:r>
              <w:rPr>
                <w:rFonts w:ascii="宋体" w:hAnsi="宋体" w:eastAsia="宋体" w:cs="宋体"/>
                <w:color w:val="auto"/>
                <w:sz w:val="24"/>
                <w:szCs w:val="24"/>
              </w:rPr>
              <w:t>，而在环境温度下，基本不会分解。多孔粒状硝酸铵是硝酸铵的新品种，具有松散性、稳定性、不易结块等特点。因此，本环评不考虑硝酸铵的自然分解。本项目固态硝酸铵袋装储存于硝酸铵库房内，硝酸铵在贮存过程中缓慢分解，释放出少量的氨气</w:t>
            </w:r>
            <w:r>
              <w:rPr>
                <w:rFonts w:hint="eastAsia" w:ascii="宋体" w:hAnsi="宋体" w:eastAsia="宋体" w:cs="宋体"/>
                <w:color w:val="auto"/>
                <w:sz w:val="24"/>
                <w:szCs w:val="24"/>
                <w:lang w:eastAsia="zh-CN"/>
              </w:rPr>
              <w:t>，</w:t>
            </w:r>
            <w:r>
              <w:rPr>
                <w:rFonts w:hint="eastAsia" w:ascii="宋体" w:hAnsi="宋体" w:cs="宋体"/>
                <w:color w:val="auto"/>
                <w:kern w:val="0"/>
                <w:sz w:val="24"/>
                <w:lang w:bidi="ar"/>
              </w:rPr>
              <w:t>本次评价不再对其进行量化分析。</w:t>
            </w:r>
            <w:r>
              <w:rPr>
                <w:color w:val="auto"/>
                <w:kern w:val="0"/>
                <w:sz w:val="24"/>
                <w:lang w:bidi="ar"/>
              </w:rPr>
              <w:t>NH</w:t>
            </w:r>
            <w:r>
              <w:rPr>
                <w:rFonts w:hint="eastAsia"/>
                <w:color w:val="auto"/>
                <w:kern w:val="0"/>
                <w:sz w:val="24"/>
                <w:vertAlign w:val="subscript"/>
                <w:lang w:bidi="ar"/>
              </w:rPr>
              <w:t>3</w:t>
            </w:r>
            <w:r>
              <w:rPr>
                <w:rFonts w:hint="eastAsia" w:ascii="宋体" w:hAnsi="宋体" w:cs="宋体"/>
                <w:color w:val="auto"/>
                <w:kern w:val="0"/>
                <w:sz w:val="24"/>
                <w:lang w:bidi="ar"/>
              </w:rPr>
              <w:t>在室温下的饱和蒸气压为</w:t>
            </w:r>
            <w:r>
              <w:rPr>
                <w:color w:val="auto"/>
                <w:kern w:val="0"/>
                <w:sz w:val="24"/>
                <w:lang w:bidi="ar"/>
              </w:rPr>
              <w:t>1.0028MPa</w:t>
            </w:r>
            <w:r>
              <w:rPr>
                <w:rFonts w:hint="eastAsia" w:ascii="宋体" w:hAnsi="宋体" w:cs="宋体"/>
                <w:color w:val="auto"/>
                <w:kern w:val="0"/>
                <w:sz w:val="24"/>
                <w:lang w:bidi="ar"/>
              </w:rPr>
              <w:t>，饱和浓度为</w:t>
            </w:r>
            <w:r>
              <w:rPr>
                <w:color w:val="auto"/>
                <w:kern w:val="0"/>
                <w:sz w:val="24"/>
                <w:lang w:bidi="ar"/>
              </w:rPr>
              <w:t>0.79mg/m³</w:t>
            </w:r>
            <w:r>
              <w:rPr>
                <w:rFonts w:hint="eastAsia" w:ascii="宋体" w:hAnsi="宋体" w:cs="宋体"/>
                <w:color w:val="auto"/>
                <w:kern w:val="0"/>
                <w:sz w:val="24"/>
                <w:lang w:bidi="ar"/>
              </w:rPr>
              <w:t>，加强库房通风换气，不会对大气环境造成明显影响。</w:t>
            </w:r>
          </w:p>
          <w:p>
            <w:pPr>
              <w:adjustRightInd w:val="0"/>
              <w:snapToGrid w:val="0"/>
              <w:spacing w:line="520" w:lineRule="exact"/>
              <w:ind w:firstLine="480" w:firstLineChars="200"/>
              <w:rPr>
                <w:rFonts w:hAnsi="宋体"/>
                <w:color w:val="auto"/>
                <w:kern w:val="0"/>
                <w:sz w:val="24"/>
              </w:rPr>
            </w:pPr>
            <w:r>
              <w:rPr>
                <w:rFonts w:hint="eastAsia"/>
                <w:color w:val="auto"/>
                <w:sz w:val="24"/>
              </w:rPr>
              <w:t>（3）柴油储罐装卸、储存废气</w:t>
            </w:r>
          </w:p>
          <w:p>
            <w:pPr>
              <w:spacing w:line="520" w:lineRule="exact"/>
              <w:ind w:firstLine="480" w:firstLineChars="200"/>
              <w:rPr>
                <w:color w:val="auto"/>
                <w:sz w:val="24"/>
                <w:szCs w:val="32"/>
              </w:rPr>
            </w:pPr>
            <w:r>
              <w:rPr>
                <w:rFonts w:hint="eastAsia" w:hAnsi="宋体"/>
                <w:color w:val="auto"/>
                <w:sz w:val="24"/>
                <w:szCs w:val="32"/>
              </w:rPr>
              <w:t>本次扩能柴油贮存于现有双层储罐中，贮存和装卸时会有少量有机废气挥发，该环节产污系数参考《排放源统计调查产排污核算方法和系数手册（2021年版）》（附表3工业源挥发性有机物通用源项核算系数手册）中柴油储罐工作损失排放系数和静置损失排放系数核算本环节VOC</w:t>
            </w:r>
            <w:r>
              <w:rPr>
                <w:rFonts w:hint="eastAsia" w:hAnsi="宋体"/>
                <w:color w:val="auto"/>
                <w:sz w:val="24"/>
                <w:szCs w:val="32"/>
                <w:vertAlign w:val="subscript"/>
              </w:rPr>
              <w:t>S</w:t>
            </w:r>
            <w:r>
              <w:rPr>
                <w:rFonts w:hint="eastAsia" w:hAnsi="宋体"/>
                <w:color w:val="auto"/>
                <w:sz w:val="24"/>
                <w:szCs w:val="32"/>
              </w:rPr>
              <w:t>产生量。</w:t>
            </w:r>
          </w:p>
          <w:p>
            <w:pPr>
              <w:pStyle w:val="36"/>
              <w:rPr>
                <w:color w:val="auto"/>
              </w:rPr>
            </w:pPr>
            <w:r>
              <w:rPr>
                <w:rFonts w:hint="eastAsia"/>
                <w:color w:val="auto"/>
              </w:rPr>
              <w:t>4-1  柴油储罐VOCs损失系数</w:t>
            </w:r>
          </w:p>
          <w:tbl>
            <w:tblPr>
              <w:tblStyle w:val="29"/>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53"/>
              <w:gridCol w:w="1149"/>
              <w:gridCol w:w="1361"/>
              <w:gridCol w:w="1259"/>
              <w:gridCol w:w="892"/>
              <w:gridCol w:w="2064"/>
              <w:gridCol w:w="163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13" w:type="pct"/>
                  <w:tcBorders>
                    <w:tl2br w:val="nil"/>
                    <w:tr2bl w:val="nil"/>
                  </w:tcBorders>
                  <w:vAlign w:val="center"/>
                </w:tcPr>
                <w:p>
                  <w:pPr>
                    <w:pStyle w:val="5"/>
                    <w:spacing w:before="0" w:after="0" w:line="240" w:lineRule="auto"/>
                    <w:jc w:val="center"/>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物料名称</w:t>
                  </w:r>
                </w:p>
              </w:tc>
              <w:tc>
                <w:tcPr>
                  <w:tcW w:w="630" w:type="pct"/>
                  <w:tcBorders>
                    <w:tl2br w:val="nil"/>
                    <w:tr2bl w:val="nil"/>
                  </w:tcBorders>
                  <w:vAlign w:val="center"/>
                </w:tcPr>
                <w:p>
                  <w:pPr>
                    <w:pStyle w:val="5"/>
                    <w:spacing w:before="0" w:after="0" w:line="240" w:lineRule="auto"/>
                    <w:jc w:val="center"/>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储罐类型</w:t>
                  </w:r>
                </w:p>
              </w:tc>
              <w:tc>
                <w:tcPr>
                  <w:tcW w:w="746" w:type="pct"/>
                  <w:tcBorders>
                    <w:tl2br w:val="nil"/>
                    <w:tr2bl w:val="nil"/>
                  </w:tcBorders>
                  <w:vAlign w:val="center"/>
                </w:tcPr>
                <w:p>
                  <w:pPr>
                    <w:pStyle w:val="5"/>
                    <w:spacing w:before="0" w:after="0" w:line="240" w:lineRule="auto"/>
                    <w:jc w:val="center"/>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储罐容积V（立方米）</w:t>
                  </w:r>
                </w:p>
              </w:tc>
              <w:tc>
                <w:tcPr>
                  <w:tcW w:w="690" w:type="pct"/>
                  <w:tcBorders>
                    <w:tl2br w:val="nil"/>
                    <w:tr2bl w:val="nil"/>
                  </w:tcBorders>
                  <w:vAlign w:val="center"/>
                </w:tcPr>
                <w:p>
                  <w:pPr>
                    <w:pStyle w:val="5"/>
                    <w:spacing w:before="0" w:after="0" w:line="240" w:lineRule="auto"/>
                    <w:jc w:val="center"/>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储存温度（摄氏度）</w:t>
                  </w:r>
                </w:p>
              </w:tc>
              <w:tc>
                <w:tcPr>
                  <w:tcW w:w="489" w:type="pct"/>
                  <w:tcBorders>
                    <w:tl2br w:val="nil"/>
                    <w:tr2bl w:val="nil"/>
                  </w:tcBorders>
                  <w:vAlign w:val="center"/>
                </w:tcPr>
                <w:p>
                  <w:pPr>
                    <w:pStyle w:val="5"/>
                    <w:spacing w:before="0" w:after="0" w:line="240" w:lineRule="auto"/>
                    <w:jc w:val="center"/>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污染物指标</w:t>
                  </w:r>
                </w:p>
              </w:tc>
              <w:tc>
                <w:tcPr>
                  <w:tcW w:w="1131" w:type="pct"/>
                  <w:tcBorders>
                    <w:tl2br w:val="nil"/>
                    <w:tr2bl w:val="nil"/>
                  </w:tcBorders>
                  <w:vAlign w:val="center"/>
                </w:tcPr>
                <w:p>
                  <w:pPr>
                    <w:pStyle w:val="5"/>
                    <w:spacing w:before="0" w:after="0" w:line="240" w:lineRule="auto"/>
                    <w:jc w:val="center"/>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工作损失排放系数（千克/吨</w:t>
                  </w:r>
                  <w:r>
                    <w:rPr>
                      <w:rFonts w:hint="eastAsia" w:eastAsia="宋体"/>
                      <w:b w:val="0"/>
                      <w:bCs w:val="0"/>
                      <w:color w:val="auto"/>
                      <w:sz w:val="21"/>
                      <w:szCs w:val="21"/>
                    </w:rPr>
                    <w:t>－</w:t>
                  </w:r>
                  <w:r>
                    <w:rPr>
                      <w:rFonts w:ascii="Times New Roman" w:hAnsi="Times New Roman" w:eastAsia="宋体"/>
                      <w:b w:val="0"/>
                      <w:bCs w:val="0"/>
                      <w:color w:val="auto"/>
                      <w:sz w:val="21"/>
                      <w:szCs w:val="21"/>
                    </w:rPr>
                    <w:t>周转量）</w:t>
                  </w:r>
                </w:p>
              </w:tc>
              <w:tc>
                <w:tcPr>
                  <w:tcW w:w="897" w:type="pct"/>
                  <w:tcBorders>
                    <w:tl2br w:val="nil"/>
                    <w:tr2bl w:val="nil"/>
                  </w:tcBorders>
                  <w:vAlign w:val="center"/>
                </w:tcPr>
                <w:p>
                  <w:pPr>
                    <w:pStyle w:val="5"/>
                    <w:spacing w:before="0" w:after="0" w:line="240" w:lineRule="auto"/>
                    <w:jc w:val="center"/>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静置损失排放系数（千克/年）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13" w:type="pct"/>
                  <w:tcBorders>
                    <w:tl2br w:val="nil"/>
                    <w:tr2bl w:val="nil"/>
                  </w:tcBorders>
                  <w:vAlign w:val="center"/>
                </w:tcPr>
                <w:p>
                  <w:pPr>
                    <w:pStyle w:val="5"/>
                    <w:spacing w:before="0" w:after="0" w:line="240" w:lineRule="auto"/>
                    <w:jc w:val="center"/>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柴油</w:t>
                  </w:r>
                </w:p>
              </w:tc>
              <w:tc>
                <w:tcPr>
                  <w:tcW w:w="630" w:type="pct"/>
                  <w:tcBorders>
                    <w:tl2br w:val="nil"/>
                    <w:tr2bl w:val="nil"/>
                  </w:tcBorders>
                  <w:vAlign w:val="center"/>
                </w:tcPr>
                <w:p>
                  <w:pPr>
                    <w:pStyle w:val="5"/>
                    <w:spacing w:before="0" w:after="0" w:line="240" w:lineRule="auto"/>
                    <w:jc w:val="center"/>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固定顶罐</w:t>
                  </w:r>
                </w:p>
              </w:tc>
              <w:tc>
                <w:tcPr>
                  <w:tcW w:w="746" w:type="pct"/>
                  <w:tcBorders>
                    <w:tl2br w:val="nil"/>
                    <w:tr2bl w:val="nil"/>
                  </w:tcBorders>
                  <w:vAlign w:val="center"/>
                </w:tcPr>
                <w:p>
                  <w:pPr>
                    <w:pStyle w:val="5"/>
                    <w:spacing w:before="0" w:after="0" w:line="240" w:lineRule="auto"/>
                    <w:jc w:val="center"/>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V≤100</w:t>
                  </w:r>
                </w:p>
              </w:tc>
              <w:tc>
                <w:tcPr>
                  <w:tcW w:w="690" w:type="pct"/>
                  <w:tcBorders>
                    <w:tl2br w:val="nil"/>
                    <w:tr2bl w:val="nil"/>
                  </w:tcBorders>
                  <w:vAlign w:val="center"/>
                </w:tcPr>
                <w:p>
                  <w:pPr>
                    <w:pStyle w:val="5"/>
                    <w:spacing w:before="0" w:after="0" w:line="240" w:lineRule="auto"/>
                    <w:jc w:val="center"/>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常温</w:t>
                  </w:r>
                </w:p>
              </w:tc>
              <w:tc>
                <w:tcPr>
                  <w:tcW w:w="489" w:type="pct"/>
                  <w:tcBorders>
                    <w:tl2br w:val="nil"/>
                    <w:tr2bl w:val="nil"/>
                  </w:tcBorders>
                  <w:vAlign w:val="center"/>
                </w:tcPr>
                <w:p>
                  <w:pPr>
                    <w:pStyle w:val="5"/>
                    <w:spacing w:before="0" w:after="0" w:line="240" w:lineRule="auto"/>
                    <w:jc w:val="center"/>
                    <w:rPr>
                      <w:rFonts w:ascii="Times New Roman" w:hAnsi="Times New Roman" w:eastAsia="宋体"/>
                      <w:b w:val="0"/>
                      <w:bCs w:val="0"/>
                      <w:color w:val="auto"/>
                      <w:sz w:val="21"/>
                      <w:szCs w:val="21"/>
                      <w:vertAlign w:val="subscript"/>
                    </w:rPr>
                  </w:pPr>
                  <w:r>
                    <w:rPr>
                      <w:rFonts w:ascii="Times New Roman" w:hAnsi="Times New Roman" w:eastAsia="宋体"/>
                      <w:b w:val="0"/>
                      <w:bCs w:val="0"/>
                      <w:color w:val="auto"/>
                      <w:sz w:val="21"/>
                      <w:szCs w:val="21"/>
                    </w:rPr>
                    <w:t>VOC</w:t>
                  </w:r>
                  <w:r>
                    <w:rPr>
                      <w:rFonts w:ascii="Times New Roman" w:hAnsi="Times New Roman" w:eastAsia="宋体"/>
                      <w:b w:val="0"/>
                      <w:bCs w:val="0"/>
                      <w:color w:val="auto"/>
                      <w:sz w:val="21"/>
                      <w:szCs w:val="21"/>
                      <w:vertAlign w:val="subscript"/>
                    </w:rPr>
                    <w:t>S</w:t>
                  </w:r>
                </w:p>
              </w:tc>
              <w:tc>
                <w:tcPr>
                  <w:tcW w:w="1131" w:type="pct"/>
                  <w:tcBorders>
                    <w:tl2br w:val="nil"/>
                    <w:tr2bl w:val="nil"/>
                  </w:tcBorders>
                  <w:vAlign w:val="center"/>
                </w:tcPr>
                <w:p>
                  <w:pPr>
                    <w:pStyle w:val="5"/>
                    <w:spacing w:before="0" w:after="0" w:line="240" w:lineRule="auto"/>
                    <w:jc w:val="center"/>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0.06705</w:t>
                  </w:r>
                </w:p>
              </w:tc>
              <w:tc>
                <w:tcPr>
                  <w:tcW w:w="897" w:type="pct"/>
                  <w:tcBorders>
                    <w:tl2br w:val="nil"/>
                    <w:tr2bl w:val="nil"/>
                  </w:tcBorders>
                  <w:vAlign w:val="center"/>
                </w:tcPr>
                <w:p>
                  <w:pPr>
                    <w:pStyle w:val="5"/>
                    <w:spacing w:before="0" w:after="0" w:line="240" w:lineRule="auto"/>
                    <w:ind w:firstLine="210" w:firstLineChars="100"/>
                    <w:rPr>
                      <w:rFonts w:ascii="Times New Roman" w:hAnsi="Times New Roman" w:eastAsia="宋体"/>
                      <w:b w:val="0"/>
                      <w:bCs w:val="0"/>
                      <w:color w:val="auto"/>
                      <w:sz w:val="21"/>
                      <w:szCs w:val="21"/>
                    </w:rPr>
                  </w:pPr>
                  <w:r>
                    <w:rPr>
                      <w:rFonts w:ascii="Times New Roman" w:hAnsi="Times New Roman" w:eastAsia="宋体"/>
                      <w:b w:val="0"/>
                      <w:bCs w:val="0"/>
                      <w:color w:val="auto"/>
                      <w:sz w:val="21"/>
                      <w:szCs w:val="21"/>
                    </w:rPr>
                    <w:t>14.321</w:t>
                  </w:r>
                </w:p>
              </w:tc>
            </w:tr>
          </w:tbl>
          <w:p>
            <w:pPr>
              <w:pStyle w:val="5"/>
              <w:spacing w:before="0" w:after="0" w:line="520" w:lineRule="exact"/>
              <w:ind w:firstLine="480" w:firstLineChars="200"/>
              <w:rPr>
                <w:rFonts w:ascii="Times New Roman" w:hAnsi="Times New Roman" w:eastAsia="宋体"/>
                <w:b w:val="0"/>
                <w:bCs w:val="0"/>
                <w:color w:val="auto"/>
                <w:sz w:val="24"/>
                <w:szCs w:val="24"/>
              </w:rPr>
            </w:pPr>
            <w:r>
              <w:rPr>
                <w:rFonts w:ascii="Times New Roman" w:hAnsi="Times New Roman" w:eastAsia="宋体"/>
                <w:b w:val="0"/>
                <w:bCs w:val="0"/>
                <w:color w:val="auto"/>
                <w:sz w:val="24"/>
                <w:szCs w:val="24"/>
              </w:rPr>
              <w:t>本</w:t>
            </w:r>
            <w:r>
              <w:rPr>
                <w:rFonts w:hint="eastAsia" w:eastAsia="宋体"/>
                <w:b w:val="0"/>
                <w:bCs w:val="0"/>
                <w:color w:val="auto"/>
                <w:sz w:val="24"/>
                <w:szCs w:val="24"/>
              </w:rPr>
              <w:t>次</w:t>
            </w:r>
            <w:r>
              <w:rPr>
                <w:rFonts w:hint="eastAsia" w:ascii="Times New Roman" w:hAnsi="Times New Roman" w:eastAsia="宋体"/>
                <w:b w:val="0"/>
                <w:bCs w:val="0"/>
                <w:color w:val="auto"/>
                <w:sz w:val="24"/>
                <w:szCs w:val="24"/>
              </w:rPr>
              <w:t>扩建</w:t>
            </w:r>
            <w:r>
              <w:rPr>
                <w:rFonts w:hint="eastAsia" w:eastAsia="宋体"/>
                <w:b w:val="0"/>
                <w:bCs w:val="0"/>
                <w:color w:val="auto"/>
                <w:sz w:val="24"/>
                <w:szCs w:val="24"/>
              </w:rPr>
              <w:t>新增</w:t>
            </w:r>
            <w:r>
              <w:rPr>
                <w:rFonts w:ascii="Times New Roman" w:hAnsi="Times New Roman" w:eastAsia="宋体"/>
                <w:b w:val="0"/>
                <w:bCs w:val="0"/>
                <w:color w:val="auto"/>
                <w:sz w:val="24"/>
                <w:szCs w:val="24"/>
              </w:rPr>
              <w:t>柴油</w:t>
            </w:r>
            <w:r>
              <w:rPr>
                <w:rFonts w:hint="eastAsia" w:eastAsia="宋体"/>
                <w:b w:val="0"/>
                <w:bCs w:val="0"/>
                <w:color w:val="auto"/>
                <w:sz w:val="24"/>
                <w:szCs w:val="24"/>
              </w:rPr>
              <w:t>用</w:t>
            </w:r>
            <w:r>
              <w:rPr>
                <w:rFonts w:ascii="Times New Roman" w:hAnsi="Times New Roman" w:eastAsia="宋体"/>
                <w:b w:val="0"/>
                <w:bCs w:val="0"/>
                <w:color w:val="auto"/>
                <w:sz w:val="24"/>
                <w:szCs w:val="24"/>
              </w:rPr>
              <w:t>量为</w:t>
            </w:r>
            <w:r>
              <w:rPr>
                <w:rFonts w:hint="eastAsia" w:eastAsia="宋体"/>
                <w:b w:val="0"/>
                <w:bCs w:val="0"/>
                <w:color w:val="auto"/>
                <w:sz w:val="24"/>
                <w:szCs w:val="24"/>
              </w:rPr>
              <w:t>940</w:t>
            </w:r>
            <w:r>
              <w:rPr>
                <w:rFonts w:ascii="Times New Roman" w:hAnsi="Times New Roman" w:eastAsia="宋体"/>
                <w:b w:val="0"/>
                <w:bCs w:val="0"/>
                <w:color w:val="auto"/>
                <w:sz w:val="24"/>
                <w:szCs w:val="24"/>
              </w:rPr>
              <w:t>t，根据上表计算得工作损失VOC</w:t>
            </w:r>
            <w:r>
              <w:rPr>
                <w:rFonts w:ascii="Times New Roman" w:hAnsi="Times New Roman" w:eastAsia="宋体"/>
                <w:b w:val="0"/>
                <w:bCs w:val="0"/>
                <w:color w:val="auto"/>
                <w:sz w:val="24"/>
                <w:szCs w:val="24"/>
                <w:vertAlign w:val="subscript"/>
              </w:rPr>
              <w:t>S</w:t>
            </w:r>
            <w:r>
              <w:rPr>
                <w:rFonts w:ascii="Times New Roman" w:hAnsi="Times New Roman" w:eastAsia="宋体"/>
                <w:b w:val="0"/>
                <w:bCs w:val="0"/>
                <w:color w:val="auto"/>
                <w:sz w:val="24"/>
                <w:szCs w:val="24"/>
              </w:rPr>
              <w:t>量为0.0</w:t>
            </w:r>
            <w:r>
              <w:rPr>
                <w:rFonts w:hint="eastAsia" w:eastAsia="宋体"/>
                <w:b w:val="0"/>
                <w:bCs w:val="0"/>
                <w:color w:val="auto"/>
                <w:sz w:val="24"/>
                <w:szCs w:val="24"/>
              </w:rPr>
              <w:t>63</w:t>
            </w:r>
            <w:r>
              <w:rPr>
                <w:rFonts w:ascii="Times New Roman" w:hAnsi="Times New Roman" w:eastAsia="宋体"/>
                <w:b w:val="0"/>
                <w:bCs w:val="0"/>
                <w:color w:val="auto"/>
                <w:sz w:val="24"/>
                <w:szCs w:val="24"/>
              </w:rPr>
              <w:t>t/a，静置损失VOC</w:t>
            </w:r>
            <w:r>
              <w:rPr>
                <w:rFonts w:ascii="Times New Roman" w:hAnsi="Times New Roman" w:eastAsia="宋体"/>
                <w:b w:val="0"/>
                <w:bCs w:val="0"/>
                <w:color w:val="auto"/>
                <w:sz w:val="24"/>
                <w:szCs w:val="24"/>
                <w:vertAlign w:val="subscript"/>
              </w:rPr>
              <w:t>S</w:t>
            </w:r>
            <w:r>
              <w:rPr>
                <w:rFonts w:ascii="Times New Roman" w:hAnsi="Times New Roman" w:eastAsia="宋体"/>
                <w:b w:val="0"/>
                <w:bCs w:val="0"/>
                <w:color w:val="auto"/>
                <w:sz w:val="24"/>
                <w:szCs w:val="24"/>
              </w:rPr>
              <w:t>量为0.0</w:t>
            </w:r>
            <w:r>
              <w:rPr>
                <w:rFonts w:hint="eastAsia" w:eastAsia="宋体"/>
                <w:b w:val="0"/>
                <w:bCs w:val="0"/>
                <w:color w:val="auto"/>
                <w:sz w:val="24"/>
                <w:szCs w:val="24"/>
              </w:rPr>
              <w:t>14</w:t>
            </w:r>
            <w:r>
              <w:rPr>
                <w:rFonts w:ascii="Times New Roman" w:hAnsi="Times New Roman" w:eastAsia="宋体"/>
                <w:b w:val="0"/>
                <w:bCs w:val="0"/>
                <w:color w:val="auto"/>
                <w:sz w:val="24"/>
                <w:szCs w:val="24"/>
              </w:rPr>
              <w:t>t/a，本环节VOC</w:t>
            </w:r>
            <w:r>
              <w:rPr>
                <w:rFonts w:ascii="Times New Roman" w:hAnsi="Times New Roman" w:eastAsia="宋体"/>
                <w:b w:val="0"/>
                <w:bCs w:val="0"/>
                <w:color w:val="auto"/>
                <w:sz w:val="24"/>
                <w:szCs w:val="24"/>
                <w:vertAlign w:val="subscript"/>
              </w:rPr>
              <w:t>S</w:t>
            </w:r>
            <w:r>
              <w:rPr>
                <w:rFonts w:ascii="Times New Roman" w:hAnsi="Times New Roman" w:eastAsia="宋体"/>
                <w:b w:val="0"/>
                <w:bCs w:val="0"/>
                <w:color w:val="auto"/>
                <w:sz w:val="24"/>
                <w:szCs w:val="24"/>
              </w:rPr>
              <w:t>损失总量为0.0</w:t>
            </w:r>
            <w:r>
              <w:rPr>
                <w:rFonts w:hint="eastAsia" w:eastAsia="宋体"/>
                <w:b w:val="0"/>
                <w:bCs w:val="0"/>
                <w:color w:val="auto"/>
                <w:sz w:val="24"/>
                <w:szCs w:val="24"/>
              </w:rPr>
              <w:t>77</w:t>
            </w:r>
            <w:r>
              <w:rPr>
                <w:rFonts w:ascii="Times New Roman" w:hAnsi="Times New Roman" w:eastAsia="宋体"/>
                <w:b w:val="0"/>
                <w:bCs w:val="0"/>
                <w:color w:val="auto"/>
                <w:sz w:val="24"/>
                <w:szCs w:val="24"/>
              </w:rPr>
              <w:t>t/a。</w:t>
            </w:r>
            <w:r>
              <w:rPr>
                <w:rFonts w:hint="eastAsia" w:eastAsia="宋体"/>
                <w:b w:val="0"/>
                <w:bCs w:val="0"/>
                <w:color w:val="auto"/>
                <w:sz w:val="24"/>
                <w:szCs w:val="24"/>
              </w:rPr>
              <w:t>本</w:t>
            </w:r>
            <w:r>
              <w:rPr>
                <w:rFonts w:hint="eastAsia" w:ascii="Times New Roman" w:hAnsi="Times New Roman" w:eastAsia="宋体"/>
                <w:b w:val="0"/>
                <w:bCs w:val="0"/>
                <w:color w:val="auto"/>
                <w:sz w:val="24"/>
                <w:szCs w:val="24"/>
              </w:rPr>
              <w:t>项目依托厂区现有50m</w:t>
            </w:r>
            <w:r>
              <w:rPr>
                <w:rFonts w:hint="eastAsia" w:ascii="Times New Roman" w:hAnsi="Times New Roman" w:eastAsia="宋体"/>
                <w:b w:val="0"/>
                <w:bCs w:val="0"/>
                <w:color w:val="auto"/>
                <w:sz w:val="24"/>
                <w:szCs w:val="24"/>
                <w:vertAlign w:val="superscript"/>
              </w:rPr>
              <w:t>3</w:t>
            </w:r>
            <w:r>
              <w:rPr>
                <w:rFonts w:hint="eastAsia" w:ascii="Times New Roman" w:hAnsi="Times New Roman" w:eastAsia="宋体"/>
                <w:b w:val="0"/>
                <w:bCs w:val="0"/>
                <w:color w:val="auto"/>
                <w:sz w:val="24"/>
                <w:szCs w:val="24"/>
              </w:rPr>
              <w:t>双层柴油储罐储存柴油</w:t>
            </w:r>
            <w:r>
              <w:rPr>
                <w:rFonts w:hint="eastAsia" w:eastAsia="宋体"/>
                <w:b w:val="0"/>
                <w:bCs w:val="0"/>
                <w:color w:val="auto"/>
                <w:sz w:val="24"/>
                <w:szCs w:val="24"/>
              </w:rPr>
              <w:t>，储油过程产生的少量</w:t>
            </w:r>
            <w:r>
              <w:rPr>
                <w:rFonts w:ascii="Times New Roman" w:hAnsi="Times New Roman" w:eastAsia="宋体"/>
                <w:b w:val="0"/>
                <w:bCs w:val="0"/>
                <w:color w:val="auto"/>
                <w:sz w:val="24"/>
                <w:szCs w:val="24"/>
              </w:rPr>
              <w:t>VOC</w:t>
            </w:r>
            <w:r>
              <w:rPr>
                <w:rFonts w:ascii="Times New Roman" w:hAnsi="Times New Roman" w:eastAsia="宋体"/>
                <w:b w:val="0"/>
                <w:bCs w:val="0"/>
                <w:color w:val="auto"/>
                <w:sz w:val="24"/>
                <w:szCs w:val="24"/>
                <w:vertAlign w:val="subscript"/>
              </w:rPr>
              <w:t>S</w:t>
            </w:r>
            <w:r>
              <w:rPr>
                <w:rFonts w:hint="eastAsia" w:eastAsia="宋体"/>
                <w:b w:val="0"/>
                <w:bCs w:val="0"/>
                <w:color w:val="auto"/>
                <w:sz w:val="24"/>
                <w:szCs w:val="24"/>
              </w:rPr>
              <w:t>通过阻火式通气管排出；</w:t>
            </w:r>
            <w:r>
              <w:rPr>
                <w:rFonts w:hint="eastAsia" w:ascii="Times New Roman" w:hAnsi="Times New Roman" w:eastAsia="宋体"/>
                <w:b w:val="0"/>
                <w:bCs w:val="0"/>
                <w:color w:val="auto"/>
                <w:sz w:val="24"/>
                <w:szCs w:val="24"/>
              </w:rPr>
              <w:t>卸油及储存过程中产生的少量</w:t>
            </w:r>
            <w:r>
              <w:rPr>
                <w:rFonts w:ascii="Times New Roman" w:hAnsi="Times New Roman" w:eastAsia="宋体"/>
                <w:b w:val="0"/>
                <w:bCs w:val="0"/>
                <w:color w:val="auto"/>
                <w:sz w:val="24"/>
                <w:szCs w:val="24"/>
              </w:rPr>
              <w:t>VOC</w:t>
            </w:r>
            <w:r>
              <w:rPr>
                <w:rFonts w:ascii="Times New Roman" w:hAnsi="Times New Roman" w:eastAsia="宋体"/>
                <w:b w:val="0"/>
                <w:bCs w:val="0"/>
                <w:color w:val="auto"/>
                <w:sz w:val="24"/>
                <w:szCs w:val="24"/>
                <w:vertAlign w:val="subscript"/>
              </w:rPr>
              <w:t>S</w:t>
            </w:r>
            <w:r>
              <w:rPr>
                <w:rFonts w:hint="eastAsia" w:eastAsia="宋体"/>
                <w:b w:val="0"/>
                <w:bCs w:val="0"/>
                <w:color w:val="auto"/>
                <w:sz w:val="24"/>
                <w:szCs w:val="24"/>
              </w:rPr>
              <w:t>，</w:t>
            </w:r>
            <w:r>
              <w:rPr>
                <w:rFonts w:hint="eastAsia" w:ascii="Times New Roman" w:hAnsi="Times New Roman" w:eastAsia="宋体"/>
                <w:b w:val="0"/>
                <w:bCs w:val="0"/>
                <w:color w:val="auto"/>
                <w:sz w:val="24"/>
                <w:szCs w:val="24"/>
              </w:rPr>
              <w:t>经</w:t>
            </w:r>
            <w:r>
              <w:rPr>
                <w:rFonts w:hint="eastAsia" w:eastAsia="宋体"/>
                <w:b w:val="0"/>
                <w:bCs w:val="0"/>
                <w:color w:val="auto"/>
                <w:sz w:val="24"/>
                <w:szCs w:val="24"/>
              </w:rPr>
              <w:t>空气</w:t>
            </w:r>
            <w:r>
              <w:rPr>
                <w:rFonts w:hint="eastAsia" w:ascii="Times New Roman" w:hAnsi="Times New Roman" w:eastAsia="宋体"/>
                <w:b w:val="0"/>
                <w:bCs w:val="0"/>
                <w:color w:val="auto"/>
                <w:sz w:val="24"/>
                <w:szCs w:val="24"/>
              </w:rPr>
              <w:t>稀释扩散后，对周围环境影响较小。</w:t>
            </w:r>
          </w:p>
          <w:p>
            <w:pPr>
              <w:spacing w:line="520" w:lineRule="exact"/>
              <w:ind w:firstLine="480" w:firstLineChars="200"/>
              <w:rPr>
                <w:rFonts w:hAnsi="宋体"/>
                <w:color w:val="auto"/>
                <w:sz w:val="24"/>
              </w:rPr>
            </w:pPr>
            <w:r>
              <w:rPr>
                <w:rFonts w:hint="eastAsia" w:hAnsi="宋体"/>
                <w:color w:val="auto"/>
                <w:sz w:val="24"/>
              </w:rPr>
              <w:t>卸油过程控制方案</w:t>
            </w:r>
          </w:p>
          <w:p>
            <w:pPr>
              <w:spacing w:line="520" w:lineRule="exact"/>
              <w:ind w:firstLine="480" w:firstLineChars="200"/>
              <w:rPr>
                <w:rFonts w:hAnsi="宋体"/>
                <w:color w:val="auto"/>
                <w:sz w:val="24"/>
              </w:rPr>
            </w:pPr>
            <w:r>
              <w:rPr>
                <w:rFonts w:hAnsi="宋体"/>
                <w:color w:val="auto"/>
                <w:sz w:val="24"/>
              </w:rPr>
              <w:t>柴油</w:t>
            </w:r>
            <w:r>
              <w:rPr>
                <w:rFonts w:hint="eastAsia" w:hAnsi="宋体"/>
                <w:color w:val="auto"/>
                <w:sz w:val="24"/>
              </w:rPr>
              <w:t>由中石油新疆销售有限公司昌吉分公司采用</w:t>
            </w:r>
            <w:r>
              <w:rPr>
                <w:rFonts w:hAnsi="宋体"/>
                <w:color w:val="auto"/>
                <w:sz w:val="24"/>
              </w:rPr>
              <w:t>油罐车运输到</w:t>
            </w:r>
            <w:r>
              <w:rPr>
                <w:rFonts w:hint="eastAsia" w:hAnsi="宋体"/>
                <w:color w:val="auto"/>
                <w:sz w:val="24"/>
              </w:rPr>
              <w:t>厂区</w:t>
            </w:r>
            <w:r>
              <w:rPr>
                <w:rFonts w:hAnsi="宋体"/>
                <w:color w:val="auto"/>
                <w:sz w:val="24"/>
              </w:rPr>
              <w:t>，油罐车排气管安装防火罩进入卸油</w:t>
            </w:r>
            <w:r>
              <w:rPr>
                <w:rFonts w:hint="eastAsia" w:hAnsi="宋体"/>
                <w:color w:val="auto"/>
                <w:sz w:val="24"/>
              </w:rPr>
              <w:t>区</w:t>
            </w:r>
            <w:r>
              <w:rPr>
                <w:rFonts w:hAnsi="宋体"/>
                <w:color w:val="auto"/>
                <w:sz w:val="24"/>
              </w:rPr>
              <w:t>，停靠到卸车位置后油罐车熄火，卸车操作人员连接好静电接地线</w:t>
            </w:r>
            <w:r>
              <w:rPr>
                <w:rFonts w:hint="eastAsia" w:hAnsi="宋体"/>
                <w:color w:val="auto"/>
                <w:sz w:val="24"/>
              </w:rPr>
              <w:t>后</w:t>
            </w:r>
            <w:r>
              <w:rPr>
                <w:rFonts w:hAnsi="宋体"/>
                <w:color w:val="auto"/>
                <w:sz w:val="24"/>
              </w:rPr>
              <w:t>，并静止15min。在卸油位置上风处摆放干粉灭火器，核对罐车及油品、牌号，检查无误确认具备条件后，连接快速接头，然后打开汽车罐车底部阀门，自流卸入地</w:t>
            </w:r>
            <w:r>
              <w:rPr>
                <w:rFonts w:hint="eastAsia" w:hAnsi="宋体"/>
                <w:color w:val="auto"/>
                <w:sz w:val="24"/>
              </w:rPr>
              <w:t>埋式</w:t>
            </w:r>
            <w:r>
              <w:rPr>
                <w:rFonts w:hAnsi="宋体"/>
                <w:color w:val="auto"/>
                <w:sz w:val="24"/>
              </w:rPr>
              <w:t>柴油储罐中，卸车结束后，关闭各阀门，罐车静止5min后，拆下静电接地线及软管，卸油员引导油罐车启车、离站。</w:t>
            </w:r>
          </w:p>
          <w:p>
            <w:pPr>
              <w:spacing w:line="520" w:lineRule="exact"/>
              <w:ind w:firstLine="480" w:firstLineChars="200"/>
              <w:rPr>
                <w:rFonts w:hAnsi="宋体"/>
                <w:color w:val="auto"/>
                <w:sz w:val="24"/>
              </w:rPr>
            </w:pPr>
            <w:r>
              <w:rPr>
                <w:rFonts w:hint="eastAsia" w:hAnsi="宋体"/>
                <w:color w:val="auto"/>
                <w:sz w:val="24"/>
              </w:rPr>
              <w:t>加油过程控制方案</w:t>
            </w:r>
          </w:p>
          <w:p>
            <w:pPr>
              <w:spacing w:line="520" w:lineRule="exact"/>
              <w:ind w:firstLine="480" w:firstLineChars="200"/>
              <w:rPr>
                <w:color w:val="auto"/>
                <w:sz w:val="24"/>
              </w:rPr>
            </w:pPr>
            <w:r>
              <w:rPr>
                <w:rFonts w:hAnsi="宋体"/>
                <w:color w:val="auto"/>
                <w:sz w:val="24"/>
              </w:rPr>
              <w:t>加油车辆停靠在加油位置后，关闭发动机和所有车上灯光。</w:t>
            </w:r>
            <w:r>
              <w:rPr>
                <w:rFonts w:hint="eastAsia" w:hAnsi="宋体"/>
                <w:color w:val="auto"/>
                <w:sz w:val="24"/>
              </w:rPr>
              <w:t>操作员</w:t>
            </w:r>
            <w:r>
              <w:rPr>
                <w:rFonts w:hAnsi="宋体"/>
                <w:color w:val="auto"/>
                <w:sz w:val="24"/>
              </w:rPr>
              <w:t>摘下加油枪将加油枪与车辆油箱加油口正确连接，提起油枪，开关信号送入电脑装置，电脑装置处理后启动电动机同时打开启动加油泵对</w:t>
            </w:r>
            <w:r>
              <w:rPr>
                <w:rFonts w:hint="eastAsia" w:hAnsi="宋体"/>
                <w:color w:val="auto"/>
                <w:sz w:val="24"/>
              </w:rPr>
              <w:t>混装车</w:t>
            </w:r>
            <w:r>
              <w:rPr>
                <w:rFonts w:hAnsi="宋体"/>
                <w:color w:val="auto"/>
                <w:sz w:val="24"/>
              </w:rPr>
              <w:t>加油，在加油过程中，应关注加油系统运行情况，防止发生泄漏。加油完毕，在确保加油泵停机的情况下，取下加油枪放回加油机，加油过程结束。</w:t>
            </w:r>
          </w:p>
          <w:p>
            <w:pPr>
              <w:spacing w:line="520" w:lineRule="exact"/>
              <w:ind w:firstLine="480" w:firstLineChars="200"/>
              <w:rPr>
                <w:color w:val="auto"/>
                <w:sz w:val="24"/>
              </w:rPr>
            </w:pPr>
            <w:r>
              <w:rPr>
                <w:rFonts w:hint="eastAsia"/>
                <w:color w:val="auto"/>
                <w:sz w:val="24"/>
              </w:rPr>
              <w:t>通过控制卸油过程及加油过程的规范操作，能有效减少</w:t>
            </w:r>
            <w:r>
              <w:rPr>
                <w:color w:val="auto"/>
                <w:sz w:val="24"/>
              </w:rPr>
              <w:t>VOC</w:t>
            </w:r>
            <w:r>
              <w:rPr>
                <w:color w:val="auto"/>
                <w:sz w:val="24"/>
                <w:vertAlign w:val="subscript"/>
              </w:rPr>
              <w:t>S</w:t>
            </w:r>
            <w:r>
              <w:rPr>
                <w:rFonts w:hint="eastAsia"/>
                <w:color w:val="auto"/>
                <w:sz w:val="24"/>
              </w:rPr>
              <w:t>的产生，污染控制方案合理可行。</w:t>
            </w:r>
          </w:p>
          <w:p>
            <w:pPr>
              <w:spacing w:line="520" w:lineRule="exact"/>
              <w:ind w:firstLine="480" w:firstLineChars="200"/>
              <w:rPr>
                <w:color w:val="auto"/>
              </w:rPr>
            </w:pPr>
            <w:r>
              <w:rPr>
                <w:rFonts w:hint="eastAsia"/>
                <w:color w:val="auto"/>
                <w:sz w:val="24"/>
              </w:rPr>
              <w:t>本项目废气排放情况见表4-2。</w:t>
            </w:r>
          </w:p>
          <w:p>
            <w:pPr>
              <w:pStyle w:val="36"/>
              <w:rPr>
                <w:color w:val="auto"/>
              </w:rPr>
            </w:pPr>
            <w:r>
              <w:rPr>
                <w:color w:val="auto"/>
              </w:rPr>
              <w:t>表4-</w:t>
            </w:r>
            <w:r>
              <w:rPr>
                <w:rFonts w:hint="eastAsia"/>
                <w:color w:val="auto"/>
              </w:rPr>
              <w:t>2</w:t>
            </w:r>
            <w:r>
              <w:rPr>
                <w:color w:val="auto"/>
              </w:rPr>
              <w:t xml:space="preserve">  </w:t>
            </w:r>
            <w:r>
              <w:rPr>
                <w:rFonts w:hint="eastAsia"/>
                <w:color w:val="auto"/>
              </w:rPr>
              <w:t xml:space="preserve">  </w:t>
            </w:r>
            <w:r>
              <w:rPr>
                <w:color w:val="auto"/>
              </w:rPr>
              <w:t>废气排放情况一览表</w:t>
            </w:r>
          </w:p>
          <w:tbl>
            <w:tblPr>
              <w:tblStyle w:val="29"/>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33"/>
              <w:gridCol w:w="1592"/>
              <w:gridCol w:w="1723"/>
              <w:gridCol w:w="1546"/>
              <w:gridCol w:w="1956"/>
              <w:gridCol w:w="136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2" w:hRule="atLeast"/>
                <w:jc w:val="center"/>
              </w:trPr>
              <w:tc>
                <w:tcPr>
                  <w:tcW w:w="512" w:type="pct"/>
                  <w:tcBorders>
                    <w:tl2br w:val="nil"/>
                    <w:tr2bl w:val="nil"/>
                  </w:tcBorders>
                  <w:vAlign w:val="center"/>
                </w:tcPr>
                <w:p>
                  <w:pPr>
                    <w:widowControl/>
                    <w:jc w:val="center"/>
                    <w:rPr>
                      <w:color w:val="auto"/>
                      <w:szCs w:val="21"/>
                    </w:rPr>
                  </w:pPr>
                  <w:r>
                    <w:rPr>
                      <w:color w:val="auto"/>
                      <w:szCs w:val="21"/>
                    </w:rPr>
                    <w:t>排放</w:t>
                  </w:r>
                </w:p>
                <w:p>
                  <w:pPr>
                    <w:widowControl/>
                    <w:jc w:val="center"/>
                    <w:rPr>
                      <w:color w:val="auto"/>
                      <w:szCs w:val="21"/>
                    </w:rPr>
                  </w:pPr>
                  <w:r>
                    <w:rPr>
                      <w:color w:val="auto"/>
                      <w:szCs w:val="21"/>
                    </w:rPr>
                    <w:t>形式</w:t>
                  </w:r>
                </w:p>
              </w:tc>
              <w:tc>
                <w:tcPr>
                  <w:tcW w:w="873" w:type="pct"/>
                  <w:tcBorders>
                    <w:tl2br w:val="nil"/>
                    <w:tr2bl w:val="nil"/>
                  </w:tcBorders>
                  <w:vAlign w:val="center"/>
                </w:tcPr>
                <w:p>
                  <w:pPr>
                    <w:widowControl/>
                    <w:jc w:val="center"/>
                    <w:rPr>
                      <w:color w:val="auto"/>
                      <w:szCs w:val="21"/>
                    </w:rPr>
                  </w:pPr>
                  <w:r>
                    <w:rPr>
                      <w:color w:val="auto"/>
                      <w:szCs w:val="21"/>
                    </w:rPr>
                    <w:t>污染物</w:t>
                  </w:r>
                </w:p>
              </w:tc>
              <w:tc>
                <w:tcPr>
                  <w:tcW w:w="945" w:type="pct"/>
                  <w:tcBorders>
                    <w:tl2br w:val="nil"/>
                    <w:tr2bl w:val="nil"/>
                  </w:tcBorders>
                  <w:vAlign w:val="center"/>
                </w:tcPr>
                <w:p>
                  <w:pPr>
                    <w:widowControl/>
                    <w:jc w:val="center"/>
                    <w:rPr>
                      <w:color w:val="auto"/>
                      <w:szCs w:val="21"/>
                    </w:rPr>
                  </w:pPr>
                  <w:r>
                    <w:rPr>
                      <w:rFonts w:hint="eastAsia"/>
                      <w:color w:val="auto"/>
                      <w:szCs w:val="21"/>
                    </w:rPr>
                    <w:t>现有工程</w:t>
                  </w:r>
                </w:p>
                <w:p>
                  <w:pPr>
                    <w:widowControl/>
                    <w:jc w:val="center"/>
                    <w:rPr>
                      <w:color w:val="auto"/>
                      <w:szCs w:val="21"/>
                    </w:rPr>
                  </w:pPr>
                  <w:r>
                    <w:rPr>
                      <w:rFonts w:hint="eastAsia"/>
                      <w:color w:val="auto"/>
                      <w:szCs w:val="21"/>
                    </w:rPr>
                    <w:t>排放</w:t>
                  </w:r>
                  <w:r>
                    <w:rPr>
                      <w:color w:val="auto"/>
                      <w:szCs w:val="21"/>
                    </w:rPr>
                    <w:t>量</w:t>
                  </w:r>
                  <w:r>
                    <w:rPr>
                      <w:bCs/>
                      <w:color w:val="auto"/>
                      <w:szCs w:val="21"/>
                    </w:rPr>
                    <w:t>（t/a）</w:t>
                  </w:r>
                </w:p>
              </w:tc>
              <w:tc>
                <w:tcPr>
                  <w:tcW w:w="848" w:type="pct"/>
                  <w:tcBorders>
                    <w:tl2br w:val="nil"/>
                    <w:tr2bl w:val="nil"/>
                  </w:tcBorders>
                  <w:vAlign w:val="center"/>
                </w:tcPr>
                <w:p>
                  <w:pPr>
                    <w:pStyle w:val="37"/>
                    <w:jc w:val="center"/>
                    <w:rPr>
                      <w:rFonts w:ascii="Times New Roman"/>
                      <w:color w:val="auto"/>
                      <w:sz w:val="21"/>
                      <w:szCs w:val="21"/>
                    </w:rPr>
                  </w:pPr>
                  <w:r>
                    <w:rPr>
                      <w:rFonts w:hint="eastAsia" w:ascii="Times New Roman"/>
                      <w:color w:val="auto"/>
                      <w:sz w:val="21"/>
                      <w:szCs w:val="21"/>
                    </w:rPr>
                    <w:t>本次扩能</w:t>
                  </w:r>
                </w:p>
                <w:p>
                  <w:pPr>
                    <w:pStyle w:val="37"/>
                    <w:jc w:val="center"/>
                    <w:rPr>
                      <w:rFonts w:ascii="Times New Roman"/>
                      <w:color w:val="auto"/>
                      <w:sz w:val="21"/>
                      <w:szCs w:val="21"/>
                    </w:rPr>
                  </w:pPr>
                  <w:r>
                    <w:rPr>
                      <w:rFonts w:hint="eastAsia" w:ascii="Times New Roman"/>
                      <w:color w:val="auto"/>
                      <w:sz w:val="21"/>
                      <w:szCs w:val="21"/>
                    </w:rPr>
                    <w:t>产生量</w:t>
                  </w:r>
                  <w:r>
                    <w:rPr>
                      <w:rFonts w:ascii="Times New Roman"/>
                      <w:bCs/>
                      <w:color w:val="auto"/>
                      <w:sz w:val="21"/>
                      <w:szCs w:val="21"/>
                    </w:rPr>
                    <w:t>（t/a）</w:t>
                  </w:r>
                </w:p>
              </w:tc>
              <w:tc>
                <w:tcPr>
                  <w:tcW w:w="1073" w:type="pct"/>
                  <w:tcBorders>
                    <w:tl2br w:val="nil"/>
                    <w:tr2bl w:val="nil"/>
                  </w:tcBorders>
                  <w:vAlign w:val="center"/>
                </w:tcPr>
                <w:p>
                  <w:pPr>
                    <w:widowControl/>
                    <w:jc w:val="center"/>
                    <w:rPr>
                      <w:color w:val="auto"/>
                      <w:szCs w:val="21"/>
                    </w:rPr>
                  </w:pPr>
                  <w:r>
                    <w:rPr>
                      <w:color w:val="auto"/>
                      <w:szCs w:val="21"/>
                    </w:rPr>
                    <w:t>处理措施</w:t>
                  </w:r>
                </w:p>
              </w:tc>
              <w:tc>
                <w:tcPr>
                  <w:tcW w:w="746" w:type="pct"/>
                  <w:tcBorders>
                    <w:tl2br w:val="nil"/>
                    <w:tr2bl w:val="nil"/>
                  </w:tcBorders>
                  <w:vAlign w:val="center"/>
                </w:tcPr>
                <w:p>
                  <w:pPr>
                    <w:widowControl/>
                    <w:rPr>
                      <w:color w:val="auto"/>
                      <w:szCs w:val="21"/>
                    </w:rPr>
                  </w:pPr>
                  <w:r>
                    <w:rPr>
                      <w:rFonts w:hint="eastAsia"/>
                      <w:color w:val="auto"/>
                      <w:szCs w:val="21"/>
                    </w:rPr>
                    <w:t>扩能后</w:t>
                  </w:r>
                  <w:r>
                    <w:rPr>
                      <w:color w:val="auto"/>
                      <w:szCs w:val="21"/>
                    </w:rPr>
                    <w:t>排放</w:t>
                  </w:r>
                  <w:r>
                    <w:rPr>
                      <w:rFonts w:hint="eastAsia"/>
                      <w:color w:val="auto"/>
                      <w:szCs w:val="21"/>
                    </w:rPr>
                    <w:t>总</w:t>
                  </w:r>
                  <w:r>
                    <w:rPr>
                      <w:color w:val="auto"/>
                      <w:szCs w:val="21"/>
                    </w:rPr>
                    <w:t>量（t/a）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12" w:type="pct"/>
                  <w:vMerge w:val="restart"/>
                  <w:tcBorders>
                    <w:tl2br w:val="nil"/>
                    <w:tr2bl w:val="nil"/>
                  </w:tcBorders>
                  <w:vAlign w:val="center"/>
                </w:tcPr>
                <w:p>
                  <w:pPr>
                    <w:widowControl/>
                    <w:jc w:val="center"/>
                    <w:rPr>
                      <w:color w:val="auto"/>
                      <w:szCs w:val="21"/>
                    </w:rPr>
                  </w:pPr>
                  <w:r>
                    <w:rPr>
                      <w:color w:val="auto"/>
                      <w:szCs w:val="21"/>
                    </w:rPr>
                    <w:t>无组织</w:t>
                  </w:r>
                </w:p>
              </w:tc>
              <w:tc>
                <w:tcPr>
                  <w:tcW w:w="873" w:type="pct"/>
                  <w:tcBorders>
                    <w:tl2br w:val="nil"/>
                    <w:tr2bl w:val="nil"/>
                  </w:tcBorders>
                  <w:vAlign w:val="center"/>
                </w:tcPr>
                <w:p>
                  <w:pPr>
                    <w:widowControl/>
                    <w:jc w:val="center"/>
                    <w:rPr>
                      <w:color w:val="auto"/>
                      <w:szCs w:val="21"/>
                    </w:rPr>
                  </w:pPr>
                  <w:r>
                    <w:rPr>
                      <w:rFonts w:hint="eastAsia"/>
                      <w:color w:val="auto"/>
                      <w:szCs w:val="21"/>
                    </w:rPr>
                    <w:t>上料粉尘</w:t>
                  </w:r>
                </w:p>
              </w:tc>
              <w:tc>
                <w:tcPr>
                  <w:tcW w:w="945" w:type="pct"/>
                  <w:tcBorders>
                    <w:tl2br w:val="nil"/>
                    <w:tr2bl w:val="nil"/>
                  </w:tcBorders>
                  <w:vAlign w:val="center"/>
                </w:tcPr>
                <w:p>
                  <w:pPr>
                    <w:widowControl/>
                    <w:jc w:val="center"/>
                    <w:rPr>
                      <w:color w:val="auto"/>
                      <w:szCs w:val="21"/>
                    </w:rPr>
                  </w:pPr>
                  <w:r>
                    <w:rPr>
                      <w:rFonts w:hint="eastAsia"/>
                      <w:color w:val="auto"/>
                      <w:szCs w:val="21"/>
                    </w:rPr>
                    <w:t>0.017</w:t>
                  </w:r>
                </w:p>
              </w:tc>
              <w:tc>
                <w:tcPr>
                  <w:tcW w:w="848" w:type="pct"/>
                  <w:tcBorders>
                    <w:tl2br w:val="nil"/>
                    <w:tr2bl w:val="nil"/>
                  </w:tcBorders>
                  <w:vAlign w:val="center"/>
                </w:tcPr>
                <w:p>
                  <w:pPr>
                    <w:widowControl/>
                    <w:jc w:val="center"/>
                    <w:rPr>
                      <w:color w:val="auto"/>
                      <w:szCs w:val="21"/>
                    </w:rPr>
                  </w:pPr>
                  <w:r>
                    <w:rPr>
                      <w:rFonts w:hint="eastAsia"/>
                      <w:color w:val="auto"/>
                      <w:szCs w:val="21"/>
                    </w:rPr>
                    <w:t>0.045</w:t>
                  </w:r>
                </w:p>
              </w:tc>
              <w:tc>
                <w:tcPr>
                  <w:tcW w:w="1073" w:type="pct"/>
                  <w:tcBorders>
                    <w:tl2br w:val="nil"/>
                    <w:tr2bl w:val="nil"/>
                  </w:tcBorders>
                  <w:vAlign w:val="center"/>
                </w:tcPr>
                <w:p>
                  <w:pPr>
                    <w:widowControl/>
                    <w:jc w:val="center"/>
                    <w:rPr>
                      <w:color w:val="auto"/>
                      <w:szCs w:val="21"/>
                    </w:rPr>
                  </w:pPr>
                  <w:r>
                    <w:rPr>
                      <w:rFonts w:hint="eastAsia"/>
                      <w:color w:val="auto"/>
                      <w:szCs w:val="21"/>
                    </w:rPr>
                    <w:t>密闭上料</w:t>
                  </w:r>
                </w:p>
                <w:p>
                  <w:pPr>
                    <w:widowControl/>
                    <w:jc w:val="center"/>
                    <w:rPr>
                      <w:color w:val="auto"/>
                      <w:szCs w:val="21"/>
                    </w:rPr>
                  </w:pPr>
                  <w:r>
                    <w:rPr>
                      <w:rFonts w:hint="eastAsia"/>
                      <w:color w:val="auto"/>
                      <w:szCs w:val="21"/>
                    </w:rPr>
                    <w:t>（抑尘效率99%）</w:t>
                  </w:r>
                </w:p>
              </w:tc>
              <w:tc>
                <w:tcPr>
                  <w:tcW w:w="746" w:type="pct"/>
                  <w:tcBorders>
                    <w:tl2br w:val="nil"/>
                    <w:tr2bl w:val="nil"/>
                  </w:tcBorders>
                  <w:vAlign w:val="center"/>
                </w:tcPr>
                <w:p>
                  <w:pPr>
                    <w:widowControl/>
                    <w:jc w:val="center"/>
                    <w:rPr>
                      <w:color w:val="auto"/>
                      <w:szCs w:val="21"/>
                    </w:rPr>
                  </w:pPr>
                  <w:r>
                    <w:rPr>
                      <w:rFonts w:hint="eastAsia"/>
                      <w:color w:val="auto"/>
                      <w:szCs w:val="21"/>
                    </w:rPr>
                    <w:t>0.062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12" w:type="pct"/>
                  <w:vMerge w:val="continue"/>
                  <w:tcBorders>
                    <w:tl2br w:val="nil"/>
                    <w:tr2bl w:val="nil"/>
                  </w:tcBorders>
                  <w:vAlign w:val="center"/>
                </w:tcPr>
                <w:p>
                  <w:pPr>
                    <w:widowControl/>
                    <w:jc w:val="center"/>
                    <w:rPr>
                      <w:color w:val="auto"/>
                      <w:szCs w:val="21"/>
                    </w:rPr>
                  </w:pPr>
                </w:p>
              </w:tc>
              <w:tc>
                <w:tcPr>
                  <w:tcW w:w="873" w:type="pct"/>
                  <w:tcBorders>
                    <w:tl2br w:val="nil"/>
                    <w:tr2bl w:val="nil"/>
                  </w:tcBorders>
                  <w:vAlign w:val="center"/>
                </w:tcPr>
                <w:p>
                  <w:pPr>
                    <w:widowControl/>
                    <w:jc w:val="center"/>
                    <w:rPr>
                      <w:color w:val="auto"/>
                      <w:szCs w:val="21"/>
                    </w:rPr>
                  </w:pPr>
                  <w:r>
                    <w:rPr>
                      <w:rFonts w:hint="eastAsia"/>
                      <w:color w:val="auto"/>
                      <w:szCs w:val="21"/>
                    </w:rPr>
                    <w:t>储罐废气</w:t>
                  </w:r>
                </w:p>
              </w:tc>
              <w:tc>
                <w:tcPr>
                  <w:tcW w:w="945" w:type="pct"/>
                  <w:tcBorders>
                    <w:tl2br w:val="nil"/>
                    <w:tr2bl w:val="nil"/>
                  </w:tcBorders>
                  <w:vAlign w:val="center"/>
                </w:tcPr>
                <w:p>
                  <w:pPr>
                    <w:widowControl/>
                    <w:jc w:val="center"/>
                    <w:rPr>
                      <w:color w:val="auto"/>
                      <w:szCs w:val="21"/>
                    </w:rPr>
                  </w:pPr>
                  <w:r>
                    <w:rPr>
                      <w:rFonts w:hint="eastAsia"/>
                      <w:color w:val="auto"/>
                      <w:szCs w:val="21"/>
                    </w:rPr>
                    <w:t>0.038</w:t>
                  </w:r>
                </w:p>
              </w:tc>
              <w:tc>
                <w:tcPr>
                  <w:tcW w:w="848" w:type="pct"/>
                  <w:tcBorders>
                    <w:tl2br w:val="nil"/>
                    <w:tr2bl w:val="nil"/>
                  </w:tcBorders>
                  <w:vAlign w:val="center"/>
                </w:tcPr>
                <w:p>
                  <w:pPr>
                    <w:widowControl/>
                    <w:jc w:val="center"/>
                    <w:rPr>
                      <w:color w:val="auto"/>
                      <w:szCs w:val="21"/>
                    </w:rPr>
                  </w:pPr>
                  <w:r>
                    <w:rPr>
                      <w:rFonts w:hint="eastAsia"/>
                      <w:color w:val="auto"/>
                      <w:szCs w:val="21"/>
                    </w:rPr>
                    <w:t>0.077</w:t>
                  </w:r>
                </w:p>
              </w:tc>
              <w:tc>
                <w:tcPr>
                  <w:tcW w:w="1073" w:type="pct"/>
                  <w:tcBorders>
                    <w:tl2br w:val="nil"/>
                    <w:tr2bl w:val="nil"/>
                  </w:tcBorders>
                  <w:vAlign w:val="center"/>
                </w:tcPr>
                <w:p>
                  <w:pPr>
                    <w:widowControl/>
                    <w:jc w:val="center"/>
                    <w:rPr>
                      <w:color w:val="auto"/>
                      <w:szCs w:val="21"/>
                    </w:rPr>
                  </w:pPr>
                  <w:r>
                    <w:rPr>
                      <w:rFonts w:hint="eastAsia"/>
                      <w:color w:val="auto"/>
                      <w:szCs w:val="21"/>
                    </w:rPr>
                    <w:t>/</w:t>
                  </w:r>
                </w:p>
              </w:tc>
              <w:tc>
                <w:tcPr>
                  <w:tcW w:w="746" w:type="pct"/>
                  <w:tcBorders>
                    <w:tl2br w:val="nil"/>
                    <w:tr2bl w:val="nil"/>
                  </w:tcBorders>
                  <w:vAlign w:val="center"/>
                </w:tcPr>
                <w:p>
                  <w:pPr>
                    <w:widowControl/>
                    <w:jc w:val="center"/>
                    <w:rPr>
                      <w:color w:val="auto"/>
                      <w:szCs w:val="21"/>
                    </w:rPr>
                  </w:pPr>
                  <w:r>
                    <w:rPr>
                      <w:rFonts w:hint="eastAsia"/>
                      <w:color w:val="auto"/>
                      <w:szCs w:val="21"/>
                    </w:rPr>
                    <w:t>0.115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12" w:type="pct"/>
                  <w:vMerge w:val="continue"/>
                  <w:tcBorders>
                    <w:tl2br w:val="nil"/>
                    <w:tr2bl w:val="nil"/>
                  </w:tcBorders>
                  <w:vAlign w:val="center"/>
                </w:tcPr>
                <w:p>
                  <w:pPr>
                    <w:widowControl/>
                    <w:jc w:val="center"/>
                    <w:rPr>
                      <w:color w:val="auto"/>
                      <w:szCs w:val="21"/>
                    </w:rPr>
                  </w:pPr>
                </w:p>
              </w:tc>
              <w:tc>
                <w:tcPr>
                  <w:tcW w:w="873" w:type="pct"/>
                  <w:tcBorders>
                    <w:tl2br w:val="nil"/>
                    <w:tr2bl w:val="nil"/>
                  </w:tcBorders>
                  <w:vAlign w:val="center"/>
                </w:tcPr>
                <w:p>
                  <w:pPr>
                    <w:widowControl/>
                    <w:jc w:val="center"/>
                    <w:rPr>
                      <w:color w:val="auto"/>
                      <w:szCs w:val="21"/>
                    </w:rPr>
                  </w:pPr>
                  <w:r>
                    <w:rPr>
                      <w:rFonts w:hint="eastAsia"/>
                      <w:color w:val="auto"/>
                      <w:szCs w:val="21"/>
                    </w:rPr>
                    <w:t>硝酸铵库废气</w:t>
                  </w:r>
                </w:p>
              </w:tc>
              <w:tc>
                <w:tcPr>
                  <w:tcW w:w="945" w:type="pct"/>
                  <w:tcBorders>
                    <w:tl2br w:val="nil"/>
                    <w:tr2bl w:val="nil"/>
                  </w:tcBorders>
                  <w:vAlign w:val="center"/>
                </w:tcPr>
                <w:p>
                  <w:pPr>
                    <w:widowControl/>
                    <w:jc w:val="center"/>
                    <w:rPr>
                      <w:color w:val="auto"/>
                      <w:szCs w:val="21"/>
                    </w:rPr>
                  </w:pPr>
                  <w:r>
                    <w:rPr>
                      <w:rFonts w:hint="eastAsia"/>
                      <w:color w:val="auto"/>
                      <w:szCs w:val="21"/>
                    </w:rPr>
                    <w:t>少量</w:t>
                  </w:r>
                </w:p>
              </w:tc>
              <w:tc>
                <w:tcPr>
                  <w:tcW w:w="848" w:type="pct"/>
                  <w:tcBorders>
                    <w:tl2br w:val="nil"/>
                    <w:tr2bl w:val="nil"/>
                  </w:tcBorders>
                  <w:vAlign w:val="center"/>
                </w:tcPr>
                <w:p>
                  <w:pPr>
                    <w:widowControl/>
                    <w:jc w:val="center"/>
                    <w:rPr>
                      <w:color w:val="auto"/>
                      <w:szCs w:val="21"/>
                    </w:rPr>
                  </w:pPr>
                  <w:r>
                    <w:rPr>
                      <w:rFonts w:hint="eastAsia"/>
                      <w:color w:val="auto"/>
                      <w:szCs w:val="21"/>
                    </w:rPr>
                    <w:t>少量</w:t>
                  </w:r>
                </w:p>
              </w:tc>
              <w:tc>
                <w:tcPr>
                  <w:tcW w:w="1073" w:type="pct"/>
                  <w:tcBorders>
                    <w:tl2br w:val="nil"/>
                    <w:tr2bl w:val="nil"/>
                  </w:tcBorders>
                  <w:vAlign w:val="center"/>
                </w:tcPr>
                <w:p>
                  <w:pPr>
                    <w:widowControl/>
                    <w:jc w:val="center"/>
                    <w:rPr>
                      <w:color w:val="auto"/>
                      <w:szCs w:val="21"/>
                    </w:rPr>
                  </w:pPr>
                  <w:r>
                    <w:rPr>
                      <w:rFonts w:hint="eastAsia"/>
                      <w:color w:val="auto"/>
                      <w:szCs w:val="21"/>
                    </w:rPr>
                    <w:t>通风换气</w:t>
                  </w:r>
                </w:p>
              </w:tc>
              <w:tc>
                <w:tcPr>
                  <w:tcW w:w="746" w:type="pct"/>
                  <w:tcBorders>
                    <w:tl2br w:val="nil"/>
                    <w:tr2bl w:val="nil"/>
                  </w:tcBorders>
                  <w:vAlign w:val="center"/>
                </w:tcPr>
                <w:p>
                  <w:pPr>
                    <w:widowControl/>
                    <w:jc w:val="center"/>
                    <w:rPr>
                      <w:color w:val="auto"/>
                      <w:szCs w:val="21"/>
                    </w:rPr>
                  </w:pPr>
                  <w:r>
                    <w:rPr>
                      <w:rFonts w:hint="eastAsia"/>
                      <w:color w:val="auto"/>
                      <w:szCs w:val="21"/>
                    </w:rPr>
                    <w:t>少量</w:t>
                  </w:r>
                </w:p>
              </w:tc>
            </w:tr>
          </w:tbl>
          <w:p>
            <w:pPr>
              <w:adjustRightInd w:val="0"/>
              <w:snapToGrid w:val="0"/>
              <w:spacing w:line="520" w:lineRule="exact"/>
              <w:ind w:firstLine="480" w:firstLineChars="200"/>
              <w:rPr>
                <w:color w:val="auto"/>
                <w:sz w:val="24"/>
              </w:rPr>
            </w:pPr>
            <w:r>
              <w:rPr>
                <w:rFonts w:hint="eastAsia"/>
                <w:color w:val="auto"/>
                <w:sz w:val="24"/>
              </w:rPr>
              <w:t>本项目硝酸铵上料工序采用密闭式全自动上料，可减少99%的粉尘逸散，本次扩能生产设备依托现有设施，上料工房安装有排风扇，上料过程产生的少量粉尘经排风扇排出室外，经稀释扩散后，对周围环境影响较小。</w:t>
            </w:r>
          </w:p>
          <w:p>
            <w:pPr>
              <w:widowControl/>
              <w:spacing w:line="520" w:lineRule="exact"/>
              <w:ind w:firstLine="480" w:firstLineChars="200"/>
              <w:rPr>
                <w:rFonts w:hint="eastAsia" w:eastAsia="宋体"/>
                <w:b/>
                <w:bCs/>
                <w:color w:val="auto"/>
                <w:sz w:val="24"/>
                <w:lang w:val="en-US" w:eastAsia="zh-CN"/>
              </w:rPr>
            </w:pPr>
            <w:r>
              <w:rPr>
                <w:rFonts w:hint="eastAsia"/>
                <w:color w:val="auto"/>
                <w:sz w:val="24"/>
              </w:rPr>
              <w:t>通过控制卸油过程及加油过程的规范操作，能有效减少</w:t>
            </w:r>
            <w:r>
              <w:rPr>
                <w:color w:val="auto"/>
                <w:sz w:val="24"/>
              </w:rPr>
              <w:t>VOC</w:t>
            </w:r>
            <w:r>
              <w:rPr>
                <w:color w:val="auto"/>
                <w:sz w:val="24"/>
                <w:vertAlign w:val="subscript"/>
              </w:rPr>
              <w:t>S</w:t>
            </w:r>
            <w:r>
              <w:rPr>
                <w:rFonts w:hint="eastAsia"/>
                <w:color w:val="auto"/>
                <w:sz w:val="24"/>
              </w:rPr>
              <w:t>的产生</w:t>
            </w:r>
            <w:r>
              <w:rPr>
                <w:rFonts w:hint="eastAsia"/>
                <w:color w:val="auto"/>
                <w:sz w:val="24"/>
                <w:lang w:eastAsia="zh-CN"/>
              </w:rPr>
              <w:t>。</w:t>
            </w:r>
          </w:p>
          <w:p>
            <w:pPr>
              <w:widowControl/>
              <w:spacing w:line="520" w:lineRule="exact"/>
              <w:ind w:firstLine="482" w:firstLineChars="200"/>
              <w:rPr>
                <w:b/>
                <w:bCs/>
                <w:color w:val="auto"/>
                <w:sz w:val="24"/>
              </w:rPr>
            </w:pPr>
            <w:r>
              <w:rPr>
                <w:rFonts w:hint="eastAsia"/>
                <w:b/>
                <w:bCs/>
                <w:color w:val="auto"/>
                <w:sz w:val="24"/>
              </w:rPr>
              <w:t>1.2大气环境影响监测计划</w:t>
            </w:r>
          </w:p>
          <w:p>
            <w:pPr>
              <w:spacing w:line="520" w:lineRule="exact"/>
              <w:ind w:firstLine="480" w:firstLineChars="200"/>
              <w:rPr>
                <w:rFonts w:hint="default" w:ascii="Times New Roman" w:hAnsi="Times New Roman" w:eastAsia="宋体" w:cs="宋体"/>
                <w:snapToGrid w:val="0"/>
                <w:color w:val="auto"/>
                <w:kern w:val="2"/>
                <w:sz w:val="24"/>
                <w:szCs w:val="24"/>
                <w:lang w:val="en-US" w:eastAsia="zh-CN" w:bidi="ar-SA"/>
              </w:rPr>
            </w:pPr>
            <w:r>
              <w:rPr>
                <w:rFonts w:hint="eastAsia" w:ascii="Times New Roman" w:hAnsi="Times New Roman" w:eastAsia="宋体" w:cs="宋体"/>
                <w:snapToGrid w:val="0"/>
                <w:color w:val="auto"/>
                <w:kern w:val="2"/>
                <w:sz w:val="24"/>
                <w:szCs w:val="24"/>
                <w:lang w:val="en-US" w:eastAsia="zh-CN" w:bidi="ar-SA"/>
              </w:rPr>
              <w:t>依据《固定污染源排污许可分类管理名录》（2019年版）本项目行业类别为51炸药、火工及焰火产品制造 267，排污许可属于登记管理。故不再执行自行监测相关制度。</w:t>
            </w:r>
          </w:p>
          <w:p>
            <w:pPr>
              <w:widowControl/>
              <w:numPr>
                <w:ilvl w:val="0"/>
                <w:numId w:val="0"/>
              </w:numPr>
              <w:spacing w:line="520" w:lineRule="exact"/>
              <w:ind w:firstLine="482" w:firstLineChars="200"/>
              <w:rPr>
                <w:b/>
                <w:bCs/>
                <w:color w:val="auto"/>
                <w:sz w:val="24"/>
              </w:rPr>
            </w:pPr>
            <w:r>
              <w:rPr>
                <w:rFonts w:hint="eastAsia"/>
                <w:b/>
                <w:bCs/>
                <w:color w:val="auto"/>
                <w:sz w:val="24"/>
                <w:lang w:val="en-US" w:eastAsia="zh-CN"/>
              </w:rPr>
              <w:t>2.</w:t>
            </w:r>
            <w:r>
              <w:rPr>
                <w:rFonts w:hint="eastAsia"/>
                <w:b/>
                <w:bCs/>
                <w:color w:val="auto"/>
                <w:sz w:val="24"/>
              </w:rPr>
              <w:t>废水</w:t>
            </w:r>
          </w:p>
          <w:p>
            <w:pPr>
              <w:widowControl/>
              <w:spacing w:line="520" w:lineRule="exact"/>
              <w:ind w:firstLine="482" w:firstLineChars="200"/>
              <w:rPr>
                <w:b/>
                <w:bCs/>
                <w:color w:val="auto"/>
                <w:sz w:val="24"/>
              </w:rPr>
            </w:pPr>
            <w:r>
              <w:rPr>
                <w:rFonts w:hint="eastAsia"/>
                <w:b/>
                <w:bCs/>
                <w:color w:val="auto"/>
                <w:sz w:val="24"/>
              </w:rPr>
              <w:t>2.1水污染物源强</w:t>
            </w:r>
          </w:p>
          <w:p>
            <w:pPr>
              <w:pStyle w:val="70"/>
              <w:rPr>
                <w:rFonts w:cs="Times New Roman"/>
                <w:color w:val="auto"/>
              </w:rPr>
            </w:pPr>
            <w:r>
              <w:rPr>
                <w:color w:val="auto"/>
              </w:rPr>
              <w:t>本项目运营期</w:t>
            </w:r>
            <w:r>
              <w:rPr>
                <w:rFonts w:hint="eastAsia"/>
                <w:color w:val="auto"/>
              </w:rPr>
              <w:t>新增</w:t>
            </w:r>
            <w:r>
              <w:rPr>
                <w:color w:val="auto"/>
              </w:rPr>
              <w:t>废水主要为生活污水</w:t>
            </w:r>
            <w:r>
              <w:rPr>
                <w:rFonts w:hint="eastAsia"/>
                <w:color w:val="auto"/>
              </w:rPr>
              <w:t>及车辆冲洗废水</w:t>
            </w:r>
            <w:r>
              <w:rPr>
                <w:color w:val="auto"/>
              </w:rPr>
              <w:t>。</w:t>
            </w:r>
          </w:p>
          <w:p>
            <w:pPr>
              <w:adjustRightInd w:val="0"/>
              <w:snapToGrid w:val="0"/>
              <w:spacing w:line="520" w:lineRule="exact"/>
              <w:ind w:firstLine="480" w:firstLineChars="200"/>
              <w:rPr>
                <w:color w:val="auto"/>
                <w:sz w:val="24"/>
              </w:rPr>
            </w:pPr>
            <w:r>
              <w:rPr>
                <w:color w:val="auto"/>
                <w:sz w:val="24"/>
              </w:rPr>
              <w:t>生活用水主要为工作人员的日常生活用水。本项目生活污水排放量为</w:t>
            </w:r>
            <w:r>
              <w:rPr>
                <w:rFonts w:hint="eastAsia"/>
                <w:color w:val="auto"/>
                <w:sz w:val="24"/>
              </w:rPr>
              <w:t>225</w:t>
            </w:r>
            <w:r>
              <w:rPr>
                <w:color w:val="auto"/>
                <w:sz w:val="24"/>
              </w:rPr>
              <w:t>m</w:t>
            </w:r>
            <w:r>
              <w:rPr>
                <w:color w:val="auto"/>
                <w:sz w:val="24"/>
                <w:vertAlign w:val="superscript"/>
              </w:rPr>
              <w:t>3</w:t>
            </w:r>
            <w:r>
              <w:rPr>
                <w:color w:val="auto"/>
                <w:sz w:val="24"/>
              </w:rPr>
              <w:t>/a；污染物浓度及产生量分别为COD</w:t>
            </w:r>
            <w:r>
              <w:rPr>
                <w:color w:val="auto"/>
                <w:sz w:val="24"/>
                <w:vertAlign w:val="subscript"/>
              </w:rPr>
              <w:t>Cr</w:t>
            </w:r>
            <w:r>
              <w:rPr>
                <w:color w:val="auto"/>
                <w:sz w:val="24"/>
              </w:rPr>
              <w:t>：400mg/L，</w:t>
            </w:r>
            <w:r>
              <w:rPr>
                <w:rFonts w:hint="eastAsia"/>
                <w:color w:val="auto"/>
                <w:sz w:val="24"/>
              </w:rPr>
              <w:t>0.09</w:t>
            </w:r>
            <w:r>
              <w:rPr>
                <w:color w:val="auto"/>
                <w:sz w:val="24"/>
              </w:rPr>
              <w:t>t/a；BOD</w:t>
            </w:r>
            <w:r>
              <w:rPr>
                <w:color w:val="auto"/>
                <w:sz w:val="24"/>
                <w:vertAlign w:val="subscript"/>
              </w:rPr>
              <w:t>5</w:t>
            </w:r>
            <w:r>
              <w:rPr>
                <w:color w:val="auto"/>
                <w:sz w:val="24"/>
              </w:rPr>
              <w:t>：200mg/L，</w:t>
            </w:r>
            <w:r>
              <w:rPr>
                <w:rFonts w:hint="eastAsia"/>
                <w:color w:val="auto"/>
                <w:sz w:val="24"/>
              </w:rPr>
              <w:t>0.045</w:t>
            </w:r>
            <w:r>
              <w:rPr>
                <w:color w:val="auto"/>
                <w:sz w:val="24"/>
              </w:rPr>
              <w:t>t/a；NH</w:t>
            </w:r>
            <w:r>
              <w:rPr>
                <w:color w:val="auto"/>
                <w:sz w:val="24"/>
                <w:vertAlign w:val="subscript"/>
              </w:rPr>
              <w:t>3</w:t>
            </w:r>
            <w:r>
              <w:rPr>
                <w:color w:val="auto"/>
                <w:sz w:val="24"/>
              </w:rPr>
              <w:t>-N：35mg/L，</w:t>
            </w:r>
            <w:r>
              <w:rPr>
                <w:rFonts w:hint="eastAsia"/>
                <w:color w:val="auto"/>
                <w:sz w:val="24"/>
              </w:rPr>
              <w:t>0.008</w:t>
            </w:r>
            <w:r>
              <w:rPr>
                <w:color w:val="auto"/>
                <w:sz w:val="24"/>
              </w:rPr>
              <w:t>t/a；SS：200mg/L，</w:t>
            </w:r>
            <w:r>
              <w:rPr>
                <w:rFonts w:hint="eastAsia"/>
                <w:color w:val="auto"/>
                <w:sz w:val="24"/>
              </w:rPr>
              <w:t>0.045</w:t>
            </w:r>
            <w:r>
              <w:rPr>
                <w:color w:val="auto"/>
                <w:sz w:val="24"/>
              </w:rPr>
              <w:t>t/a。</w:t>
            </w:r>
          </w:p>
          <w:p>
            <w:pPr>
              <w:adjustRightInd w:val="0"/>
              <w:snapToGrid w:val="0"/>
              <w:spacing w:line="520" w:lineRule="exact"/>
              <w:ind w:firstLine="480" w:firstLineChars="200"/>
              <w:rPr>
                <w:color w:val="auto"/>
                <w:sz w:val="24"/>
              </w:rPr>
            </w:pPr>
            <w:r>
              <w:rPr>
                <w:rFonts w:hint="eastAsia"/>
                <w:color w:val="auto"/>
                <w:sz w:val="24"/>
              </w:rPr>
              <w:t>车辆冲洗废水产生量为153m</w:t>
            </w:r>
            <w:r>
              <w:rPr>
                <w:rFonts w:hint="eastAsia"/>
                <w:color w:val="auto"/>
                <w:sz w:val="24"/>
                <w:vertAlign w:val="superscript"/>
              </w:rPr>
              <w:t>3</w:t>
            </w:r>
            <w:r>
              <w:rPr>
                <w:rFonts w:hint="eastAsia"/>
                <w:color w:val="auto"/>
                <w:sz w:val="24"/>
              </w:rPr>
              <w:t>/a。其主要</w:t>
            </w:r>
            <w:r>
              <w:rPr>
                <w:rFonts w:hint="eastAsia"/>
                <w:color w:val="auto"/>
                <w:sz w:val="24"/>
                <w:lang w:eastAsia="zh-CN"/>
              </w:rPr>
              <w:t>污染物</w:t>
            </w:r>
            <w:r>
              <w:rPr>
                <w:rFonts w:hint="eastAsia"/>
                <w:color w:val="auto"/>
                <w:sz w:val="24"/>
              </w:rPr>
              <w:t>为悬浮物和石油类，浓度分别为石油类：100mg/L，悬浮物：200mg/L，产生量分别为SS：0.031t/a、石油类：0.015t/a。</w:t>
            </w:r>
          </w:p>
          <w:p>
            <w:pPr>
              <w:adjustRightInd w:val="0"/>
              <w:snapToGrid w:val="0"/>
              <w:spacing w:line="520" w:lineRule="exact"/>
              <w:ind w:firstLine="480" w:firstLineChars="200"/>
              <w:rPr>
                <w:color w:val="auto"/>
                <w:sz w:val="24"/>
              </w:rPr>
            </w:pPr>
            <w:r>
              <w:rPr>
                <w:rFonts w:hint="eastAsia"/>
                <w:color w:val="auto"/>
                <w:sz w:val="24"/>
              </w:rPr>
              <w:t>洗车废水依托现有工程已建隔油沉淀池处理后与生活污水一起经地埋式一体化污水处理设施经处理后达到《城市污水再利用城市杂用水水质》（GB/T18920-2020）绿化用水水质标准要求后全部用于绿化，不外排</w:t>
            </w:r>
            <w:r>
              <w:rPr>
                <w:color w:val="auto"/>
                <w:sz w:val="24"/>
              </w:rPr>
              <w:t>。</w:t>
            </w:r>
          </w:p>
          <w:p>
            <w:pPr>
              <w:widowControl/>
              <w:spacing w:line="520" w:lineRule="exact"/>
              <w:ind w:firstLine="482" w:firstLineChars="200"/>
              <w:rPr>
                <w:b/>
                <w:bCs/>
                <w:color w:val="auto"/>
                <w:sz w:val="24"/>
              </w:rPr>
            </w:pPr>
            <w:r>
              <w:rPr>
                <w:rFonts w:hint="eastAsia"/>
                <w:b/>
                <w:bCs/>
                <w:color w:val="auto"/>
                <w:sz w:val="24"/>
              </w:rPr>
              <w:t>2.2污染防治措施及达标可行性分析</w:t>
            </w:r>
          </w:p>
          <w:p>
            <w:pPr>
              <w:adjustRightInd w:val="0"/>
              <w:snapToGrid w:val="0"/>
              <w:spacing w:line="520" w:lineRule="exact"/>
              <w:ind w:firstLine="480" w:firstLineChars="200"/>
              <w:rPr>
                <w:color w:val="auto"/>
                <w:sz w:val="24"/>
              </w:rPr>
            </w:pPr>
            <w:r>
              <w:rPr>
                <w:rFonts w:hint="eastAsia"/>
                <w:color w:val="auto"/>
                <w:sz w:val="24"/>
              </w:rPr>
              <w:t>本项目洗车废水依托现有工程已建隔油沉淀池处理后与生活污水一起经地埋式一体化污水处理设施经处理</w:t>
            </w:r>
            <w:r>
              <w:rPr>
                <w:color w:val="auto"/>
                <w:sz w:val="24"/>
              </w:rPr>
              <w:t>。</w:t>
            </w:r>
          </w:p>
          <w:p>
            <w:pPr>
              <w:pStyle w:val="70"/>
              <w:rPr>
                <w:color w:val="auto"/>
              </w:rPr>
            </w:pPr>
            <w:r>
              <w:rPr>
                <w:rFonts w:hint="eastAsia"/>
                <w:color w:val="auto"/>
              </w:rPr>
              <w:t>现有工程已建地埋式一体化生活污水处理设施工作原理如下：主要依靠A（缺氧）/O（好氧）推流式生物接触氧化处理工艺；A/O工艺是将前段缺氧段和后段好氧段串联在一起，缺氧段异养菌将污水中淀粉、纤维、碳水化合物等悬浮物和可溶性有机物水解为有机酸，使大分子有机物分解为小分子有机物，不溶性有机物转化成可溶性有机物，当缺氧段水解产物进入好氧段进行好氧处理时，提高污水的可生化性，提高氧效率，缺氧段异养菌将蛋白质、脂肪等物质进行氨化（有机链上N或氨基酸中氨基）游离出氨（NH</w:t>
            </w:r>
            <w:r>
              <w:rPr>
                <w:rFonts w:hint="eastAsia"/>
                <w:color w:val="auto"/>
                <w:vertAlign w:val="subscript"/>
              </w:rPr>
              <w:t>3</w:t>
            </w:r>
            <w:r>
              <w:rPr>
                <w:rFonts w:hint="eastAsia"/>
                <w:color w:val="auto"/>
              </w:rPr>
              <w:t>、NH</w:t>
            </w:r>
            <w:r>
              <w:rPr>
                <w:rFonts w:hint="eastAsia"/>
                <w:color w:val="auto"/>
                <w:vertAlign w:val="subscript"/>
              </w:rPr>
              <w:t>4</w:t>
            </w:r>
            <w:r>
              <w:rPr>
                <w:rFonts w:hint="eastAsia"/>
                <w:color w:val="auto"/>
                <w:vertAlign w:val="superscript"/>
              </w:rPr>
              <w:t>+</w:t>
            </w:r>
            <w:r>
              <w:rPr>
                <w:rFonts w:hint="eastAsia"/>
                <w:color w:val="auto"/>
              </w:rPr>
              <w:t>），充足供氧条件下自养菌硝化作用将NH</w:t>
            </w:r>
            <w:r>
              <w:rPr>
                <w:rFonts w:hint="eastAsia"/>
                <w:color w:val="auto"/>
                <w:vertAlign w:val="subscript"/>
              </w:rPr>
              <w:t>3</w:t>
            </w:r>
            <w:r>
              <w:rPr>
                <w:rFonts w:hint="eastAsia"/>
                <w:color w:val="auto"/>
              </w:rPr>
              <w:t>-N（NH</w:t>
            </w:r>
            <w:r>
              <w:rPr>
                <w:rFonts w:hint="eastAsia"/>
                <w:color w:val="auto"/>
                <w:vertAlign w:val="subscript"/>
              </w:rPr>
              <w:t>4</w:t>
            </w:r>
            <w:r>
              <w:rPr>
                <w:rFonts w:hint="eastAsia"/>
                <w:color w:val="auto"/>
                <w:vertAlign w:val="superscript"/>
              </w:rPr>
              <w:t>+</w:t>
            </w:r>
            <w:r>
              <w:rPr>
                <w:rFonts w:hint="eastAsia"/>
                <w:color w:val="auto"/>
              </w:rPr>
              <w:t>）氧化为HO</w:t>
            </w:r>
            <w:r>
              <w:rPr>
                <w:rFonts w:hint="eastAsia"/>
                <w:color w:val="auto"/>
                <w:vertAlign w:val="subscript"/>
              </w:rPr>
              <w:t>3</w:t>
            </w:r>
            <w:r>
              <w:rPr>
                <w:rFonts w:hint="eastAsia"/>
                <w:color w:val="auto"/>
                <w:vertAlign w:val="superscript"/>
              </w:rPr>
              <w:t>-</w:t>
            </w:r>
            <w:r>
              <w:rPr>
                <w:rFonts w:hint="eastAsia"/>
                <w:color w:val="auto"/>
              </w:rPr>
              <w:t>，通过回流控制返回至缺氧段，缺氧条件下异养菌反硝化作用将HO</w:t>
            </w:r>
            <w:r>
              <w:rPr>
                <w:rFonts w:hint="eastAsia"/>
                <w:color w:val="auto"/>
                <w:vertAlign w:val="subscript"/>
              </w:rPr>
              <w:t>3</w:t>
            </w:r>
            <w:r>
              <w:rPr>
                <w:rFonts w:hint="eastAsia"/>
                <w:color w:val="auto"/>
                <w:vertAlign w:val="superscript"/>
              </w:rPr>
              <w:t>-</w:t>
            </w:r>
            <w:r>
              <w:rPr>
                <w:rFonts w:hint="eastAsia"/>
                <w:color w:val="auto"/>
              </w:rPr>
              <w:t>还原为分子态氮（N</w:t>
            </w:r>
            <w:r>
              <w:rPr>
                <w:rFonts w:hint="eastAsia"/>
                <w:color w:val="auto"/>
                <w:vertAlign w:val="subscript"/>
              </w:rPr>
              <w:t>2</w:t>
            </w:r>
            <w:r>
              <w:rPr>
                <w:rFonts w:hint="eastAsia"/>
                <w:color w:val="auto"/>
              </w:rPr>
              <w:t>）完成C、N、O在生态中循环，实现污水无害化处理</w:t>
            </w:r>
            <w:r>
              <w:rPr>
                <w:color w:val="auto"/>
              </w:rPr>
              <w:t>。</w:t>
            </w:r>
          </w:p>
          <w:p>
            <w:pPr>
              <w:pStyle w:val="70"/>
              <w:rPr>
                <w:color w:val="auto"/>
              </w:rPr>
            </w:pPr>
            <w:r>
              <w:rPr>
                <w:rFonts w:hint="eastAsia"/>
                <w:color w:val="auto"/>
              </w:rPr>
              <w:t>处理工艺：</w:t>
            </w:r>
          </w:p>
          <w:p>
            <w:pPr>
              <w:pStyle w:val="70"/>
              <w:rPr>
                <w:color w:val="auto"/>
              </w:rPr>
            </w:pPr>
            <w:r>
              <w:rPr>
                <w:rFonts w:hint="eastAsia"/>
                <w:color w:val="auto"/>
              </w:rPr>
              <w:t>洗车废水先经隔油沉淀池预处理后与生活污水通过管道收集，归集于</w:t>
            </w:r>
            <w:r>
              <w:rPr>
                <w:rFonts w:hint="eastAsia"/>
                <w:color w:val="auto"/>
                <w:lang w:val="en-US" w:eastAsia="zh-CN"/>
              </w:rPr>
              <w:t>污水收集池，再通过</w:t>
            </w:r>
            <w:r>
              <w:rPr>
                <w:rFonts w:hint="eastAsia"/>
                <w:color w:val="auto"/>
              </w:rPr>
              <w:t>地埋式一体化生活污水处理设施进行处理。采用一体化生化处理工艺，工艺流程如图所示。</w:t>
            </w:r>
          </w:p>
          <w:p>
            <w:pPr>
              <w:topLinePunct/>
              <w:spacing w:line="360" w:lineRule="auto"/>
              <w:jc w:val="center"/>
              <w:textAlignment w:val="baseline"/>
              <w:rPr>
                <w:snapToGrid w:val="0"/>
                <w:color w:val="auto"/>
                <w:kern w:val="0"/>
                <w:sz w:val="24"/>
              </w:rPr>
            </w:pPr>
            <w:r>
              <w:rPr>
                <w:color w:val="auto"/>
                <w:sz w:val="24"/>
              </w:rPr>
              <w:drawing>
                <wp:inline distT="0" distB="0" distL="0" distR="0">
                  <wp:extent cx="5753100" cy="1666875"/>
                  <wp:effectExtent l="19050" t="19050" r="19050" b="28575"/>
                  <wp:docPr id="2279" name="图片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 name="图片 2279"/>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5753100" cy="1666875"/>
                          </a:xfrm>
                          <a:prstGeom prst="rect">
                            <a:avLst/>
                          </a:prstGeom>
                          <a:noFill/>
                          <a:ln w="19050" cmpd="sng">
                            <a:solidFill>
                              <a:schemeClr val="tx1"/>
                            </a:solidFill>
                            <a:prstDash val="solid"/>
                          </a:ln>
                        </pic:spPr>
                      </pic:pic>
                    </a:graphicData>
                  </a:graphic>
                </wp:inline>
              </w:drawing>
            </w:r>
          </w:p>
          <w:p>
            <w:pPr>
              <w:pStyle w:val="36"/>
              <w:rPr>
                <w:color w:val="auto"/>
              </w:rPr>
            </w:pPr>
            <w:r>
              <w:rPr>
                <w:color w:val="auto"/>
              </w:rPr>
              <w:t>图4-</w:t>
            </w:r>
            <w:r>
              <w:rPr>
                <w:rFonts w:hint="eastAsia"/>
                <w:color w:val="auto"/>
              </w:rPr>
              <w:t>1</w:t>
            </w:r>
            <w:r>
              <w:rPr>
                <w:color w:val="auto"/>
              </w:rPr>
              <w:t xml:space="preserve">  污水处理工艺流程图</w:t>
            </w:r>
          </w:p>
          <w:p>
            <w:pPr>
              <w:pStyle w:val="70"/>
              <w:rPr>
                <w:color w:val="auto"/>
              </w:rPr>
            </w:pPr>
            <w:r>
              <w:rPr>
                <w:rFonts w:hint="eastAsia"/>
                <w:color w:val="auto"/>
              </w:rPr>
              <w:t>流程大致描述如下：</w:t>
            </w:r>
          </w:p>
          <w:p>
            <w:pPr>
              <w:pStyle w:val="70"/>
              <w:rPr>
                <w:color w:val="auto"/>
              </w:rPr>
            </w:pPr>
            <w:r>
              <w:rPr>
                <w:rFonts w:hint="eastAsia"/>
                <w:color w:val="auto"/>
              </w:rPr>
              <w:t>（1）污水经污水管网收集后进入格栅井，由于水量很小，因此放弃采用传统粗、细格栅，采用自动提篮格栅，提篮格栅为双层结构，格栅间隙分别为20mm和3mm，截流污水中的较大颗粒物；</w:t>
            </w:r>
          </w:p>
          <w:p>
            <w:pPr>
              <w:pStyle w:val="70"/>
              <w:rPr>
                <w:color w:val="auto"/>
              </w:rPr>
            </w:pPr>
            <w:r>
              <w:rPr>
                <w:rFonts w:hint="eastAsia"/>
                <w:color w:val="auto"/>
              </w:rPr>
              <w:t>（2）污水经提升进入调节水池，调节池对污水进行水量和水质的调节和均化；</w:t>
            </w:r>
          </w:p>
          <w:p>
            <w:pPr>
              <w:pStyle w:val="70"/>
              <w:rPr>
                <w:color w:val="auto"/>
              </w:rPr>
            </w:pPr>
            <w:r>
              <w:rPr>
                <w:rFonts w:hint="eastAsia"/>
                <w:color w:val="auto"/>
              </w:rPr>
              <w:t>（3）调节池的污水通过提升泵进行二级提升到一体化生化反应器的前端，污水在该反应器中经过微生物的缺氧、好氧反应后，污水中的总氮、总磷、COD、BOD、氨氮等均得到有效的降低。特别是在好氧区，污水中的有机物、氨氮等污染物在生物高效新陈代谢作用下将被快速去除；系统无需额外曝气，系统自带气囊带入气体完全可以保证高浓度微生物正常的活动；</w:t>
            </w:r>
          </w:p>
          <w:p>
            <w:pPr>
              <w:pStyle w:val="70"/>
              <w:rPr>
                <w:color w:val="auto"/>
              </w:rPr>
            </w:pPr>
            <w:r>
              <w:rPr>
                <w:rFonts w:hint="eastAsia"/>
                <w:color w:val="auto"/>
              </w:rPr>
              <w:t>（4）较高浓度的泥水混合物在固液分离反应器中经加药絮凝沉淀实现泥水分离，出水经管路汇集至清水罐，提升至石英砂罐进行深度过滤，出水经紫外消毒器，紫外杀菌合格后排放；</w:t>
            </w:r>
          </w:p>
          <w:p>
            <w:pPr>
              <w:pStyle w:val="70"/>
              <w:rPr>
                <w:color w:val="auto"/>
              </w:rPr>
            </w:pPr>
            <w:r>
              <w:rPr>
                <w:rFonts w:hint="eastAsia"/>
                <w:color w:val="auto"/>
              </w:rPr>
              <w:t>（5）SATBR好氧生化后端的硝酸盐溶液在内循环泵的作用下回流至缺氧反硝化区，强化脱氮及部分除磷功能；</w:t>
            </w:r>
          </w:p>
          <w:p>
            <w:pPr>
              <w:pStyle w:val="70"/>
              <w:rPr>
                <w:color w:val="auto"/>
              </w:rPr>
            </w:pPr>
            <w:r>
              <w:rPr>
                <w:rFonts w:hint="eastAsia"/>
                <w:color w:val="auto"/>
              </w:rPr>
              <w:t>（6）沉淀区沉积的污泥由排泥泵抽走排至储泥池，储泥池中的污泥可定期转运至吉木萨尔县污水处理厂处理。</w:t>
            </w:r>
          </w:p>
          <w:p>
            <w:pPr>
              <w:pStyle w:val="70"/>
              <w:rPr>
                <w:color w:val="auto"/>
              </w:rPr>
            </w:pPr>
            <w:r>
              <w:rPr>
                <w:rFonts w:hint="eastAsia"/>
                <w:color w:val="auto"/>
              </w:rPr>
              <w:t>依据现有工程竣工验收报告，经处理后水质可达到《城市污水再利用城市杂用水水质》（GB/T18920-2020）绿化用水水质标准。</w:t>
            </w:r>
          </w:p>
          <w:p>
            <w:pPr>
              <w:pStyle w:val="70"/>
              <w:rPr>
                <w:color w:val="auto"/>
              </w:rPr>
            </w:pPr>
            <w:r>
              <w:rPr>
                <w:rFonts w:hint="eastAsia"/>
                <w:color w:val="auto"/>
              </w:rPr>
              <w:t>现有工程污水处理站规模为0.5m</w:t>
            </w:r>
            <w:r>
              <w:rPr>
                <w:rFonts w:hint="eastAsia"/>
                <w:color w:val="auto"/>
                <w:vertAlign w:val="superscript"/>
              </w:rPr>
              <w:t>3</w:t>
            </w:r>
            <w:r>
              <w:rPr>
                <w:rFonts w:hint="eastAsia"/>
                <w:color w:val="auto"/>
              </w:rPr>
              <w:t>/h，合计12m</w:t>
            </w:r>
            <w:r>
              <w:rPr>
                <w:rFonts w:hint="eastAsia"/>
                <w:color w:val="auto"/>
                <w:vertAlign w:val="superscript"/>
              </w:rPr>
              <w:t>3</w:t>
            </w:r>
            <w:r>
              <w:rPr>
                <w:rFonts w:hint="eastAsia"/>
                <w:color w:val="auto"/>
              </w:rPr>
              <w:t>/d，本次扩能后全厂污水总量为4.342m</w:t>
            </w:r>
            <w:r>
              <w:rPr>
                <w:rFonts w:hint="eastAsia"/>
                <w:color w:val="auto"/>
                <w:vertAlign w:val="superscript"/>
              </w:rPr>
              <w:t>3</w:t>
            </w:r>
            <w:r>
              <w:rPr>
                <w:rFonts w:hint="eastAsia"/>
                <w:color w:val="auto"/>
              </w:rPr>
              <w:t>/d，综上，本项目废水依托现有工程隔油沉淀池及地埋式一体化污水处理站可行。</w:t>
            </w:r>
          </w:p>
          <w:p>
            <w:pPr>
              <w:pStyle w:val="2"/>
              <w:spacing w:before="0" w:after="0" w:line="520" w:lineRule="exact"/>
              <w:ind w:right="0" w:firstLine="482" w:firstLineChars="200"/>
              <w:rPr>
                <w:b/>
                <w:bCs/>
                <w:color w:val="auto"/>
                <w:kern w:val="2"/>
                <w:sz w:val="24"/>
                <w:szCs w:val="24"/>
              </w:rPr>
            </w:pPr>
            <w:r>
              <w:rPr>
                <w:rFonts w:hint="eastAsia"/>
                <w:b/>
                <w:bCs/>
                <w:color w:val="auto"/>
                <w:kern w:val="2"/>
                <w:sz w:val="24"/>
                <w:szCs w:val="24"/>
              </w:rPr>
              <w:t>2.5废水排放监测计划</w:t>
            </w:r>
          </w:p>
          <w:p>
            <w:pPr>
              <w:pStyle w:val="36"/>
              <w:rPr>
                <w:color w:val="auto"/>
              </w:rPr>
            </w:pPr>
            <w:r>
              <w:rPr>
                <w:rFonts w:hint="eastAsia"/>
                <w:color w:val="auto"/>
              </w:rPr>
              <w:t>表4-4  废水排放监测方案</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3097"/>
              <w:gridCol w:w="1357"/>
              <w:gridCol w:w="30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88" w:type="pct"/>
                  <w:tcBorders>
                    <w:tl2br w:val="nil"/>
                    <w:tr2bl w:val="nil"/>
                  </w:tcBorders>
                  <w:vAlign w:val="center"/>
                </w:tcPr>
                <w:p>
                  <w:pPr>
                    <w:pStyle w:val="82"/>
                    <w:rPr>
                      <w:iCs/>
                      <w:color w:val="auto"/>
                    </w:rPr>
                  </w:pPr>
                  <w:r>
                    <w:rPr>
                      <w:iCs/>
                      <w:color w:val="auto"/>
                    </w:rPr>
                    <w:t>监测位置</w:t>
                  </w:r>
                </w:p>
              </w:tc>
              <w:tc>
                <w:tcPr>
                  <w:tcW w:w="1698" w:type="pct"/>
                  <w:tcBorders>
                    <w:tl2br w:val="nil"/>
                    <w:tr2bl w:val="nil"/>
                  </w:tcBorders>
                  <w:vAlign w:val="center"/>
                </w:tcPr>
                <w:p>
                  <w:pPr>
                    <w:pStyle w:val="82"/>
                    <w:rPr>
                      <w:iCs/>
                      <w:color w:val="auto"/>
                    </w:rPr>
                  </w:pPr>
                  <w:r>
                    <w:rPr>
                      <w:iCs/>
                      <w:color w:val="auto"/>
                    </w:rPr>
                    <w:t>监测项目</w:t>
                  </w:r>
                </w:p>
              </w:tc>
              <w:tc>
                <w:tcPr>
                  <w:tcW w:w="744" w:type="pct"/>
                  <w:tcBorders>
                    <w:tl2br w:val="nil"/>
                    <w:tr2bl w:val="nil"/>
                  </w:tcBorders>
                  <w:vAlign w:val="center"/>
                </w:tcPr>
                <w:p>
                  <w:pPr>
                    <w:pStyle w:val="82"/>
                    <w:rPr>
                      <w:iCs/>
                      <w:color w:val="auto"/>
                    </w:rPr>
                  </w:pPr>
                  <w:r>
                    <w:rPr>
                      <w:iCs/>
                      <w:color w:val="auto"/>
                    </w:rPr>
                    <w:t>监测频率</w:t>
                  </w:r>
                </w:p>
              </w:tc>
              <w:tc>
                <w:tcPr>
                  <w:tcW w:w="1668" w:type="pct"/>
                  <w:tcBorders>
                    <w:tl2br w:val="nil"/>
                    <w:tr2bl w:val="nil"/>
                  </w:tcBorders>
                  <w:vAlign w:val="center"/>
                </w:tcPr>
                <w:p>
                  <w:pPr>
                    <w:pStyle w:val="82"/>
                    <w:rPr>
                      <w:iCs/>
                      <w:color w:val="auto"/>
                    </w:rPr>
                  </w:pPr>
                  <w:r>
                    <w:rPr>
                      <w:iCs/>
                      <w:color w:val="auto"/>
                    </w:rPr>
                    <w:t>监测方式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88" w:type="pct"/>
                  <w:tcBorders>
                    <w:tl2br w:val="nil"/>
                    <w:tr2bl w:val="nil"/>
                  </w:tcBorders>
                  <w:vAlign w:val="center"/>
                </w:tcPr>
                <w:p>
                  <w:pPr>
                    <w:pStyle w:val="82"/>
                    <w:rPr>
                      <w:iCs/>
                      <w:color w:val="auto"/>
                    </w:rPr>
                  </w:pPr>
                  <w:r>
                    <w:rPr>
                      <w:rFonts w:hint="eastAsia"/>
                      <w:iCs/>
                      <w:color w:val="auto"/>
                    </w:rPr>
                    <w:t>污水收集池</w:t>
                  </w:r>
                </w:p>
              </w:tc>
              <w:tc>
                <w:tcPr>
                  <w:tcW w:w="1698" w:type="pct"/>
                  <w:tcBorders>
                    <w:tl2br w:val="nil"/>
                    <w:tr2bl w:val="nil"/>
                  </w:tcBorders>
                  <w:vAlign w:val="center"/>
                </w:tcPr>
                <w:p>
                  <w:pPr>
                    <w:pStyle w:val="82"/>
                    <w:rPr>
                      <w:iCs/>
                      <w:color w:val="auto"/>
                    </w:rPr>
                  </w:pPr>
                  <w:r>
                    <w:rPr>
                      <w:iCs/>
                      <w:color w:val="auto"/>
                    </w:rPr>
                    <w:t>pH值、化学需氧量、氨氮、悬浮物、总磷、</w:t>
                  </w:r>
                  <w:r>
                    <w:rPr>
                      <w:rFonts w:hint="eastAsia"/>
                      <w:iCs/>
                      <w:color w:val="auto"/>
                    </w:rPr>
                    <w:t>石油类、</w:t>
                  </w:r>
                  <w:r>
                    <w:rPr>
                      <w:iCs/>
                      <w:color w:val="auto"/>
                    </w:rPr>
                    <w:t>流量</w:t>
                  </w:r>
                </w:p>
              </w:tc>
              <w:tc>
                <w:tcPr>
                  <w:tcW w:w="744" w:type="pct"/>
                  <w:tcBorders>
                    <w:tl2br w:val="nil"/>
                    <w:tr2bl w:val="nil"/>
                  </w:tcBorders>
                  <w:vAlign w:val="center"/>
                </w:tcPr>
                <w:p>
                  <w:pPr>
                    <w:pStyle w:val="82"/>
                    <w:rPr>
                      <w:iCs/>
                      <w:color w:val="auto"/>
                    </w:rPr>
                  </w:pPr>
                  <w:r>
                    <w:rPr>
                      <w:iCs/>
                      <w:color w:val="auto"/>
                    </w:rPr>
                    <w:t>每</w:t>
                  </w:r>
                  <w:r>
                    <w:rPr>
                      <w:rFonts w:hint="eastAsia"/>
                      <w:iCs/>
                      <w:color w:val="auto"/>
                    </w:rPr>
                    <w:t>年</w:t>
                  </w:r>
                  <w:r>
                    <w:rPr>
                      <w:iCs/>
                      <w:color w:val="auto"/>
                    </w:rPr>
                    <w:t>1次</w:t>
                  </w:r>
                </w:p>
              </w:tc>
              <w:tc>
                <w:tcPr>
                  <w:tcW w:w="1668" w:type="pct"/>
                  <w:tcBorders>
                    <w:tl2br w:val="nil"/>
                    <w:tr2bl w:val="nil"/>
                  </w:tcBorders>
                  <w:vAlign w:val="center"/>
                </w:tcPr>
                <w:p>
                  <w:pPr>
                    <w:pStyle w:val="82"/>
                    <w:rPr>
                      <w:iCs/>
                      <w:color w:val="auto"/>
                    </w:rPr>
                  </w:pPr>
                  <w:r>
                    <w:rPr>
                      <w:iCs/>
                      <w:color w:val="auto"/>
                    </w:rPr>
                    <w:t>委托第三方监测单位监测</w:t>
                  </w:r>
                </w:p>
              </w:tc>
            </w:tr>
          </w:tbl>
          <w:p>
            <w:pPr>
              <w:pStyle w:val="2"/>
              <w:numPr>
                <w:ilvl w:val="0"/>
                <w:numId w:val="15"/>
              </w:numPr>
              <w:spacing w:before="0" w:after="0" w:line="520" w:lineRule="exact"/>
              <w:ind w:left="-62" w:leftChars="0" w:right="0" w:firstLine="482" w:firstLineChars="0"/>
              <w:rPr>
                <w:b/>
                <w:bCs/>
                <w:color w:val="auto"/>
                <w:kern w:val="2"/>
                <w:sz w:val="24"/>
                <w:szCs w:val="24"/>
              </w:rPr>
            </w:pPr>
            <w:r>
              <w:rPr>
                <w:rFonts w:hint="eastAsia"/>
                <w:b/>
                <w:bCs/>
                <w:color w:val="auto"/>
                <w:kern w:val="2"/>
                <w:sz w:val="24"/>
                <w:szCs w:val="24"/>
              </w:rPr>
              <w:t>声环境影响分析</w:t>
            </w:r>
          </w:p>
          <w:p>
            <w:pPr>
              <w:pStyle w:val="2"/>
              <w:spacing w:before="0" w:after="0" w:line="520" w:lineRule="exact"/>
              <w:ind w:left="420" w:leftChars="200" w:right="0"/>
              <w:rPr>
                <w:b/>
                <w:bCs/>
                <w:color w:val="auto"/>
                <w:kern w:val="2"/>
                <w:sz w:val="24"/>
                <w:szCs w:val="24"/>
              </w:rPr>
            </w:pPr>
            <w:r>
              <w:rPr>
                <w:rFonts w:hint="eastAsia"/>
                <w:b/>
                <w:bCs/>
                <w:color w:val="auto"/>
                <w:kern w:val="2"/>
                <w:sz w:val="24"/>
                <w:szCs w:val="24"/>
              </w:rPr>
              <w:t>3.1噪声源强及影响分析</w:t>
            </w:r>
          </w:p>
          <w:p>
            <w:pPr>
              <w:widowControl/>
              <w:autoSpaceDE w:val="0"/>
              <w:autoSpaceDN w:val="0"/>
              <w:spacing w:line="520" w:lineRule="exact"/>
              <w:ind w:firstLine="480" w:firstLineChars="200"/>
              <w:rPr>
                <w:color w:val="auto"/>
                <w:sz w:val="24"/>
              </w:rPr>
            </w:pPr>
            <w:r>
              <w:rPr>
                <w:rFonts w:hint="eastAsia"/>
                <w:color w:val="auto"/>
                <w:sz w:val="24"/>
              </w:rPr>
              <w:t>本</w:t>
            </w:r>
            <w:r>
              <w:rPr>
                <w:rFonts w:hint="eastAsia"/>
                <w:color w:val="auto"/>
                <w:sz w:val="24"/>
                <w:lang w:eastAsia="zh-CN"/>
              </w:rPr>
              <w:t>次</w:t>
            </w:r>
            <w:r>
              <w:rPr>
                <w:rFonts w:hint="eastAsia"/>
                <w:color w:val="auto"/>
                <w:sz w:val="24"/>
              </w:rPr>
              <w:t>扩能项目仅增加</w:t>
            </w:r>
            <w:r>
              <w:rPr>
                <w:rFonts w:hint="eastAsia"/>
                <w:color w:val="auto"/>
                <w:sz w:val="24"/>
                <w:lang w:val="en-US" w:eastAsia="zh-CN"/>
              </w:rPr>
              <w:t>1台提升机，</w:t>
            </w:r>
            <w:r>
              <w:rPr>
                <w:rFonts w:hint="eastAsia"/>
                <w:color w:val="auto"/>
                <w:sz w:val="24"/>
              </w:rPr>
              <w:t>10台现场混装车，其他配套、辅助工程及环保工程均依托现有工程，新增噪声源主要为车辆运输噪声，</w:t>
            </w:r>
            <w:r>
              <w:rPr>
                <w:color w:val="auto"/>
                <w:sz w:val="24"/>
              </w:rPr>
              <w:t>混装车主要用于周边各矿点爆破工作，行驶路线无环境敏感目标，只有在进出</w:t>
            </w:r>
            <w:r>
              <w:rPr>
                <w:rFonts w:hint="eastAsia"/>
                <w:color w:val="auto"/>
                <w:sz w:val="24"/>
              </w:rPr>
              <w:t>厂区</w:t>
            </w:r>
            <w:r>
              <w:rPr>
                <w:color w:val="auto"/>
                <w:sz w:val="24"/>
              </w:rPr>
              <w:t>时会对生活区产生一定影响</w:t>
            </w:r>
            <w:r>
              <w:rPr>
                <w:rFonts w:hint="eastAsia"/>
                <w:color w:val="auto"/>
                <w:sz w:val="24"/>
              </w:rPr>
              <w:t>，通过限速、禁止鸣笛等措施减缓噪声噪。</w:t>
            </w:r>
            <w:r>
              <w:rPr>
                <w:color w:val="auto"/>
                <w:sz w:val="24"/>
              </w:rPr>
              <w:t>本</w:t>
            </w:r>
            <w:r>
              <w:rPr>
                <w:rFonts w:hint="eastAsia"/>
                <w:color w:val="auto"/>
                <w:sz w:val="24"/>
              </w:rPr>
              <w:t>此扩能后</w:t>
            </w:r>
            <w:r>
              <w:rPr>
                <w:color w:val="auto"/>
                <w:sz w:val="24"/>
              </w:rPr>
              <w:t>厂界</w:t>
            </w:r>
            <w:r>
              <w:rPr>
                <w:rFonts w:hint="eastAsia"/>
                <w:color w:val="auto"/>
                <w:sz w:val="24"/>
              </w:rPr>
              <w:t>四周可</w:t>
            </w:r>
            <w:r>
              <w:rPr>
                <w:color w:val="auto"/>
                <w:sz w:val="24"/>
              </w:rPr>
              <w:t>满足《工业企业厂界环境噪声排放标准》（GB12348-2008）中</w:t>
            </w:r>
            <w:r>
              <w:rPr>
                <w:rFonts w:hint="eastAsia"/>
                <w:color w:val="auto"/>
                <w:sz w:val="24"/>
              </w:rPr>
              <w:t>2</w:t>
            </w:r>
            <w:r>
              <w:rPr>
                <w:color w:val="auto"/>
                <w:sz w:val="24"/>
              </w:rPr>
              <w:t>类标准要求。</w:t>
            </w:r>
          </w:p>
          <w:p>
            <w:pPr>
              <w:pStyle w:val="2"/>
              <w:spacing w:before="0" w:after="0" w:line="520" w:lineRule="exact"/>
              <w:ind w:right="0" w:firstLine="482" w:firstLineChars="200"/>
              <w:rPr>
                <w:b/>
                <w:bCs/>
                <w:color w:val="auto"/>
                <w:kern w:val="2"/>
                <w:sz w:val="24"/>
                <w:szCs w:val="24"/>
              </w:rPr>
            </w:pPr>
            <w:r>
              <w:rPr>
                <w:rFonts w:hint="eastAsia"/>
                <w:b/>
                <w:bCs/>
                <w:color w:val="auto"/>
                <w:kern w:val="2"/>
                <w:sz w:val="24"/>
                <w:szCs w:val="24"/>
              </w:rPr>
              <w:t>3.</w:t>
            </w:r>
            <w:r>
              <w:rPr>
                <w:b/>
                <w:bCs/>
                <w:color w:val="auto"/>
                <w:kern w:val="2"/>
                <w:sz w:val="24"/>
                <w:szCs w:val="24"/>
              </w:rPr>
              <w:t>5</w:t>
            </w:r>
            <w:r>
              <w:rPr>
                <w:rFonts w:hint="eastAsia"/>
                <w:b/>
                <w:bCs/>
                <w:color w:val="auto"/>
                <w:kern w:val="2"/>
                <w:sz w:val="24"/>
                <w:szCs w:val="24"/>
              </w:rPr>
              <w:t>监测计划</w:t>
            </w:r>
          </w:p>
          <w:p>
            <w:pPr>
              <w:pStyle w:val="2"/>
              <w:spacing w:before="0" w:after="0" w:line="520" w:lineRule="exact"/>
              <w:ind w:right="0" w:firstLine="480" w:firstLineChars="200"/>
              <w:rPr>
                <w:color w:val="auto"/>
                <w:kern w:val="2"/>
                <w:sz w:val="24"/>
                <w:szCs w:val="24"/>
              </w:rPr>
            </w:pPr>
            <w:r>
              <w:rPr>
                <w:rFonts w:hint="eastAsia"/>
                <w:color w:val="auto"/>
                <w:sz w:val="24"/>
              </w:rPr>
              <w:t>本次扩能项目监测后自行监测计划纳入现有工程，具体如下</w:t>
            </w:r>
            <w:r>
              <w:rPr>
                <w:rFonts w:hint="eastAsia"/>
                <w:color w:val="auto"/>
                <w:kern w:val="2"/>
                <w:sz w:val="24"/>
                <w:szCs w:val="24"/>
              </w:rPr>
              <w:t>表。</w:t>
            </w:r>
          </w:p>
          <w:p>
            <w:pPr>
              <w:pStyle w:val="36"/>
              <w:rPr>
                <w:color w:val="auto"/>
              </w:rPr>
            </w:pPr>
            <w:r>
              <w:rPr>
                <w:rFonts w:hint="eastAsia"/>
                <w:color w:val="auto"/>
              </w:rPr>
              <w:t>表4-5  声环境监测计划</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30"/>
              <w:gridCol w:w="1687"/>
              <w:gridCol w:w="1343"/>
              <w:gridCol w:w="1396"/>
              <w:gridCol w:w="31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9" w:type="pct"/>
                </w:tcPr>
                <w:p>
                  <w:pPr>
                    <w:pStyle w:val="2"/>
                    <w:spacing w:before="0" w:after="0" w:line="240" w:lineRule="auto"/>
                    <w:ind w:right="0"/>
                    <w:jc w:val="center"/>
                    <w:rPr>
                      <w:color w:val="auto"/>
                      <w:kern w:val="2"/>
                      <w:sz w:val="21"/>
                      <w:szCs w:val="21"/>
                    </w:rPr>
                  </w:pPr>
                  <w:r>
                    <w:rPr>
                      <w:color w:val="auto"/>
                      <w:kern w:val="2"/>
                      <w:sz w:val="21"/>
                      <w:szCs w:val="21"/>
                    </w:rPr>
                    <w:t>类别</w:t>
                  </w:r>
                </w:p>
              </w:tc>
              <w:tc>
                <w:tcPr>
                  <w:tcW w:w="925" w:type="pct"/>
                </w:tcPr>
                <w:p>
                  <w:pPr>
                    <w:pStyle w:val="2"/>
                    <w:spacing w:before="0" w:after="0" w:line="240" w:lineRule="auto"/>
                    <w:ind w:right="0"/>
                    <w:jc w:val="center"/>
                    <w:rPr>
                      <w:color w:val="auto"/>
                      <w:kern w:val="2"/>
                      <w:sz w:val="21"/>
                      <w:szCs w:val="21"/>
                    </w:rPr>
                  </w:pPr>
                  <w:r>
                    <w:rPr>
                      <w:color w:val="auto"/>
                      <w:kern w:val="2"/>
                      <w:sz w:val="21"/>
                      <w:szCs w:val="21"/>
                    </w:rPr>
                    <w:t>监测位置</w:t>
                  </w:r>
                </w:p>
              </w:tc>
              <w:tc>
                <w:tcPr>
                  <w:tcW w:w="736" w:type="pct"/>
                </w:tcPr>
                <w:p>
                  <w:pPr>
                    <w:pStyle w:val="2"/>
                    <w:spacing w:before="0" w:after="0" w:line="240" w:lineRule="auto"/>
                    <w:ind w:right="0"/>
                    <w:jc w:val="center"/>
                    <w:rPr>
                      <w:color w:val="auto"/>
                      <w:kern w:val="2"/>
                      <w:sz w:val="21"/>
                      <w:szCs w:val="21"/>
                    </w:rPr>
                  </w:pPr>
                  <w:r>
                    <w:rPr>
                      <w:color w:val="auto"/>
                      <w:kern w:val="2"/>
                      <w:sz w:val="21"/>
                      <w:szCs w:val="21"/>
                    </w:rPr>
                    <w:t>监测项目</w:t>
                  </w:r>
                </w:p>
              </w:tc>
              <w:tc>
                <w:tcPr>
                  <w:tcW w:w="765" w:type="pct"/>
                </w:tcPr>
                <w:p>
                  <w:pPr>
                    <w:pStyle w:val="2"/>
                    <w:spacing w:before="0" w:after="0" w:line="240" w:lineRule="auto"/>
                    <w:ind w:right="0"/>
                    <w:jc w:val="center"/>
                    <w:rPr>
                      <w:color w:val="auto"/>
                      <w:kern w:val="2"/>
                      <w:sz w:val="21"/>
                      <w:szCs w:val="21"/>
                    </w:rPr>
                  </w:pPr>
                  <w:r>
                    <w:rPr>
                      <w:color w:val="auto"/>
                      <w:kern w:val="2"/>
                      <w:sz w:val="21"/>
                      <w:szCs w:val="21"/>
                    </w:rPr>
                    <w:t>监测频率</w:t>
                  </w:r>
                </w:p>
              </w:tc>
              <w:tc>
                <w:tcPr>
                  <w:tcW w:w="1732" w:type="pct"/>
                </w:tcPr>
                <w:p>
                  <w:pPr>
                    <w:pStyle w:val="2"/>
                    <w:spacing w:before="0" w:after="0" w:line="240" w:lineRule="auto"/>
                    <w:ind w:right="0"/>
                    <w:jc w:val="center"/>
                    <w:rPr>
                      <w:color w:val="auto"/>
                      <w:kern w:val="2"/>
                      <w:sz w:val="21"/>
                      <w:szCs w:val="21"/>
                    </w:rPr>
                  </w:pPr>
                  <w:r>
                    <w:rPr>
                      <w:color w:val="auto"/>
                      <w:kern w:val="2"/>
                      <w:sz w:val="21"/>
                      <w:szCs w:val="21"/>
                    </w:rPr>
                    <w:t>监测方式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9" w:type="pct"/>
                </w:tcPr>
                <w:p>
                  <w:pPr>
                    <w:pStyle w:val="2"/>
                    <w:spacing w:before="0" w:after="0" w:line="240" w:lineRule="auto"/>
                    <w:ind w:right="0"/>
                    <w:jc w:val="center"/>
                    <w:rPr>
                      <w:color w:val="auto"/>
                      <w:kern w:val="2"/>
                      <w:sz w:val="21"/>
                      <w:szCs w:val="21"/>
                    </w:rPr>
                  </w:pPr>
                  <w:r>
                    <w:rPr>
                      <w:rFonts w:hint="eastAsia"/>
                      <w:color w:val="auto"/>
                      <w:kern w:val="2"/>
                      <w:sz w:val="21"/>
                      <w:szCs w:val="21"/>
                    </w:rPr>
                    <w:t>污染源监测</w:t>
                  </w:r>
                </w:p>
              </w:tc>
              <w:tc>
                <w:tcPr>
                  <w:tcW w:w="925" w:type="pct"/>
                </w:tcPr>
                <w:p>
                  <w:pPr>
                    <w:pStyle w:val="2"/>
                    <w:spacing w:before="0" w:after="0" w:line="240" w:lineRule="auto"/>
                    <w:ind w:right="0"/>
                    <w:jc w:val="center"/>
                    <w:rPr>
                      <w:color w:val="auto"/>
                      <w:kern w:val="2"/>
                      <w:sz w:val="21"/>
                      <w:szCs w:val="21"/>
                    </w:rPr>
                  </w:pPr>
                  <w:r>
                    <w:rPr>
                      <w:rFonts w:hint="eastAsia"/>
                      <w:color w:val="auto"/>
                      <w:kern w:val="2"/>
                      <w:sz w:val="21"/>
                      <w:szCs w:val="21"/>
                    </w:rPr>
                    <w:t>厂界四周</w:t>
                  </w:r>
                </w:p>
              </w:tc>
              <w:tc>
                <w:tcPr>
                  <w:tcW w:w="736" w:type="pct"/>
                </w:tcPr>
                <w:p>
                  <w:pPr>
                    <w:pStyle w:val="2"/>
                    <w:spacing w:before="0" w:after="0" w:line="240" w:lineRule="auto"/>
                    <w:ind w:right="0"/>
                    <w:jc w:val="center"/>
                    <w:rPr>
                      <w:color w:val="auto"/>
                      <w:kern w:val="2"/>
                      <w:sz w:val="21"/>
                      <w:szCs w:val="21"/>
                    </w:rPr>
                  </w:pPr>
                  <w:r>
                    <w:rPr>
                      <w:rFonts w:hint="eastAsia"/>
                      <w:color w:val="auto"/>
                      <w:kern w:val="2"/>
                      <w:sz w:val="21"/>
                      <w:szCs w:val="21"/>
                    </w:rPr>
                    <w:t>Leq(A)</w:t>
                  </w:r>
                </w:p>
              </w:tc>
              <w:tc>
                <w:tcPr>
                  <w:tcW w:w="765" w:type="pct"/>
                </w:tcPr>
                <w:p>
                  <w:pPr>
                    <w:pStyle w:val="2"/>
                    <w:spacing w:before="0" w:after="0" w:line="240" w:lineRule="auto"/>
                    <w:ind w:right="0"/>
                    <w:jc w:val="center"/>
                    <w:rPr>
                      <w:color w:val="auto"/>
                      <w:kern w:val="2"/>
                      <w:sz w:val="21"/>
                      <w:szCs w:val="21"/>
                    </w:rPr>
                  </w:pPr>
                  <w:r>
                    <w:rPr>
                      <w:rFonts w:hint="eastAsia"/>
                      <w:color w:val="auto"/>
                      <w:kern w:val="2"/>
                      <w:sz w:val="21"/>
                      <w:szCs w:val="21"/>
                    </w:rPr>
                    <w:t>1次/季度</w:t>
                  </w:r>
                </w:p>
              </w:tc>
              <w:tc>
                <w:tcPr>
                  <w:tcW w:w="1732" w:type="pct"/>
                </w:tcPr>
                <w:p>
                  <w:pPr>
                    <w:pStyle w:val="2"/>
                    <w:spacing w:before="0" w:after="0" w:line="240" w:lineRule="auto"/>
                    <w:ind w:right="0"/>
                    <w:jc w:val="center"/>
                    <w:rPr>
                      <w:color w:val="auto"/>
                      <w:kern w:val="2"/>
                      <w:sz w:val="21"/>
                      <w:szCs w:val="21"/>
                    </w:rPr>
                  </w:pPr>
                  <w:r>
                    <w:rPr>
                      <w:rFonts w:hint="eastAsia"/>
                      <w:color w:val="auto"/>
                      <w:kern w:val="2"/>
                      <w:sz w:val="21"/>
                      <w:szCs w:val="21"/>
                    </w:rPr>
                    <w:t>委托第三方监测单位监测</w:t>
                  </w:r>
                </w:p>
              </w:tc>
            </w:tr>
          </w:tbl>
          <w:p>
            <w:pPr>
              <w:numPr>
                <w:ilvl w:val="0"/>
                <w:numId w:val="16"/>
              </w:numPr>
              <w:adjustRightInd w:val="0"/>
              <w:snapToGrid w:val="0"/>
              <w:spacing w:line="520" w:lineRule="exact"/>
              <w:ind w:firstLine="482" w:firstLineChars="200"/>
              <w:rPr>
                <w:b/>
                <w:bCs/>
                <w:color w:val="auto"/>
                <w:sz w:val="24"/>
              </w:rPr>
            </w:pPr>
            <w:r>
              <w:rPr>
                <w:rFonts w:hint="eastAsia"/>
                <w:b/>
                <w:bCs/>
                <w:color w:val="auto"/>
                <w:sz w:val="24"/>
              </w:rPr>
              <w:t>固废</w:t>
            </w:r>
          </w:p>
          <w:p>
            <w:pPr>
              <w:pStyle w:val="2"/>
              <w:spacing w:before="0" w:after="0" w:line="520" w:lineRule="exact"/>
              <w:ind w:right="0" w:firstLine="480" w:firstLineChars="200"/>
              <w:rPr>
                <w:color w:val="auto"/>
                <w:sz w:val="24"/>
              </w:rPr>
            </w:pPr>
            <w:r>
              <w:rPr>
                <w:rFonts w:hint="eastAsia"/>
                <w:color w:val="auto"/>
                <w:sz w:val="24"/>
              </w:rPr>
              <w:t>本次扩能新增固体废物主要为生活垃圾、废</w:t>
            </w:r>
            <w:r>
              <w:rPr>
                <w:rFonts w:hint="eastAsia"/>
                <w:color w:val="auto"/>
                <w:sz w:val="24"/>
                <w:lang w:val="en-US" w:eastAsia="zh-CN"/>
              </w:rPr>
              <w:t>硝酸铵</w:t>
            </w:r>
            <w:r>
              <w:rPr>
                <w:rFonts w:hint="eastAsia"/>
                <w:color w:val="auto"/>
                <w:sz w:val="24"/>
              </w:rPr>
              <w:t>包装袋、隔油沉淀池沉渣、柴油储罐油泥及车辆维修保养过程产生的少量废机油。</w:t>
            </w:r>
          </w:p>
          <w:p>
            <w:pPr>
              <w:pStyle w:val="70"/>
              <w:ind w:firstLine="482"/>
              <w:rPr>
                <w:b/>
                <w:bCs/>
                <w:color w:val="auto"/>
              </w:rPr>
            </w:pPr>
            <w:r>
              <w:rPr>
                <w:rFonts w:hint="eastAsia"/>
                <w:b/>
                <w:bCs/>
                <w:color w:val="auto"/>
              </w:rPr>
              <w:t>4.</w:t>
            </w:r>
            <w:r>
              <w:rPr>
                <w:rFonts w:hint="eastAsia"/>
                <w:b/>
                <w:bCs/>
                <w:color w:val="auto"/>
                <w:lang w:val="en-US" w:eastAsia="zh-CN"/>
              </w:rPr>
              <w:t>1</w:t>
            </w:r>
            <w:r>
              <w:rPr>
                <w:rFonts w:hint="eastAsia"/>
                <w:b/>
                <w:bCs/>
                <w:color w:val="auto"/>
              </w:rPr>
              <w:t>生活垃圾</w:t>
            </w:r>
          </w:p>
          <w:p>
            <w:pPr>
              <w:pStyle w:val="70"/>
              <w:rPr>
                <w:color w:val="auto"/>
              </w:rPr>
            </w:pPr>
            <w:r>
              <w:rPr>
                <w:rFonts w:hint="eastAsia"/>
                <w:color w:val="auto"/>
              </w:rPr>
              <w:t>本项目新增职工10人，按每人每日0.5kg计，年新增产生活垃圾1.25t/a，依托现有工程分类收集设施统一收集后交由环卫部门统一清运处理。生活垃圾有机物成分较高，含水率大，极易腐烂，影响环境卫生，可导致病原微生物的传播，同时还向大气释放出大量的氨、硫化物等污染物，据资料介绍，生活垃圾堆放时，仅有机挥发性气体就多达100多种，其中含有许多致癌、致畸物。生活垃圾集中收集后委托成都瑞鑫鑫环卫有限公司拉运处置。</w:t>
            </w:r>
          </w:p>
          <w:p>
            <w:pPr>
              <w:pStyle w:val="70"/>
              <w:ind w:firstLine="482"/>
              <w:rPr>
                <w:b/>
                <w:bCs/>
                <w:color w:val="auto"/>
              </w:rPr>
            </w:pPr>
            <w:r>
              <w:rPr>
                <w:rFonts w:hint="eastAsia"/>
                <w:b/>
                <w:bCs/>
                <w:color w:val="auto"/>
              </w:rPr>
              <w:t>4.</w:t>
            </w:r>
            <w:r>
              <w:rPr>
                <w:rFonts w:hint="eastAsia"/>
                <w:b/>
                <w:bCs/>
                <w:color w:val="auto"/>
                <w:lang w:val="en-US" w:eastAsia="zh-CN"/>
              </w:rPr>
              <w:t>2</w:t>
            </w:r>
            <w:r>
              <w:rPr>
                <w:rFonts w:hint="eastAsia"/>
                <w:b/>
                <w:bCs/>
                <w:color w:val="auto"/>
              </w:rPr>
              <w:t>危险废物</w:t>
            </w:r>
          </w:p>
          <w:p>
            <w:pPr>
              <w:pStyle w:val="70"/>
              <w:ind w:firstLine="482"/>
              <w:rPr>
                <w:b/>
                <w:bCs/>
                <w:color w:val="auto"/>
              </w:rPr>
            </w:pPr>
            <w:r>
              <w:rPr>
                <w:rFonts w:hint="eastAsia"/>
                <w:b/>
                <w:bCs/>
                <w:color w:val="auto"/>
              </w:rPr>
              <w:t>4</w:t>
            </w:r>
            <w:r>
              <w:rPr>
                <w:b/>
                <w:bCs/>
                <w:color w:val="auto"/>
              </w:rPr>
              <w:t>.</w:t>
            </w:r>
            <w:r>
              <w:rPr>
                <w:rFonts w:hint="eastAsia"/>
                <w:b/>
                <w:bCs/>
                <w:color w:val="auto"/>
                <w:lang w:val="en-US" w:eastAsia="zh-CN"/>
              </w:rPr>
              <w:t>2</w:t>
            </w:r>
            <w:r>
              <w:rPr>
                <w:rFonts w:hint="eastAsia"/>
                <w:b/>
                <w:bCs/>
                <w:color w:val="auto"/>
              </w:rPr>
              <w:t>.1废</w:t>
            </w:r>
            <w:r>
              <w:rPr>
                <w:rFonts w:hint="eastAsia"/>
                <w:b/>
                <w:bCs/>
                <w:color w:val="auto"/>
                <w:lang w:val="en-US" w:eastAsia="zh-CN"/>
              </w:rPr>
              <w:t>硝酸铵</w:t>
            </w:r>
            <w:r>
              <w:rPr>
                <w:rFonts w:hint="eastAsia"/>
                <w:b/>
                <w:bCs/>
                <w:color w:val="auto"/>
              </w:rPr>
              <w:t>包装袋</w:t>
            </w:r>
          </w:p>
          <w:p>
            <w:pPr>
              <w:widowControl/>
              <w:spacing w:line="520" w:lineRule="exact"/>
              <w:ind w:firstLine="480" w:firstLineChars="200"/>
              <w:rPr>
                <w:rFonts w:hint="eastAsia" w:ascii="Times New Roman" w:hAnsi="Times New Roman" w:eastAsia="宋体" w:cs="宋体"/>
                <w:snapToGrid w:val="0"/>
                <w:color w:val="auto"/>
                <w:kern w:val="2"/>
                <w:sz w:val="24"/>
                <w:szCs w:val="24"/>
                <w:lang w:val="en-US" w:eastAsia="zh-CN" w:bidi="ar-SA"/>
              </w:rPr>
            </w:pPr>
            <w:r>
              <w:rPr>
                <w:rFonts w:hint="eastAsia" w:ascii="Times New Roman" w:hAnsi="Times New Roman" w:eastAsia="宋体" w:cs="宋体"/>
                <w:snapToGrid w:val="0"/>
                <w:color w:val="auto"/>
                <w:kern w:val="2"/>
                <w:sz w:val="24"/>
                <w:szCs w:val="24"/>
                <w:lang w:val="en-US" w:eastAsia="zh-CN" w:bidi="ar-SA"/>
              </w:rPr>
              <w:t>本项目原料多孔粒状硝酸铵包装为袋装，经破袋后投入生产，根据建设单位提供资料，类比现有工程，废包装袋年产生量约为2.61t。依据《国家危险废物名录（2021版）》，废硝酸铵包装袋属于危险废物，危险废物代码为HW08（900-041-49）。暂存于现有工程已建危废暂存间，定期交由新疆鑫鸿伟环保科技有限公司进行处置。</w:t>
            </w:r>
          </w:p>
          <w:p>
            <w:pPr>
              <w:widowControl/>
              <w:spacing w:line="520" w:lineRule="exact"/>
              <w:ind w:firstLine="482" w:firstLineChars="200"/>
              <w:rPr>
                <w:rFonts w:hint="eastAsia"/>
                <w:b/>
                <w:bCs/>
                <w:color w:val="auto"/>
                <w:sz w:val="24"/>
              </w:rPr>
            </w:pPr>
            <w:r>
              <w:rPr>
                <w:rFonts w:hint="eastAsia"/>
                <w:b/>
                <w:bCs/>
                <w:color w:val="auto"/>
                <w:sz w:val="24"/>
              </w:rPr>
              <w:t>4.</w:t>
            </w:r>
            <w:r>
              <w:rPr>
                <w:rFonts w:hint="eastAsia"/>
                <w:b/>
                <w:bCs/>
                <w:color w:val="auto"/>
                <w:sz w:val="24"/>
                <w:lang w:val="en-US" w:eastAsia="zh-CN"/>
              </w:rPr>
              <w:t>2</w:t>
            </w:r>
            <w:r>
              <w:rPr>
                <w:rFonts w:hint="eastAsia"/>
                <w:b/>
                <w:bCs/>
                <w:color w:val="auto"/>
                <w:sz w:val="24"/>
              </w:rPr>
              <w:t>.1废机油</w:t>
            </w:r>
          </w:p>
          <w:p>
            <w:pPr>
              <w:widowControl/>
              <w:spacing w:line="520" w:lineRule="exact"/>
              <w:ind w:firstLine="480" w:firstLineChars="200"/>
              <w:rPr>
                <w:color w:val="auto"/>
                <w:sz w:val="24"/>
              </w:rPr>
            </w:pPr>
            <w:r>
              <w:rPr>
                <w:rFonts w:hint="eastAsia"/>
                <w:color w:val="auto"/>
                <w:sz w:val="24"/>
              </w:rPr>
              <w:t>项目营运期由于机械维修等会产生少量废机油，类比现有工程，新增废机油0.125t/a，依据《国家危险废物名录（2021版）》，废机油属于危险废物，危险废物代码为HW08（900-2</w:t>
            </w:r>
            <w:r>
              <w:rPr>
                <w:rFonts w:hint="eastAsia"/>
                <w:color w:val="auto"/>
                <w:sz w:val="24"/>
                <w:lang w:val="en-US" w:eastAsia="zh-CN"/>
              </w:rPr>
              <w:t>49</w:t>
            </w:r>
            <w:r>
              <w:rPr>
                <w:rFonts w:hint="eastAsia"/>
                <w:color w:val="auto"/>
                <w:sz w:val="24"/>
              </w:rPr>
              <w:t>-08）。暂存于现有工程已建危废暂存间，定期交由</w:t>
            </w:r>
            <w:r>
              <w:rPr>
                <w:rFonts w:hint="eastAsia"/>
                <w:color w:val="auto"/>
                <w:sz w:val="24"/>
                <w:lang w:eastAsia="zh-CN"/>
              </w:rPr>
              <w:t>新疆鑫鸿伟环保科技有限公司</w:t>
            </w:r>
            <w:r>
              <w:rPr>
                <w:rFonts w:hint="eastAsia"/>
                <w:color w:val="auto"/>
                <w:sz w:val="24"/>
              </w:rPr>
              <w:t>进行处置。</w:t>
            </w:r>
          </w:p>
          <w:p>
            <w:pPr>
              <w:widowControl/>
              <w:spacing w:line="520" w:lineRule="exact"/>
              <w:ind w:firstLine="482" w:firstLineChars="200"/>
              <w:rPr>
                <w:b/>
                <w:bCs/>
                <w:color w:val="auto"/>
                <w:sz w:val="24"/>
              </w:rPr>
            </w:pPr>
            <w:r>
              <w:rPr>
                <w:rFonts w:hint="eastAsia"/>
                <w:b/>
                <w:bCs/>
                <w:color w:val="auto"/>
                <w:sz w:val="24"/>
              </w:rPr>
              <w:t>4.</w:t>
            </w:r>
            <w:r>
              <w:rPr>
                <w:rFonts w:hint="eastAsia"/>
                <w:b/>
                <w:bCs/>
                <w:color w:val="auto"/>
                <w:sz w:val="24"/>
                <w:lang w:val="en-US" w:eastAsia="zh-CN"/>
              </w:rPr>
              <w:t>2</w:t>
            </w:r>
            <w:r>
              <w:rPr>
                <w:rFonts w:hint="eastAsia"/>
                <w:b/>
                <w:bCs/>
                <w:color w:val="auto"/>
                <w:sz w:val="24"/>
              </w:rPr>
              <w:t>.</w:t>
            </w:r>
            <w:r>
              <w:rPr>
                <w:rFonts w:hint="eastAsia"/>
                <w:b/>
                <w:bCs/>
                <w:color w:val="auto"/>
                <w:sz w:val="24"/>
                <w:lang w:val="en-US" w:eastAsia="zh-CN"/>
              </w:rPr>
              <w:t>3</w:t>
            </w:r>
            <w:r>
              <w:rPr>
                <w:rFonts w:hint="eastAsia"/>
                <w:b/>
                <w:bCs/>
                <w:color w:val="auto"/>
                <w:sz w:val="24"/>
              </w:rPr>
              <w:t>隔油池沉渣</w:t>
            </w:r>
          </w:p>
          <w:p>
            <w:pPr>
              <w:adjustRightInd w:val="0"/>
              <w:snapToGrid w:val="0"/>
              <w:spacing w:line="480" w:lineRule="exact"/>
              <w:ind w:firstLine="480" w:firstLineChars="200"/>
              <w:rPr>
                <w:color w:val="auto"/>
                <w:sz w:val="24"/>
              </w:rPr>
            </w:pPr>
            <w:r>
              <w:rPr>
                <w:rFonts w:hint="eastAsia"/>
                <w:color w:val="auto"/>
                <w:sz w:val="24"/>
              </w:rPr>
              <w:t>类比现有工程，本次扩能隔油沉淀池沉渣产生量约为0.15</w:t>
            </w:r>
            <w:r>
              <w:rPr>
                <w:color w:val="auto"/>
                <w:sz w:val="24"/>
              </w:rPr>
              <w:t>t/a</w:t>
            </w:r>
            <w:r>
              <w:rPr>
                <w:rFonts w:hint="eastAsia"/>
                <w:color w:val="auto"/>
                <w:sz w:val="24"/>
              </w:rPr>
              <w:t>，属于《国家危险废物名录》（2021年版）中的HW08非特定行业，废物代码为HW08（900-210-08）。暂存于现有工程已建危废暂存间，定期交由</w:t>
            </w:r>
            <w:r>
              <w:rPr>
                <w:rFonts w:hint="eastAsia"/>
                <w:color w:val="auto"/>
                <w:sz w:val="24"/>
                <w:lang w:eastAsia="zh-CN"/>
              </w:rPr>
              <w:t>新疆鑫鸿伟环保科技有限公司</w:t>
            </w:r>
            <w:r>
              <w:rPr>
                <w:rFonts w:hint="eastAsia"/>
                <w:color w:val="auto"/>
                <w:sz w:val="24"/>
              </w:rPr>
              <w:t>进行处置。</w:t>
            </w:r>
          </w:p>
          <w:p>
            <w:pPr>
              <w:widowControl/>
              <w:spacing w:line="520" w:lineRule="exact"/>
              <w:ind w:firstLine="482" w:firstLineChars="200"/>
              <w:rPr>
                <w:b/>
                <w:bCs/>
                <w:color w:val="auto"/>
                <w:sz w:val="24"/>
              </w:rPr>
            </w:pPr>
            <w:r>
              <w:rPr>
                <w:rFonts w:hint="eastAsia"/>
                <w:b/>
                <w:bCs/>
                <w:color w:val="auto"/>
                <w:sz w:val="24"/>
              </w:rPr>
              <w:t>4.</w:t>
            </w:r>
            <w:r>
              <w:rPr>
                <w:rFonts w:hint="eastAsia"/>
                <w:b/>
                <w:bCs/>
                <w:color w:val="auto"/>
                <w:sz w:val="24"/>
                <w:lang w:val="en-US" w:eastAsia="zh-CN"/>
              </w:rPr>
              <w:t>2</w:t>
            </w:r>
            <w:r>
              <w:rPr>
                <w:rFonts w:hint="eastAsia"/>
                <w:b/>
                <w:bCs/>
                <w:color w:val="auto"/>
                <w:sz w:val="24"/>
              </w:rPr>
              <w:t>.</w:t>
            </w:r>
            <w:r>
              <w:rPr>
                <w:rFonts w:hint="eastAsia"/>
                <w:b/>
                <w:bCs/>
                <w:color w:val="auto"/>
                <w:sz w:val="24"/>
                <w:lang w:val="en-US" w:eastAsia="zh-CN"/>
              </w:rPr>
              <w:t>4</w:t>
            </w:r>
            <w:r>
              <w:rPr>
                <w:rFonts w:hint="eastAsia"/>
                <w:b/>
                <w:bCs/>
                <w:color w:val="auto"/>
                <w:sz w:val="24"/>
              </w:rPr>
              <w:t>油泥</w:t>
            </w:r>
          </w:p>
          <w:p>
            <w:pPr>
              <w:widowControl/>
              <w:spacing w:line="520" w:lineRule="exact"/>
              <w:ind w:firstLine="480" w:firstLineChars="200"/>
              <w:rPr>
                <w:color w:val="auto"/>
                <w:sz w:val="24"/>
              </w:rPr>
            </w:pPr>
            <w:r>
              <w:rPr>
                <w:rFonts w:hint="eastAsia"/>
                <w:color w:val="auto"/>
                <w:sz w:val="24"/>
              </w:rPr>
              <w:t>柴油储罐在储存柴油时底部沉淀的油泥，类比同类型项目，产生量约为0.1t/a，依据《国家危险废物名录（2021版）》，油泥属于危险废物，危险废物代码为HW08（900-221-08）。暂存于现有工程已建危废暂存间，定期交由</w:t>
            </w:r>
            <w:r>
              <w:rPr>
                <w:rFonts w:hint="eastAsia"/>
                <w:color w:val="auto"/>
                <w:sz w:val="24"/>
                <w:lang w:eastAsia="zh-CN"/>
              </w:rPr>
              <w:t>新疆鑫鸿伟环保科技有限公司</w:t>
            </w:r>
            <w:r>
              <w:rPr>
                <w:rFonts w:hint="eastAsia"/>
                <w:color w:val="auto"/>
                <w:sz w:val="24"/>
              </w:rPr>
              <w:t>进行处置。</w:t>
            </w:r>
          </w:p>
          <w:p>
            <w:pPr>
              <w:adjustRightInd w:val="0"/>
              <w:snapToGrid w:val="0"/>
              <w:spacing w:line="520" w:lineRule="exact"/>
              <w:ind w:firstLine="482" w:firstLineChars="200"/>
              <w:rPr>
                <w:color w:val="auto"/>
                <w:sz w:val="24"/>
                <w:lang w:val="zh-CN"/>
              </w:rPr>
            </w:pPr>
            <w:r>
              <w:rPr>
                <w:rFonts w:hint="eastAsia"/>
                <w:b/>
                <w:bCs/>
                <w:color w:val="auto"/>
                <w:sz w:val="24"/>
              </w:rPr>
              <w:t>处置措施：</w:t>
            </w:r>
            <w:r>
              <w:rPr>
                <w:color w:val="auto"/>
                <w:sz w:val="24"/>
              </w:rPr>
              <w:t>运营期</w:t>
            </w:r>
            <w:r>
              <w:rPr>
                <w:rFonts w:hint="eastAsia"/>
                <w:color w:val="auto"/>
                <w:sz w:val="24"/>
                <w:lang w:val="en-US" w:eastAsia="zh-CN"/>
              </w:rPr>
              <w:t>危险废物</w:t>
            </w:r>
            <w:r>
              <w:rPr>
                <w:rFonts w:hint="eastAsia"/>
                <w:color w:val="auto"/>
                <w:sz w:val="24"/>
              </w:rPr>
              <w:t>采用专用容器密封存临时存储在现有工程已建的危废暂存间，已建危废暂存间位于硝酸铵库房西侧约20m处，建筑面积为16m</w:t>
            </w:r>
            <w:r>
              <w:rPr>
                <w:rFonts w:hint="eastAsia"/>
                <w:color w:val="auto"/>
                <w:sz w:val="24"/>
                <w:vertAlign w:val="superscript"/>
              </w:rPr>
              <w:t>2</w:t>
            </w:r>
            <w:r>
              <w:rPr>
                <w:rFonts w:hint="eastAsia"/>
                <w:color w:val="auto"/>
                <w:sz w:val="24"/>
              </w:rPr>
              <w:t>，室内地面防渗处理，周围设置有导流槽，危废管理制度上墙，双人双锁管制，且设置有规范化标识标牌。危废定期交由</w:t>
            </w:r>
            <w:r>
              <w:rPr>
                <w:rFonts w:hint="eastAsia"/>
                <w:color w:val="auto"/>
                <w:sz w:val="24"/>
                <w:lang w:val="zh-CN"/>
              </w:rPr>
              <w:t>新疆鑫鸿伟环保科技有限公司</w:t>
            </w:r>
            <w:r>
              <w:rPr>
                <w:rFonts w:hint="eastAsia"/>
                <w:color w:val="auto"/>
                <w:sz w:val="24"/>
              </w:rPr>
              <w:t>处置</w:t>
            </w:r>
            <w:r>
              <w:rPr>
                <w:rFonts w:hint="eastAsia"/>
                <w:color w:val="auto"/>
                <w:sz w:val="24"/>
                <w:lang w:val="zh-CN"/>
              </w:rPr>
              <w:t>。</w:t>
            </w:r>
          </w:p>
          <w:p>
            <w:pPr>
              <w:widowControl/>
              <w:spacing w:line="520" w:lineRule="exact"/>
              <w:ind w:firstLine="480" w:firstLineChars="200"/>
              <w:rPr>
                <w:color w:val="auto"/>
                <w:sz w:val="24"/>
              </w:rPr>
            </w:pPr>
            <w:r>
              <w:rPr>
                <w:rFonts w:hint="eastAsia"/>
                <w:color w:val="auto"/>
                <w:sz w:val="24"/>
              </w:rPr>
              <w:t>现有工程已建危废暂存间已按照</w:t>
            </w:r>
            <w:r>
              <w:rPr>
                <w:color w:val="auto"/>
                <w:sz w:val="24"/>
              </w:rPr>
              <w:t>《危险废物</w:t>
            </w:r>
            <w:r>
              <w:rPr>
                <w:rFonts w:hint="eastAsia"/>
                <w:color w:val="auto"/>
                <w:sz w:val="24"/>
              </w:rPr>
              <w:t>贮</w:t>
            </w:r>
            <w:r>
              <w:rPr>
                <w:color w:val="auto"/>
                <w:sz w:val="24"/>
              </w:rPr>
              <w:t>存污染控制标准》（GB18597-20</w:t>
            </w:r>
            <w:r>
              <w:rPr>
                <w:rFonts w:hint="eastAsia"/>
                <w:color w:val="auto"/>
                <w:sz w:val="24"/>
              </w:rPr>
              <w:t>23</w:t>
            </w:r>
            <w:r>
              <w:rPr>
                <w:color w:val="auto"/>
                <w:sz w:val="24"/>
              </w:rPr>
              <w:t>）要求</w:t>
            </w:r>
            <w:r>
              <w:rPr>
                <w:rFonts w:hint="eastAsia"/>
                <w:color w:val="auto"/>
                <w:sz w:val="24"/>
              </w:rPr>
              <w:t>建设</w:t>
            </w:r>
            <w:r>
              <w:rPr>
                <w:color w:val="auto"/>
                <w:sz w:val="24"/>
              </w:rPr>
              <w:t>：</w:t>
            </w:r>
          </w:p>
          <w:p>
            <w:pPr>
              <w:widowControl/>
              <w:spacing w:line="520" w:lineRule="exact"/>
              <w:ind w:firstLine="480" w:firstLineChars="200"/>
              <w:rPr>
                <w:color w:val="auto"/>
                <w:sz w:val="24"/>
              </w:rPr>
            </w:pPr>
            <w:r>
              <w:rPr>
                <w:color w:val="auto"/>
                <w:sz w:val="24"/>
              </w:rPr>
              <w:t>①暂存</w:t>
            </w:r>
            <w:r>
              <w:rPr>
                <w:rFonts w:hint="eastAsia"/>
                <w:color w:val="auto"/>
                <w:sz w:val="24"/>
              </w:rPr>
              <w:t>间</w:t>
            </w:r>
            <w:r>
              <w:rPr>
                <w:color w:val="auto"/>
                <w:sz w:val="24"/>
              </w:rPr>
              <w:t>地面与裙脚用坚固、防渗的材料建造，建筑材料与危险废物不相容，防渗系数要求≤10</w:t>
            </w:r>
            <w:r>
              <w:rPr>
                <w:color w:val="auto"/>
                <w:sz w:val="24"/>
                <w:vertAlign w:val="superscript"/>
              </w:rPr>
              <w:t>-10</w:t>
            </w:r>
            <w:r>
              <w:rPr>
                <w:color w:val="auto"/>
                <w:sz w:val="24"/>
              </w:rPr>
              <w:t>cm/s。</w:t>
            </w:r>
          </w:p>
          <w:p>
            <w:pPr>
              <w:widowControl/>
              <w:spacing w:line="520" w:lineRule="exact"/>
              <w:ind w:firstLine="480" w:firstLineChars="200"/>
              <w:rPr>
                <w:color w:val="auto"/>
                <w:sz w:val="24"/>
              </w:rPr>
            </w:pPr>
            <w:r>
              <w:rPr>
                <w:rFonts w:hint="eastAsia"/>
                <w:color w:val="auto"/>
                <w:sz w:val="24"/>
              </w:rPr>
              <w:t>②</w:t>
            </w:r>
            <w:r>
              <w:rPr>
                <w:color w:val="auto"/>
                <w:sz w:val="24"/>
              </w:rPr>
              <w:t>暂存</w:t>
            </w:r>
            <w:r>
              <w:rPr>
                <w:rFonts w:hint="eastAsia"/>
                <w:color w:val="auto"/>
                <w:sz w:val="24"/>
              </w:rPr>
              <w:t>间</w:t>
            </w:r>
            <w:r>
              <w:rPr>
                <w:color w:val="auto"/>
                <w:sz w:val="24"/>
              </w:rPr>
              <w:t>有足够地面承载能力，并能确保雨水不会流至贮存设施内，贮存设施应封闭，以防风、防雨、防晒。</w:t>
            </w:r>
          </w:p>
          <w:p>
            <w:pPr>
              <w:widowControl/>
              <w:spacing w:line="520" w:lineRule="exact"/>
              <w:ind w:firstLine="480" w:firstLineChars="200"/>
              <w:rPr>
                <w:color w:val="auto"/>
                <w:sz w:val="24"/>
              </w:rPr>
            </w:pPr>
            <w:r>
              <w:rPr>
                <w:rFonts w:hint="eastAsia"/>
                <w:color w:val="auto"/>
                <w:sz w:val="24"/>
              </w:rPr>
              <w:t>③</w:t>
            </w:r>
            <w:r>
              <w:rPr>
                <w:color w:val="auto"/>
                <w:sz w:val="24"/>
              </w:rPr>
              <w:t>暂存</w:t>
            </w:r>
            <w:r>
              <w:rPr>
                <w:rFonts w:hint="eastAsia"/>
                <w:color w:val="auto"/>
                <w:sz w:val="24"/>
              </w:rPr>
              <w:t>间</w:t>
            </w:r>
            <w:r>
              <w:rPr>
                <w:color w:val="auto"/>
                <w:sz w:val="24"/>
              </w:rPr>
              <w:t>内有安全照明设施和安全防护设施。</w:t>
            </w:r>
          </w:p>
          <w:p>
            <w:pPr>
              <w:widowControl/>
              <w:spacing w:line="520" w:lineRule="exact"/>
              <w:ind w:firstLine="480" w:firstLineChars="200"/>
              <w:rPr>
                <w:color w:val="auto"/>
                <w:sz w:val="24"/>
              </w:rPr>
            </w:pPr>
            <w:r>
              <w:rPr>
                <w:rFonts w:hint="eastAsia"/>
                <w:color w:val="auto"/>
                <w:sz w:val="24"/>
              </w:rPr>
              <w:t>④</w:t>
            </w:r>
            <w:r>
              <w:rPr>
                <w:color w:val="auto"/>
                <w:sz w:val="24"/>
              </w:rPr>
              <w:t>暂存</w:t>
            </w:r>
            <w:r>
              <w:rPr>
                <w:rFonts w:hint="eastAsia"/>
                <w:color w:val="auto"/>
                <w:sz w:val="24"/>
              </w:rPr>
              <w:t>间</w:t>
            </w:r>
            <w:r>
              <w:rPr>
                <w:color w:val="auto"/>
                <w:sz w:val="24"/>
              </w:rPr>
              <w:t>内危废堆放处有耐腐蚀的硬化地面，且表面无裂隙。</w:t>
            </w:r>
          </w:p>
          <w:p>
            <w:pPr>
              <w:widowControl/>
              <w:spacing w:line="520" w:lineRule="exact"/>
              <w:ind w:firstLine="480" w:firstLineChars="200"/>
              <w:rPr>
                <w:color w:val="auto"/>
                <w:sz w:val="24"/>
              </w:rPr>
            </w:pPr>
            <w:r>
              <w:rPr>
                <w:rFonts w:hint="eastAsia"/>
                <w:color w:val="auto"/>
                <w:sz w:val="24"/>
              </w:rPr>
              <w:t>⑤</w:t>
            </w:r>
            <w:r>
              <w:rPr>
                <w:color w:val="auto"/>
                <w:sz w:val="24"/>
              </w:rPr>
              <w:t>不相容的危险废物分开存放，并设有隔离间隔断。</w:t>
            </w:r>
          </w:p>
          <w:p>
            <w:pPr>
              <w:widowControl/>
              <w:spacing w:line="520" w:lineRule="exact"/>
              <w:ind w:firstLine="480" w:firstLineChars="200"/>
              <w:rPr>
                <w:color w:val="auto"/>
                <w:sz w:val="24"/>
              </w:rPr>
            </w:pPr>
            <w:r>
              <w:rPr>
                <w:rFonts w:hint="eastAsia"/>
                <w:color w:val="auto"/>
                <w:sz w:val="24"/>
              </w:rPr>
              <w:t>⑥</w:t>
            </w:r>
            <w:r>
              <w:rPr>
                <w:color w:val="auto"/>
                <w:sz w:val="24"/>
              </w:rPr>
              <w:t>对贮存设施及危险废物进行定期检查。</w:t>
            </w:r>
          </w:p>
          <w:p>
            <w:pPr>
              <w:widowControl/>
              <w:spacing w:line="520" w:lineRule="exact"/>
              <w:ind w:firstLine="480" w:firstLineChars="200"/>
              <w:rPr>
                <w:color w:val="auto"/>
                <w:sz w:val="24"/>
              </w:rPr>
            </w:pPr>
            <w:r>
              <w:rPr>
                <w:rFonts w:hint="eastAsia"/>
                <w:color w:val="auto"/>
                <w:sz w:val="24"/>
              </w:rPr>
              <w:t>⑦</w:t>
            </w:r>
            <w:r>
              <w:rPr>
                <w:color w:val="auto"/>
                <w:sz w:val="24"/>
              </w:rPr>
              <w:t>危险废物主要呈固态，分类置于封闭塑料桶或专用容器内，盛装危险废物的容器</w:t>
            </w:r>
            <w:r>
              <w:rPr>
                <w:rFonts w:hint="eastAsia"/>
                <w:color w:val="auto"/>
                <w:sz w:val="24"/>
              </w:rPr>
              <w:t>按要求</w:t>
            </w:r>
            <w:r>
              <w:rPr>
                <w:color w:val="auto"/>
                <w:sz w:val="24"/>
              </w:rPr>
              <w:t>粘贴危险废物种类标识。</w:t>
            </w:r>
          </w:p>
          <w:p>
            <w:pPr>
              <w:widowControl/>
              <w:spacing w:line="520" w:lineRule="exact"/>
              <w:ind w:firstLine="480" w:firstLineChars="200"/>
              <w:rPr>
                <w:color w:val="auto"/>
                <w:sz w:val="24"/>
              </w:rPr>
            </w:pPr>
            <w:r>
              <w:rPr>
                <w:rFonts w:hint="eastAsia"/>
                <w:color w:val="auto"/>
                <w:sz w:val="24"/>
              </w:rPr>
              <w:t>⑧</w:t>
            </w:r>
            <w:r>
              <w:rPr>
                <w:color w:val="auto"/>
                <w:sz w:val="24"/>
              </w:rPr>
              <w:t>暂存库设置明显的贮存危险废物种类标识和警示标识，并在暂存库周围显著处标记</w:t>
            </w:r>
            <w:r>
              <w:rPr>
                <w:rFonts w:hint="eastAsia"/>
                <w:color w:val="auto"/>
                <w:sz w:val="24"/>
              </w:rPr>
              <w:t>“</w:t>
            </w:r>
            <w:r>
              <w:rPr>
                <w:color w:val="auto"/>
                <w:sz w:val="24"/>
              </w:rPr>
              <w:t>严禁烟火</w:t>
            </w:r>
            <w:r>
              <w:rPr>
                <w:rFonts w:hint="eastAsia"/>
                <w:color w:val="auto"/>
                <w:sz w:val="24"/>
              </w:rPr>
              <w:t>”的警示牌</w:t>
            </w:r>
            <w:r>
              <w:rPr>
                <w:color w:val="auto"/>
                <w:sz w:val="24"/>
              </w:rPr>
              <w:t>。</w:t>
            </w:r>
          </w:p>
          <w:p>
            <w:pPr>
              <w:widowControl/>
              <w:spacing w:line="520" w:lineRule="exact"/>
              <w:ind w:firstLine="480" w:firstLineChars="200"/>
              <w:rPr>
                <w:color w:val="auto"/>
                <w:sz w:val="24"/>
              </w:rPr>
            </w:pPr>
            <w:r>
              <w:rPr>
                <w:rFonts w:hint="eastAsia"/>
                <w:color w:val="auto"/>
                <w:sz w:val="24"/>
              </w:rPr>
              <w:t>⑨</w:t>
            </w:r>
            <w:r>
              <w:rPr>
                <w:color w:val="auto"/>
                <w:sz w:val="24"/>
              </w:rPr>
              <w:t>有专人管理危险废物，危险废物出入贮存场前，应登记造册，做好记录，注明危险废物的名称、来源、数量、特性、入库日期、出库日期、</w:t>
            </w:r>
            <w:r>
              <w:rPr>
                <w:rFonts w:hint="eastAsia"/>
                <w:color w:val="auto"/>
                <w:sz w:val="24"/>
              </w:rPr>
              <w:t>接收单位</w:t>
            </w:r>
            <w:r>
              <w:rPr>
                <w:color w:val="auto"/>
                <w:sz w:val="24"/>
              </w:rPr>
              <w:t>等。</w:t>
            </w:r>
          </w:p>
          <w:p>
            <w:pPr>
              <w:widowControl/>
              <w:spacing w:line="520" w:lineRule="exact"/>
              <w:ind w:firstLine="480" w:firstLineChars="200"/>
              <w:rPr>
                <w:color w:val="auto"/>
                <w:sz w:val="24"/>
              </w:rPr>
            </w:pPr>
            <w:r>
              <w:rPr>
                <w:rFonts w:hint="eastAsia"/>
                <w:color w:val="auto"/>
                <w:sz w:val="24"/>
              </w:rPr>
              <w:t>⑩</w:t>
            </w:r>
            <w:r>
              <w:rPr>
                <w:color w:val="auto"/>
                <w:sz w:val="24"/>
              </w:rPr>
              <w:t>定期对所贮存的危险废物包装容器及贮存设施进行检查，发现破损及时清理更换。</w:t>
            </w:r>
          </w:p>
          <w:p>
            <w:pPr>
              <w:pStyle w:val="2"/>
              <w:spacing w:before="0" w:after="0" w:line="520" w:lineRule="exact"/>
              <w:ind w:right="0" w:firstLine="480" w:firstLineChars="200"/>
              <w:rPr>
                <w:color w:val="auto"/>
                <w:sz w:val="24"/>
                <w:szCs w:val="24"/>
                <w:lang w:bidi="ar"/>
              </w:rPr>
            </w:pPr>
            <w:r>
              <w:rPr>
                <w:color w:val="auto"/>
                <w:sz w:val="24"/>
                <w:szCs w:val="24"/>
                <w:lang w:bidi="ar"/>
              </w:rPr>
              <w:t>按照《排污许可证申请与核发技术规范工业固体废物和危险废物治理》（HJ1033-2019）和《危险废物管理计划和管理台账制定技术导则》（HJ1259-2022）</w:t>
            </w:r>
            <w:r>
              <w:rPr>
                <w:rFonts w:hint="eastAsia"/>
                <w:color w:val="auto"/>
                <w:sz w:val="24"/>
                <w:szCs w:val="24"/>
                <w:lang w:bidi="ar"/>
              </w:rPr>
              <w:t>及</w:t>
            </w:r>
            <w:r>
              <w:rPr>
                <w:rFonts w:hint="eastAsia" w:ascii="宋体" w:hAnsi="宋体" w:cs="宋体"/>
                <w:color w:val="auto"/>
                <w:sz w:val="24"/>
                <w:szCs w:val="24"/>
                <w:lang w:bidi="ar"/>
              </w:rPr>
              <w:t>《危险废物转移管理办法》（生态环境部公安部交通运输部部令第</w:t>
            </w:r>
            <w:r>
              <w:rPr>
                <w:color w:val="auto"/>
                <w:sz w:val="24"/>
                <w:szCs w:val="24"/>
                <w:lang w:bidi="ar"/>
              </w:rPr>
              <w:t>23</w:t>
            </w:r>
            <w:r>
              <w:rPr>
                <w:rFonts w:hint="eastAsia" w:ascii="宋体" w:hAnsi="宋体" w:cs="宋体"/>
                <w:color w:val="auto"/>
                <w:sz w:val="24"/>
                <w:szCs w:val="24"/>
                <w:lang w:bidi="ar"/>
              </w:rPr>
              <w:t>号）</w:t>
            </w:r>
            <w:r>
              <w:rPr>
                <w:color w:val="auto"/>
                <w:sz w:val="24"/>
                <w:szCs w:val="24"/>
                <w:lang w:bidi="ar"/>
              </w:rPr>
              <w:t>要求贮存、转移、管理危险废物：</w:t>
            </w:r>
          </w:p>
          <w:p>
            <w:pPr>
              <w:pStyle w:val="2"/>
              <w:spacing w:before="0" w:after="0" w:line="520" w:lineRule="exact"/>
              <w:ind w:right="0" w:firstLine="480" w:firstLineChars="200"/>
              <w:rPr>
                <w:color w:val="auto"/>
                <w:sz w:val="24"/>
                <w:szCs w:val="24"/>
              </w:rPr>
            </w:pPr>
            <w:r>
              <w:rPr>
                <w:color w:val="auto"/>
                <w:sz w:val="24"/>
                <w:szCs w:val="24"/>
              </w:rPr>
              <w:t>（1）危险废物贮存</w:t>
            </w:r>
          </w:p>
          <w:p>
            <w:pPr>
              <w:pStyle w:val="2"/>
              <w:spacing w:before="0" w:after="0" w:line="520" w:lineRule="exact"/>
              <w:ind w:right="0" w:firstLine="480" w:firstLineChars="200"/>
              <w:rPr>
                <w:color w:val="auto"/>
                <w:sz w:val="24"/>
                <w:szCs w:val="24"/>
              </w:rPr>
            </w:pPr>
            <w:r>
              <w:rPr>
                <w:color w:val="auto"/>
                <w:sz w:val="24"/>
                <w:szCs w:val="24"/>
              </w:rPr>
              <w:t>危险废物贮存情况填写内容参见附录A4，填写危险废物名称、类别、代码、有害成分名称、形态、危险特性；贮存设施编码、贮存设施类型、包装形式（包装容器、材质、规格等）、本年度预计剩余贮存量及计量单位。危险废物贮存能力应与排污许可证副本中明的保持一致，或根据产生危险废物的单位环境响评价文件及审批意见确定。</w:t>
            </w:r>
          </w:p>
          <w:p>
            <w:pPr>
              <w:pStyle w:val="2"/>
              <w:spacing w:before="0" w:after="0" w:line="520" w:lineRule="exact"/>
              <w:ind w:right="0" w:firstLine="480" w:firstLineChars="200"/>
              <w:rPr>
                <w:color w:val="auto"/>
                <w:sz w:val="24"/>
                <w:szCs w:val="24"/>
              </w:rPr>
            </w:pPr>
            <w:r>
              <w:rPr>
                <w:color w:val="auto"/>
                <w:sz w:val="24"/>
                <w:szCs w:val="24"/>
              </w:rPr>
              <w:t>（2）危险废物转移</w:t>
            </w:r>
          </w:p>
          <w:p>
            <w:pPr>
              <w:pStyle w:val="2"/>
              <w:spacing w:before="0" w:after="0" w:line="520" w:lineRule="exact"/>
              <w:ind w:right="0" w:firstLine="480" w:firstLineChars="200"/>
              <w:rPr>
                <w:color w:val="auto"/>
                <w:sz w:val="24"/>
                <w:szCs w:val="24"/>
              </w:rPr>
            </w:pPr>
            <w:r>
              <w:rPr>
                <w:color w:val="auto"/>
                <w:sz w:val="24"/>
                <w:szCs w:val="24"/>
              </w:rPr>
              <w:t>危险废物转移情况</w:t>
            </w:r>
            <w:r>
              <w:rPr>
                <w:rFonts w:hint="eastAsia"/>
                <w:color w:val="auto"/>
                <w:sz w:val="24"/>
                <w:szCs w:val="24"/>
              </w:rPr>
              <w:t>包括</w:t>
            </w:r>
            <w:r>
              <w:rPr>
                <w:color w:val="auto"/>
                <w:sz w:val="24"/>
                <w:szCs w:val="24"/>
              </w:rPr>
              <w:t>转移类型</w:t>
            </w:r>
            <w:r>
              <w:rPr>
                <w:rFonts w:hint="eastAsia"/>
                <w:color w:val="auto"/>
                <w:sz w:val="24"/>
                <w:szCs w:val="24"/>
              </w:rPr>
              <w:t>、</w:t>
            </w:r>
            <w:r>
              <w:rPr>
                <w:rFonts w:hint="eastAsia"/>
                <w:color w:val="auto"/>
                <w:sz w:val="24"/>
                <w:szCs w:val="24"/>
                <w:lang w:eastAsia="zh-CN"/>
              </w:rPr>
              <w:t>危险废物</w:t>
            </w:r>
            <w:r>
              <w:rPr>
                <w:color w:val="auto"/>
                <w:sz w:val="24"/>
                <w:szCs w:val="24"/>
              </w:rPr>
              <w:t>名称、</w:t>
            </w:r>
            <w:r>
              <w:rPr>
                <w:rFonts w:hint="eastAsia"/>
                <w:color w:val="auto"/>
                <w:sz w:val="24"/>
                <w:szCs w:val="24"/>
                <w:lang w:eastAsia="zh-CN"/>
              </w:rPr>
              <w:t>类别</w:t>
            </w:r>
            <w:r>
              <w:rPr>
                <w:color w:val="auto"/>
                <w:sz w:val="24"/>
                <w:szCs w:val="24"/>
              </w:rPr>
              <w:t>、代码、有害成分名称、形态、危险特性。本年度预计转移量，计量单位为吨。拟接收单位类型、危险废物经营许可证持有单位。</w:t>
            </w:r>
          </w:p>
          <w:p>
            <w:pPr>
              <w:widowControl/>
              <w:shd w:val="clear" w:color="auto" w:fill="FFFFFF"/>
              <w:spacing w:line="570" w:lineRule="atLeast"/>
              <w:ind w:firstLine="480" w:firstLineChars="200"/>
              <w:jc w:val="left"/>
              <w:rPr>
                <w:color w:val="auto"/>
                <w:kern w:val="0"/>
                <w:sz w:val="24"/>
              </w:rPr>
            </w:pPr>
            <w:r>
              <w:rPr>
                <w:rFonts w:hint="eastAsia"/>
                <w:color w:val="auto"/>
                <w:kern w:val="0"/>
                <w:sz w:val="24"/>
              </w:rPr>
              <w:t>危废转移时应当填写、运行一份危险废物转移联单；每车（船或者其他运输工具）次转移多类危险废物的，可以填写、运行一份危险废物转移联单，也可以每一类危险废物填写、运行一份危险废物转移联单。危险废物转移联单实行全国统一编号，编号由十四位阿拉伯数字组成。危险废物电子转移联单数据应当在信息系统中至少保存十年。因特殊原因无法运行危险废物电子转移联单的，可以先使用纸质转移联单，并于转移活动完成后十个工作日内在信息系统中补录电子转移联单。</w:t>
            </w:r>
          </w:p>
          <w:p>
            <w:pPr>
              <w:pStyle w:val="2"/>
              <w:spacing w:before="0" w:after="0" w:line="520" w:lineRule="exact"/>
              <w:ind w:right="0" w:firstLine="480" w:firstLineChars="200"/>
              <w:rPr>
                <w:color w:val="auto"/>
                <w:sz w:val="24"/>
                <w:szCs w:val="24"/>
              </w:rPr>
            </w:pPr>
            <w:r>
              <w:rPr>
                <w:color w:val="auto"/>
                <w:sz w:val="24"/>
                <w:szCs w:val="24"/>
              </w:rPr>
              <w:t>（3）危险废物管理台账制定要求</w:t>
            </w:r>
          </w:p>
          <w:p>
            <w:pPr>
              <w:pStyle w:val="2"/>
              <w:spacing w:before="0" w:after="0" w:line="520" w:lineRule="exact"/>
              <w:ind w:right="0" w:firstLine="480" w:firstLineChars="200"/>
              <w:rPr>
                <w:color w:val="auto"/>
                <w:sz w:val="24"/>
                <w:szCs w:val="24"/>
              </w:rPr>
            </w:pPr>
            <w:r>
              <w:rPr>
                <w:rFonts w:hint="eastAsia"/>
                <w:color w:val="auto"/>
                <w:sz w:val="24"/>
                <w:szCs w:val="24"/>
              </w:rPr>
              <w:t>项目运营期</w:t>
            </w:r>
            <w:r>
              <w:rPr>
                <w:color w:val="auto"/>
                <w:sz w:val="24"/>
                <w:szCs w:val="24"/>
              </w:rPr>
              <w:t>应建立危险废物管理台账，落实危险废物管理台账记录的责任人，明确工作职责，并对危险废物管理台账的真实性、准确性和完整性负法律责任。产生危险废物的单位应根据危险废物产生、贮存、利用、处置等环节的动态流向，如实建立各环节的危险废物管理台账。危险废物管理台账分为电子管理台账和纸质管理台账两种形式。可通过国家危险废物信息管理系统、企业自建信息管理系统或第三方平台等方式记录电子管理台账。</w:t>
            </w:r>
          </w:p>
          <w:p>
            <w:pPr>
              <w:pStyle w:val="2"/>
              <w:spacing w:before="0" w:after="0" w:line="520" w:lineRule="exact"/>
              <w:ind w:right="0" w:firstLine="480" w:firstLineChars="200"/>
              <w:rPr>
                <w:color w:val="auto"/>
                <w:sz w:val="24"/>
                <w:szCs w:val="24"/>
              </w:rPr>
            </w:pPr>
            <w:r>
              <w:rPr>
                <w:color w:val="auto"/>
                <w:sz w:val="24"/>
                <w:szCs w:val="24"/>
              </w:rPr>
              <w:t>频次：</w:t>
            </w:r>
            <w:r>
              <w:rPr>
                <w:rFonts w:hint="eastAsia"/>
                <w:color w:val="auto"/>
                <w:sz w:val="24"/>
                <w:szCs w:val="24"/>
              </w:rPr>
              <w:t>危险废物</w:t>
            </w:r>
            <w:r>
              <w:rPr>
                <w:color w:val="auto"/>
                <w:sz w:val="24"/>
                <w:szCs w:val="24"/>
              </w:rPr>
              <w:t>产生后盛放至容器和包装物的，应按每个容器和包装物进行记录；产生后采用管道等方式输送至贮存场所的，按日记录；其他特殊情形的，根据危险废物产生规律确定记录频次。</w:t>
            </w:r>
          </w:p>
          <w:p>
            <w:pPr>
              <w:pStyle w:val="2"/>
              <w:spacing w:before="0" w:after="0" w:line="520" w:lineRule="exact"/>
              <w:ind w:right="0" w:firstLine="480" w:firstLineChars="200"/>
              <w:rPr>
                <w:color w:val="auto"/>
                <w:sz w:val="24"/>
                <w:szCs w:val="24"/>
              </w:rPr>
            </w:pPr>
            <w:r>
              <w:rPr>
                <w:color w:val="auto"/>
                <w:sz w:val="24"/>
                <w:szCs w:val="24"/>
              </w:rPr>
              <w:t>记录内容：危险废物产生环节，应记录产生批次编码、产生时间、危险废物名称、危险废物类别、危险废物代码、产生量、计量单位、容器/包装编码、容器/包装类型、容器/包装数量、产生危险废物设施编码、产生部门经办人、去向等。危险废物入库环节，应记录入库批次编码、入库时间、容器/包装编码、容器/包装类型、容器/包装数量、危险废物名称、危险废物类别、危险废物代码、入库量、计量单位、贮存设施编码、贮存设施类型、运送部门经办人、贮存部门经办人、产生批次编码等。</w:t>
            </w:r>
          </w:p>
          <w:p>
            <w:pPr>
              <w:pStyle w:val="2"/>
              <w:spacing w:before="0" w:after="0" w:line="520" w:lineRule="exact"/>
              <w:ind w:right="0" w:firstLine="480" w:firstLineChars="200"/>
              <w:rPr>
                <w:color w:val="auto"/>
                <w:sz w:val="24"/>
                <w:szCs w:val="24"/>
              </w:rPr>
            </w:pPr>
            <w:r>
              <w:rPr>
                <w:color w:val="auto"/>
                <w:sz w:val="24"/>
                <w:szCs w:val="24"/>
              </w:rPr>
              <w:t>危险废物出库环节，应记录出库批次编码、出库时间、容器/包装编码、容器/包装类型、容器/包装数量、危险废物名称、危险废物类别、危险废物代码、出库量、计量单位、贮存设施编码、贮存设施类型、出库部门经办人、运送部门经办人、入库批次编码、去向等。</w:t>
            </w:r>
          </w:p>
          <w:p>
            <w:pPr>
              <w:pStyle w:val="37"/>
              <w:spacing w:line="520" w:lineRule="exact"/>
              <w:ind w:firstLine="480" w:firstLineChars="200"/>
              <w:rPr>
                <w:color w:val="auto"/>
              </w:rPr>
            </w:pPr>
            <w:r>
              <w:rPr>
                <w:rFonts w:hint="eastAsia"/>
                <w:color w:val="auto"/>
              </w:rPr>
              <w:t>通过采取上述控制措施后，能有效控制固废污染影响。</w:t>
            </w:r>
          </w:p>
          <w:p>
            <w:pPr>
              <w:widowControl/>
              <w:spacing w:line="520" w:lineRule="exact"/>
              <w:ind w:firstLine="480" w:firstLineChars="200"/>
              <w:rPr>
                <w:color w:val="auto"/>
                <w:sz w:val="24"/>
              </w:rPr>
            </w:pPr>
            <w:r>
              <w:rPr>
                <w:rFonts w:hint="eastAsia"/>
                <w:color w:val="auto"/>
                <w:sz w:val="24"/>
              </w:rPr>
              <w:t>本项目固体废物产生情况见表4-6。</w:t>
            </w:r>
          </w:p>
          <w:p>
            <w:pPr>
              <w:pStyle w:val="36"/>
              <w:rPr>
                <w:color w:val="auto"/>
              </w:rPr>
            </w:pPr>
          </w:p>
          <w:p>
            <w:pPr>
              <w:pStyle w:val="36"/>
              <w:rPr>
                <w:color w:val="auto"/>
              </w:rPr>
            </w:pPr>
            <w:r>
              <w:rPr>
                <w:color w:val="auto"/>
              </w:rPr>
              <w:t>表</w:t>
            </w:r>
            <w:r>
              <w:rPr>
                <w:rFonts w:hint="eastAsia"/>
                <w:color w:val="auto"/>
              </w:rPr>
              <w:t>4</w:t>
            </w:r>
            <w:r>
              <w:rPr>
                <w:color w:val="auto"/>
              </w:rPr>
              <w:t>-</w:t>
            </w:r>
            <w:r>
              <w:rPr>
                <w:rFonts w:hint="eastAsia"/>
                <w:color w:val="auto"/>
              </w:rPr>
              <w:t xml:space="preserve">6 </w:t>
            </w:r>
            <w:r>
              <w:rPr>
                <w:color w:val="auto"/>
              </w:rPr>
              <w:t xml:space="preserve"> 固体废物排放量及处置设施</w:t>
            </w:r>
          </w:p>
          <w:tbl>
            <w:tblPr>
              <w:tblStyle w:val="29"/>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909"/>
              <w:gridCol w:w="898"/>
              <w:gridCol w:w="1027"/>
              <w:gridCol w:w="1056"/>
              <w:gridCol w:w="890"/>
              <w:gridCol w:w="774"/>
              <w:gridCol w:w="1678"/>
              <w:gridCol w:w="14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255" w:type="pct"/>
                  <w:tcBorders>
                    <w:tl2br w:val="nil"/>
                    <w:tr2bl w:val="nil"/>
                  </w:tcBorders>
                  <w:vAlign w:val="center"/>
                </w:tcPr>
                <w:p>
                  <w:pPr>
                    <w:pStyle w:val="35"/>
                    <w:rPr>
                      <w:color w:val="auto"/>
                    </w:rPr>
                  </w:pPr>
                  <w:r>
                    <w:rPr>
                      <w:color w:val="auto"/>
                    </w:rPr>
                    <w:t>序号</w:t>
                  </w:r>
                </w:p>
              </w:tc>
              <w:tc>
                <w:tcPr>
                  <w:tcW w:w="498" w:type="pct"/>
                  <w:tcBorders>
                    <w:tl2br w:val="nil"/>
                    <w:tr2bl w:val="nil"/>
                  </w:tcBorders>
                  <w:vAlign w:val="center"/>
                </w:tcPr>
                <w:p>
                  <w:pPr>
                    <w:pStyle w:val="35"/>
                    <w:rPr>
                      <w:color w:val="auto"/>
                    </w:rPr>
                  </w:pPr>
                  <w:r>
                    <w:rPr>
                      <w:color w:val="auto"/>
                    </w:rPr>
                    <w:t>污染物</w:t>
                  </w:r>
                </w:p>
              </w:tc>
              <w:tc>
                <w:tcPr>
                  <w:tcW w:w="492" w:type="pct"/>
                  <w:tcBorders>
                    <w:tl2br w:val="nil"/>
                    <w:tr2bl w:val="nil"/>
                  </w:tcBorders>
                  <w:vAlign w:val="center"/>
                </w:tcPr>
                <w:p>
                  <w:pPr>
                    <w:pStyle w:val="35"/>
                    <w:rPr>
                      <w:color w:val="auto"/>
                    </w:rPr>
                  </w:pPr>
                  <w:r>
                    <w:rPr>
                      <w:color w:val="auto"/>
                    </w:rPr>
                    <w:t>污染工序</w:t>
                  </w:r>
                </w:p>
              </w:tc>
              <w:tc>
                <w:tcPr>
                  <w:tcW w:w="563" w:type="pct"/>
                  <w:tcBorders>
                    <w:tl2br w:val="nil"/>
                    <w:tr2bl w:val="nil"/>
                  </w:tcBorders>
                  <w:vAlign w:val="center"/>
                </w:tcPr>
                <w:p>
                  <w:pPr>
                    <w:pStyle w:val="35"/>
                    <w:rPr>
                      <w:color w:val="auto"/>
                    </w:rPr>
                  </w:pPr>
                  <w:r>
                    <w:rPr>
                      <w:rFonts w:hint="eastAsia"/>
                      <w:color w:val="auto"/>
                    </w:rPr>
                    <w:t>现有工程产生量</w:t>
                  </w:r>
                  <w:r>
                    <w:rPr>
                      <w:color w:val="auto"/>
                    </w:rPr>
                    <w:t>（t/a）</w:t>
                  </w:r>
                </w:p>
              </w:tc>
              <w:tc>
                <w:tcPr>
                  <w:tcW w:w="579" w:type="pct"/>
                  <w:tcBorders>
                    <w:tl2br w:val="nil"/>
                    <w:tr2bl w:val="nil"/>
                  </w:tcBorders>
                  <w:vAlign w:val="center"/>
                </w:tcPr>
                <w:p>
                  <w:pPr>
                    <w:pStyle w:val="35"/>
                    <w:rPr>
                      <w:color w:val="auto"/>
                    </w:rPr>
                  </w:pPr>
                  <w:r>
                    <w:rPr>
                      <w:rFonts w:hint="eastAsia"/>
                      <w:color w:val="auto"/>
                    </w:rPr>
                    <w:t>本次扩能产生</w:t>
                  </w:r>
                  <w:r>
                    <w:rPr>
                      <w:color w:val="auto"/>
                    </w:rPr>
                    <w:t>量</w:t>
                  </w:r>
                </w:p>
                <w:p>
                  <w:pPr>
                    <w:pStyle w:val="35"/>
                    <w:rPr>
                      <w:color w:val="auto"/>
                    </w:rPr>
                  </w:pPr>
                  <w:r>
                    <w:rPr>
                      <w:color w:val="auto"/>
                    </w:rPr>
                    <w:t>（t/a）</w:t>
                  </w:r>
                </w:p>
              </w:tc>
              <w:tc>
                <w:tcPr>
                  <w:tcW w:w="488" w:type="pct"/>
                  <w:tcBorders>
                    <w:tl2br w:val="nil"/>
                    <w:tr2bl w:val="nil"/>
                  </w:tcBorders>
                  <w:vAlign w:val="center"/>
                </w:tcPr>
                <w:p>
                  <w:pPr>
                    <w:pStyle w:val="35"/>
                    <w:rPr>
                      <w:color w:val="auto"/>
                    </w:rPr>
                  </w:pPr>
                  <w:r>
                    <w:rPr>
                      <w:rFonts w:hint="eastAsia"/>
                      <w:color w:val="auto"/>
                    </w:rPr>
                    <w:t>本次扩能后产生</w:t>
                  </w:r>
                  <w:r>
                    <w:rPr>
                      <w:color w:val="auto"/>
                    </w:rPr>
                    <w:t>量</w:t>
                  </w:r>
                </w:p>
                <w:p>
                  <w:pPr>
                    <w:pStyle w:val="35"/>
                    <w:rPr>
                      <w:color w:val="auto"/>
                    </w:rPr>
                  </w:pPr>
                  <w:r>
                    <w:rPr>
                      <w:color w:val="auto"/>
                    </w:rPr>
                    <w:t>（t/a）</w:t>
                  </w:r>
                </w:p>
              </w:tc>
              <w:tc>
                <w:tcPr>
                  <w:tcW w:w="424" w:type="pct"/>
                  <w:tcBorders>
                    <w:tl2br w:val="nil"/>
                    <w:tr2bl w:val="nil"/>
                  </w:tcBorders>
                  <w:vAlign w:val="center"/>
                </w:tcPr>
                <w:p>
                  <w:pPr>
                    <w:pStyle w:val="35"/>
                    <w:rPr>
                      <w:color w:val="auto"/>
                    </w:rPr>
                  </w:pPr>
                  <w:r>
                    <w:rPr>
                      <w:color w:val="auto"/>
                    </w:rPr>
                    <w:t>属性</w:t>
                  </w:r>
                </w:p>
              </w:tc>
              <w:tc>
                <w:tcPr>
                  <w:tcW w:w="920" w:type="pct"/>
                  <w:tcBorders>
                    <w:tl2br w:val="nil"/>
                    <w:tr2bl w:val="nil"/>
                  </w:tcBorders>
                  <w:vAlign w:val="center"/>
                </w:tcPr>
                <w:p>
                  <w:pPr>
                    <w:pStyle w:val="35"/>
                    <w:rPr>
                      <w:color w:val="auto"/>
                    </w:rPr>
                  </w:pPr>
                  <w:r>
                    <w:rPr>
                      <w:rFonts w:hint="eastAsia"/>
                      <w:color w:val="auto"/>
                    </w:rPr>
                    <w:t>固废/危废编码</w:t>
                  </w:r>
                </w:p>
              </w:tc>
              <w:tc>
                <w:tcPr>
                  <w:tcW w:w="776" w:type="pct"/>
                  <w:tcBorders>
                    <w:tl2br w:val="nil"/>
                    <w:tr2bl w:val="nil"/>
                  </w:tcBorders>
                  <w:vAlign w:val="center"/>
                </w:tcPr>
                <w:p>
                  <w:pPr>
                    <w:pStyle w:val="35"/>
                    <w:rPr>
                      <w:color w:val="auto"/>
                    </w:rPr>
                  </w:pPr>
                  <w:r>
                    <w:rPr>
                      <w:color w:val="auto"/>
                    </w:rPr>
                    <w:t>拟采用的处置方式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5" w:type="pct"/>
                  <w:tcBorders>
                    <w:tl2br w:val="nil"/>
                    <w:tr2bl w:val="nil"/>
                  </w:tcBorders>
                  <w:vAlign w:val="center"/>
                </w:tcPr>
                <w:p>
                  <w:pPr>
                    <w:pStyle w:val="35"/>
                    <w:rPr>
                      <w:color w:val="auto"/>
                    </w:rPr>
                  </w:pPr>
                  <w:r>
                    <w:rPr>
                      <w:rFonts w:hint="eastAsia"/>
                      <w:color w:val="auto"/>
                    </w:rPr>
                    <w:t>1</w:t>
                  </w:r>
                </w:p>
              </w:tc>
              <w:tc>
                <w:tcPr>
                  <w:tcW w:w="498" w:type="pct"/>
                  <w:tcBorders>
                    <w:tl2br w:val="nil"/>
                    <w:tr2bl w:val="nil"/>
                  </w:tcBorders>
                  <w:vAlign w:val="center"/>
                </w:tcPr>
                <w:p>
                  <w:pPr>
                    <w:pStyle w:val="35"/>
                    <w:rPr>
                      <w:color w:val="auto"/>
                    </w:rPr>
                  </w:pPr>
                  <w:r>
                    <w:rPr>
                      <w:color w:val="auto"/>
                    </w:rPr>
                    <w:t>隔油沉淀池沉渣</w:t>
                  </w:r>
                </w:p>
              </w:tc>
              <w:tc>
                <w:tcPr>
                  <w:tcW w:w="492" w:type="pct"/>
                  <w:tcBorders>
                    <w:tl2br w:val="nil"/>
                    <w:tr2bl w:val="nil"/>
                  </w:tcBorders>
                  <w:vAlign w:val="center"/>
                </w:tcPr>
                <w:p>
                  <w:pPr>
                    <w:pStyle w:val="35"/>
                    <w:rPr>
                      <w:color w:val="auto"/>
                    </w:rPr>
                  </w:pPr>
                  <w:r>
                    <w:rPr>
                      <w:color w:val="auto"/>
                    </w:rPr>
                    <w:t>隔油沉</w:t>
                  </w:r>
                </w:p>
                <w:p>
                  <w:pPr>
                    <w:pStyle w:val="35"/>
                    <w:rPr>
                      <w:color w:val="auto"/>
                    </w:rPr>
                  </w:pPr>
                  <w:r>
                    <w:rPr>
                      <w:color w:val="auto"/>
                    </w:rPr>
                    <w:t>淀池</w:t>
                  </w:r>
                </w:p>
              </w:tc>
              <w:tc>
                <w:tcPr>
                  <w:tcW w:w="563" w:type="pct"/>
                  <w:tcBorders>
                    <w:tl2br w:val="nil"/>
                    <w:tr2bl w:val="nil"/>
                  </w:tcBorders>
                  <w:vAlign w:val="center"/>
                </w:tcPr>
                <w:p>
                  <w:pPr>
                    <w:pStyle w:val="35"/>
                    <w:rPr>
                      <w:color w:val="auto"/>
                    </w:rPr>
                  </w:pPr>
                  <w:r>
                    <w:rPr>
                      <w:rFonts w:hint="eastAsia"/>
                      <w:color w:val="auto"/>
                    </w:rPr>
                    <w:t>0.06</w:t>
                  </w:r>
                </w:p>
              </w:tc>
              <w:tc>
                <w:tcPr>
                  <w:tcW w:w="579" w:type="pct"/>
                  <w:tcBorders>
                    <w:tl2br w:val="nil"/>
                    <w:tr2bl w:val="nil"/>
                  </w:tcBorders>
                  <w:vAlign w:val="center"/>
                </w:tcPr>
                <w:p>
                  <w:pPr>
                    <w:pStyle w:val="35"/>
                    <w:rPr>
                      <w:color w:val="auto"/>
                    </w:rPr>
                  </w:pPr>
                  <w:r>
                    <w:rPr>
                      <w:rFonts w:hint="eastAsia"/>
                      <w:color w:val="auto"/>
                    </w:rPr>
                    <w:t>0.15</w:t>
                  </w:r>
                </w:p>
              </w:tc>
              <w:tc>
                <w:tcPr>
                  <w:tcW w:w="488" w:type="pct"/>
                  <w:tcBorders>
                    <w:tl2br w:val="nil"/>
                    <w:tr2bl w:val="nil"/>
                  </w:tcBorders>
                  <w:vAlign w:val="center"/>
                </w:tcPr>
                <w:p>
                  <w:pPr>
                    <w:pStyle w:val="35"/>
                    <w:rPr>
                      <w:color w:val="auto"/>
                    </w:rPr>
                  </w:pPr>
                  <w:r>
                    <w:rPr>
                      <w:rFonts w:hint="eastAsia"/>
                      <w:color w:val="auto"/>
                    </w:rPr>
                    <w:t>0.21</w:t>
                  </w:r>
                </w:p>
              </w:tc>
              <w:tc>
                <w:tcPr>
                  <w:tcW w:w="424" w:type="pct"/>
                  <w:vMerge w:val="restart"/>
                  <w:tcBorders>
                    <w:tl2br w:val="nil"/>
                    <w:tr2bl w:val="nil"/>
                  </w:tcBorders>
                  <w:vAlign w:val="center"/>
                </w:tcPr>
                <w:p>
                  <w:pPr>
                    <w:pStyle w:val="35"/>
                    <w:rPr>
                      <w:color w:val="auto"/>
                    </w:rPr>
                  </w:pPr>
                  <w:r>
                    <w:rPr>
                      <w:color w:val="auto"/>
                    </w:rPr>
                    <w:t>危险</w:t>
                  </w:r>
                </w:p>
                <w:p>
                  <w:pPr>
                    <w:pStyle w:val="35"/>
                    <w:rPr>
                      <w:color w:val="auto"/>
                    </w:rPr>
                  </w:pPr>
                  <w:r>
                    <w:rPr>
                      <w:color w:val="auto"/>
                    </w:rPr>
                    <w:t>废物</w:t>
                  </w:r>
                </w:p>
              </w:tc>
              <w:tc>
                <w:tcPr>
                  <w:tcW w:w="920" w:type="pct"/>
                  <w:tcBorders>
                    <w:tl2br w:val="nil"/>
                    <w:tr2bl w:val="nil"/>
                  </w:tcBorders>
                  <w:vAlign w:val="center"/>
                </w:tcPr>
                <w:p>
                  <w:pPr>
                    <w:pStyle w:val="35"/>
                    <w:rPr>
                      <w:color w:val="auto"/>
                    </w:rPr>
                  </w:pPr>
                  <w:r>
                    <w:rPr>
                      <w:color w:val="auto"/>
                    </w:rPr>
                    <w:t>HW</w:t>
                  </w:r>
                  <w:r>
                    <w:rPr>
                      <w:rFonts w:hint="eastAsia"/>
                      <w:color w:val="auto"/>
                    </w:rPr>
                    <w:t>08</w:t>
                  </w:r>
                </w:p>
                <w:p>
                  <w:pPr>
                    <w:pStyle w:val="35"/>
                    <w:rPr>
                      <w:color w:val="auto"/>
                    </w:rPr>
                  </w:pPr>
                  <w:r>
                    <w:rPr>
                      <w:rFonts w:hint="eastAsia"/>
                      <w:color w:val="auto"/>
                    </w:rPr>
                    <w:t>（900-210-08）</w:t>
                  </w:r>
                </w:p>
              </w:tc>
              <w:tc>
                <w:tcPr>
                  <w:tcW w:w="776" w:type="pct"/>
                  <w:vMerge w:val="restart"/>
                  <w:tcBorders>
                    <w:tl2br w:val="nil"/>
                    <w:tr2bl w:val="nil"/>
                  </w:tcBorders>
                  <w:vAlign w:val="center"/>
                </w:tcPr>
                <w:p>
                  <w:pPr>
                    <w:pStyle w:val="35"/>
                    <w:rPr>
                      <w:color w:val="auto"/>
                    </w:rPr>
                  </w:pPr>
                  <w:r>
                    <w:rPr>
                      <w:rFonts w:hint="eastAsia"/>
                      <w:color w:val="auto"/>
                    </w:rPr>
                    <w:t>集中收集于危废暂存间，委托</w:t>
                  </w:r>
                  <w:r>
                    <w:rPr>
                      <w:rFonts w:hint="eastAsia"/>
                      <w:color w:val="auto"/>
                      <w:lang w:val="zh-CN"/>
                    </w:rPr>
                    <w:t>新疆鑫鸿伟环保科技有限公司</w:t>
                  </w:r>
                  <w:r>
                    <w:rPr>
                      <w:rFonts w:hint="eastAsia"/>
                      <w:color w:val="auto"/>
                    </w:rPr>
                    <w:t>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5" w:type="pct"/>
                  <w:tcBorders>
                    <w:tl2br w:val="nil"/>
                    <w:tr2bl w:val="nil"/>
                  </w:tcBorders>
                  <w:vAlign w:val="center"/>
                </w:tcPr>
                <w:p>
                  <w:pPr>
                    <w:pStyle w:val="35"/>
                    <w:rPr>
                      <w:color w:val="auto"/>
                    </w:rPr>
                  </w:pPr>
                  <w:r>
                    <w:rPr>
                      <w:rFonts w:hint="eastAsia"/>
                      <w:color w:val="auto"/>
                    </w:rPr>
                    <w:t>2</w:t>
                  </w:r>
                </w:p>
              </w:tc>
              <w:tc>
                <w:tcPr>
                  <w:tcW w:w="498" w:type="pct"/>
                  <w:tcBorders>
                    <w:tl2br w:val="nil"/>
                    <w:tr2bl w:val="nil"/>
                  </w:tcBorders>
                  <w:vAlign w:val="center"/>
                </w:tcPr>
                <w:p>
                  <w:pPr>
                    <w:pStyle w:val="35"/>
                    <w:rPr>
                      <w:color w:val="auto"/>
                    </w:rPr>
                  </w:pPr>
                  <w:r>
                    <w:rPr>
                      <w:rFonts w:hint="eastAsia"/>
                      <w:color w:val="auto"/>
                    </w:rPr>
                    <w:t>废机油</w:t>
                  </w:r>
                </w:p>
              </w:tc>
              <w:tc>
                <w:tcPr>
                  <w:tcW w:w="492" w:type="pct"/>
                  <w:tcBorders>
                    <w:tl2br w:val="nil"/>
                    <w:tr2bl w:val="nil"/>
                  </w:tcBorders>
                  <w:vAlign w:val="center"/>
                </w:tcPr>
                <w:p>
                  <w:pPr>
                    <w:pStyle w:val="35"/>
                    <w:rPr>
                      <w:color w:val="auto"/>
                    </w:rPr>
                  </w:pPr>
                  <w:r>
                    <w:rPr>
                      <w:rFonts w:hint="eastAsia"/>
                      <w:color w:val="auto"/>
                    </w:rPr>
                    <w:t>设备维修保养</w:t>
                  </w:r>
                </w:p>
              </w:tc>
              <w:tc>
                <w:tcPr>
                  <w:tcW w:w="563" w:type="pct"/>
                  <w:tcBorders>
                    <w:tl2br w:val="nil"/>
                    <w:tr2bl w:val="nil"/>
                  </w:tcBorders>
                  <w:vAlign w:val="center"/>
                </w:tcPr>
                <w:p>
                  <w:pPr>
                    <w:pStyle w:val="35"/>
                    <w:rPr>
                      <w:color w:val="auto"/>
                    </w:rPr>
                  </w:pPr>
                  <w:r>
                    <w:rPr>
                      <w:rFonts w:hint="eastAsia"/>
                      <w:color w:val="auto"/>
                    </w:rPr>
                    <w:t>0.05</w:t>
                  </w:r>
                </w:p>
              </w:tc>
              <w:tc>
                <w:tcPr>
                  <w:tcW w:w="579" w:type="pct"/>
                  <w:tcBorders>
                    <w:tl2br w:val="nil"/>
                    <w:tr2bl w:val="nil"/>
                  </w:tcBorders>
                  <w:vAlign w:val="center"/>
                </w:tcPr>
                <w:p>
                  <w:pPr>
                    <w:pStyle w:val="35"/>
                    <w:rPr>
                      <w:color w:val="auto"/>
                    </w:rPr>
                  </w:pPr>
                  <w:r>
                    <w:rPr>
                      <w:rFonts w:hint="eastAsia"/>
                      <w:color w:val="auto"/>
                    </w:rPr>
                    <w:t>0.125</w:t>
                  </w:r>
                </w:p>
              </w:tc>
              <w:tc>
                <w:tcPr>
                  <w:tcW w:w="488" w:type="pct"/>
                  <w:tcBorders>
                    <w:tl2br w:val="nil"/>
                    <w:tr2bl w:val="nil"/>
                  </w:tcBorders>
                  <w:vAlign w:val="center"/>
                </w:tcPr>
                <w:p>
                  <w:pPr>
                    <w:pStyle w:val="35"/>
                    <w:rPr>
                      <w:color w:val="auto"/>
                    </w:rPr>
                  </w:pPr>
                  <w:r>
                    <w:rPr>
                      <w:rFonts w:hint="eastAsia"/>
                      <w:color w:val="auto"/>
                    </w:rPr>
                    <w:t>0.175</w:t>
                  </w:r>
                </w:p>
              </w:tc>
              <w:tc>
                <w:tcPr>
                  <w:tcW w:w="424" w:type="pct"/>
                  <w:vMerge w:val="continue"/>
                  <w:tcBorders>
                    <w:tl2br w:val="nil"/>
                    <w:tr2bl w:val="nil"/>
                  </w:tcBorders>
                  <w:vAlign w:val="center"/>
                </w:tcPr>
                <w:p>
                  <w:pPr>
                    <w:pStyle w:val="35"/>
                    <w:rPr>
                      <w:color w:val="auto"/>
                    </w:rPr>
                  </w:pPr>
                </w:p>
              </w:tc>
              <w:tc>
                <w:tcPr>
                  <w:tcW w:w="920" w:type="pct"/>
                  <w:tcBorders>
                    <w:tl2br w:val="nil"/>
                    <w:tr2bl w:val="nil"/>
                  </w:tcBorders>
                  <w:vAlign w:val="center"/>
                </w:tcPr>
                <w:p>
                  <w:pPr>
                    <w:pStyle w:val="35"/>
                    <w:rPr>
                      <w:color w:val="auto"/>
                    </w:rPr>
                  </w:pPr>
                  <w:r>
                    <w:rPr>
                      <w:rFonts w:hint="eastAsia"/>
                      <w:color w:val="auto"/>
                      <w:lang w:val="zh-CN"/>
                    </w:rPr>
                    <w:t>HW</w:t>
                  </w:r>
                  <w:r>
                    <w:rPr>
                      <w:rFonts w:hint="eastAsia"/>
                      <w:color w:val="auto"/>
                    </w:rPr>
                    <w:t>08（900-2</w:t>
                  </w:r>
                  <w:r>
                    <w:rPr>
                      <w:rFonts w:hint="eastAsia"/>
                      <w:color w:val="auto"/>
                      <w:lang w:val="en-US" w:eastAsia="zh-CN"/>
                    </w:rPr>
                    <w:t>49</w:t>
                  </w:r>
                  <w:r>
                    <w:rPr>
                      <w:rFonts w:hint="eastAsia"/>
                      <w:color w:val="auto"/>
                    </w:rPr>
                    <w:t>-08）</w:t>
                  </w:r>
                </w:p>
              </w:tc>
              <w:tc>
                <w:tcPr>
                  <w:tcW w:w="776" w:type="pct"/>
                  <w:vMerge w:val="continue"/>
                  <w:tcBorders>
                    <w:tl2br w:val="nil"/>
                    <w:tr2bl w:val="nil"/>
                  </w:tcBorders>
                  <w:vAlign w:val="center"/>
                </w:tcPr>
                <w:p>
                  <w:pPr>
                    <w:pStyle w:val="35"/>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5" w:type="pct"/>
                  <w:tcBorders>
                    <w:tl2br w:val="nil"/>
                    <w:tr2bl w:val="nil"/>
                  </w:tcBorders>
                  <w:vAlign w:val="center"/>
                </w:tcPr>
                <w:p>
                  <w:pPr>
                    <w:pStyle w:val="35"/>
                    <w:rPr>
                      <w:color w:val="auto"/>
                    </w:rPr>
                  </w:pPr>
                  <w:r>
                    <w:rPr>
                      <w:rFonts w:hint="eastAsia"/>
                      <w:color w:val="auto"/>
                    </w:rPr>
                    <w:t>2</w:t>
                  </w:r>
                </w:p>
              </w:tc>
              <w:tc>
                <w:tcPr>
                  <w:tcW w:w="498" w:type="pct"/>
                  <w:tcBorders>
                    <w:tl2br w:val="nil"/>
                    <w:tr2bl w:val="nil"/>
                  </w:tcBorders>
                  <w:vAlign w:val="center"/>
                </w:tcPr>
                <w:p>
                  <w:pPr>
                    <w:pStyle w:val="35"/>
                    <w:rPr>
                      <w:color w:val="auto"/>
                    </w:rPr>
                  </w:pPr>
                  <w:r>
                    <w:rPr>
                      <w:rFonts w:hint="eastAsia"/>
                      <w:color w:val="auto"/>
                    </w:rPr>
                    <w:t>油泥</w:t>
                  </w:r>
                </w:p>
              </w:tc>
              <w:tc>
                <w:tcPr>
                  <w:tcW w:w="492" w:type="pct"/>
                  <w:tcBorders>
                    <w:tl2br w:val="nil"/>
                    <w:tr2bl w:val="nil"/>
                  </w:tcBorders>
                  <w:vAlign w:val="center"/>
                </w:tcPr>
                <w:p>
                  <w:pPr>
                    <w:pStyle w:val="35"/>
                    <w:rPr>
                      <w:color w:val="auto"/>
                    </w:rPr>
                  </w:pPr>
                  <w:r>
                    <w:rPr>
                      <w:rFonts w:hint="eastAsia"/>
                      <w:color w:val="auto"/>
                    </w:rPr>
                    <w:t>柴油储罐清罐</w:t>
                  </w:r>
                </w:p>
              </w:tc>
              <w:tc>
                <w:tcPr>
                  <w:tcW w:w="563" w:type="pct"/>
                  <w:tcBorders>
                    <w:tl2br w:val="nil"/>
                    <w:tr2bl w:val="nil"/>
                  </w:tcBorders>
                  <w:vAlign w:val="center"/>
                </w:tcPr>
                <w:p>
                  <w:pPr>
                    <w:pStyle w:val="35"/>
                    <w:rPr>
                      <w:color w:val="auto"/>
                    </w:rPr>
                  </w:pPr>
                  <w:r>
                    <w:rPr>
                      <w:rFonts w:hint="eastAsia"/>
                      <w:color w:val="auto"/>
                    </w:rPr>
                    <w:t>0.08</w:t>
                  </w:r>
                </w:p>
              </w:tc>
              <w:tc>
                <w:tcPr>
                  <w:tcW w:w="579" w:type="pct"/>
                  <w:tcBorders>
                    <w:tl2br w:val="nil"/>
                    <w:tr2bl w:val="nil"/>
                  </w:tcBorders>
                  <w:vAlign w:val="center"/>
                </w:tcPr>
                <w:p>
                  <w:pPr>
                    <w:pStyle w:val="35"/>
                    <w:rPr>
                      <w:color w:val="auto"/>
                    </w:rPr>
                  </w:pPr>
                  <w:r>
                    <w:rPr>
                      <w:rFonts w:hint="eastAsia"/>
                      <w:color w:val="auto"/>
                    </w:rPr>
                    <w:t>0.1</w:t>
                  </w:r>
                </w:p>
              </w:tc>
              <w:tc>
                <w:tcPr>
                  <w:tcW w:w="488" w:type="pct"/>
                  <w:tcBorders>
                    <w:tl2br w:val="nil"/>
                    <w:tr2bl w:val="nil"/>
                  </w:tcBorders>
                  <w:vAlign w:val="center"/>
                </w:tcPr>
                <w:p>
                  <w:pPr>
                    <w:pStyle w:val="35"/>
                    <w:rPr>
                      <w:color w:val="auto"/>
                    </w:rPr>
                  </w:pPr>
                  <w:r>
                    <w:rPr>
                      <w:rFonts w:hint="eastAsia"/>
                      <w:color w:val="auto"/>
                    </w:rPr>
                    <w:t>0.18</w:t>
                  </w:r>
                </w:p>
              </w:tc>
              <w:tc>
                <w:tcPr>
                  <w:tcW w:w="424" w:type="pct"/>
                  <w:vMerge w:val="continue"/>
                  <w:tcBorders>
                    <w:tl2br w:val="nil"/>
                    <w:tr2bl w:val="nil"/>
                  </w:tcBorders>
                  <w:vAlign w:val="center"/>
                </w:tcPr>
                <w:p>
                  <w:pPr>
                    <w:pStyle w:val="35"/>
                    <w:rPr>
                      <w:color w:val="auto"/>
                    </w:rPr>
                  </w:pPr>
                </w:p>
              </w:tc>
              <w:tc>
                <w:tcPr>
                  <w:tcW w:w="920" w:type="pct"/>
                  <w:tcBorders>
                    <w:tl2br w:val="nil"/>
                    <w:tr2bl w:val="nil"/>
                  </w:tcBorders>
                  <w:vAlign w:val="center"/>
                </w:tcPr>
                <w:p>
                  <w:pPr>
                    <w:pStyle w:val="35"/>
                    <w:rPr>
                      <w:color w:val="auto"/>
                    </w:rPr>
                  </w:pPr>
                  <w:r>
                    <w:rPr>
                      <w:rFonts w:hint="eastAsia"/>
                      <w:color w:val="auto"/>
                    </w:rPr>
                    <w:t>HW08（900-221-08）</w:t>
                  </w:r>
                </w:p>
              </w:tc>
              <w:tc>
                <w:tcPr>
                  <w:tcW w:w="776" w:type="pct"/>
                  <w:vMerge w:val="continue"/>
                  <w:tcBorders>
                    <w:tl2br w:val="nil"/>
                    <w:tr2bl w:val="nil"/>
                  </w:tcBorders>
                  <w:vAlign w:val="center"/>
                </w:tcPr>
                <w:p>
                  <w:pPr>
                    <w:pStyle w:val="35"/>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5" w:type="pct"/>
                  <w:tcBorders>
                    <w:tl2br w:val="nil"/>
                    <w:tr2bl w:val="nil"/>
                  </w:tcBorders>
                  <w:vAlign w:val="center"/>
                </w:tcPr>
                <w:p>
                  <w:pPr>
                    <w:pStyle w:val="35"/>
                    <w:rPr>
                      <w:color w:val="auto"/>
                    </w:rPr>
                  </w:pPr>
                  <w:r>
                    <w:rPr>
                      <w:rFonts w:hint="eastAsia"/>
                      <w:color w:val="auto"/>
                    </w:rPr>
                    <w:t>3</w:t>
                  </w:r>
                </w:p>
              </w:tc>
              <w:tc>
                <w:tcPr>
                  <w:tcW w:w="498" w:type="pct"/>
                  <w:tcBorders>
                    <w:tl2br w:val="nil"/>
                    <w:tr2bl w:val="nil"/>
                  </w:tcBorders>
                  <w:vAlign w:val="center"/>
                </w:tcPr>
                <w:p>
                  <w:pPr>
                    <w:pStyle w:val="35"/>
                    <w:rPr>
                      <w:color w:val="auto"/>
                    </w:rPr>
                  </w:pPr>
                  <w:r>
                    <w:rPr>
                      <w:color w:val="auto"/>
                    </w:rPr>
                    <w:t>废</w:t>
                  </w:r>
                  <w:r>
                    <w:rPr>
                      <w:rFonts w:hint="eastAsia"/>
                      <w:color w:val="auto"/>
                      <w:lang w:val="en-US" w:eastAsia="zh-CN"/>
                    </w:rPr>
                    <w:t>硝酸铵</w:t>
                  </w:r>
                  <w:r>
                    <w:rPr>
                      <w:color w:val="auto"/>
                    </w:rPr>
                    <w:t>包装袋</w:t>
                  </w:r>
                </w:p>
              </w:tc>
              <w:tc>
                <w:tcPr>
                  <w:tcW w:w="492" w:type="pct"/>
                  <w:tcBorders>
                    <w:tl2br w:val="nil"/>
                    <w:tr2bl w:val="nil"/>
                  </w:tcBorders>
                  <w:vAlign w:val="center"/>
                </w:tcPr>
                <w:p>
                  <w:pPr>
                    <w:pStyle w:val="35"/>
                    <w:rPr>
                      <w:color w:val="auto"/>
                    </w:rPr>
                  </w:pPr>
                  <w:r>
                    <w:rPr>
                      <w:color w:val="auto"/>
                    </w:rPr>
                    <w:t>原材</w:t>
                  </w:r>
                </w:p>
                <w:p>
                  <w:pPr>
                    <w:pStyle w:val="35"/>
                    <w:rPr>
                      <w:color w:val="auto"/>
                    </w:rPr>
                  </w:pPr>
                  <w:r>
                    <w:rPr>
                      <w:color w:val="auto"/>
                    </w:rPr>
                    <w:t>料库</w:t>
                  </w:r>
                </w:p>
              </w:tc>
              <w:tc>
                <w:tcPr>
                  <w:tcW w:w="563" w:type="pct"/>
                  <w:tcBorders>
                    <w:tl2br w:val="nil"/>
                    <w:tr2bl w:val="nil"/>
                  </w:tcBorders>
                  <w:vAlign w:val="center"/>
                </w:tcPr>
                <w:p>
                  <w:pPr>
                    <w:pStyle w:val="35"/>
                    <w:rPr>
                      <w:color w:val="auto"/>
                    </w:rPr>
                  </w:pPr>
                  <w:r>
                    <w:rPr>
                      <w:rFonts w:hint="eastAsia"/>
                      <w:color w:val="auto"/>
                    </w:rPr>
                    <w:t>0.68</w:t>
                  </w:r>
                </w:p>
              </w:tc>
              <w:tc>
                <w:tcPr>
                  <w:tcW w:w="579" w:type="pct"/>
                  <w:tcBorders>
                    <w:tl2br w:val="nil"/>
                    <w:tr2bl w:val="nil"/>
                  </w:tcBorders>
                  <w:vAlign w:val="center"/>
                </w:tcPr>
                <w:p>
                  <w:pPr>
                    <w:pStyle w:val="35"/>
                    <w:rPr>
                      <w:color w:val="auto"/>
                    </w:rPr>
                  </w:pPr>
                  <w:r>
                    <w:rPr>
                      <w:rFonts w:hint="eastAsia"/>
                      <w:color w:val="auto"/>
                    </w:rPr>
                    <w:t>2.61</w:t>
                  </w:r>
                </w:p>
              </w:tc>
              <w:tc>
                <w:tcPr>
                  <w:tcW w:w="488" w:type="pct"/>
                  <w:tcBorders>
                    <w:tl2br w:val="nil"/>
                    <w:tr2bl w:val="nil"/>
                  </w:tcBorders>
                  <w:vAlign w:val="center"/>
                </w:tcPr>
                <w:p>
                  <w:pPr>
                    <w:pStyle w:val="35"/>
                    <w:rPr>
                      <w:color w:val="auto"/>
                    </w:rPr>
                  </w:pPr>
                  <w:r>
                    <w:rPr>
                      <w:rFonts w:hint="eastAsia"/>
                      <w:color w:val="auto"/>
                    </w:rPr>
                    <w:t>3.29</w:t>
                  </w:r>
                </w:p>
              </w:tc>
              <w:tc>
                <w:tcPr>
                  <w:tcW w:w="424" w:type="pct"/>
                  <w:vMerge w:val="continue"/>
                  <w:tcBorders>
                    <w:tl2br w:val="nil"/>
                    <w:tr2bl w:val="nil"/>
                  </w:tcBorders>
                  <w:vAlign w:val="center"/>
                </w:tcPr>
                <w:p>
                  <w:pPr>
                    <w:pStyle w:val="35"/>
                    <w:rPr>
                      <w:color w:val="auto"/>
                    </w:rPr>
                  </w:pPr>
                </w:p>
              </w:tc>
              <w:tc>
                <w:tcPr>
                  <w:tcW w:w="920" w:type="pct"/>
                  <w:tcBorders>
                    <w:tl2br w:val="nil"/>
                    <w:tr2bl w:val="nil"/>
                  </w:tcBorders>
                  <w:vAlign w:val="center"/>
                </w:tcPr>
                <w:p>
                  <w:pPr>
                    <w:pStyle w:val="35"/>
                    <w:rPr>
                      <w:color w:val="auto"/>
                    </w:rPr>
                  </w:pPr>
                  <w:r>
                    <w:rPr>
                      <w:rFonts w:hint="eastAsia"/>
                      <w:color w:val="auto"/>
                      <w:szCs w:val="21"/>
                      <w:lang w:val="zh-CN"/>
                    </w:rPr>
                    <w:t>HW</w:t>
                  </w:r>
                  <w:r>
                    <w:rPr>
                      <w:rFonts w:hint="eastAsia"/>
                      <w:color w:val="auto"/>
                      <w:szCs w:val="21"/>
                    </w:rPr>
                    <w:t>08（900-</w:t>
                  </w:r>
                  <w:r>
                    <w:rPr>
                      <w:rFonts w:hint="eastAsia"/>
                      <w:color w:val="auto"/>
                      <w:szCs w:val="21"/>
                      <w:lang w:val="en-US" w:eastAsia="zh-CN"/>
                    </w:rPr>
                    <w:t>041-49</w:t>
                  </w:r>
                  <w:r>
                    <w:rPr>
                      <w:rFonts w:hint="eastAsia"/>
                      <w:color w:val="auto"/>
                      <w:szCs w:val="21"/>
                    </w:rPr>
                    <w:t>）</w:t>
                  </w:r>
                </w:p>
              </w:tc>
              <w:tc>
                <w:tcPr>
                  <w:tcW w:w="776" w:type="pct"/>
                  <w:vMerge w:val="continue"/>
                  <w:tcBorders>
                    <w:tl2br w:val="nil"/>
                    <w:tr2bl w:val="nil"/>
                  </w:tcBorders>
                  <w:vAlign w:val="center"/>
                </w:tcPr>
                <w:p>
                  <w:pPr>
                    <w:pStyle w:val="35"/>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5" w:type="pct"/>
                  <w:tcBorders>
                    <w:tl2br w:val="nil"/>
                    <w:tr2bl w:val="nil"/>
                  </w:tcBorders>
                  <w:vAlign w:val="center"/>
                </w:tcPr>
                <w:p>
                  <w:pPr>
                    <w:pStyle w:val="35"/>
                    <w:rPr>
                      <w:color w:val="auto"/>
                    </w:rPr>
                  </w:pPr>
                  <w:r>
                    <w:rPr>
                      <w:rFonts w:hint="eastAsia"/>
                      <w:color w:val="auto"/>
                    </w:rPr>
                    <w:t>4</w:t>
                  </w:r>
                </w:p>
              </w:tc>
              <w:tc>
                <w:tcPr>
                  <w:tcW w:w="498" w:type="pct"/>
                  <w:tcBorders>
                    <w:tl2br w:val="nil"/>
                    <w:tr2bl w:val="nil"/>
                  </w:tcBorders>
                  <w:vAlign w:val="center"/>
                </w:tcPr>
                <w:p>
                  <w:pPr>
                    <w:pStyle w:val="35"/>
                    <w:rPr>
                      <w:color w:val="auto"/>
                    </w:rPr>
                  </w:pPr>
                  <w:r>
                    <w:rPr>
                      <w:color w:val="auto"/>
                    </w:rPr>
                    <w:t>生活</w:t>
                  </w:r>
                </w:p>
                <w:p>
                  <w:pPr>
                    <w:pStyle w:val="35"/>
                    <w:rPr>
                      <w:color w:val="auto"/>
                    </w:rPr>
                  </w:pPr>
                  <w:r>
                    <w:rPr>
                      <w:color w:val="auto"/>
                    </w:rPr>
                    <w:t>垃圾</w:t>
                  </w:r>
                </w:p>
              </w:tc>
              <w:tc>
                <w:tcPr>
                  <w:tcW w:w="492" w:type="pct"/>
                  <w:tcBorders>
                    <w:tl2br w:val="nil"/>
                    <w:tr2bl w:val="nil"/>
                  </w:tcBorders>
                  <w:vAlign w:val="center"/>
                </w:tcPr>
                <w:p>
                  <w:pPr>
                    <w:pStyle w:val="35"/>
                    <w:rPr>
                      <w:color w:val="auto"/>
                    </w:rPr>
                  </w:pPr>
                  <w:r>
                    <w:rPr>
                      <w:rFonts w:hint="eastAsia"/>
                      <w:color w:val="auto"/>
                    </w:rPr>
                    <w:t>生活</w:t>
                  </w:r>
                  <w:r>
                    <w:rPr>
                      <w:color w:val="auto"/>
                    </w:rPr>
                    <w:t>办公</w:t>
                  </w:r>
                  <w:r>
                    <w:rPr>
                      <w:rFonts w:hint="eastAsia"/>
                      <w:color w:val="auto"/>
                    </w:rPr>
                    <w:t>区</w:t>
                  </w:r>
                </w:p>
              </w:tc>
              <w:tc>
                <w:tcPr>
                  <w:tcW w:w="563" w:type="pct"/>
                  <w:tcBorders>
                    <w:tl2br w:val="nil"/>
                    <w:tr2bl w:val="nil"/>
                  </w:tcBorders>
                  <w:vAlign w:val="center"/>
                </w:tcPr>
                <w:p>
                  <w:pPr>
                    <w:pStyle w:val="35"/>
                    <w:rPr>
                      <w:color w:val="auto"/>
                    </w:rPr>
                  </w:pPr>
                  <w:r>
                    <w:rPr>
                      <w:rFonts w:hint="eastAsia"/>
                      <w:color w:val="auto"/>
                    </w:rPr>
                    <w:t>1.88</w:t>
                  </w:r>
                </w:p>
              </w:tc>
              <w:tc>
                <w:tcPr>
                  <w:tcW w:w="579" w:type="pct"/>
                  <w:tcBorders>
                    <w:tl2br w:val="nil"/>
                    <w:tr2bl w:val="nil"/>
                  </w:tcBorders>
                  <w:vAlign w:val="center"/>
                </w:tcPr>
                <w:p>
                  <w:pPr>
                    <w:pStyle w:val="35"/>
                    <w:rPr>
                      <w:color w:val="auto"/>
                    </w:rPr>
                  </w:pPr>
                  <w:r>
                    <w:rPr>
                      <w:rFonts w:hint="eastAsia"/>
                      <w:color w:val="auto"/>
                    </w:rPr>
                    <w:t>1.25</w:t>
                  </w:r>
                </w:p>
              </w:tc>
              <w:tc>
                <w:tcPr>
                  <w:tcW w:w="488" w:type="pct"/>
                  <w:tcBorders>
                    <w:tl2br w:val="nil"/>
                    <w:tr2bl w:val="nil"/>
                  </w:tcBorders>
                  <w:vAlign w:val="center"/>
                </w:tcPr>
                <w:p>
                  <w:pPr>
                    <w:pStyle w:val="35"/>
                    <w:rPr>
                      <w:color w:val="auto"/>
                    </w:rPr>
                  </w:pPr>
                  <w:r>
                    <w:rPr>
                      <w:rFonts w:hint="eastAsia"/>
                      <w:color w:val="auto"/>
                    </w:rPr>
                    <w:t>3.13</w:t>
                  </w:r>
                </w:p>
              </w:tc>
              <w:tc>
                <w:tcPr>
                  <w:tcW w:w="424" w:type="pct"/>
                  <w:tcBorders>
                    <w:tl2br w:val="nil"/>
                    <w:tr2bl w:val="nil"/>
                  </w:tcBorders>
                  <w:vAlign w:val="center"/>
                </w:tcPr>
                <w:p>
                  <w:pPr>
                    <w:pStyle w:val="35"/>
                    <w:rPr>
                      <w:color w:val="auto"/>
                    </w:rPr>
                  </w:pPr>
                  <w:r>
                    <w:rPr>
                      <w:rFonts w:hint="eastAsia"/>
                      <w:color w:val="auto"/>
                    </w:rPr>
                    <w:t>/</w:t>
                  </w:r>
                </w:p>
              </w:tc>
              <w:tc>
                <w:tcPr>
                  <w:tcW w:w="920" w:type="pct"/>
                  <w:tcBorders>
                    <w:tl2br w:val="nil"/>
                    <w:tr2bl w:val="nil"/>
                  </w:tcBorders>
                  <w:vAlign w:val="center"/>
                </w:tcPr>
                <w:p>
                  <w:pPr>
                    <w:pStyle w:val="35"/>
                    <w:rPr>
                      <w:color w:val="auto"/>
                    </w:rPr>
                  </w:pPr>
                  <w:r>
                    <w:rPr>
                      <w:rFonts w:hint="eastAsia"/>
                      <w:color w:val="auto"/>
                    </w:rPr>
                    <w:t>/</w:t>
                  </w:r>
                </w:p>
              </w:tc>
              <w:tc>
                <w:tcPr>
                  <w:tcW w:w="776" w:type="pct"/>
                  <w:tcBorders>
                    <w:tl2br w:val="nil"/>
                    <w:tr2bl w:val="nil"/>
                  </w:tcBorders>
                  <w:vAlign w:val="center"/>
                </w:tcPr>
                <w:p>
                  <w:pPr>
                    <w:pStyle w:val="35"/>
                    <w:rPr>
                      <w:color w:val="auto"/>
                    </w:rPr>
                  </w:pPr>
                  <w:r>
                    <w:rPr>
                      <w:rFonts w:hint="eastAsia"/>
                      <w:color w:val="auto"/>
                    </w:rPr>
                    <w:t>集中收集后委托成都瑞鑫鑫环卫有限公司拉运处置</w:t>
                  </w:r>
                </w:p>
              </w:tc>
            </w:tr>
          </w:tbl>
          <w:p>
            <w:pPr>
              <w:pStyle w:val="70"/>
              <w:rPr>
                <w:color w:val="auto"/>
              </w:rPr>
            </w:pPr>
            <w:r>
              <w:rPr>
                <w:color w:val="auto"/>
              </w:rPr>
              <w:t>由上表可以得出该项目所产生的各种固体废物均具有良好的处置方法，处置率100%，符合固体废物减量化、资源化、无害化要求，防治措施可行，不会对周围环境产生影响。</w:t>
            </w:r>
          </w:p>
          <w:p>
            <w:pPr>
              <w:adjustRightInd w:val="0"/>
              <w:snapToGrid w:val="0"/>
              <w:spacing w:line="480" w:lineRule="exact"/>
              <w:ind w:firstLine="482" w:firstLineChars="200"/>
              <w:rPr>
                <w:b/>
                <w:bCs/>
                <w:color w:val="auto"/>
                <w:sz w:val="24"/>
              </w:rPr>
            </w:pPr>
            <w:r>
              <w:rPr>
                <w:rFonts w:hint="eastAsia"/>
                <w:b/>
                <w:bCs/>
                <w:color w:val="auto"/>
                <w:sz w:val="24"/>
              </w:rPr>
              <w:t>5、地下水</w:t>
            </w:r>
          </w:p>
          <w:p>
            <w:pPr>
              <w:adjustRightInd w:val="0"/>
              <w:snapToGrid w:val="0"/>
              <w:spacing w:line="480" w:lineRule="exact"/>
              <w:ind w:firstLine="482" w:firstLineChars="200"/>
              <w:rPr>
                <w:b/>
                <w:bCs/>
                <w:color w:val="auto"/>
                <w:sz w:val="24"/>
              </w:rPr>
            </w:pPr>
            <w:r>
              <w:rPr>
                <w:rFonts w:hint="eastAsia"/>
                <w:b/>
                <w:bCs/>
                <w:color w:val="auto"/>
                <w:sz w:val="24"/>
              </w:rPr>
              <w:t>5.1污染源分析</w:t>
            </w:r>
          </w:p>
          <w:p>
            <w:pPr>
              <w:adjustRightInd w:val="0"/>
              <w:snapToGrid w:val="0"/>
              <w:spacing w:line="520" w:lineRule="exact"/>
              <w:ind w:firstLine="480" w:firstLineChars="200"/>
              <w:rPr>
                <w:color w:val="auto"/>
              </w:rPr>
            </w:pPr>
            <w:r>
              <w:rPr>
                <w:rFonts w:hint="eastAsia"/>
                <w:color w:val="auto"/>
                <w:sz w:val="24"/>
              </w:rPr>
              <w:t>本项目地下水污染源主要为车辆冲洗废水和生活污水。</w:t>
            </w:r>
          </w:p>
          <w:p>
            <w:pPr>
              <w:adjustRightInd w:val="0"/>
              <w:snapToGrid w:val="0"/>
              <w:spacing w:line="480" w:lineRule="exact"/>
              <w:ind w:firstLine="482" w:firstLineChars="200"/>
              <w:rPr>
                <w:b/>
                <w:bCs/>
                <w:color w:val="auto"/>
                <w:sz w:val="24"/>
              </w:rPr>
            </w:pPr>
            <w:r>
              <w:rPr>
                <w:rFonts w:hint="eastAsia"/>
                <w:b/>
                <w:bCs/>
                <w:color w:val="auto"/>
                <w:sz w:val="24"/>
              </w:rPr>
              <w:t>5.2污染防控措施</w:t>
            </w:r>
          </w:p>
          <w:p>
            <w:pPr>
              <w:adjustRightInd w:val="0"/>
              <w:snapToGrid w:val="0"/>
              <w:spacing w:line="520" w:lineRule="exact"/>
              <w:ind w:firstLine="480" w:firstLineChars="200"/>
              <w:rPr>
                <w:color w:val="auto"/>
                <w:sz w:val="24"/>
              </w:rPr>
            </w:pPr>
            <w:r>
              <w:rPr>
                <w:rFonts w:hint="eastAsia"/>
                <w:color w:val="auto"/>
                <w:sz w:val="24"/>
              </w:rPr>
              <w:t>本项目洗车废水及生活污水依托现有工程已建隔油沉淀池及</w:t>
            </w:r>
            <w:r>
              <w:rPr>
                <w:color w:val="auto"/>
                <w:sz w:val="24"/>
              </w:rPr>
              <w:t>一</w:t>
            </w:r>
            <w:r>
              <w:rPr>
                <w:rFonts w:hint="eastAsia"/>
                <w:color w:val="auto"/>
                <w:sz w:val="24"/>
              </w:rPr>
              <w:t>体化污水处理设施经处理达到《城市污水再利用城市杂用水水质》（GB/T18920-2020）绿化用水标准限值后，用于厂区绿化，不外排。</w:t>
            </w:r>
          </w:p>
          <w:p>
            <w:pPr>
              <w:adjustRightInd w:val="0"/>
              <w:snapToGrid w:val="0"/>
              <w:spacing w:line="480" w:lineRule="exact"/>
              <w:ind w:firstLine="482" w:firstLineChars="200"/>
              <w:rPr>
                <w:b/>
                <w:bCs/>
                <w:color w:val="auto"/>
                <w:sz w:val="24"/>
              </w:rPr>
            </w:pPr>
            <w:r>
              <w:rPr>
                <w:rFonts w:hint="eastAsia"/>
                <w:b/>
                <w:bCs/>
                <w:color w:val="auto"/>
                <w:sz w:val="24"/>
              </w:rPr>
              <w:t>5.3分区防渗要求</w:t>
            </w:r>
          </w:p>
          <w:p>
            <w:pPr>
              <w:adjustRightInd w:val="0"/>
              <w:snapToGrid w:val="0"/>
              <w:spacing w:line="480" w:lineRule="exact"/>
              <w:ind w:firstLine="480" w:firstLineChars="200"/>
              <w:rPr>
                <w:color w:val="auto"/>
                <w:sz w:val="24"/>
              </w:rPr>
            </w:pPr>
            <w:r>
              <w:rPr>
                <w:rFonts w:hint="eastAsia"/>
                <w:color w:val="auto"/>
                <w:sz w:val="24"/>
              </w:rPr>
              <w:t>本项目为扩建项目，本次扩建新增10台现场混装车，其他工程均依托现有工程，分区防渗措施能满足相关要求。</w:t>
            </w:r>
          </w:p>
          <w:p>
            <w:pPr>
              <w:adjustRightInd w:val="0"/>
              <w:snapToGrid w:val="0"/>
              <w:spacing w:line="480" w:lineRule="exact"/>
              <w:ind w:firstLine="482" w:firstLineChars="200"/>
              <w:rPr>
                <w:b/>
                <w:bCs/>
                <w:color w:val="auto"/>
                <w:sz w:val="24"/>
              </w:rPr>
            </w:pPr>
            <w:r>
              <w:rPr>
                <w:rFonts w:hint="eastAsia"/>
                <w:b/>
                <w:bCs/>
                <w:color w:val="auto"/>
                <w:sz w:val="24"/>
              </w:rPr>
              <w:t>5.4跟踪监测计划</w:t>
            </w:r>
          </w:p>
          <w:p>
            <w:pPr>
              <w:adjustRightInd w:val="0"/>
              <w:snapToGrid w:val="0"/>
              <w:spacing w:line="520" w:lineRule="exact"/>
              <w:ind w:firstLine="480" w:firstLineChars="200"/>
              <w:rPr>
                <w:color w:val="auto"/>
                <w:sz w:val="24"/>
              </w:rPr>
            </w:pPr>
            <w:r>
              <w:rPr>
                <w:rFonts w:hint="eastAsia"/>
                <w:color w:val="auto"/>
                <w:sz w:val="24"/>
              </w:rPr>
              <w:t>地下水跟踪监测计划</w:t>
            </w:r>
            <w:r>
              <w:rPr>
                <w:rFonts w:hint="eastAsia"/>
                <w:color w:val="auto"/>
                <w:sz w:val="24"/>
                <w:lang w:val="en-US" w:eastAsia="zh-CN"/>
              </w:rPr>
              <w:t>纳入现有工程监测计划，</w:t>
            </w:r>
            <w:r>
              <w:rPr>
                <w:rFonts w:hint="eastAsia"/>
                <w:color w:val="auto"/>
                <w:sz w:val="24"/>
              </w:rPr>
              <w:t>见下表。</w:t>
            </w:r>
          </w:p>
          <w:p>
            <w:pPr>
              <w:pStyle w:val="36"/>
              <w:rPr>
                <w:color w:val="auto"/>
              </w:rPr>
            </w:pPr>
            <w:r>
              <w:rPr>
                <w:rFonts w:hint="eastAsia"/>
                <w:color w:val="auto"/>
              </w:rPr>
              <w:t>表4-7  本项目地下水环境监测计划</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1631"/>
              <w:gridCol w:w="3063"/>
              <w:gridCol w:w="1682"/>
              <w:gridCol w:w="15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pct"/>
                  <w:tcBorders>
                    <w:tl2br w:val="nil"/>
                    <w:tr2bl w:val="nil"/>
                  </w:tcBorders>
                  <w:vAlign w:val="center"/>
                </w:tcPr>
                <w:p>
                  <w:pPr>
                    <w:pStyle w:val="16"/>
                    <w:jc w:val="center"/>
                    <w:rPr>
                      <w:rFonts w:ascii="Times New Roman" w:hAnsi="Times New Roman"/>
                      <w:color w:val="auto"/>
                      <w:szCs w:val="21"/>
                    </w:rPr>
                  </w:pPr>
                  <w:r>
                    <w:rPr>
                      <w:rFonts w:ascii="Times New Roman" w:hAnsi="Times New Roman"/>
                      <w:color w:val="auto"/>
                      <w:szCs w:val="21"/>
                    </w:rPr>
                    <w:t>类别</w:t>
                  </w:r>
                </w:p>
              </w:tc>
              <w:tc>
                <w:tcPr>
                  <w:tcW w:w="894" w:type="pct"/>
                  <w:tcBorders>
                    <w:tl2br w:val="nil"/>
                    <w:tr2bl w:val="nil"/>
                  </w:tcBorders>
                  <w:vAlign w:val="center"/>
                </w:tcPr>
                <w:p>
                  <w:pPr>
                    <w:pStyle w:val="16"/>
                    <w:jc w:val="center"/>
                    <w:rPr>
                      <w:rFonts w:ascii="Times New Roman" w:hAnsi="Times New Roman"/>
                      <w:color w:val="auto"/>
                      <w:szCs w:val="21"/>
                    </w:rPr>
                  </w:pPr>
                  <w:r>
                    <w:rPr>
                      <w:rFonts w:ascii="Times New Roman" w:hAnsi="Times New Roman"/>
                      <w:color w:val="auto"/>
                      <w:szCs w:val="21"/>
                    </w:rPr>
                    <w:t>监测对象</w:t>
                  </w:r>
                </w:p>
              </w:tc>
              <w:tc>
                <w:tcPr>
                  <w:tcW w:w="1679" w:type="pct"/>
                  <w:tcBorders>
                    <w:tl2br w:val="nil"/>
                    <w:tr2bl w:val="nil"/>
                  </w:tcBorders>
                  <w:vAlign w:val="center"/>
                </w:tcPr>
                <w:p>
                  <w:pPr>
                    <w:pStyle w:val="16"/>
                    <w:jc w:val="center"/>
                    <w:rPr>
                      <w:rFonts w:ascii="Times New Roman" w:hAnsi="Times New Roman"/>
                      <w:color w:val="auto"/>
                      <w:szCs w:val="21"/>
                    </w:rPr>
                  </w:pPr>
                  <w:r>
                    <w:rPr>
                      <w:rFonts w:ascii="Times New Roman" w:hAnsi="Times New Roman"/>
                      <w:color w:val="auto"/>
                      <w:szCs w:val="21"/>
                    </w:rPr>
                    <w:t>监测项目</w:t>
                  </w:r>
                </w:p>
              </w:tc>
              <w:tc>
                <w:tcPr>
                  <w:tcW w:w="922" w:type="pct"/>
                  <w:tcBorders>
                    <w:tl2br w:val="nil"/>
                    <w:tr2bl w:val="nil"/>
                  </w:tcBorders>
                  <w:vAlign w:val="center"/>
                </w:tcPr>
                <w:p>
                  <w:pPr>
                    <w:pStyle w:val="16"/>
                    <w:jc w:val="center"/>
                    <w:rPr>
                      <w:rFonts w:ascii="Times New Roman" w:hAnsi="Times New Roman"/>
                      <w:color w:val="auto"/>
                      <w:szCs w:val="21"/>
                    </w:rPr>
                  </w:pPr>
                  <w:r>
                    <w:rPr>
                      <w:rFonts w:ascii="Times New Roman" w:hAnsi="Times New Roman"/>
                      <w:color w:val="auto"/>
                      <w:szCs w:val="21"/>
                    </w:rPr>
                    <w:t>监测频率</w:t>
                  </w:r>
                </w:p>
              </w:tc>
              <w:tc>
                <w:tcPr>
                  <w:tcW w:w="866" w:type="pct"/>
                  <w:tcBorders>
                    <w:tl2br w:val="nil"/>
                    <w:tr2bl w:val="nil"/>
                  </w:tcBorders>
                </w:tcPr>
                <w:p>
                  <w:pPr>
                    <w:pStyle w:val="16"/>
                    <w:jc w:val="center"/>
                    <w:rPr>
                      <w:rFonts w:ascii="Times New Roman" w:hAnsi="Times New Roman"/>
                      <w:color w:val="auto"/>
                      <w:szCs w:val="21"/>
                    </w:rPr>
                  </w:pPr>
                  <w:r>
                    <w:rPr>
                      <w:rFonts w:ascii="Times New Roman" w:hAnsi="Times New Roman"/>
                      <w:color w:val="auto"/>
                      <w:szCs w:val="21"/>
                    </w:rPr>
                    <w:t>监测方式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pct"/>
                  <w:tcBorders>
                    <w:tl2br w:val="nil"/>
                    <w:tr2bl w:val="nil"/>
                  </w:tcBorders>
                  <w:vAlign w:val="center"/>
                </w:tcPr>
                <w:p>
                  <w:pPr>
                    <w:pStyle w:val="16"/>
                    <w:jc w:val="center"/>
                    <w:rPr>
                      <w:rFonts w:ascii="Times New Roman" w:hAnsi="Times New Roman"/>
                      <w:color w:val="auto"/>
                      <w:szCs w:val="21"/>
                    </w:rPr>
                  </w:pPr>
                  <w:r>
                    <w:rPr>
                      <w:rFonts w:ascii="Times New Roman" w:hAnsi="Times New Roman"/>
                      <w:color w:val="auto"/>
                      <w:szCs w:val="21"/>
                    </w:rPr>
                    <w:t>环境质量监测</w:t>
                  </w:r>
                </w:p>
              </w:tc>
              <w:tc>
                <w:tcPr>
                  <w:tcW w:w="894" w:type="pct"/>
                  <w:tcBorders>
                    <w:tl2br w:val="nil"/>
                    <w:tr2bl w:val="nil"/>
                  </w:tcBorders>
                  <w:vAlign w:val="center"/>
                </w:tcPr>
                <w:p>
                  <w:pPr>
                    <w:pStyle w:val="16"/>
                    <w:jc w:val="center"/>
                    <w:rPr>
                      <w:rFonts w:ascii="Times New Roman" w:hAnsi="Times New Roman"/>
                      <w:color w:val="auto"/>
                      <w:szCs w:val="21"/>
                    </w:rPr>
                  </w:pPr>
                  <w:r>
                    <w:rPr>
                      <w:rFonts w:ascii="Times New Roman" w:hAnsi="Times New Roman"/>
                      <w:color w:val="auto"/>
                      <w:szCs w:val="21"/>
                    </w:rPr>
                    <w:t>厂区下游地下水监测井</w:t>
                  </w:r>
                </w:p>
              </w:tc>
              <w:tc>
                <w:tcPr>
                  <w:tcW w:w="1679" w:type="pct"/>
                  <w:tcBorders>
                    <w:tl2br w:val="nil"/>
                    <w:tr2bl w:val="nil"/>
                  </w:tcBorders>
                  <w:vAlign w:val="center"/>
                </w:tcPr>
                <w:p>
                  <w:pPr>
                    <w:pStyle w:val="16"/>
                    <w:jc w:val="center"/>
                    <w:rPr>
                      <w:rFonts w:ascii="Times New Roman" w:hAnsi="Times New Roman"/>
                      <w:color w:val="auto"/>
                      <w:szCs w:val="21"/>
                    </w:rPr>
                  </w:pPr>
                  <w:r>
                    <w:rPr>
                      <w:rFonts w:ascii="Times New Roman" w:hAnsi="Times New Roman"/>
                      <w:color w:val="auto"/>
                      <w:szCs w:val="21"/>
                    </w:rPr>
                    <w:t>pH、石油类、总硬度、溶</w:t>
                  </w:r>
                </w:p>
                <w:p>
                  <w:pPr>
                    <w:pStyle w:val="16"/>
                    <w:jc w:val="center"/>
                    <w:rPr>
                      <w:rFonts w:ascii="Times New Roman" w:hAnsi="Times New Roman"/>
                      <w:color w:val="auto"/>
                      <w:szCs w:val="21"/>
                    </w:rPr>
                  </w:pPr>
                  <w:r>
                    <w:rPr>
                      <w:rFonts w:ascii="Times New Roman" w:hAnsi="Times New Roman"/>
                      <w:color w:val="auto"/>
                      <w:szCs w:val="21"/>
                    </w:rPr>
                    <w:t>解性总固体、高锰酸盐指</w:t>
                  </w:r>
                </w:p>
                <w:p>
                  <w:pPr>
                    <w:pStyle w:val="16"/>
                    <w:jc w:val="center"/>
                    <w:rPr>
                      <w:rFonts w:ascii="Times New Roman" w:hAnsi="Times New Roman"/>
                      <w:color w:val="auto"/>
                      <w:szCs w:val="21"/>
                    </w:rPr>
                  </w:pPr>
                  <w:r>
                    <w:rPr>
                      <w:rFonts w:ascii="Times New Roman" w:hAnsi="Times New Roman"/>
                      <w:color w:val="auto"/>
                      <w:szCs w:val="21"/>
                    </w:rPr>
                    <w:t>数、挥发酚</w:t>
                  </w:r>
                </w:p>
              </w:tc>
              <w:tc>
                <w:tcPr>
                  <w:tcW w:w="922" w:type="pct"/>
                  <w:tcBorders>
                    <w:tl2br w:val="nil"/>
                    <w:tr2bl w:val="nil"/>
                  </w:tcBorders>
                  <w:vAlign w:val="center"/>
                </w:tcPr>
                <w:p>
                  <w:pPr>
                    <w:pStyle w:val="16"/>
                    <w:jc w:val="center"/>
                    <w:rPr>
                      <w:rFonts w:ascii="Times New Roman" w:hAnsi="Times New Roman"/>
                      <w:color w:val="auto"/>
                      <w:szCs w:val="21"/>
                    </w:rPr>
                  </w:pPr>
                  <w:r>
                    <w:rPr>
                      <w:rFonts w:ascii="Times New Roman" w:hAnsi="Times New Roman"/>
                      <w:color w:val="auto"/>
                      <w:szCs w:val="21"/>
                    </w:rPr>
                    <w:t>间断监测</w:t>
                  </w:r>
                </w:p>
                <w:p>
                  <w:pPr>
                    <w:pStyle w:val="16"/>
                    <w:jc w:val="center"/>
                    <w:rPr>
                      <w:rFonts w:ascii="Times New Roman" w:hAnsi="Times New Roman"/>
                      <w:color w:val="auto"/>
                      <w:szCs w:val="21"/>
                    </w:rPr>
                  </w:pPr>
                  <w:r>
                    <w:rPr>
                      <w:rFonts w:ascii="Times New Roman" w:hAnsi="Times New Roman"/>
                      <w:color w:val="auto"/>
                      <w:szCs w:val="21"/>
                    </w:rPr>
                    <w:t>每年 1 次</w:t>
                  </w:r>
                </w:p>
              </w:tc>
              <w:tc>
                <w:tcPr>
                  <w:tcW w:w="866" w:type="pct"/>
                  <w:vMerge w:val="restart"/>
                  <w:tcBorders>
                    <w:tl2br w:val="nil"/>
                    <w:tr2bl w:val="nil"/>
                  </w:tcBorders>
                  <w:vAlign w:val="center"/>
                </w:tcPr>
                <w:p>
                  <w:pPr>
                    <w:pStyle w:val="16"/>
                    <w:jc w:val="center"/>
                    <w:rPr>
                      <w:rFonts w:ascii="Times New Roman" w:hAnsi="Times New Roman"/>
                      <w:color w:val="auto"/>
                      <w:szCs w:val="21"/>
                    </w:rPr>
                  </w:pPr>
                  <w:r>
                    <w:rPr>
                      <w:rFonts w:ascii="Times New Roman" w:hAnsi="Times New Roman"/>
                      <w:color w:val="auto"/>
                      <w:szCs w:val="21"/>
                    </w:rPr>
                    <w:t>委托第三方监测单位监测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6" w:type="pct"/>
                  <w:tcBorders>
                    <w:tl2br w:val="nil"/>
                    <w:tr2bl w:val="nil"/>
                  </w:tcBorders>
                  <w:vAlign w:val="center"/>
                </w:tcPr>
                <w:p>
                  <w:pPr>
                    <w:pStyle w:val="16"/>
                    <w:jc w:val="center"/>
                    <w:rPr>
                      <w:rFonts w:ascii="Times New Roman" w:hAnsi="Times New Roman"/>
                      <w:color w:val="auto"/>
                      <w:szCs w:val="21"/>
                    </w:rPr>
                  </w:pPr>
                  <w:r>
                    <w:rPr>
                      <w:rFonts w:ascii="Times New Roman" w:hAnsi="Times New Roman"/>
                      <w:color w:val="auto"/>
                      <w:szCs w:val="21"/>
                    </w:rPr>
                    <w:t>污染源监测</w:t>
                  </w:r>
                </w:p>
              </w:tc>
              <w:tc>
                <w:tcPr>
                  <w:tcW w:w="894" w:type="pct"/>
                  <w:tcBorders>
                    <w:tl2br w:val="nil"/>
                    <w:tr2bl w:val="nil"/>
                  </w:tcBorders>
                  <w:vAlign w:val="center"/>
                </w:tcPr>
                <w:p>
                  <w:pPr>
                    <w:pStyle w:val="16"/>
                    <w:jc w:val="center"/>
                    <w:rPr>
                      <w:rFonts w:ascii="Times New Roman" w:hAnsi="Times New Roman"/>
                      <w:color w:val="auto"/>
                      <w:szCs w:val="21"/>
                    </w:rPr>
                  </w:pPr>
                  <w:r>
                    <w:rPr>
                      <w:rFonts w:ascii="Times New Roman" w:hAnsi="Times New Roman"/>
                      <w:color w:val="auto"/>
                      <w:szCs w:val="21"/>
                    </w:rPr>
                    <w:t>厂区总排</w:t>
                  </w:r>
                </w:p>
                <w:p>
                  <w:pPr>
                    <w:pStyle w:val="16"/>
                    <w:jc w:val="center"/>
                    <w:rPr>
                      <w:rFonts w:ascii="Times New Roman" w:hAnsi="Times New Roman"/>
                      <w:color w:val="auto"/>
                      <w:szCs w:val="21"/>
                    </w:rPr>
                  </w:pPr>
                  <w:r>
                    <w:rPr>
                      <w:rFonts w:ascii="Times New Roman" w:hAnsi="Times New Roman"/>
                      <w:color w:val="auto"/>
                      <w:szCs w:val="21"/>
                    </w:rPr>
                    <w:t>放口</w:t>
                  </w:r>
                </w:p>
              </w:tc>
              <w:tc>
                <w:tcPr>
                  <w:tcW w:w="1679" w:type="pct"/>
                  <w:tcBorders>
                    <w:tl2br w:val="nil"/>
                    <w:tr2bl w:val="nil"/>
                  </w:tcBorders>
                  <w:vAlign w:val="center"/>
                </w:tcPr>
                <w:p>
                  <w:pPr>
                    <w:pStyle w:val="16"/>
                    <w:jc w:val="center"/>
                    <w:rPr>
                      <w:rFonts w:ascii="Times New Roman" w:hAnsi="Times New Roman"/>
                      <w:color w:val="auto"/>
                      <w:szCs w:val="21"/>
                    </w:rPr>
                  </w:pPr>
                  <w:r>
                    <w:rPr>
                      <w:rFonts w:hint="eastAsia" w:ascii="Times New Roman" w:hAnsi="Times New Roman"/>
                      <w:color w:val="auto"/>
                      <w:szCs w:val="21"/>
                    </w:rPr>
                    <w:t>pH、</w:t>
                  </w:r>
                  <w:r>
                    <w:rPr>
                      <w:rFonts w:ascii="Times New Roman" w:hAnsi="Times New Roman"/>
                      <w:color w:val="auto"/>
                      <w:szCs w:val="21"/>
                    </w:rPr>
                    <w:t>COD</w:t>
                  </w:r>
                  <w:r>
                    <w:rPr>
                      <w:rFonts w:hint="eastAsia" w:ascii="Times New Roman" w:hAnsi="Times New Roman"/>
                      <w:color w:val="auto"/>
                      <w:szCs w:val="21"/>
                      <w:vertAlign w:val="subscript"/>
                    </w:rPr>
                    <w:t>cr</w:t>
                  </w:r>
                  <w:r>
                    <w:rPr>
                      <w:rFonts w:ascii="Times New Roman" w:hAnsi="Times New Roman"/>
                      <w:color w:val="auto"/>
                      <w:szCs w:val="21"/>
                    </w:rPr>
                    <w:t>、BOD</w:t>
                  </w:r>
                  <w:r>
                    <w:rPr>
                      <w:rFonts w:ascii="Times New Roman" w:hAnsi="Times New Roman"/>
                      <w:color w:val="auto"/>
                      <w:szCs w:val="21"/>
                      <w:vertAlign w:val="subscript"/>
                    </w:rPr>
                    <w:t>5</w:t>
                  </w:r>
                  <w:r>
                    <w:rPr>
                      <w:rFonts w:ascii="Times New Roman" w:hAnsi="Times New Roman"/>
                      <w:color w:val="auto"/>
                      <w:szCs w:val="21"/>
                    </w:rPr>
                    <w:t>、NH</w:t>
                  </w:r>
                  <w:r>
                    <w:rPr>
                      <w:rFonts w:ascii="Times New Roman" w:hAnsi="Times New Roman"/>
                      <w:color w:val="auto"/>
                      <w:szCs w:val="21"/>
                      <w:vertAlign w:val="subscript"/>
                    </w:rPr>
                    <w:t>3</w:t>
                  </w:r>
                  <w:r>
                    <w:rPr>
                      <w:rFonts w:ascii="Times New Roman" w:hAnsi="Times New Roman"/>
                      <w:color w:val="auto"/>
                      <w:szCs w:val="21"/>
                    </w:rPr>
                    <w:t>-N、SS</w:t>
                  </w:r>
                </w:p>
              </w:tc>
              <w:tc>
                <w:tcPr>
                  <w:tcW w:w="922" w:type="pct"/>
                  <w:tcBorders>
                    <w:tl2br w:val="nil"/>
                    <w:tr2bl w:val="nil"/>
                  </w:tcBorders>
                  <w:vAlign w:val="center"/>
                </w:tcPr>
                <w:p>
                  <w:pPr>
                    <w:pStyle w:val="16"/>
                    <w:jc w:val="center"/>
                    <w:rPr>
                      <w:rFonts w:ascii="Times New Roman" w:hAnsi="Times New Roman"/>
                      <w:color w:val="auto"/>
                      <w:szCs w:val="21"/>
                    </w:rPr>
                  </w:pPr>
                  <w:r>
                    <w:rPr>
                      <w:rFonts w:ascii="Times New Roman" w:hAnsi="Times New Roman"/>
                      <w:color w:val="auto"/>
                      <w:szCs w:val="21"/>
                    </w:rPr>
                    <w:t>每年 1 次</w:t>
                  </w:r>
                </w:p>
              </w:tc>
              <w:tc>
                <w:tcPr>
                  <w:tcW w:w="866" w:type="pct"/>
                  <w:vMerge w:val="continue"/>
                  <w:tcBorders>
                    <w:tl2br w:val="nil"/>
                    <w:tr2bl w:val="nil"/>
                  </w:tcBorders>
                </w:tcPr>
                <w:p>
                  <w:pPr>
                    <w:pStyle w:val="16"/>
                    <w:jc w:val="center"/>
                    <w:rPr>
                      <w:rFonts w:ascii="Times New Roman" w:hAnsi="Times New Roman"/>
                      <w:color w:val="auto"/>
                      <w:szCs w:val="21"/>
                    </w:rPr>
                  </w:pPr>
                </w:p>
              </w:tc>
            </w:tr>
          </w:tbl>
          <w:p>
            <w:pPr>
              <w:adjustRightInd w:val="0"/>
              <w:snapToGrid w:val="0"/>
              <w:spacing w:line="480" w:lineRule="exact"/>
              <w:ind w:firstLine="482" w:firstLineChars="200"/>
              <w:rPr>
                <w:b/>
                <w:bCs/>
                <w:color w:val="auto"/>
                <w:sz w:val="24"/>
              </w:rPr>
            </w:pPr>
            <w:r>
              <w:rPr>
                <w:rFonts w:hint="eastAsia"/>
                <w:b/>
                <w:bCs/>
                <w:color w:val="auto"/>
                <w:sz w:val="24"/>
              </w:rPr>
              <w:t>6、环境风险</w:t>
            </w:r>
          </w:p>
          <w:p>
            <w:pPr>
              <w:adjustRightInd w:val="0"/>
              <w:snapToGrid w:val="0"/>
              <w:spacing w:line="520" w:lineRule="exact"/>
              <w:ind w:firstLine="480" w:firstLineChars="200"/>
              <w:rPr>
                <w:color w:val="auto"/>
                <w:kern w:val="0"/>
                <w:sz w:val="24"/>
                <w:lang w:bidi="ar"/>
              </w:rPr>
            </w:pPr>
            <w:r>
              <w:rPr>
                <w:rFonts w:hint="eastAsia"/>
                <w:color w:val="auto"/>
                <w:kern w:val="0"/>
                <w:sz w:val="24"/>
                <w:lang w:bidi="ar"/>
              </w:rPr>
              <w:t>本项目为多孔粒状铵油炸药生产项目，主要环境风险事故情形为硝酸铵、柴油发生泄漏，在高温、高压、明火和有可能被氧化的物质存在下发生爆炸，导致次生污染物大量NO</w:t>
            </w:r>
            <w:r>
              <w:rPr>
                <w:rFonts w:hint="eastAsia"/>
                <w:color w:val="auto"/>
                <w:kern w:val="0"/>
                <w:sz w:val="24"/>
                <w:vertAlign w:val="subscript"/>
                <w:lang w:bidi="ar"/>
              </w:rPr>
              <w:t>2</w:t>
            </w:r>
            <w:r>
              <w:rPr>
                <w:rFonts w:hint="eastAsia"/>
                <w:color w:val="auto"/>
                <w:kern w:val="0"/>
                <w:sz w:val="24"/>
                <w:lang w:bidi="ar"/>
              </w:rPr>
              <w:t>气体瞬时排放可能对周围人群身体健康产生不利影响；发生爆炸事故后处理过程中产生的消防事故水，厂区已设置1座400m</w:t>
            </w:r>
            <w:r>
              <w:rPr>
                <w:rFonts w:hint="eastAsia"/>
                <w:color w:val="auto"/>
                <w:kern w:val="0"/>
                <w:sz w:val="24"/>
                <w:vertAlign w:val="superscript"/>
                <w:lang w:bidi="ar"/>
              </w:rPr>
              <w:t>3</w:t>
            </w:r>
            <w:r>
              <w:rPr>
                <w:rFonts w:hint="eastAsia"/>
                <w:color w:val="auto"/>
                <w:kern w:val="0"/>
                <w:sz w:val="24"/>
                <w:lang w:bidi="ar"/>
              </w:rPr>
              <w:t>防渗消防</w:t>
            </w:r>
            <w:r>
              <w:rPr>
                <w:rFonts w:hint="eastAsia"/>
                <w:color w:val="auto"/>
                <w:kern w:val="0"/>
                <w:sz w:val="24"/>
                <w:lang w:val="en-US" w:eastAsia="zh-CN" w:bidi="ar"/>
              </w:rPr>
              <w:t>事故</w:t>
            </w:r>
            <w:r>
              <w:rPr>
                <w:rFonts w:hint="eastAsia"/>
                <w:color w:val="auto"/>
                <w:kern w:val="0"/>
                <w:sz w:val="24"/>
                <w:lang w:bidi="ar"/>
              </w:rPr>
              <w:t>水池，当各工段以及库房发生火灾事故时，可容纳本项目消防事故废水。</w:t>
            </w:r>
          </w:p>
          <w:p>
            <w:pPr>
              <w:adjustRightInd w:val="0"/>
              <w:snapToGrid w:val="0"/>
              <w:spacing w:line="520" w:lineRule="exact"/>
              <w:ind w:firstLine="480" w:firstLineChars="200"/>
              <w:rPr>
                <w:b/>
                <w:bCs/>
                <w:color w:val="auto"/>
                <w:sz w:val="24"/>
              </w:rPr>
            </w:pPr>
            <w:r>
              <w:rPr>
                <w:rFonts w:hint="eastAsia"/>
                <w:color w:val="auto"/>
                <w:kern w:val="0"/>
                <w:sz w:val="24"/>
                <w:lang w:bidi="ar"/>
              </w:rPr>
              <w:t>根据《建设项目环境风险评价技术导则》（HJ169-2018），本项目涉及风险物质为硝酸铵、柴油，其中硝酸铵厂区最大存储量为600t，大于其临界量（50t），因此需编制环境风险专章，详见环境风险专项评价。</w:t>
            </w:r>
          </w:p>
          <w:p>
            <w:pPr>
              <w:adjustRightInd w:val="0"/>
              <w:snapToGrid w:val="0"/>
              <w:spacing w:line="480" w:lineRule="exact"/>
              <w:ind w:firstLine="482" w:firstLineChars="200"/>
              <w:rPr>
                <w:b/>
                <w:bCs/>
                <w:color w:val="auto"/>
                <w:sz w:val="24"/>
              </w:rPr>
            </w:pPr>
            <w:r>
              <w:rPr>
                <w:rFonts w:hint="eastAsia"/>
                <w:b/>
                <w:bCs/>
                <w:color w:val="auto"/>
                <w:sz w:val="24"/>
              </w:rPr>
              <w:t>7、环保投资</w:t>
            </w:r>
          </w:p>
          <w:p>
            <w:pPr>
              <w:widowControl/>
              <w:autoSpaceDE w:val="0"/>
              <w:autoSpaceDN w:val="0"/>
              <w:spacing w:line="520" w:lineRule="exact"/>
              <w:ind w:firstLine="480" w:firstLineChars="200"/>
              <w:rPr>
                <w:snapToGrid w:val="0"/>
                <w:color w:val="auto"/>
                <w:sz w:val="24"/>
              </w:rPr>
            </w:pPr>
            <w:r>
              <w:rPr>
                <w:color w:val="auto"/>
                <w:sz w:val="24"/>
              </w:rPr>
              <w:t>本</w:t>
            </w:r>
            <w:r>
              <w:rPr>
                <w:snapToGrid w:val="0"/>
                <w:color w:val="auto"/>
                <w:sz w:val="24"/>
              </w:rPr>
              <w:t>项目环保投资合计为</w:t>
            </w:r>
            <w:r>
              <w:rPr>
                <w:rFonts w:hint="eastAsia"/>
                <w:snapToGrid w:val="0"/>
                <w:color w:val="auto"/>
                <w:sz w:val="24"/>
                <w:lang w:val="en-US" w:eastAsia="zh-CN"/>
              </w:rPr>
              <w:t>13.0</w:t>
            </w:r>
            <w:r>
              <w:rPr>
                <w:snapToGrid w:val="0"/>
                <w:color w:val="auto"/>
                <w:sz w:val="24"/>
              </w:rPr>
              <w:t>万元，占项目总投资的</w:t>
            </w:r>
            <w:r>
              <w:rPr>
                <w:rFonts w:hint="eastAsia"/>
                <w:snapToGrid w:val="0"/>
                <w:color w:val="auto"/>
                <w:sz w:val="24"/>
              </w:rPr>
              <w:t>0.</w:t>
            </w:r>
            <w:r>
              <w:rPr>
                <w:rFonts w:hint="eastAsia"/>
                <w:snapToGrid w:val="0"/>
                <w:color w:val="auto"/>
                <w:sz w:val="24"/>
                <w:lang w:val="en-US" w:eastAsia="zh-CN"/>
              </w:rPr>
              <w:t>97</w:t>
            </w:r>
            <w:r>
              <w:rPr>
                <w:snapToGrid w:val="0"/>
                <w:color w:val="auto"/>
                <w:sz w:val="24"/>
              </w:rPr>
              <w:t>%。本项目环保投资分析估算见表</w:t>
            </w:r>
            <w:r>
              <w:rPr>
                <w:rFonts w:hint="eastAsia" w:eastAsia="黑体"/>
                <w:color w:val="auto"/>
                <w:sz w:val="24"/>
              </w:rPr>
              <w:t>4-8</w:t>
            </w:r>
            <w:r>
              <w:rPr>
                <w:snapToGrid w:val="0"/>
                <w:color w:val="auto"/>
                <w:sz w:val="24"/>
              </w:rPr>
              <w:t>。</w:t>
            </w:r>
          </w:p>
          <w:p>
            <w:pPr>
              <w:pStyle w:val="36"/>
              <w:rPr>
                <w:color w:val="auto"/>
              </w:rPr>
            </w:pPr>
            <w:r>
              <w:rPr>
                <w:color w:val="auto"/>
              </w:rPr>
              <w:t>表</w:t>
            </w:r>
            <w:r>
              <w:rPr>
                <w:rFonts w:hint="eastAsia"/>
                <w:color w:val="auto"/>
              </w:rPr>
              <w:t>4-8</w:t>
            </w:r>
            <w:r>
              <w:rPr>
                <w:color w:val="auto"/>
              </w:rPr>
              <w:t xml:space="preserve"> 环保投资估算</w:t>
            </w:r>
          </w:p>
          <w:tbl>
            <w:tblPr>
              <w:tblStyle w:val="2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1323"/>
              <w:gridCol w:w="3580"/>
              <w:gridCol w:w="1577"/>
              <w:gridCol w:w="20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1044" w:type="pct"/>
                  <w:gridSpan w:val="2"/>
                  <w:vAlign w:val="center"/>
                </w:tcPr>
                <w:p>
                  <w:pPr>
                    <w:pStyle w:val="107"/>
                    <w:spacing w:before="0" w:after="0" w:line="240" w:lineRule="auto"/>
                    <w:ind w:right="0"/>
                    <w:rPr>
                      <w:color w:val="auto"/>
                      <w:szCs w:val="21"/>
                    </w:rPr>
                  </w:pPr>
                  <w:r>
                    <w:rPr>
                      <w:color w:val="auto"/>
                      <w:szCs w:val="21"/>
                    </w:rPr>
                    <w:t>项目</w:t>
                  </w:r>
                </w:p>
              </w:tc>
              <w:tc>
                <w:tcPr>
                  <w:tcW w:w="1964" w:type="pct"/>
                  <w:vAlign w:val="center"/>
                </w:tcPr>
                <w:p>
                  <w:pPr>
                    <w:pStyle w:val="107"/>
                    <w:spacing w:before="0" w:after="0" w:line="240" w:lineRule="auto"/>
                    <w:ind w:right="0"/>
                    <w:rPr>
                      <w:color w:val="auto"/>
                      <w:szCs w:val="21"/>
                    </w:rPr>
                  </w:pPr>
                  <w:r>
                    <w:rPr>
                      <w:color w:val="auto"/>
                      <w:szCs w:val="21"/>
                    </w:rPr>
                    <w:t>内容</w:t>
                  </w:r>
                </w:p>
              </w:tc>
              <w:tc>
                <w:tcPr>
                  <w:tcW w:w="865" w:type="pct"/>
                  <w:vAlign w:val="center"/>
                </w:tcPr>
                <w:p>
                  <w:pPr>
                    <w:pStyle w:val="107"/>
                    <w:spacing w:before="0" w:after="0" w:line="240" w:lineRule="auto"/>
                    <w:ind w:right="0"/>
                    <w:rPr>
                      <w:color w:val="auto"/>
                      <w:szCs w:val="21"/>
                    </w:rPr>
                  </w:pPr>
                  <w:r>
                    <w:rPr>
                      <w:color w:val="auto"/>
                      <w:szCs w:val="21"/>
                    </w:rPr>
                    <w:t>投资（万元）</w:t>
                  </w:r>
                </w:p>
              </w:tc>
              <w:tc>
                <w:tcPr>
                  <w:tcW w:w="1126" w:type="pct"/>
                  <w:vAlign w:val="center"/>
                </w:tcPr>
                <w:p>
                  <w:pPr>
                    <w:pStyle w:val="107"/>
                    <w:spacing w:before="0" w:after="0" w:line="240" w:lineRule="auto"/>
                    <w:ind w:right="0"/>
                    <w:rPr>
                      <w:color w:val="auto"/>
                      <w:szCs w:val="21"/>
                    </w:rPr>
                  </w:pPr>
                  <w:r>
                    <w:rPr>
                      <w:rFonts w:hint="eastAsia"/>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318" w:type="pct"/>
                  <w:vMerge w:val="restart"/>
                  <w:vAlign w:val="center"/>
                </w:tcPr>
                <w:p>
                  <w:pPr>
                    <w:pStyle w:val="107"/>
                    <w:spacing w:before="0" w:after="0" w:line="240" w:lineRule="auto"/>
                    <w:ind w:right="0"/>
                    <w:rPr>
                      <w:rFonts w:hint="eastAsia" w:eastAsia="宋体"/>
                      <w:color w:val="auto"/>
                      <w:szCs w:val="21"/>
                      <w:lang w:val="en-US" w:eastAsia="zh-CN"/>
                    </w:rPr>
                  </w:pPr>
                  <w:r>
                    <w:rPr>
                      <w:rFonts w:hint="eastAsia"/>
                      <w:color w:val="auto"/>
                      <w:szCs w:val="21"/>
                      <w:lang w:val="en-US" w:eastAsia="zh-CN"/>
                    </w:rPr>
                    <w:t>施工期</w:t>
                  </w:r>
                </w:p>
              </w:tc>
              <w:tc>
                <w:tcPr>
                  <w:tcW w:w="1323" w:type="dxa"/>
                  <w:vAlign w:val="center"/>
                </w:tcPr>
                <w:p>
                  <w:pPr>
                    <w:snapToGrid w:val="0"/>
                    <w:jc w:val="center"/>
                    <w:rPr>
                      <w:color w:val="auto"/>
                      <w:szCs w:val="21"/>
                    </w:rPr>
                  </w:pPr>
                  <w:r>
                    <w:rPr>
                      <w:color w:val="auto"/>
                      <w:szCs w:val="21"/>
                    </w:rPr>
                    <w:t>废</w:t>
                  </w:r>
                  <w:r>
                    <w:rPr>
                      <w:rFonts w:hint="eastAsia"/>
                      <w:color w:val="auto"/>
                      <w:szCs w:val="21"/>
                    </w:rPr>
                    <w:t>气</w:t>
                  </w:r>
                </w:p>
              </w:tc>
              <w:tc>
                <w:tcPr>
                  <w:tcW w:w="3580" w:type="dxa"/>
                  <w:vAlign w:val="center"/>
                </w:tcPr>
                <w:p>
                  <w:pPr>
                    <w:snapToGrid w:val="0"/>
                    <w:jc w:val="center"/>
                    <w:rPr>
                      <w:color w:val="auto"/>
                      <w:szCs w:val="21"/>
                    </w:rPr>
                  </w:pPr>
                  <w:r>
                    <w:rPr>
                      <w:rFonts w:hint="eastAsia"/>
                      <w:color w:val="auto"/>
                      <w:szCs w:val="21"/>
                    </w:rPr>
                    <w:t>防尘彩钢板、苫盖</w:t>
                  </w:r>
                </w:p>
              </w:tc>
              <w:tc>
                <w:tcPr>
                  <w:tcW w:w="865" w:type="pct"/>
                  <w:vAlign w:val="center"/>
                </w:tcPr>
                <w:p>
                  <w:pPr>
                    <w:pStyle w:val="107"/>
                    <w:spacing w:before="0" w:after="0" w:line="240" w:lineRule="auto"/>
                    <w:ind w:right="0"/>
                    <w:rPr>
                      <w:rFonts w:hint="default" w:eastAsia="宋体"/>
                      <w:color w:val="auto"/>
                      <w:szCs w:val="21"/>
                      <w:lang w:val="en-US" w:eastAsia="zh-CN"/>
                    </w:rPr>
                  </w:pPr>
                  <w:r>
                    <w:rPr>
                      <w:rFonts w:hint="eastAsia"/>
                      <w:color w:val="auto"/>
                      <w:szCs w:val="21"/>
                      <w:lang w:val="en-US" w:eastAsia="zh-CN"/>
                    </w:rPr>
                    <w:t>2.0</w:t>
                  </w:r>
                </w:p>
              </w:tc>
              <w:tc>
                <w:tcPr>
                  <w:tcW w:w="1126" w:type="pct"/>
                  <w:vAlign w:val="center"/>
                </w:tcPr>
                <w:p>
                  <w:pPr>
                    <w:pStyle w:val="107"/>
                    <w:spacing w:before="0" w:after="0" w:line="240" w:lineRule="auto"/>
                    <w:ind w:right="0"/>
                    <w:rPr>
                      <w:rFonts w:hint="eastAsia"/>
                      <w:color w:val="auto"/>
                      <w:szCs w:val="21"/>
                    </w:rPr>
                  </w:pPr>
                  <w:r>
                    <w:rPr>
                      <w:rFonts w:hint="eastAsia"/>
                      <w:color w:val="auto"/>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318" w:type="pct"/>
                  <w:vMerge w:val="continue"/>
                  <w:vAlign w:val="center"/>
                </w:tcPr>
                <w:p>
                  <w:pPr>
                    <w:pStyle w:val="107"/>
                    <w:spacing w:before="0" w:after="0" w:line="240" w:lineRule="auto"/>
                    <w:ind w:right="0"/>
                    <w:rPr>
                      <w:color w:val="auto"/>
                      <w:szCs w:val="21"/>
                    </w:rPr>
                  </w:pPr>
                </w:p>
              </w:tc>
              <w:tc>
                <w:tcPr>
                  <w:tcW w:w="1323" w:type="dxa"/>
                  <w:vAlign w:val="center"/>
                </w:tcPr>
                <w:p>
                  <w:pPr>
                    <w:snapToGrid w:val="0"/>
                    <w:jc w:val="center"/>
                    <w:rPr>
                      <w:color w:val="auto"/>
                      <w:szCs w:val="21"/>
                    </w:rPr>
                  </w:pPr>
                  <w:r>
                    <w:rPr>
                      <w:rFonts w:hint="eastAsia"/>
                      <w:color w:val="auto"/>
                      <w:szCs w:val="21"/>
                    </w:rPr>
                    <w:t>废水</w:t>
                  </w:r>
                </w:p>
              </w:tc>
              <w:tc>
                <w:tcPr>
                  <w:tcW w:w="3580" w:type="dxa"/>
                  <w:vAlign w:val="center"/>
                </w:tcPr>
                <w:p>
                  <w:pPr>
                    <w:snapToGrid w:val="0"/>
                    <w:jc w:val="center"/>
                    <w:rPr>
                      <w:rFonts w:hint="eastAsia" w:eastAsia="宋体"/>
                      <w:color w:val="auto"/>
                      <w:szCs w:val="21"/>
                      <w:lang w:eastAsia="zh-CN"/>
                    </w:rPr>
                  </w:pPr>
                  <w:r>
                    <w:rPr>
                      <w:rFonts w:hint="eastAsia"/>
                      <w:color w:val="auto"/>
                      <w:szCs w:val="21"/>
                      <w:lang w:val="en-US" w:eastAsia="zh-CN"/>
                    </w:rPr>
                    <w:t>沉淀池</w:t>
                  </w:r>
                </w:p>
              </w:tc>
              <w:tc>
                <w:tcPr>
                  <w:tcW w:w="865" w:type="pct"/>
                  <w:vAlign w:val="center"/>
                </w:tcPr>
                <w:p>
                  <w:pPr>
                    <w:pStyle w:val="107"/>
                    <w:spacing w:before="0" w:after="0" w:line="240" w:lineRule="auto"/>
                    <w:ind w:right="0"/>
                    <w:rPr>
                      <w:rFonts w:hint="default" w:eastAsia="宋体"/>
                      <w:color w:val="auto"/>
                      <w:szCs w:val="21"/>
                      <w:lang w:val="en-US" w:eastAsia="zh-CN"/>
                    </w:rPr>
                  </w:pPr>
                  <w:r>
                    <w:rPr>
                      <w:rFonts w:hint="eastAsia"/>
                      <w:color w:val="auto"/>
                      <w:szCs w:val="21"/>
                      <w:lang w:val="en-US" w:eastAsia="zh-CN"/>
                    </w:rPr>
                    <w:t>1.0</w:t>
                  </w:r>
                </w:p>
              </w:tc>
              <w:tc>
                <w:tcPr>
                  <w:tcW w:w="1126" w:type="pct"/>
                  <w:vAlign w:val="center"/>
                </w:tcPr>
                <w:p>
                  <w:pPr>
                    <w:pStyle w:val="107"/>
                    <w:spacing w:before="0" w:after="0" w:line="240" w:lineRule="auto"/>
                    <w:ind w:right="0"/>
                    <w:rPr>
                      <w:rFonts w:hint="eastAsia"/>
                      <w:color w:val="auto"/>
                      <w:szCs w:val="21"/>
                    </w:rPr>
                  </w:pPr>
                  <w:r>
                    <w:rPr>
                      <w:rFonts w:hint="eastAsia"/>
                      <w:color w:val="auto"/>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318" w:type="pct"/>
                  <w:vMerge w:val="continue"/>
                  <w:vAlign w:val="center"/>
                </w:tcPr>
                <w:p>
                  <w:pPr>
                    <w:pStyle w:val="107"/>
                    <w:spacing w:before="0" w:after="0" w:line="240" w:lineRule="auto"/>
                    <w:ind w:right="0"/>
                    <w:rPr>
                      <w:color w:val="auto"/>
                      <w:szCs w:val="21"/>
                    </w:rPr>
                  </w:pPr>
                </w:p>
              </w:tc>
              <w:tc>
                <w:tcPr>
                  <w:tcW w:w="1323" w:type="dxa"/>
                  <w:vAlign w:val="center"/>
                </w:tcPr>
                <w:p>
                  <w:pPr>
                    <w:snapToGrid w:val="0"/>
                    <w:jc w:val="center"/>
                    <w:rPr>
                      <w:color w:val="auto"/>
                      <w:szCs w:val="21"/>
                    </w:rPr>
                  </w:pPr>
                  <w:r>
                    <w:rPr>
                      <w:rFonts w:hint="eastAsia"/>
                      <w:color w:val="auto"/>
                      <w:szCs w:val="21"/>
                    </w:rPr>
                    <w:t>噪声</w:t>
                  </w:r>
                </w:p>
              </w:tc>
              <w:tc>
                <w:tcPr>
                  <w:tcW w:w="3580" w:type="dxa"/>
                  <w:vAlign w:val="center"/>
                </w:tcPr>
                <w:p>
                  <w:pPr>
                    <w:snapToGrid w:val="0"/>
                    <w:jc w:val="center"/>
                    <w:rPr>
                      <w:rFonts w:hint="default" w:eastAsia="宋体"/>
                      <w:color w:val="auto"/>
                      <w:szCs w:val="21"/>
                      <w:lang w:val="en-US" w:eastAsia="zh-CN"/>
                    </w:rPr>
                  </w:pPr>
                  <w:r>
                    <w:rPr>
                      <w:rFonts w:hint="eastAsia"/>
                      <w:color w:val="auto"/>
                      <w:szCs w:val="21"/>
                      <w:lang w:val="en-US" w:eastAsia="zh-CN"/>
                    </w:rPr>
                    <w:t>减振、隔声</w:t>
                  </w:r>
                </w:p>
              </w:tc>
              <w:tc>
                <w:tcPr>
                  <w:tcW w:w="865" w:type="pct"/>
                  <w:vAlign w:val="center"/>
                </w:tcPr>
                <w:p>
                  <w:pPr>
                    <w:pStyle w:val="107"/>
                    <w:spacing w:before="0" w:after="0" w:line="240" w:lineRule="auto"/>
                    <w:ind w:right="0"/>
                    <w:rPr>
                      <w:rFonts w:hint="default" w:eastAsia="宋体"/>
                      <w:color w:val="auto"/>
                      <w:szCs w:val="21"/>
                      <w:lang w:val="en-US" w:eastAsia="zh-CN"/>
                    </w:rPr>
                  </w:pPr>
                  <w:r>
                    <w:rPr>
                      <w:rFonts w:hint="eastAsia"/>
                      <w:color w:val="auto"/>
                      <w:szCs w:val="21"/>
                      <w:lang w:val="en-US" w:eastAsia="zh-CN"/>
                    </w:rPr>
                    <w:t>0.5</w:t>
                  </w:r>
                </w:p>
              </w:tc>
              <w:tc>
                <w:tcPr>
                  <w:tcW w:w="1126" w:type="pct"/>
                  <w:vAlign w:val="center"/>
                </w:tcPr>
                <w:p>
                  <w:pPr>
                    <w:pStyle w:val="107"/>
                    <w:spacing w:before="0" w:after="0" w:line="240" w:lineRule="auto"/>
                    <w:ind w:right="0"/>
                    <w:rPr>
                      <w:rFonts w:hint="eastAsia"/>
                      <w:color w:val="auto"/>
                      <w:szCs w:val="21"/>
                    </w:rPr>
                  </w:pPr>
                  <w:r>
                    <w:rPr>
                      <w:rFonts w:hint="eastAsia"/>
                      <w:color w:val="auto"/>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318" w:type="pct"/>
                  <w:vMerge w:val="continue"/>
                  <w:vAlign w:val="center"/>
                </w:tcPr>
                <w:p>
                  <w:pPr>
                    <w:pStyle w:val="107"/>
                    <w:spacing w:before="0" w:after="0" w:line="240" w:lineRule="auto"/>
                    <w:ind w:right="0"/>
                    <w:rPr>
                      <w:color w:val="auto"/>
                      <w:szCs w:val="21"/>
                    </w:rPr>
                  </w:pPr>
                </w:p>
              </w:tc>
              <w:tc>
                <w:tcPr>
                  <w:tcW w:w="1323" w:type="dxa"/>
                  <w:vAlign w:val="center"/>
                </w:tcPr>
                <w:p>
                  <w:pPr>
                    <w:snapToGrid w:val="0"/>
                    <w:jc w:val="center"/>
                    <w:rPr>
                      <w:color w:val="auto"/>
                      <w:szCs w:val="21"/>
                    </w:rPr>
                  </w:pPr>
                  <w:r>
                    <w:rPr>
                      <w:rFonts w:hint="eastAsia"/>
                      <w:color w:val="auto"/>
                      <w:szCs w:val="21"/>
                    </w:rPr>
                    <w:t>固废</w:t>
                  </w:r>
                </w:p>
              </w:tc>
              <w:tc>
                <w:tcPr>
                  <w:tcW w:w="1964" w:type="pct"/>
                  <w:vAlign w:val="center"/>
                </w:tcPr>
                <w:p>
                  <w:pPr>
                    <w:pStyle w:val="107"/>
                    <w:spacing w:before="0" w:after="0" w:line="240" w:lineRule="auto"/>
                    <w:ind w:right="0"/>
                    <w:rPr>
                      <w:rFonts w:hint="default" w:eastAsia="宋体"/>
                      <w:color w:val="auto"/>
                      <w:szCs w:val="21"/>
                      <w:lang w:val="en-US" w:eastAsia="zh-CN"/>
                    </w:rPr>
                  </w:pPr>
                  <w:r>
                    <w:rPr>
                      <w:rFonts w:hint="eastAsia"/>
                      <w:color w:val="auto"/>
                      <w:szCs w:val="21"/>
                      <w:lang w:val="en-US" w:eastAsia="zh-CN"/>
                    </w:rPr>
                    <w:t>固废收集、运输</w:t>
                  </w:r>
                </w:p>
              </w:tc>
              <w:tc>
                <w:tcPr>
                  <w:tcW w:w="865" w:type="pct"/>
                  <w:vAlign w:val="center"/>
                </w:tcPr>
                <w:p>
                  <w:pPr>
                    <w:pStyle w:val="107"/>
                    <w:spacing w:before="0" w:after="0" w:line="240" w:lineRule="auto"/>
                    <w:ind w:right="0"/>
                    <w:rPr>
                      <w:rFonts w:hint="default" w:eastAsia="宋体"/>
                      <w:color w:val="auto"/>
                      <w:szCs w:val="21"/>
                      <w:lang w:val="en-US" w:eastAsia="zh-CN"/>
                    </w:rPr>
                  </w:pPr>
                  <w:r>
                    <w:rPr>
                      <w:rFonts w:hint="eastAsia"/>
                      <w:color w:val="auto"/>
                      <w:szCs w:val="21"/>
                      <w:lang w:val="en-US" w:eastAsia="zh-CN"/>
                    </w:rPr>
                    <w:t>1.0</w:t>
                  </w:r>
                </w:p>
              </w:tc>
              <w:tc>
                <w:tcPr>
                  <w:tcW w:w="1126" w:type="pct"/>
                  <w:vAlign w:val="center"/>
                </w:tcPr>
                <w:p>
                  <w:pPr>
                    <w:pStyle w:val="107"/>
                    <w:spacing w:before="0" w:after="0" w:line="240" w:lineRule="auto"/>
                    <w:ind w:right="0"/>
                    <w:rPr>
                      <w:rFonts w:hint="eastAsia"/>
                      <w:color w:val="auto"/>
                      <w:szCs w:val="21"/>
                    </w:rPr>
                  </w:pPr>
                  <w:r>
                    <w:rPr>
                      <w:rFonts w:hint="eastAsia"/>
                      <w:color w:val="auto"/>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8" w:type="pct"/>
                  <w:vMerge w:val="restart"/>
                  <w:vAlign w:val="center"/>
                </w:tcPr>
                <w:p>
                  <w:pPr>
                    <w:pStyle w:val="107"/>
                    <w:spacing w:before="0" w:after="0" w:line="240" w:lineRule="auto"/>
                    <w:ind w:right="0"/>
                    <w:rPr>
                      <w:color w:val="auto"/>
                      <w:szCs w:val="21"/>
                    </w:rPr>
                  </w:pPr>
                  <w:r>
                    <w:rPr>
                      <w:rFonts w:hint="eastAsia"/>
                      <w:color w:val="auto"/>
                      <w:szCs w:val="21"/>
                    </w:rPr>
                    <w:t>运营期</w:t>
                  </w:r>
                </w:p>
              </w:tc>
              <w:tc>
                <w:tcPr>
                  <w:tcW w:w="725" w:type="pct"/>
                  <w:vAlign w:val="center"/>
                </w:tcPr>
                <w:p>
                  <w:pPr>
                    <w:pStyle w:val="107"/>
                    <w:spacing w:before="0" w:after="0" w:line="240" w:lineRule="auto"/>
                    <w:ind w:right="0"/>
                    <w:rPr>
                      <w:color w:val="auto"/>
                      <w:szCs w:val="21"/>
                    </w:rPr>
                  </w:pPr>
                  <w:r>
                    <w:rPr>
                      <w:rFonts w:hint="eastAsia"/>
                      <w:color w:val="auto"/>
                      <w:szCs w:val="21"/>
                    </w:rPr>
                    <w:t>固废防治</w:t>
                  </w:r>
                </w:p>
              </w:tc>
              <w:tc>
                <w:tcPr>
                  <w:tcW w:w="1964" w:type="pct"/>
                  <w:vAlign w:val="center"/>
                </w:tcPr>
                <w:p>
                  <w:pPr>
                    <w:pStyle w:val="107"/>
                    <w:spacing w:before="0" w:after="0" w:line="240" w:lineRule="auto"/>
                    <w:ind w:right="0"/>
                    <w:rPr>
                      <w:rFonts w:hint="eastAsia" w:eastAsia="宋体"/>
                      <w:color w:val="auto"/>
                      <w:szCs w:val="21"/>
                      <w:lang w:eastAsia="zh-CN"/>
                    </w:rPr>
                  </w:pPr>
                  <w:r>
                    <w:rPr>
                      <w:rFonts w:hint="eastAsia"/>
                      <w:color w:val="auto"/>
                      <w:szCs w:val="21"/>
                    </w:rPr>
                    <w:t>新增隔油渣、</w:t>
                  </w:r>
                  <w:r>
                    <w:rPr>
                      <w:rFonts w:hint="eastAsia"/>
                      <w:color w:val="auto"/>
                      <w:szCs w:val="21"/>
                      <w:lang w:val="en-US" w:eastAsia="zh-CN"/>
                    </w:rPr>
                    <w:t>废硝酸铵包装袋、</w:t>
                  </w:r>
                  <w:r>
                    <w:rPr>
                      <w:rFonts w:hint="eastAsia"/>
                      <w:color w:val="auto"/>
                      <w:szCs w:val="21"/>
                    </w:rPr>
                    <w:t>油泥处理</w:t>
                  </w:r>
                  <w:r>
                    <w:rPr>
                      <w:rFonts w:hint="eastAsia"/>
                      <w:color w:val="auto"/>
                      <w:szCs w:val="21"/>
                      <w:lang w:eastAsia="zh-CN"/>
                    </w:rPr>
                    <w:t>（</w:t>
                  </w:r>
                  <w:r>
                    <w:rPr>
                      <w:rFonts w:hint="eastAsia"/>
                      <w:color w:val="auto"/>
                      <w:szCs w:val="21"/>
                      <w:lang w:val="en-US" w:eastAsia="zh-CN"/>
                    </w:rPr>
                    <w:t>依托现有工程已建危废暂存间暂存</w:t>
                  </w:r>
                  <w:r>
                    <w:rPr>
                      <w:rFonts w:hint="eastAsia"/>
                      <w:color w:val="auto"/>
                      <w:szCs w:val="21"/>
                      <w:lang w:eastAsia="zh-CN"/>
                    </w:rPr>
                    <w:t>）</w:t>
                  </w:r>
                </w:p>
              </w:tc>
              <w:tc>
                <w:tcPr>
                  <w:tcW w:w="865" w:type="pct"/>
                  <w:vAlign w:val="center"/>
                </w:tcPr>
                <w:p>
                  <w:pPr>
                    <w:pStyle w:val="107"/>
                    <w:spacing w:before="0" w:after="0" w:line="240" w:lineRule="auto"/>
                    <w:ind w:right="0"/>
                    <w:rPr>
                      <w:color w:val="auto"/>
                      <w:szCs w:val="21"/>
                    </w:rPr>
                  </w:pPr>
                  <w:r>
                    <w:rPr>
                      <w:rFonts w:hint="eastAsia"/>
                      <w:color w:val="auto"/>
                      <w:szCs w:val="21"/>
                    </w:rPr>
                    <w:t>1.5</w:t>
                  </w:r>
                </w:p>
              </w:tc>
              <w:tc>
                <w:tcPr>
                  <w:tcW w:w="1126" w:type="pct"/>
                  <w:vAlign w:val="center"/>
                </w:tcPr>
                <w:p>
                  <w:pPr>
                    <w:pStyle w:val="107"/>
                    <w:spacing w:before="0" w:after="0" w:line="240" w:lineRule="auto"/>
                    <w:ind w:right="0"/>
                    <w:rPr>
                      <w:color w:val="auto"/>
                      <w:szCs w:val="21"/>
                    </w:rPr>
                  </w:pPr>
                  <w:r>
                    <w:rPr>
                      <w:rFonts w:hint="eastAsia"/>
                      <w:color w:val="auto"/>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318" w:type="pct"/>
                  <w:vMerge w:val="continue"/>
                  <w:vAlign w:val="center"/>
                </w:tcPr>
                <w:p>
                  <w:pPr>
                    <w:pStyle w:val="107"/>
                    <w:spacing w:before="0" w:after="0" w:line="240" w:lineRule="auto"/>
                    <w:ind w:right="0"/>
                    <w:rPr>
                      <w:color w:val="auto"/>
                      <w:szCs w:val="21"/>
                    </w:rPr>
                  </w:pPr>
                </w:p>
              </w:tc>
              <w:tc>
                <w:tcPr>
                  <w:tcW w:w="725" w:type="pct"/>
                  <w:vAlign w:val="center"/>
                </w:tcPr>
                <w:p>
                  <w:pPr>
                    <w:pStyle w:val="107"/>
                    <w:spacing w:before="0" w:after="0" w:line="240" w:lineRule="auto"/>
                    <w:ind w:right="0"/>
                    <w:rPr>
                      <w:color w:val="auto"/>
                      <w:szCs w:val="21"/>
                    </w:rPr>
                  </w:pPr>
                  <w:r>
                    <w:rPr>
                      <w:color w:val="auto"/>
                      <w:szCs w:val="21"/>
                    </w:rPr>
                    <w:t>噪声</w:t>
                  </w:r>
                  <w:r>
                    <w:rPr>
                      <w:rFonts w:hint="eastAsia"/>
                      <w:color w:val="auto"/>
                      <w:szCs w:val="21"/>
                    </w:rPr>
                    <w:t>防治</w:t>
                  </w:r>
                </w:p>
                <w:p>
                  <w:pPr>
                    <w:pStyle w:val="107"/>
                    <w:spacing w:before="0" w:after="0" w:line="240" w:lineRule="auto"/>
                    <w:ind w:right="0"/>
                    <w:rPr>
                      <w:color w:val="auto"/>
                      <w:szCs w:val="21"/>
                    </w:rPr>
                  </w:pPr>
                  <w:r>
                    <w:rPr>
                      <w:rFonts w:hint="eastAsia"/>
                      <w:color w:val="auto"/>
                      <w:szCs w:val="21"/>
                    </w:rPr>
                    <w:t>措施</w:t>
                  </w:r>
                </w:p>
              </w:tc>
              <w:tc>
                <w:tcPr>
                  <w:tcW w:w="1964" w:type="pct"/>
                  <w:vAlign w:val="center"/>
                </w:tcPr>
                <w:p>
                  <w:pPr>
                    <w:pStyle w:val="107"/>
                    <w:spacing w:before="0" w:after="0" w:line="240" w:lineRule="auto"/>
                    <w:ind w:right="0"/>
                    <w:rPr>
                      <w:color w:val="auto"/>
                      <w:szCs w:val="21"/>
                    </w:rPr>
                  </w:pPr>
                  <w:r>
                    <w:rPr>
                      <w:rFonts w:hint="eastAsia"/>
                      <w:color w:val="auto"/>
                      <w:szCs w:val="21"/>
                      <w:lang w:eastAsia="zh-CN"/>
                    </w:rPr>
                    <w:t>减振</w:t>
                  </w:r>
                  <w:r>
                    <w:rPr>
                      <w:color w:val="auto"/>
                      <w:szCs w:val="21"/>
                    </w:rPr>
                    <w:t>、隔声</w:t>
                  </w:r>
                </w:p>
              </w:tc>
              <w:tc>
                <w:tcPr>
                  <w:tcW w:w="865" w:type="pct"/>
                  <w:vAlign w:val="center"/>
                </w:tcPr>
                <w:p>
                  <w:pPr>
                    <w:pStyle w:val="107"/>
                    <w:spacing w:before="0" w:after="0" w:line="240" w:lineRule="auto"/>
                    <w:ind w:right="0"/>
                    <w:rPr>
                      <w:color w:val="auto"/>
                      <w:szCs w:val="21"/>
                    </w:rPr>
                  </w:pPr>
                  <w:r>
                    <w:rPr>
                      <w:rFonts w:hint="eastAsia"/>
                      <w:color w:val="auto"/>
                      <w:szCs w:val="21"/>
                    </w:rPr>
                    <w:t>/</w:t>
                  </w:r>
                </w:p>
              </w:tc>
              <w:tc>
                <w:tcPr>
                  <w:tcW w:w="1126" w:type="pct"/>
                  <w:vAlign w:val="center"/>
                </w:tcPr>
                <w:p>
                  <w:pPr>
                    <w:pStyle w:val="107"/>
                    <w:spacing w:before="0" w:after="0" w:line="240" w:lineRule="auto"/>
                    <w:ind w:right="0"/>
                    <w:rPr>
                      <w:color w:val="auto"/>
                      <w:szCs w:val="21"/>
                    </w:rPr>
                  </w:pPr>
                  <w:r>
                    <w:rPr>
                      <w:rFonts w:hint="eastAsia"/>
                      <w:color w:val="auto"/>
                      <w:szCs w:val="21"/>
                    </w:rPr>
                    <w:t>依托现有工程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318" w:type="pct"/>
                  <w:vMerge w:val="continue"/>
                  <w:vAlign w:val="center"/>
                </w:tcPr>
                <w:p>
                  <w:pPr>
                    <w:pStyle w:val="107"/>
                    <w:spacing w:before="0" w:after="0" w:line="240" w:lineRule="auto"/>
                    <w:ind w:right="0"/>
                    <w:rPr>
                      <w:color w:val="auto"/>
                      <w:szCs w:val="21"/>
                    </w:rPr>
                  </w:pPr>
                </w:p>
              </w:tc>
              <w:tc>
                <w:tcPr>
                  <w:tcW w:w="725" w:type="pct"/>
                  <w:vAlign w:val="center"/>
                </w:tcPr>
                <w:p>
                  <w:pPr>
                    <w:pStyle w:val="107"/>
                    <w:spacing w:before="0" w:after="0" w:line="240" w:lineRule="auto"/>
                    <w:ind w:right="0"/>
                    <w:rPr>
                      <w:color w:val="auto"/>
                      <w:szCs w:val="21"/>
                    </w:rPr>
                  </w:pPr>
                  <w:r>
                    <w:rPr>
                      <w:rFonts w:hint="eastAsia"/>
                      <w:color w:val="auto"/>
                      <w:szCs w:val="21"/>
                    </w:rPr>
                    <w:t>废水防治</w:t>
                  </w:r>
                </w:p>
                <w:p>
                  <w:pPr>
                    <w:pStyle w:val="107"/>
                    <w:spacing w:before="0" w:after="0" w:line="240" w:lineRule="auto"/>
                    <w:ind w:right="0"/>
                    <w:rPr>
                      <w:color w:val="auto"/>
                      <w:szCs w:val="21"/>
                    </w:rPr>
                  </w:pPr>
                  <w:r>
                    <w:rPr>
                      <w:rFonts w:hint="eastAsia"/>
                      <w:color w:val="auto"/>
                      <w:szCs w:val="21"/>
                    </w:rPr>
                    <w:t>措施</w:t>
                  </w:r>
                </w:p>
              </w:tc>
              <w:tc>
                <w:tcPr>
                  <w:tcW w:w="1964" w:type="pct"/>
                  <w:vAlign w:val="center"/>
                </w:tcPr>
                <w:p>
                  <w:pPr>
                    <w:pStyle w:val="107"/>
                    <w:spacing w:before="0" w:after="0" w:line="240" w:lineRule="auto"/>
                    <w:ind w:right="0"/>
                    <w:rPr>
                      <w:color w:val="auto"/>
                      <w:szCs w:val="21"/>
                    </w:rPr>
                  </w:pPr>
                  <w:r>
                    <w:rPr>
                      <w:rFonts w:hint="eastAsia"/>
                      <w:color w:val="auto"/>
                      <w:szCs w:val="21"/>
                    </w:rPr>
                    <w:t>车辆清洗废水及生活污水依托现有工程已建隔油沉淀池及地埋式一体化污水处理厂处理后用于厂区绿化</w:t>
                  </w:r>
                </w:p>
              </w:tc>
              <w:tc>
                <w:tcPr>
                  <w:tcW w:w="865" w:type="pct"/>
                  <w:vAlign w:val="center"/>
                </w:tcPr>
                <w:p>
                  <w:pPr>
                    <w:pStyle w:val="107"/>
                    <w:spacing w:before="0" w:after="0" w:line="240" w:lineRule="auto"/>
                    <w:ind w:right="0"/>
                    <w:rPr>
                      <w:color w:val="auto"/>
                      <w:szCs w:val="21"/>
                    </w:rPr>
                  </w:pPr>
                  <w:r>
                    <w:rPr>
                      <w:rFonts w:hint="eastAsia"/>
                      <w:color w:val="auto"/>
                      <w:szCs w:val="21"/>
                    </w:rPr>
                    <w:t>/</w:t>
                  </w:r>
                </w:p>
              </w:tc>
              <w:tc>
                <w:tcPr>
                  <w:tcW w:w="1126" w:type="pct"/>
                  <w:vAlign w:val="center"/>
                </w:tcPr>
                <w:p>
                  <w:pPr>
                    <w:pStyle w:val="107"/>
                    <w:spacing w:before="0" w:after="0" w:line="240" w:lineRule="auto"/>
                    <w:ind w:right="0"/>
                    <w:rPr>
                      <w:color w:val="auto"/>
                      <w:szCs w:val="21"/>
                    </w:rPr>
                  </w:pPr>
                  <w:r>
                    <w:rPr>
                      <w:rFonts w:hint="eastAsia"/>
                      <w:color w:val="auto"/>
                      <w:szCs w:val="21"/>
                    </w:rPr>
                    <w:t>依托现有工程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318" w:type="pct"/>
                  <w:vMerge w:val="continue"/>
                  <w:vAlign w:val="center"/>
                </w:tcPr>
                <w:p>
                  <w:pPr>
                    <w:pStyle w:val="107"/>
                    <w:spacing w:before="0" w:after="0" w:line="240" w:lineRule="auto"/>
                    <w:ind w:right="0"/>
                    <w:rPr>
                      <w:color w:val="auto"/>
                      <w:szCs w:val="21"/>
                    </w:rPr>
                  </w:pPr>
                </w:p>
              </w:tc>
              <w:tc>
                <w:tcPr>
                  <w:tcW w:w="725" w:type="pct"/>
                  <w:vAlign w:val="center"/>
                </w:tcPr>
                <w:p>
                  <w:pPr>
                    <w:pStyle w:val="107"/>
                    <w:spacing w:before="0" w:after="0" w:line="240" w:lineRule="auto"/>
                    <w:ind w:right="0"/>
                    <w:rPr>
                      <w:color w:val="auto"/>
                      <w:szCs w:val="21"/>
                    </w:rPr>
                  </w:pPr>
                  <w:r>
                    <w:rPr>
                      <w:rFonts w:hint="eastAsia"/>
                      <w:color w:val="auto"/>
                      <w:szCs w:val="21"/>
                    </w:rPr>
                    <w:t>废气防治</w:t>
                  </w:r>
                </w:p>
                <w:p>
                  <w:pPr>
                    <w:pStyle w:val="107"/>
                    <w:spacing w:before="0" w:after="0" w:line="240" w:lineRule="auto"/>
                    <w:ind w:right="0"/>
                    <w:rPr>
                      <w:color w:val="auto"/>
                      <w:szCs w:val="21"/>
                    </w:rPr>
                  </w:pPr>
                  <w:r>
                    <w:rPr>
                      <w:rFonts w:hint="eastAsia"/>
                      <w:color w:val="auto"/>
                      <w:szCs w:val="21"/>
                    </w:rPr>
                    <w:t>措施</w:t>
                  </w:r>
                </w:p>
              </w:tc>
              <w:tc>
                <w:tcPr>
                  <w:tcW w:w="1964" w:type="pct"/>
                  <w:vAlign w:val="center"/>
                </w:tcPr>
                <w:p>
                  <w:pPr>
                    <w:pStyle w:val="107"/>
                    <w:spacing w:before="0" w:after="0" w:line="240" w:lineRule="auto"/>
                    <w:ind w:right="0"/>
                    <w:rPr>
                      <w:color w:val="auto"/>
                      <w:szCs w:val="21"/>
                    </w:rPr>
                  </w:pPr>
                  <w:r>
                    <w:rPr>
                      <w:rFonts w:hint="eastAsia"/>
                      <w:color w:val="auto"/>
                      <w:szCs w:val="21"/>
                    </w:rPr>
                    <w:t>硝酸铵上料工序采用密闭式全自动上料</w:t>
                  </w:r>
                </w:p>
              </w:tc>
              <w:tc>
                <w:tcPr>
                  <w:tcW w:w="865" w:type="pct"/>
                  <w:vAlign w:val="center"/>
                </w:tcPr>
                <w:p>
                  <w:pPr>
                    <w:pStyle w:val="107"/>
                    <w:spacing w:before="0" w:after="0" w:line="240" w:lineRule="auto"/>
                    <w:ind w:right="0"/>
                    <w:rPr>
                      <w:color w:val="auto"/>
                      <w:szCs w:val="21"/>
                    </w:rPr>
                  </w:pPr>
                  <w:r>
                    <w:rPr>
                      <w:rFonts w:hint="eastAsia"/>
                      <w:color w:val="auto"/>
                      <w:szCs w:val="21"/>
                    </w:rPr>
                    <w:t>/</w:t>
                  </w:r>
                </w:p>
              </w:tc>
              <w:tc>
                <w:tcPr>
                  <w:tcW w:w="1126" w:type="pct"/>
                  <w:vAlign w:val="center"/>
                </w:tcPr>
                <w:p>
                  <w:pPr>
                    <w:pStyle w:val="107"/>
                    <w:spacing w:before="0" w:after="0" w:line="240" w:lineRule="auto"/>
                    <w:ind w:right="0"/>
                    <w:rPr>
                      <w:color w:val="auto"/>
                      <w:szCs w:val="21"/>
                    </w:rPr>
                  </w:pPr>
                  <w:r>
                    <w:rPr>
                      <w:rFonts w:hint="eastAsia"/>
                      <w:color w:val="auto"/>
                      <w:szCs w:val="21"/>
                    </w:rPr>
                    <w:t>依托现有工程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318" w:type="pct"/>
                  <w:vMerge w:val="continue"/>
                  <w:vAlign w:val="center"/>
                </w:tcPr>
                <w:p>
                  <w:pPr>
                    <w:pStyle w:val="107"/>
                    <w:spacing w:before="0" w:after="0" w:line="240" w:lineRule="auto"/>
                    <w:ind w:right="0"/>
                    <w:rPr>
                      <w:color w:val="auto"/>
                      <w:szCs w:val="21"/>
                    </w:rPr>
                  </w:pPr>
                </w:p>
              </w:tc>
              <w:tc>
                <w:tcPr>
                  <w:tcW w:w="725" w:type="pct"/>
                  <w:vAlign w:val="center"/>
                </w:tcPr>
                <w:p>
                  <w:pPr>
                    <w:pStyle w:val="107"/>
                    <w:spacing w:before="0" w:after="0" w:line="240" w:lineRule="auto"/>
                    <w:ind w:right="0"/>
                    <w:rPr>
                      <w:color w:val="auto"/>
                      <w:szCs w:val="21"/>
                    </w:rPr>
                  </w:pPr>
                  <w:r>
                    <w:rPr>
                      <w:rFonts w:hint="eastAsia"/>
                      <w:color w:val="auto"/>
                      <w:szCs w:val="21"/>
                    </w:rPr>
                    <w:t>风险防治</w:t>
                  </w:r>
                </w:p>
                <w:p>
                  <w:pPr>
                    <w:pStyle w:val="107"/>
                    <w:spacing w:before="0" w:after="0" w:line="240" w:lineRule="auto"/>
                    <w:ind w:right="0"/>
                    <w:rPr>
                      <w:color w:val="auto"/>
                      <w:szCs w:val="21"/>
                    </w:rPr>
                  </w:pPr>
                  <w:r>
                    <w:rPr>
                      <w:rFonts w:hint="eastAsia"/>
                      <w:color w:val="auto"/>
                      <w:szCs w:val="21"/>
                    </w:rPr>
                    <w:t>措施</w:t>
                  </w:r>
                </w:p>
              </w:tc>
              <w:tc>
                <w:tcPr>
                  <w:tcW w:w="1964" w:type="pct"/>
                  <w:vAlign w:val="center"/>
                </w:tcPr>
                <w:p>
                  <w:pPr>
                    <w:pStyle w:val="107"/>
                    <w:spacing w:before="0" w:after="0" w:line="240" w:lineRule="auto"/>
                    <w:ind w:right="0"/>
                    <w:rPr>
                      <w:color w:val="auto"/>
                      <w:szCs w:val="21"/>
                    </w:rPr>
                  </w:pPr>
                  <w:r>
                    <w:rPr>
                      <w:rFonts w:hint="eastAsia"/>
                      <w:color w:val="auto"/>
                      <w:szCs w:val="21"/>
                    </w:rPr>
                    <w:t>修订突发环境事件应急预案</w:t>
                  </w:r>
                </w:p>
              </w:tc>
              <w:tc>
                <w:tcPr>
                  <w:tcW w:w="865" w:type="pct"/>
                  <w:vAlign w:val="center"/>
                </w:tcPr>
                <w:p>
                  <w:pPr>
                    <w:pStyle w:val="107"/>
                    <w:spacing w:before="0" w:after="0" w:line="240" w:lineRule="auto"/>
                    <w:ind w:right="0"/>
                    <w:rPr>
                      <w:color w:val="auto"/>
                      <w:szCs w:val="21"/>
                    </w:rPr>
                  </w:pPr>
                  <w:r>
                    <w:rPr>
                      <w:rFonts w:hint="eastAsia"/>
                      <w:color w:val="auto"/>
                      <w:szCs w:val="21"/>
                    </w:rPr>
                    <w:t>2.0</w:t>
                  </w:r>
                </w:p>
              </w:tc>
              <w:tc>
                <w:tcPr>
                  <w:tcW w:w="1126" w:type="pct"/>
                  <w:vAlign w:val="center"/>
                </w:tcPr>
                <w:p>
                  <w:pPr>
                    <w:pStyle w:val="107"/>
                    <w:spacing w:before="0" w:after="0" w:line="240" w:lineRule="auto"/>
                    <w:ind w:right="0"/>
                    <w:rPr>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318" w:type="pct"/>
                  <w:vMerge w:val="continue"/>
                  <w:vAlign w:val="center"/>
                </w:tcPr>
                <w:p>
                  <w:pPr>
                    <w:pStyle w:val="107"/>
                    <w:spacing w:before="0" w:after="0" w:line="240" w:lineRule="auto"/>
                    <w:ind w:right="0"/>
                    <w:rPr>
                      <w:color w:val="auto"/>
                      <w:szCs w:val="21"/>
                    </w:rPr>
                  </w:pPr>
                </w:p>
              </w:tc>
              <w:tc>
                <w:tcPr>
                  <w:tcW w:w="725" w:type="pct"/>
                  <w:vAlign w:val="center"/>
                </w:tcPr>
                <w:p>
                  <w:pPr>
                    <w:pStyle w:val="107"/>
                    <w:spacing w:before="0" w:after="0" w:line="240" w:lineRule="auto"/>
                    <w:ind w:right="0"/>
                    <w:rPr>
                      <w:rFonts w:hint="default" w:eastAsia="宋体"/>
                      <w:color w:val="auto"/>
                      <w:szCs w:val="21"/>
                      <w:lang w:val="en-US" w:eastAsia="zh-CN"/>
                    </w:rPr>
                  </w:pPr>
                  <w:r>
                    <w:rPr>
                      <w:rFonts w:hint="eastAsia"/>
                      <w:color w:val="auto"/>
                      <w:szCs w:val="21"/>
                      <w:lang w:val="en-US" w:eastAsia="zh-CN"/>
                    </w:rPr>
                    <w:t>环评报告编制及环保竣工验收</w:t>
                  </w:r>
                </w:p>
              </w:tc>
              <w:tc>
                <w:tcPr>
                  <w:tcW w:w="1964" w:type="pct"/>
                  <w:vAlign w:val="center"/>
                </w:tcPr>
                <w:p>
                  <w:pPr>
                    <w:pStyle w:val="107"/>
                    <w:spacing w:before="0" w:after="0" w:line="240" w:lineRule="auto"/>
                    <w:ind w:right="0"/>
                    <w:rPr>
                      <w:rFonts w:hint="default" w:eastAsia="宋体"/>
                      <w:color w:val="auto"/>
                      <w:szCs w:val="21"/>
                      <w:lang w:val="en-US" w:eastAsia="zh-CN"/>
                    </w:rPr>
                  </w:pPr>
                  <w:r>
                    <w:rPr>
                      <w:rFonts w:hint="eastAsia"/>
                      <w:color w:val="auto"/>
                      <w:szCs w:val="21"/>
                      <w:lang w:val="en-US" w:eastAsia="zh-CN"/>
                    </w:rPr>
                    <w:t>委托单位编制环评报告表，项目试运行后进行环保竣工自主验收</w:t>
                  </w:r>
                </w:p>
              </w:tc>
              <w:tc>
                <w:tcPr>
                  <w:tcW w:w="865" w:type="pct"/>
                  <w:vAlign w:val="center"/>
                </w:tcPr>
                <w:p>
                  <w:pPr>
                    <w:pStyle w:val="107"/>
                    <w:spacing w:before="0" w:after="0" w:line="240" w:lineRule="auto"/>
                    <w:ind w:right="0"/>
                    <w:rPr>
                      <w:rFonts w:hint="default" w:eastAsia="宋体"/>
                      <w:color w:val="auto"/>
                      <w:szCs w:val="21"/>
                      <w:lang w:val="en-US" w:eastAsia="zh-CN"/>
                    </w:rPr>
                  </w:pPr>
                  <w:r>
                    <w:rPr>
                      <w:rFonts w:hint="eastAsia"/>
                      <w:color w:val="auto"/>
                      <w:szCs w:val="21"/>
                      <w:lang w:val="en-US" w:eastAsia="zh-CN"/>
                    </w:rPr>
                    <w:t>5.0</w:t>
                  </w:r>
                </w:p>
              </w:tc>
              <w:tc>
                <w:tcPr>
                  <w:tcW w:w="1126" w:type="pct"/>
                  <w:vAlign w:val="center"/>
                </w:tcPr>
                <w:p>
                  <w:pPr>
                    <w:pStyle w:val="107"/>
                    <w:spacing w:before="0" w:after="0" w:line="240" w:lineRule="auto"/>
                    <w:ind w:right="0"/>
                    <w:rPr>
                      <w:rFonts w:hint="eastAsia" w:eastAsia="宋体"/>
                      <w:color w:val="auto"/>
                      <w:szCs w:val="21"/>
                      <w:lang w:val="en-US" w:eastAsia="zh-CN"/>
                    </w:rPr>
                  </w:pPr>
                  <w:r>
                    <w:rPr>
                      <w:rFonts w:hint="eastAsia"/>
                      <w:color w:val="auto"/>
                      <w:szCs w:val="21"/>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8" w:type="pct"/>
                  <w:vMerge w:val="continue"/>
                  <w:vAlign w:val="center"/>
                </w:tcPr>
                <w:p>
                  <w:pPr>
                    <w:pStyle w:val="107"/>
                    <w:spacing w:before="0" w:after="0" w:line="240" w:lineRule="auto"/>
                    <w:ind w:right="0"/>
                    <w:rPr>
                      <w:color w:val="auto"/>
                      <w:szCs w:val="21"/>
                    </w:rPr>
                  </w:pPr>
                </w:p>
              </w:tc>
              <w:tc>
                <w:tcPr>
                  <w:tcW w:w="725" w:type="pct"/>
                  <w:vAlign w:val="center"/>
                </w:tcPr>
                <w:p>
                  <w:pPr>
                    <w:pStyle w:val="107"/>
                    <w:spacing w:before="0" w:after="0" w:line="240" w:lineRule="auto"/>
                    <w:ind w:right="0"/>
                    <w:rPr>
                      <w:color w:val="auto"/>
                      <w:szCs w:val="21"/>
                    </w:rPr>
                  </w:pPr>
                  <w:r>
                    <w:rPr>
                      <w:rFonts w:hint="eastAsia"/>
                      <w:color w:val="auto"/>
                      <w:szCs w:val="21"/>
                    </w:rPr>
                    <w:t>生态措施</w:t>
                  </w:r>
                </w:p>
              </w:tc>
              <w:tc>
                <w:tcPr>
                  <w:tcW w:w="1964" w:type="pct"/>
                  <w:vAlign w:val="center"/>
                </w:tcPr>
                <w:p>
                  <w:pPr>
                    <w:pStyle w:val="107"/>
                    <w:spacing w:before="0" w:after="0" w:line="240" w:lineRule="auto"/>
                    <w:ind w:right="0"/>
                    <w:rPr>
                      <w:color w:val="auto"/>
                      <w:szCs w:val="21"/>
                    </w:rPr>
                  </w:pPr>
                  <w:r>
                    <w:rPr>
                      <w:rFonts w:hint="eastAsia"/>
                      <w:color w:val="auto"/>
                      <w:szCs w:val="21"/>
                    </w:rPr>
                    <w:t>项目区绿化</w:t>
                  </w:r>
                </w:p>
              </w:tc>
              <w:tc>
                <w:tcPr>
                  <w:tcW w:w="865" w:type="pct"/>
                  <w:vAlign w:val="center"/>
                </w:tcPr>
                <w:p>
                  <w:pPr>
                    <w:pStyle w:val="107"/>
                    <w:spacing w:before="0" w:after="0" w:line="240" w:lineRule="auto"/>
                    <w:ind w:right="0"/>
                    <w:rPr>
                      <w:color w:val="auto"/>
                      <w:szCs w:val="21"/>
                    </w:rPr>
                  </w:pPr>
                  <w:r>
                    <w:rPr>
                      <w:rStyle w:val="34"/>
                      <w:rFonts w:hint="eastAsia"/>
                      <w:color w:val="auto"/>
                      <w:kern w:val="2"/>
                      <w:szCs w:val="21"/>
                    </w:rPr>
                    <w:t>/</w:t>
                  </w:r>
                </w:p>
              </w:tc>
              <w:tc>
                <w:tcPr>
                  <w:tcW w:w="1126" w:type="pct"/>
                  <w:vAlign w:val="center"/>
                </w:tcPr>
                <w:p>
                  <w:pPr>
                    <w:pStyle w:val="107"/>
                    <w:spacing w:before="0" w:after="0" w:line="240" w:lineRule="auto"/>
                    <w:ind w:right="0"/>
                    <w:rPr>
                      <w:rStyle w:val="34"/>
                      <w:color w:val="auto"/>
                      <w:kern w:val="2"/>
                      <w:szCs w:val="21"/>
                    </w:rPr>
                  </w:pPr>
                  <w:r>
                    <w:rPr>
                      <w:rFonts w:hint="eastAsia"/>
                      <w:color w:val="auto"/>
                      <w:szCs w:val="21"/>
                    </w:rPr>
                    <w:t>依托现有工程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3008" w:type="pct"/>
                  <w:gridSpan w:val="3"/>
                  <w:vAlign w:val="center"/>
                </w:tcPr>
                <w:p>
                  <w:pPr>
                    <w:pStyle w:val="107"/>
                    <w:spacing w:before="0" w:after="0" w:line="240" w:lineRule="auto"/>
                    <w:ind w:right="0"/>
                    <w:rPr>
                      <w:color w:val="auto"/>
                      <w:szCs w:val="21"/>
                    </w:rPr>
                  </w:pPr>
                  <w:r>
                    <w:rPr>
                      <w:color w:val="auto"/>
                      <w:szCs w:val="21"/>
                    </w:rPr>
                    <w:t>合计</w:t>
                  </w:r>
                </w:p>
              </w:tc>
              <w:tc>
                <w:tcPr>
                  <w:tcW w:w="865" w:type="pct"/>
                  <w:vAlign w:val="center"/>
                </w:tcPr>
                <w:p>
                  <w:pPr>
                    <w:pStyle w:val="107"/>
                    <w:spacing w:before="0" w:after="0" w:line="240" w:lineRule="auto"/>
                    <w:ind w:right="0"/>
                    <w:rPr>
                      <w:rFonts w:hint="default" w:eastAsia="宋体"/>
                      <w:color w:val="auto"/>
                      <w:szCs w:val="21"/>
                      <w:lang w:val="en-US" w:eastAsia="zh-CN"/>
                    </w:rPr>
                  </w:pPr>
                  <w:r>
                    <w:rPr>
                      <w:rFonts w:hint="eastAsia"/>
                      <w:color w:val="auto"/>
                      <w:szCs w:val="21"/>
                      <w:lang w:val="en-US" w:eastAsia="zh-CN"/>
                    </w:rPr>
                    <w:t>13.0</w:t>
                  </w:r>
                </w:p>
              </w:tc>
              <w:tc>
                <w:tcPr>
                  <w:tcW w:w="1126" w:type="pct"/>
                  <w:vAlign w:val="center"/>
                </w:tcPr>
                <w:p>
                  <w:pPr>
                    <w:pStyle w:val="107"/>
                    <w:spacing w:before="0" w:after="0" w:line="240" w:lineRule="auto"/>
                    <w:ind w:right="0"/>
                    <w:rPr>
                      <w:color w:val="auto"/>
                      <w:szCs w:val="21"/>
                    </w:rPr>
                  </w:pPr>
                  <w:r>
                    <w:rPr>
                      <w:rFonts w:hint="eastAsia"/>
                      <w:color w:val="auto"/>
                      <w:szCs w:val="21"/>
                    </w:rPr>
                    <w:t>/</w:t>
                  </w:r>
                </w:p>
              </w:tc>
            </w:tr>
          </w:tbl>
          <w:p>
            <w:pPr>
              <w:pStyle w:val="5"/>
              <w:adjustRightInd w:val="0"/>
              <w:snapToGrid w:val="0"/>
              <w:spacing w:before="120" w:beforeLines="50" w:after="0" w:line="360" w:lineRule="auto"/>
              <w:ind w:firstLine="482" w:firstLineChars="200"/>
              <w:rPr>
                <w:rFonts w:ascii="Times New Roman" w:hAnsi="Times New Roman" w:eastAsia="宋体"/>
                <w:color w:val="auto"/>
                <w:sz w:val="24"/>
                <w:szCs w:val="24"/>
              </w:rPr>
            </w:pPr>
            <w:r>
              <w:rPr>
                <w:rFonts w:hint="eastAsia" w:ascii="Times New Roman" w:hAnsi="Times New Roman" w:eastAsia="宋体"/>
                <w:color w:val="auto"/>
                <w:sz w:val="24"/>
                <w:szCs w:val="24"/>
              </w:rPr>
              <w:t>8、项目建成后“三本账”分析</w:t>
            </w:r>
          </w:p>
          <w:p>
            <w:pPr>
              <w:widowControl/>
              <w:autoSpaceDE w:val="0"/>
              <w:autoSpaceDN w:val="0"/>
              <w:spacing w:line="520" w:lineRule="exact"/>
              <w:ind w:firstLine="480" w:firstLineChars="200"/>
              <w:rPr>
                <w:color w:val="auto"/>
                <w:sz w:val="24"/>
              </w:rPr>
            </w:pPr>
            <w:r>
              <w:rPr>
                <w:color w:val="auto"/>
                <w:sz w:val="24"/>
              </w:rPr>
              <w:t>根据</w:t>
            </w:r>
            <w:r>
              <w:rPr>
                <w:rFonts w:hint="eastAsia"/>
                <w:color w:val="auto"/>
                <w:sz w:val="24"/>
              </w:rPr>
              <w:t>现</w:t>
            </w:r>
            <w:r>
              <w:rPr>
                <w:color w:val="auto"/>
                <w:sz w:val="24"/>
              </w:rPr>
              <w:t>有工程环保竣工验收报告，本项目扩建前后污染物排放变化情况见下表。</w:t>
            </w:r>
          </w:p>
          <w:p>
            <w:pPr>
              <w:pStyle w:val="36"/>
              <w:rPr>
                <w:color w:val="auto"/>
              </w:rPr>
            </w:pPr>
            <w:r>
              <w:rPr>
                <w:rFonts w:hint="eastAsia"/>
                <w:color w:val="auto"/>
              </w:rPr>
              <w:t>表4-9  扩</w:t>
            </w:r>
            <w:r>
              <w:rPr>
                <w:rFonts w:hint="eastAsia"/>
                <w:color w:val="auto"/>
                <w:lang w:val="en-US" w:eastAsia="zh-CN"/>
              </w:rPr>
              <w:t>能</w:t>
            </w:r>
            <w:r>
              <w:rPr>
                <w:rFonts w:hint="eastAsia"/>
                <w:color w:val="auto"/>
              </w:rPr>
              <w:t>前后污染物排放变化情况</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1321"/>
              <w:gridCol w:w="1138"/>
              <w:gridCol w:w="1356"/>
              <w:gridCol w:w="1540"/>
              <w:gridCol w:w="1543"/>
              <w:gridCol w:w="16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321" w:type="pct"/>
                  <w:vAlign w:val="center"/>
                </w:tcPr>
                <w:p>
                  <w:pPr>
                    <w:pStyle w:val="81"/>
                    <w:spacing w:line="280" w:lineRule="exact"/>
                    <w:rPr>
                      <w:color w:val="auto"/>
                    </w:rPr>
                  </w:pPr>
                  <w:r>
                    <w:rPr>
                      <w:color w:val="auto"/>
                    </w:rPr>
                    <w:t>污染源</w:t>
                  </w:r>
                </w:p>
              </w:tc>
              <w:tc>
                <w:tcPr>
                  <w:tcW w:w="724" w:type="pct"/>
                  <w:vAlign w:val="center"/>
                </w:tcPr>
                <w:p>
                  <w:pPr>
                    <w:pStyle w:val="81"/>
                    <w:spacing w:line="280" w:lineRule="exact"/>
                    <w:rPr>
                      <w:color w:val="auto"/>
                    </w:rPr>
                  </w:pPr>
                  <w:r>
                    <w:rPr>
                      <w:color w:val="auto"/>
                    </w:rPr>
                    <w:t>污染物</w:t>
                  </w:r>
                </w:p>
              </w:tc>
              <w:tc>
                <w:tcPr>
                  <w:tcW w:w="624" w:type="pct"/>
                  <w:vAlign w:val="center"/>
                </w:tcPr>
                <w:p>
                  <w:pPr>
                    <w:pStyle w:val="81"/>
                    <w:spacing w:line="280" w:lineRule="exact"/>
                    <w:rPr>
                      <w:color w:val="auto"/>
                    </w:rPr>
                  </w:pPr>
                  <w:r>
                    <w:rPr>
                      <w:rFonts w:hint="eastAsia"/>
                      <w:color w:val="auto"/>
                    </w:rPr>
                    <w:t>现</w:t>
                  </w:r>
                  <w:r>
                    <w:rPr>
                      <w:color w:val="auto"/>
                    </w:rPr>
                    <w:t>有工程排放量</w:t>
                  </w:r>
                  <w:r>
                    <w:rPr>
                      <w:rFonts w:hint="eastAsia"/>
                      <w:color w:val="auto"/>
                    </w:rPr>
                    <w:t>（t/a）</w:t>
                  </w:r>
                </w:p>
              </w:tc>
              <w:tc>
                <w:tcPr>
                  <w:tcW w:w="743" w:type="pct"/>
                  <w:vAlign w:val="center"/>
                </w:tcPr>
                <w:p>
                  <w:pPr>
                    <w:pStyle w:val="81"/>
                    <w:spacing w:line="280" w:lineRule="exact"/>
                    <w:rPr>
                      <w:color w:val="auto"/>
                    </w:rPr>
                  </w:pPr>
                  <w:r>
                    <w:rPr>
                      <w:rFonts w:hint="eastAsia"/>
                      <w:color w:val="auto"/>
                      <w:lang w:val="en-US" w:eastAsia="zh-CN"/>
                    </w:rPr>
                    <w:t>本项目</w:t>
                  </w:r>
                  <w:r>
                    <w:rPr>
                      <w:color w:val="auto"/>
                    </w:rPr>
                    <w:t>排放量</w:t>
                  </w:r>
                  <w:r>
                    <w:rPr>
                      <w:rFonts w:hint="eastAsia"/>
                      <w:color w:val="auto"/>
                    </w:rPr>
                    <w:t>（t/a）</w:t>
                  </w:r>
                </w:p>
              </w:tc>
              <w:tc>
                <w:tcPr>
                  <w:tcW w:w="844" w:type="pct"/>
                  <w:vAlign w:val="center"/>
                </w:tcPr>
                <w:p>
                  <w:pPr>
                    <w:pStyle w:val="81"/>
                    <w:spacing w:line="280" w:lineRule="exact"/>
                    <w:rPr>
                      <w:color w:val="auto"/>
                    </w:rPr>
                  </w:pPr>
                  <w:r>
                    <w:rPr>
                      <w:rFonts w:hint="eastAsia"/>
                      <w:color w:val="auto"/>
                    </w:rPr>
                    <w:t>“</w:t>
                  </w:r>
                  <w:r>
                    <w:rPr>
                      <w:color w:val="auto"/>
                    </w:rPr>
                    <w:t>以新带老</w:t>
                  </w:r>
                  <w:r>
                    <w:rPr>
                      <w:rFonts w:hint="eastAsia"/>
                      <w:color w:val="auto"/>
                    </w:rPr>
                    <w:t>”</w:t>
                  </w:r>
                  <w:r>
                    <w:rPr>
                      <w:color w:val="auto"/>
                    </w:rPr>
                    <w:t>消减量</w:t>
                  </w:r>
                  <w:r>
                    <w:rPr>
                      <w:rFonts w:hint="eastAsia"/>
                      <w:color w:val="auto"/>
                    </w:rPr>
                    <w:t>（t/a）</w:t>
                  </w:r>
                </w:p>
              </w:tc>
              <w:tc>
                <w:tcPr>
                  <w:tcW w:w="846" w:type="pct"/>
                  <w:vAlign w:val="center"/>
                </w:tcPr>
                <w:p>
                  <w:pPr>
                    <w:pStyle w:val="81"/>
                    <w:spacing w:line="280" w:lineRule="exact"/>
                    <w:rPr>
                      <w:color w:val="auto"/>
                    </w:rPr>
                  </w:pPr>
                  <w:r>
                    <w:rPr>
                      <w:rFonts w:hint="eastAsia"/>
                      <w:color w:val="auto"/>
                      <w:lang w:val="en-US" w:eastAsia="zh-CN"/>
                    </w:rPr>
                    <w:t>本项目</w:t>
                  </w:r>
                  <w:r>
                    <w:rPr>
                      <w:color w:val="auto"/>
                    </w:rPr>
                    <w:t>完成后排放量</w:t>
                  </w:r>
                  <w:r>
                    <w:rPr>
                      <w:rFonts w:hint="eastAsia"/>
                      <w:color w:val="auto"/>
                    </w:rPr>
                    <w:t>（t/a）</w:t>
                  </w:r>
                </w:p>
              </w:tc>
              <w:tc>
                <w:tcPr>
                  <w:tcW w:w="894" w:type="pct"/>
                  <w:vAlign w:val="center"/>
                </w:tcPr>
                <w:p>
                  <w:pPr>
                    <w:pStyle w:val="81"/>
                    <w:spacing w:line="280" w:lineRule="exact"/>
                    <w:rPr>
                      <w:color w:val="auto"/>
                    </w:rPr>
                  </w:pPr>
                  <w:r>
                    <w:rPr>
                      <w:color w:val="auto"/>
                    </w:rPr>
                    <w:t>增减量</w:t>
                  </w:r>
                  <w:r>
                    <w:rPr>
                      <w:rFonts w:hint="eastAsia"/>
                      <w:color w:val="auto"/>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21" w:type="pct"/>
                  <w:vMerge w:val="restart"/>
                  <w:vAlign w:val="center"/>
                </w:tcPr>
                <w:p>
                  <w:pPr>
                    <w:pStyle w:val="81"/>
                    <w:spacing w:line="280" w:lineRule="exact"/>
                    <w:rPr>
                      <w:color w:val="auto"/>
                    </w:rPr>
                  </w:pPr>
                  <w:r>
                    <w:rPr>
                      <w:rFonts w:hint="eastAsia"/>
                      <w:color w:val="auto"/>
                    </w:rPr>
                    <w:t>废气</w:t>
                  </w:r>
                </w:p>
              </w:tc>
              <w:tc>
                <w:tcPr>
                  <w:tcW w:w="724" w:type="pct"/>
                  <w:vAlign w:val="center"/>
                </w:tcPr>
                <w:p>
                  <w:pPr>
                    <w:pStyle w:val="81"/>
                    <w:spacing w:line="280" w:lineRule="exact"/>
                    <w:rPr>
                      <w:color w:val="auto"/>
                    </w:rPr>
                  </w:pPr>
                  <w:r>
                    <w:rPr>
                      <w:rFonts w:hint="eastAsia"/>
                      <w:color w:val="auto"/>
                    </w:rPr>
                    <w:t>颗粒物</w:t>
                  </w:r>
                </w:p>
              </w:tc>
              <w:tc>
                <w:tcPr>
                  <w:tcW w:w="624" w:type="pct"/>
                  <w:vAlign w:val="center"/>
                </w:tcPr>
                <w:p>
                  <w:pPr>
                    <w:widowControl/>
                    <w:jc w:val="center"/>
                    <w:rPr>
                      <w:color w:val="auto"/>
                      <w:szCs w:val="21"/>
                    </w:rPr>
                  </w:pPr>
                  <w:r>
                    <w:rPr>
                      <w:rFonts w:hint="eastAsia"/>
                      <w:color w:val="auto"/>
                      <w:szCs w:val="21"/>
                    </w:rPr>
                    <w:t>0.017</w:t>
                  </w:r>
                </w:p>
              </w:tc>
              <w:tc>
                <w:tcPr>
                  <w:tcW w:w="743" w:type="pct"/>
                  <w:vAlign w:val="center"/>
                </w:tcPr>
                <w:p>
                  <w:pPr>
                    <w:widowControl/>
                    <w:jc w:val="center"/>
                    <w:rPr>
                      <w:color w:val="auto"/>
                      <w:szCs w:val="21"/>
                    </w:rPr>
                  </w:pPr>
                  <w:r>
                    <w:rPr>
                      <w:rFonts w:hint="eastAsia"/>
                      <w:color w:val="auto"/>
                      <w:szCs w:val="21"/>
                    </w:rPr>
                    <w:t>0.045</w:t>
                  </w:r>
                </w:p>
              </w:tc>
              <w:tc>
                <w:tcPr>
                  <w:tcW w:w="844" w:type="pct"/>
                  <w:vAlign w:val="center"/>
                </w:tcPr>
                <w:p>
                  <w:pPr>
                    <w:pStyle w:val="81"/>
                    <w:spacing w:line="280" w:lineRule="exact"/>
                    <w:rPr>
                      <w:color w:val="auto"/>
                    </w:rPr>
                  </w:pPr>
                  <w:r>
                    <w:rPr>
                      <w:rFonts w:hint="eastAsia"/>
                      <w:color w:val="auto"/>
                    </w:rPr>
                    <w:t>0</w:t>
                  </w:r>
                </w:p>
              </w:tc>
              <w:tc>
                <w:tcPr>
                  <w:tcW w:w="846" w:type="pct"/>
                  <w:vAlign w:val="center"/>
                </w:tcPr>
                <w:p>
                  <w:pPr>
                    <w:widowControl/>
                    <w:jc w:val="center"/>
                    <w:rPr>
                      <w:color w:val="auto"/>
                      <w:szCs w:val="21"/>
                    </w:rPr>
                  </w:pPr>
                  <w:r>
                    <w:rPr>
                      <w:rFonts w:hint="eastAsia"/>
                      <w:color w:val="auto"/>
                      <w:szCs w:val="21"/>
                    </w:rPr>
                    <w:t>0.062</w:t>
                  </w:r>
                </w:p>
              </w:tc>
              <w:tc>
                <w:tcPr>
                  <w:tcW w:w="894" w:type="pct"/>
                  <w:vAlign w:val="center"/>
                </w:tcPr>
                <w:p>
                  <w:pPr>
                    <w:pStyle w:val="81"/>
                    <w:spacing w:line="280" w:lineRule="exact"/>
                    <w:rPr>
                      <w:color w:val="auto"/>
                    </w:rPr>
                  </w:pPr>
                  <w:r>
                    <w:rPr>
                      <w:rFonts w:hint="eastAsia"/>
                      <w:color w:val="auto"/>
                    </w:rPr>
                    <w:t>＋0.045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1" w:type="pct"/>
                  <w:vMerge w:val="continue"/>
                  <w:vAlign w:val="center"/>
                </w:tcPr>
                <w:p>
                  <w:pPr>
                    <w:pStyle w:val="81"/>
                    <w:spacing w:line="280" w:lineRule="exact"/>
                    <w:rPr>
                      <w:color w:val="auto"/>
                    </w:rPr>
                  </w:pPr>
                </w:p>
              </w:tc>
              <w:tc>
                <w:tcPr>
                  <w:tcW w:w="724" w:type="pct"/>
                  <w:vAlign w:val="center"/>
                </w:tcPr>
                <w:p>
                  <w:pPr>
                    <w:pStyle w:val="81"/>
                    <w:spacing w:line="280" w:lineRule="exact"/>
                    <w:rPr>
                      <w:color w:val="auto"/>
                    </w:rPr>
                  </w:pPr>
                  <w:r>
                    <w:rPr>
                      <w:rFonts w:hint="eastAsia"/>
                      <w:color w:val="auto"/>
                    </w:rPr>
                    <w:t>非甲</w:t>
                  </w:r>
                </w:p>
                <w:p>
                  <w:pPr>
                    <w:pStyle w:val="81"/>
                    <w:spacing w:line="280" w:lineRule="exact"/>
                    <w:rPr>
                      <w:color w:val="auto"/>
                    </w:rPr>
                  </w:pPr>
                  <w:r>
                    <w:rPr>
                      <w:rFonts w:hint="eastAsia"/>
                      <w:color w:val="auto"/>
                    </w:rPr>
                    <w:t>烷总烃</w:t>
                  </w:r>
                </w:p>
              </w:tc>
              <w:tc>
                <w:tcPr>
                  <w:tcW w:w="624" w:type="pct"/>
                  <w:vAlign w:val="center"/>
                </w:tcPr>
                <w:p>
                  <w:pPr>
                    <w:widowControl/>
                    <w:jc w:val="center"/>
                    <w:rPr>
                      <w:color w:val="auto"/>
                      <w:szCs w:val="21"/>
                    </w:rPr>
                  </w:pPr>
                  <w:r>
                    <w:rPr>
                      <w:rFonts w:hint="eastAsia"/>
                      <w:color w:val="auto"/>
                      <w:szCs w:val="21"/>
                    </w:rPr>
                    <w:t>0.038</w:t>
                  </w:r>
                </w:p>
              </w:tc>
              <w:tc>
                <w:tcPr>
                  <w:tcW w:w="743" w:type="pct"/>
                  <w:vAlign w:val="center"/>
                </w:tcPr>
                <w:p>
                  <w:pPr>
                    <w:widowControl/>
                    <w:jc w:val="center"/>
                    <w:rPr>
                      <w:color w:val="auto"/>
                      <w:szCs w:val="21"/>
                    </w:rPr>
                  </w:pPr>
                  <w:r>
                    <w:rPr>
                      <w:rFonts w:hint="eastAsia"/>
                      <w:color w:val="auto"/>
                      <w:szCs w:val="21"/>
                    </w:rPr>
                    <w:t>0.077</w:t>
                  </w:r>
                </w:p>
              </w:tc>
              <w:tc>
                <w:tcPr>
                  <w:tcW w:w="844" w:type="pct"/>
                  <w:vAlign w:val="center"/>
                </w:tcPr>
                <w:p>
                  <w:pPr>
                    <w:pStyle w:val="81"/>
                    <w:spacing w:line="280" w:lineRule="exact"/>
                    <w:rPr>
                      <w:color w:val="auto"/>
                    </w:rPr>
                  </w:pPr>
                  <w:r>
                    <w:rPr>
                      <w:rFonts w:hint="eastAsia"/>
                      <w:color w:val="auto"/>
                    </w:rPr>
                    <w:t>0</w:t>
                  </w:r>
                </w:p>
              </w:tc>
              <w:tc>
                <w:tcPr>
                  <w:tcW w:w="846" w:type="pct"/>
                  <w:vAlign w:val="center"/>
                </w:tcPr>
                <w:p>
                  <w:pPr>
                    <w:widowControl/>
                    <w:jc w:val="center"/>
                    <w:rPr>
                      <w:color w:val="auto"/>
                      <w:szCs w:val="21"/>
                    </w:rPr>
                  </w:pPr>
                  <w:r>
                    <w:rPr>
                      <w:rFonts w:hint="eastAsia"/>
                      <w:color w:val="auto"/>
                      <w:szCs w:val="21"/>
                    </w:rPr>
                    <w:t>0.115</w:t>
                  </w:r>
                </w:p>
              </w:tc>
              <w:tc>
                <w:tcPr>
                  <w:tcW w:w="894" w:type="pct"/>
                  <w:vAlign w:val="center"/>
                </w:tcPr>
                <w:p>
                  <w:pPr>
                    <w:pStyle w:val="81"/>
                    <w:spacing w:line="280" w:lineRule="exact"/>
                    <w:rPr>
                      <w:color w:val="auto"/>
                    </w:rPr>
                  </w:pPr>
                  <w:r>
                    <w:rPr>
                      <w:rFonts w:hint="eastAsia"/>
                      <w:color w:val="auto"/>
                    </w:rPr>
                    <w:t>＋0.077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1" w:type="pct"/>
                  <w:vMerge w:val="continue"/>
                  <w:vAlign w:val="center"/>
                </w:tcPr>
                <w:p>
                  <w:pPr>
                    <w:pStyle w:val="81"/>
                    <w:spacing w:line="280" w:lineRule="exact"/>
                    <w:rPr>
                      <w:color w:val="auto"/>
                    </w:rPr>
                  </w:pPr>
                </w:p>
              </w:tc>
              <w:tc>
                <w:tcPr>
                  <w:tcW w:w="724" w:type="pct"/>
                  <w:vAlign w:val="center"/>
                </w:tcPr>
                <w:p>
                  <w:pPr>
                    <w:pStyle w:val="81"/>
                    <w:spacing w:line="280" w:lineRule="exact"/>
                    <w:rPr>
                      <w:color w:val="auto"/>
                    </w:rPr>
                  </w:pPr>
                  <w:r>
                    <w:rPr>
                      <w:rFonts w:hint="eastAsia"/>
                      <w:color w:val="auto"/>
                    </w:rPr>
                    <w:t>氨</w:t>
                  </w:r>
                </w:p>
              </w:tc>
              <w:tc>
                <w:tcPr>
                  <w:tcW w:w="624" w:type="pct"/>
                  <w:vAlign w:val="center"/>
                </w:tcPr>
                <w:p>
                  <w:pPr>
                    <w:pStyle w:val="81"/>
                    <w:spacing w:line="280" w:lineRule="exact"/>
                    <w:rPr>
                      <w:color w:val="auto"/>
                      <w:szCs w:val="18"/>
                    </w:rPr>
                  </w:pPr>
                  <w:r>
                    <w:rPr>
                      <w:rFonts w:hint="eastAsia"/>
                      <w:color w:val="auto"/>
                      <w:szCs w:val="18"/>
                    </w:rPr>
                    <w:t>少量</w:t>
                  </w:r>
                </w:p>
              </w:tc>
              <w:tc>
                <w:tcPr>
                  <w:tcW w:w="743" w:type="pct"/>
                  <w:vAlign w:val="center"/>
                </w:tcPr>
                <w:p>
                  <w:pPr>
                    <w:pStyle w:val="81"/>
                    <w:spacing w:line="280" w:lineRule="exact"/>
                    <w:rPr>
                      <w:color w:val="auto"/>
                    </w:rPr>
                  </w:pPr>
                  <w:r>
                    <w:rPr>
                      <w:rFonts w:hint="eastAsia"/>
                      <w:color w:val="auto"/>
                    </w:rPr>
                    <w:t>少量</w:t>
                  </w:r>
                </w:p>
              </w:tc>
              <w:tc>
                <w:tcPr>
                  <w:tcW w:w="844" w:type="pct"/>
                  <w:vAlign w:val="center"/>
                </w:tcPr>
                <w:p>
                  <w:pPr>
                    <w:pStyle w:val="81"/>
                    <w:spacing w:line="280" w:lineRule="exact"/>
                    <w:rPr>
                      <w:color w:val="auto"/>
                    </w:rPr>
                  </w:pPr>
                  <w:r>
                    <w:rPr>
                      <w:rFonts w:hint="eastAsia"/>
                      <w:color w:val="auto"/>
                    </w:rPr>
                    <w:t>0</w:t>
                  </w:r>
                </w:p>
              </w:tc>
              <w:tc>
                <w:tcPr>
                  <w:tcW w:w="846" w:type="pct"/>
                  <w:vAlign w:val="center"/>
                </w:tcPr>
                <w:p>
                  <w:pPr>
                    <w:pStyle w:val="81"/>
                    <w:spacing w:line="280" w:lineRule="exact"/>
                    <w:rPr>
                      <w:color w:val="auto"/>
                    </w:rPr>
                  </w:pPr>
                  <w:r>
                    <w:rPr>
                      <w:rFonts w:hint="eastAsia"/>
                      <w:color w:val="auto"/>
                    </w:rPr>
                    <w:t>少量</w:t>
                  </w:r>
                </w:p>
              </w:tc>
              <w:tc>
                <w:tcPr>
                  <w:tcW w:w="894" w:type="pct"/>
                  <w:vAlign w:val="center"/>
                </w:tcPr>
                <w:p>
                  <w:pPr>
                    <w:pStyle w:val="81"/>
                    <w:spacing w:line="280" w:lineRule="exact"/>
                    <w:rPr>
                      <w:color w:val="auto"/>
                    </w:rPr>
                  </w:pPr>
                  <w:r>
                    <w:rPr>
                      <w:rFonts w:hint="eastAsia"/>
                      <w:color w:val="auto"/>
                    </w:rPr>
                    <w:t>少量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321" w:type="pct"/>
                  <w:vMerge w:val="restart"/>
                  <w:vAlign w:val="center"/>
                </w:tcPr>
                <w:p>
                  <w:pPr>
                    <w:pStyle w:val="81"/>
                    <w:spacing w:line="280" w:lineRule="exact"/>
                    <w:rPr>
                      <w:color w:val="auto"/>
                    </w:rPr>
                  </w:pPr>
                  <w:r>
                    <w:rPr>
                      <w:rFonts w:hint="eastAsia"/>
                      <w:color w:val="auto"/>
                    </w:rPr>
                    <w:t>废水</w:t>
                  </w:r>
                </w:p>
              </w:tc>
              <w:tc>
                <w:tcPr>
                  <w:tcW w:w="724" w:type="pct"/>
                  <w:vAlign w:val="center"/>
                </w:tcPr>
                <w:p>
                  <w:pPr>
                    <w:pStyle w:val="81"/>
                    <w:spacing w:line="280" w:lineRule="exact"/>
                    <w:rPr>
                      <w:color w:val="auto"/>
                    </w:rPr>
                  </w:pPr>
                  <w:r>
                    <w:rPr>
                      <w:rFonts w:hint="eastAsia"/>
                      <w:color w:val="auto"/>
                    </w:rPr>
                    <w:t>废水排放量</w:t>
                  </w:r>
                </w:p>
              </w:tc>
              <w:tc>
                <w:tcPr>
                  <w:tcW w:w="624" w:type="pct"/>
                  <w:vAlign w:val="center"/>
                </w:tcPr>
                <w:p>
                  <w:pPr>
                    <w:pStyle w:val="81"/>
                    <w:spacing w:line="280" w:lineRule="exact"/>
                    <w:rPr>
                      <w:color w:val="auto"/>
                    </w:rPr>
                  </w:pPr>
                  <w:r>
                    <w:rPr>
                      <w:rFonts w:hint="eastAsia"/>
                      <w:color w:val="auto"/>
                    </w:rPr>
                    <w:t>741m</w:t>
                  </w:r>
                  <w:r>
                    <w:rPr>
                      <w:rFonts w:hint="eastAsia"/>
                      <w:color w:val="auto"/>
                      <w:vertAlign w:val="superscript"/>
                    </w:rPr>
                    <w:t>3</w:t>
                  </w:r>
                  <w:r>
                    <w:rPr>
                      <w:rFonts w:hint="eastAsia"/>
                      <w:color w:val="auto"/>
                    </w:rPr>
                    <w:t>/a</w:t>
                  </w:r>
                </w:p>
              </w:tc>
              <w:tc>
                <w:tcPr>
                  <w:tcW w:w="743" w:type="pct"/>
                  <w:vAlign w:val="center"/>
                </w:tcPr>
                <w:p>
                  <w:pPr>
                    <w:pStyle w:val="81"/>
                    <w:spacing w:line="280" w:lineRule="exact"/>
                    <w:rPr>
                      <w:color w:val="auto"/>
                    </w:rPr>
                  </w:pPr>
                  <w:r>
                    <w:rPr>
                      <w:rFonts w:hint="eastAsia"/>
                      <w:color w:val="auto"/>
                    </w:rPr>
                    <w:t>408m</w:t>
                  </w:r>
                  <w:r>
                    <w:rPr>
                      <w:rFonts w:hint="eastAsia"/>
                      <w:color w:val="auto"/>
                      <w:vertAlign w:val="superscript"/>
                    </w:rPr>
                    <w:t>3</w:t>
                  </w:r>
                  <w:r>
                    <w:rPr>
                      <w:rFonts w:hint="eastAsia"/>
                      <w:color w:val="auto"/>
                    </w:rPr>
                    <w:t>/a</w:t>
                  </w:r>
                </w:p>
              </w:tc>
              <w:tc>
                <w:tcPr>
                  <w:tcW w:w="844" w:type="pct"/>
                  <w:vAlign w:val="center"/>
                </w:tcPr>
                <w:p>
                  <w:pPr>
                    <w:pStyle w:val="81"/>
                    <w:spacing w:line="280" w:lineRule="exact"/>
                    <w:rPr>
                      <w:color w:val="auto"/>
                    </w:rPr>
                  </w:pPr>
                  <w:r>
                    <w:rPr>
                      <w:rFonts w:hint="eastAsia"/>
                      <w:color w:val="auto"/>
                    </w:rPr>
                    <w:t>0</w:t>
                  </w:r>
                </w:p>
              </w:tc>
              <w:tc>
                <w:tcPr>
                  <w:tcW w:w="846" w:type="pct"/>
                  <w:vAlign w:val="center"/>
                </w:tcPr>
                <w:p>
                  <w:pPr>
                    <w:pStyle w:val="81"/>
                    <w:spacing w:line="280" w:lineRule="exact"/>
                    <w:rPr>
                      <w:color w:val="auto"/>
                    </w:rPr>
                  </w:pPr>
                  <w:r>
                    <w:rPr>
                      <w:rFonts w:hint="eastAsia"/>
                      <w:color w:val="auto"/>
                    </w:rPr>
                    <w:t>1148.25m</w:t>
                  </w:r>
                  <w:r>
                    <w:rPr>
                      <w:rFonts w:hint="eastAsia"/>
                      <w:color w:val="auto"/>
                      <w:vertAlign w:val="superscript"/>
                    </w:rPr>
                    <w:t>3</w:t>
                  </w:r>
                  <w:r>
                    <w:rPr>
                      <w:rFonts w:hint="eastAsia"/>
                      <w:color w:val="auto"/>
                    </w:rPr>
                    <w:t>/a</w:t>
                  </w:r>
                </w:p>
              </w:tc>
              <w:tc>
                <w:tcPr>
                  <w:tcW w:w="894" w:type="pct"/>
                  <w:vAlign w:val="center"/>
                </w:tcPr>
                <w:p>
                  <w:pPr>
                    <w:pStyle w:val="81"/>
                    <w:spacing w:line="280" w:lineRule="exact"/>
                    <w:rPr>
                      <w:color w:val="auto"/>
                    </w:rPr>
                  </w:pPr>
                  <w:r>
                    <w:rPr>
                      <w:rFonts w:hint="eastAsia"/>
                      <w:color w:val="auto"/>
                    </w:rPr>
                    <w:t>＋408m</w:t>
                  </w:r>
                  <w:r>
                    <w:rPr>
                      <w:rFonts w:hint="eastAsia"/>
                      <w:color w:val="auto"/>
                      <w:vertAlign w:val="superscript"/>
                    </w:rPr>
                    <w:t>3</w:t>
                  </w:r>
                  <w:r>
                    <w:rPr>
                      <w:rFonts w:hint="eastAsia"/>
                      <w:color w:val="auto"/>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321" w:type="pct"/>
                  <w:vMerge w:val="continue"/>
                  <w:vAlign w:val="center"/>
                </w:tcPr>
                <w:p>
                  <w:pPr>
                    <w:pStyle w:val="81"/>
                    <w:spacing w:line="280" w:lineRule="exact"/>
                    <w:rPr>
                      <w:color w:val="auto"/>
                    </w:rPr>
                  </w:pPr>
                </w:p>
              </w:tc>
              <w:tc>
                <w:tcPr>
                  <w:tcW w:w="724" w:type="pct"/>
                  <w:vAlign w:val="center"/>
                </w:tcPr>
                <w:p>
                  <w:pPr>
                    <w:pStyle w:val="61"/>
                    <w:spacing w:beforeLines="0" w:afterLines="0" w:line="240" w:lineRule="auto"/>
                    <w:rPr>
                      <w:color w:val="auto"/>
                      <w:szCs w:val="21"/>
                    </w:rPr>
                  </w:pPr>
                  <w:r>
                    <w:rPr>
                      <w:rFonts w:ascii="Times New Roman"/>
                      <w:snapToGrid w:val="0"/>
                      <w:color w:val="auto"/>
                      <w:kern w:val="21"/>
                      <w:szCs w:val="21"/>
                    </w:rPr>
                    <w:t>COD</w:t>
                  </w:r>
                </w:p>
              </w:tc>
              <w:tc>
                <w:tcPr>
                  <w:tcW w:w="624" w:type="pct"/>
                  <w:vAlign w:val="center"/>
                </w:tcPr>
                <w:p>
                  <w:pPr>
                    <w:pStyle w:val="47"/>
                    <w:snapToGrid w:val="0"/>
                    <w:spacing w:line="240" w:lineRule="auto"/>
                    <w:rPr>
                      <w:color w:val="auto"/>
                    </w:rPr>
                  </w:pPr>
                  <w:r>
                    <w:rPr>
                      <w:rFonts w:hint="eastAsia"/>
                      <w:color w:val="auto"/>
                    </w:rPr>
                    <w:t>/</w:t>
                  </w:r>
                </w:p>
              </w:tc>
              <w:tc>
                <w:tcPr>
                  <w:tcW w:w="743" w:type="pct"/>
                  <w:vAlign w:val="center"/>
                </w:tcPr>
                <w:p>
                  <w:pPr>
                    <w:pStyle w:val="47"/>
                    <w:snapToGrid w:val="0"/>
                    <w:spacing w:line="240" w:lineRule="auto"/>
                    <w:rPr>
                      <w:color w:val="auto"/>
                    </w:rPr>
                  </w:pPr>
                  <w:r>
                    <w:rPr>
                      <w:rFonts w:hint="eastAsia"/>
                      <w:color w:val="auto"/>
                    </w:rPr>
                    <w:t>/</w:t>
                  </w:r>
                </w:p>
              </w:tc>
              <w:tc>
                <w:tcPr>
                  <w:tcW w:w="844" w:type="pct"/>
                  <w:vAlign w:val="center"/>
                </w:tcPr>
                <w:p>
                  <w:pPr>
                    <w:pStyle w:val="47"/>
                    <w:snapToGrid w:val="0"/>
                    <w:spacing w:line="240" w:lineRule="auto"/>
                    <w:rPr>
                      <w:rFonts w:ascii="Times New Roman" w:hAnsi="Times New Roman"/>
                      <w:color w:val="auto"/>
                    </w:rPr>
                  </w:pPr>
                  <w:r>
                    <w:rPr>
                      <w:rFonts w:hint="eastAsia"/>
                      <w:color w:val="auto"/>
                    </w:rPr>
                    <w:t>/</w:t>
                  </w:r>
                </w:p>
              </w:tc>
              <w:tc>
                <w:tcPr>
                  <w:tcW w:w="846" w:type="pct"/>
                  <w:vAlign w:val="center"/>
                </w:tcPr>
                <w:p>
                  <w:pPr>
                    <w:pStyle w:val="47"/>
                    <w:snapToGrid w:val="0"/>
                    <w:spacing w:line="240" w:lineRule="auto"/>
                    <w:rPr>
                      <w:color w:val="auto"/>
                    </w:rPr>
                  </w:pPr>
                  <w:r>
                    <w:rPr>
                      <w:rFonts w:hint="eastAsia"/>
                      <w:color w:val="auto"/>
                    </w:rPr>
                    <w:t>/</w:t>
                  </w:r>
                </w:p>
              </w:tc>
              <w:tc>
                <w:tcPr>
                  <w:tcW w:w="894" w:type="pct"/>
                  <w:vAlign w:val="center"/>
                </w:tcPr>
                <w:p>
                  <w:pPr>
                    <w:pStyle w:val="81"/>
                    <w:spacing w:line="280" w:lineRule="exact"/>
                    <w:rPr>
                      <w:color w:val="auto"/>
                    </w:rPr>
                  </w:pPr>
                  <w:r>
                    <w:rPr>
                      <w:rFonts w:hint="eastAsia"/>
                      <w:color w:val="auto"/>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321" w:type="pct"/>
                  <w:vMerge w:val="continue"/>
                  <w:vAlign w:val="center"/>
                </w:tcPr>
                <w:p>
                  <w:pPr>
                    <w:pStyle w:val="81"/>
                    <w:spacing w:line="280" w:lineRule="exact"/>
                    <w:rPr>
                      <w:color w:val="auto"/>
                    </w:rPr>
                  </w:pPr>
                </w:p>
              </w:tc>
              <w:tc>
                <w:tcPr>
                  <w:tcW w:w="724" w:type="pct"/>
                  <w:vAlign w:val="center"/>
                </w:tcPr>
                <w:p>
                  <w:pPr>
                    <w:pStyle w:val="61"/>
                    <w:spacing w:beforeLines="0" w:afterLines="0" w:line="240" w:lineRule="auto"/>
                    <w:rPr>
                      <w:color w:val="auto"/>
                      <w:szCs w:val="21"/>
                    </w:rPr>
                  </w:pPr>
                  <w:r>
                    <w:rPr>
                      <w:rFonts w:ascii="Times New Roman"/>
                      <w:snapToGrid w:val="0"/>
                      <w:color w:val="auto"/>
                      <w:kern w:val="21"/>
                      <w:szCs w:val="21"/>
                    </w:rPr>
                    <w:t>BOD</w:t>
                  </w:r>
                </w:p>
              </w:tc>
              <w:tc>
                <w:tcPr>
                  <w:tcW w:w="624" w:type="pct"/>
                  <w:vAlign w:val="center"/>
                </w:tcPr>
                <w:p>
                  <w:pPr>
                    <w:pStyle w:val="47"/>
                    <w:snapToGrid w:val="0"/>
                    <w:spacing w:line="240" w:lineRule="auto"/>
                    <w:rPr>
                      <w:color w:val="auto"/>
                    </w:rPr>
                  </w:pPr>
                  <w:r>
                    <w:rPr>
                      <w:rFonts w:hint="eastAsia"/>
                      <w:color w:val="auto"/>
                    </w:rPr>
                    <w:t>/</w:t>
                  </w:r>
                </w:p>
              </w:tc>
              <w:tc>
                <w:tcPr>
                  <w:tcW w:w="743" w:type="pct"/>
                  <w:vAlign w:val="center"/>
                </w:tcPr>
                <w:p>
                  <w:pPr>
                    <w:pStyle w:val="47"/>
                    <w:snapToGrid w:val="0"/>
                    <w:spacing w:line="240" w:lineRule="auto"/>
                    <w:rPr>
                      <w:color w:val="auto"/>
                    </w:rPr>
                  </w:pPr>
                  <w:r>
                    <w:rPr>
                      <w:rFonts w:hint="eastAsia"/>
                      <w:color w:val="auto"/>
                    </w:rPr>
                    <w:t>/</w:t>
                  </w:r>
                </w:p>
              </w:tc>
              <w:tc>
                <w:tcPr>
                  <w:tcW w:w="844" w:type="pct"/>
                  <w:vAlign w:val="center"/>
                </w:tcPr>
                <w:p>
                  <w:pPr>
                    <w:pStyle w:val="47"/>
                    <w:snapToGrid w:val="0"/>
                    <w:spacing w:line="240" w:lineRule="auto"/>
                    <w:rPr>
                      <w:rFonts w:ascii="Times New Roman" w:hAnsi="Times New Roman"/>
                      <w:color w:val="auto"/>
                    </w:rPr>
                  </w:pPr>
                  <w:r>
                    <w:rPr>
                      <w:rFonts w:hint="eastAsia"/>
                      <w:color w:val="auto"/>
                    </w:rPr>
                    <w:t>/</w:t>
                  </w:r>
                </w:p>
              </w:tc>
              <w:tc>
                <w:tcPr>
                  <w:tcW w:w="846" w:type="pct"/>
                  <w:vAlign w:val="center"/>
                </w:tcPr>
                <w:p>
                  <w:pPr>
                    <w:pStyle w:val="47"/>
                    <w:snapToGrid w:val="0"/>
                    <w:spacing w:line="240" w:lineRule="auto"/>
                    <w:rPr>
                      <w:color w:val="auto"/>
                    </w:rPr>
                  </w:pPr>
                  <w:r>
                    <w:rPr>
                      <w:rFonts w:hint="eastAsia"/>
                      <w:color w:val="auto"/>
                    </w:rPr>
                    <w:t>/</w:t>
                  </w:r>
                </w:p>
              </w:tc>
              <w:tc>
                <w:tcPr>
                  <w:tcW w:w="894" w:type="pct"/>
                  <w:vAlign w:val="center"/>
                </w:tcPr>
                <w:p>
                  <w:pPr>
                    <w:spacing w:line="280" w:lineRule="exact"/>
                    <w:jc w:val="center"/>
                    <w:rPr>
                      <w:color w:val="auto"/>
                      <w:szCs w:val="21"/>
                    </w:rPr>
                  </w:pPr>
                  <w:r>
                    <w:rPr>
                      <w:rFonts w:hint="eastAsia"/>
                      <w:color w:val="auto"/>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321" w:type="pct"/>
                  <w:vMerge w:val="continue"/>
                  <w:vAlign w:val="center"/>
                </w:tcPr>
                <w:p>
                  <w:pPr>
                    <w:pStyle w:val="81"/>
                    <w:spacing w:line="280" w:lineRule="exact"/>
                    <w:rPr>
                      <w:color w:val="auto"/>
                    </w:rPr>
                  </w:pPr>
                </w:p>
              </w:tc>
              <w:tc>
                <w:tcPr>
                  <w:tcW w:w="724" w:type="pct"/>
                  <w:vAlign w:val="center"/>
                </w:tcPr>
                <w:p>
                  <w:pPr>
                    <w:pStyle w:val="61"/>
                    <w:spacing w:beforeLines="0" w:afterLines="0" w:line="240" w:lineRule="auto"/>
                    <w:rPr>
                      <w:color w:val="auto"/>
                      <w:szCs w:val="21"/>
                    </w:rPr>
                  </w:pPr>
                  <w:r>
                    <w:rPr>
                      <w:rFonts w:ascii="Times New Roman"/>
                      <w:snapToGrid w:val="0"/>
                      <w:color w:val="auto"/>
                      <w:kern w:val="21"/>
                      <w:szCs w:val="21"/>
                    </w:rPr>
                    <w:t>NH</w:t>
                  </w:r>
                  <w:r>
                    <w:rPr>
                      <w:rFonts w:ascii="Times New Roman"/>
                      <w:snapToGrid w:val="0"/>
                      <w:color w:val="auto"/>
                      <w:kern w:val="21"/>
                      <w:szCs w:val="21"/>
                      <w:vertAlign w:val="subscript"/>
                    </w:rPr>
                    <w:t>3</w:t>
                  </w:r>
                  <w:r>
                    <w:rPr>
                      <w:rFonts w:ascii="Times New Roman"/>
                      <w:snapToGrid w:val="0"/>
                      <w:color w:val="auto"/>
                      <w:kern w:val="21"/>
                      <w:szCs w:val="21"/>
                    </w:rPr>
                    <w:t>-N</w:t>
                  </w:r>
                </w:p>
              </w:tc>
              <w:tc>
                <w:tcPr>
                  <w:tcW w:w="624" w:type="pct"/>
                  <w:vAlign w:val="center"/>
                </w:tcPr>
                <w:p>
                  <w:pPr>
                    <w:pStyle w:val="61"/>
                    <w:spacing w:beforeLines="0" w:afterLines="0" w:line="240" w:lineRule="auto"/>
                    <w:rPr>
                      <w:color w:val="auto"/>
                      <w:szCs w:val="21"/>
                    </w:rPr>
                  </w:pPr>
                  <w:r>
                    <w:rPr>
                      <w:rFonts w:hint="eastAsia"/>
                      <w:color w:val="auto"/>
                      <w:szCs w:val="21"/>
                    </w:rPr>
                    <w:t>/</w:t>
                  </w:r>
                </w:p>
              </w:tc>
              <w:tc>
                <w:tcPr>
                  <w:tcW w:w="743" w:type="pct"/>
                  <w:vAlign w:val="center"/>
                </w:tcPr>
                <w:p>
                  <w:pPr>
                    <w:pStyle w:val="61"/>
                    <w:spacing w:beforeLines="0" w:afterLines="0" w:line="240" w:lineRule="auto"/>
                    <w:rPr>
                      <w:color w:val="auto"/>
                      <w:szCs w:val="21"/>
                    </w:rPr>
                  </w:pPr>
                  <w:r>
                    <w:rPr>
                      <w:rFonts w:hint="eastAsia"/>
                      <w:color w:val="auto"/>
                      <w:szCs w:val="21"/>
                    </w:rPr>
                    <w:t>/</w:t>
                  </w:r>
                </w:p>
              </w:tc>
              <w:tc>
                <w:tcPr>
                  <w:tcW w:w="844" w:type="pct"/>
                  <w:vAlign w:val="center"/>
                </w:tcPr>
                <w:p>
                  <w:pPr>
                    <w:pStyle w:val="61"/>
                    <w:spacing w:beforeLines="0" w:afterLines="0" w:line="240" w:lineRule="auto"/>
                    <w:rPr>
                      <w:rFonts w:ascii="Times New Roman"/>
                      <w:color w:val="auto"/>
                    </w:rPr>
                  </w:pPr>
                  <w:r>
                    <w:rPr>
                      <w:rFonts w:hint="eastAsia"/>
                      <w:color w:val="auto"/>
                      <w:szCs w:val="21"/>
                    </w:rPr>
                    <w:t>/</w:t>
                  </w:r>
                </w:p>
              </w:tc>
              <w:tc>
                <w:tcPr>
                  <w:tcW w:w="846" w:type="pct"/>
                  <w:vAlign w:val="center"/>
                </w:tcPr>
                <w:p>
                  <w:pPr>
                    <w:pStyle w:val="61"/>
                    <w:spacing w:beforeLines="0" w:afterLines="0" w:line="240" w:lineRule="auto"/>
                    <w:rPr>
                      <w:color w:val="auto"/>
                      <w:szCs w:val="21"/>
                    </w:rPr>
                  </w:pPr>
                  <w:r>
                    <w:rPr>
                      <w:rFonts w:hint="eastAsia"/>
                      <w:color w:val="auto"/>
                      <w:szCs w:val="21"/>
                    </w:rPr>
                    <w:t>/</w:t>
                  </w:r>
                </w:p>
              </w:tc>
              <w:tc>
                <w:tcPr>
                  <w:tcW w:w="894" w:type="pct"/>
                  <w:vAlign w:val="center"/>
                </w:tcPr>
                <w:p>
                  <w:pPr>
                    <w:spacing w:line="280" w:lineRule="exact"/>
                    <w:jc w:val="center"/>
                    <w:rPr>
                      <w:color w:val="auto"/>
                      <w:szCs w:val="21"/>
                    </w:rPr>
                  </w:pPr>
                  <w:r>
                    <w:rPr>
                      <w:rFonts w:hint="eastAsia"/>
                      <w:color w:val="auto"/>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21" w:type="pct"/>
                  <w:vMerge w:val="continue"/>
                  <w:vAlign w:val="center"/>
                </w:tcPr>
                <w:p>
                  <w:pPr>
                    <w:pStyle w:val="81"/>
                    <w:spacing w:line="280" w:lineRule="exact"/>
                    <w:rPr>
                      <w:color w:val="auto"/>
                    </w:rPr>
                  </w:pPr>
                </w:p>
              </w:tc>
              <w:tc>
                <w:tcPr>
                  <w:tcW w:w="724" w:type="pct"/>
                  <w:vAlign w:val="center"/>
                </w:tcPr>
                <w:p>
                  <w:pPr>
                    <w:pStyle w:val="61"/>
                    <w:spacing w:beforeLines="0" w:afterLines="0" w:line="240" w:lineRule="auto"/>
                    <w:rPr>
                      <w:color w:val="auto"/>
                      <w:szCs w:val="21"/>
                    </w:rPr>
                  </w:pPr>
                  <w:r>
                    <w:rPr>
                      <w:rFonts w:ascii="Times New Roman"/>
                      <w:snapToGrid w:val="0"/>
                      <w:color w:val="auto"/>
                      <w:kern w:val="21"/>
                      <w:szCs w:val="21"/>
                    </w:rPr>
                    <w:t>SS</w:t>
                  </w:r>
                </w:p>
              </w:tc>
              <w:tc>
                <w:tcPr>
                  <w:tcW w:w="624" w:type="pct"/>
                  <w:vAlign w:val="center"/>
                </w:tcPr>
                <w:p>
                  <w:pPr>
                    <w:pStyle w:val="61"/>
                    <w:spacing w:beforeLines="0" w:afterLines="0" w:line="240" w:lineRule="auto"/>
                    <w:rPr>
                      <w:color w:val="auto"/>
                      <w:szCs w:val="21"/>
                    </w:rPr>
                  </w:pPr>
                  <w:r>
                    <w:rPr>
                      <w:rFonts w:hint="eastAsia"/>
                      <w:color w:val="auto"/>
                      <w:szCs w:val="21"/>
                    </w:rPr>
                    <w:t>/</w:t>
                  </w:r>
                </w:p>
              </w:tc>
              <w:tc>
                <w:tcPr>
                  <w:tcW w:w="743" w:type="pct"/>
                  <w:vAlign w:val="center"/>
                </w:tcPr>
                <w:p>
                  <w:pPr>
                    <w:pStyle w:val="61"/>
                    <w:spacing w:beforeLines="0" w:afterLines="0" w:line="240" w:lineRule="auto"/>
                    <w:rPr>
                      <w:color w:val="auto"/>
                      <w:szCs w:val="21"/>
                    </w:rPr>
                  </w:pPr>
                  <w:r>
                    <w:rPr>
                      <w:rFonts w:hint="eastAsia"/>
                      <w:color w:val="auto"/>
                      <w:szCs w:val="21"/>
                    </w:rPr>
                    <w:t>/</w:t>
                  </w:r>
                </w:p>
              </w:tc>
              <w:tc>
                <w:tcPr>
                  <w:tcW w:w="844" w:type="pct"/>
                  <w:vAlign w:val="center"/>
                </w:tcPr>
                <w:p>
                  <w:pPr>
                    <w:pStyle w:val="61"/>
                    <w:spacing w:beforeLines="0" w:afterLines="0" w:line="240" w:lineRule="auto"/>
                    <w:rPr>
                      <w:rFonts w:ascii="Times New Roman"/>
                      <w:color w:val="auto"/>
                    </w:rPr>
                  </w:pPr>
                  <w:r>
                    <w:rPr>
                      <w:rFonts w:hint="eastAsia"/>
                      <w:color w:val="auto"/>
                      <w:szCs w:val="21"/>
                    </w:rPr>
                    <w:t>/</w:t>
                  </w:r>
                </w:p>
              </w:tc>
              <w:tc>
                <w:tcPr>
                  <w:tcW w:w="846" w:type="pct"/>
                  <w:vAlign w:val="center"/>
                </w:tcPr>
                <w:p>
                  <w:pPr>
                    <w:pStyle w:val="61"/>
                    <w:spacing w:beforeLines="0" w:afterLines="0" w:line="240" w:lineRule="auto"/>
                    <w:rPr>
                      <w:color w:val="auto"/>
                      <w:szCs w:val="21"/>
                    </w:rPr>
                  </w:pPr>
                  <w:r>
                    <w:rPr>
                      <w:rFonts w:hint="eastAsia"/>
                      <w:color w:val="auto"/>
                      <w:szCs w:val="21"/>
                    </w:rPr>
                    <w:t>/</w:t>
                  </w:r>
                </w:p>
              </w:tc>
              <w:tc>
                <w:tcPr>
                  <w:tcW w:w="894" w:type="pct"/>
                  <w:vAlign w:val="center"/>
                </w:tcPr>
                <w:p>
                  <w:pPr>
                    <w:spacing w:line="280" w:lineRule="exact"/>
                    <w:jc w:val="center"/>
                    <w:rPr>
                      <w:color w:val="auto"/>
                      <w:szCs w:val="21"/>
                    </w:rPr>
                  </w:pPr>
                  <w:r>
                    <w:rPr>
                      <w:rFonts w:hint="eastAsia"/>
                      <w:color w:val="auto"/>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321" w:type="pct"/>
                  <w:vMerge w:val="continue"/>
                  <w:vAlign w:val="center"/>
                </w:tcPr>
                <w:p>
                  <w:pPr>
                    <w:pStyle w:val="81"/>
                    <w:spacing w:line="280" w:lineRule="exact"/>
                    <w:rPr>
                      <w:color w:val="auto"/>
                    </w:rPr>
                  </w:pPr>
                </w:p>
              </w:tc>
              <w:tc>
                <w:tcPr>
                  <w:tcW w:w="724" w:type="pct"/>
                  <w:vAlign w:val="center"/>
                </w:tcPr>
                <w:p>
                  <w:pPr>
                    <w:pStyle w:val="61"/>
                    <w:spacing w:beforeLines="0" w:afterLines="0" w:line="240" w:lineRule="auto"/>
                    <w:rPr>
                      <w:color w:val="auto"/>
                      <w:szCs w:val="21"/>
                    </w:rPr>
                  </w:pPr>
                  <w:r>
                    <w:rPr>
                      <w:rFonts w:ascii="Times New Roman"/>
                      <w:snapToGrid w:val="0"/>
                      <w:color w:val="auto"/>
                      <w:kern w:val="21"/>
                      <w:szCs w:val="21"/>
                    </w:rPr>
                    <w:t>石油类</w:t>
                  </w:r>
                </w:p>
              </w:tc>
              <w:tc>
                <w:tcPr>
                  <w:tcW w:w="624" w:type="pct"/>
                  <w:vAlign w:val="center"/>
                </w:tcPr>
                <w:p>
                  <w:pPr>
                    <w:pStyle w:val="61"/>
                    <w:spacing w:beforeLines="0" w:afterLines="0" w:line="240" w:lineRule="auto"/>
                    <w:rPr>
                      <w:color w:val="auto"/>
                      <w:szCs w:val="21"/>
                    </w:rPr>
                  </w:pPr>
                  <w:r>
                    <w:rPr>
                      <w:rFonts w:hint="eastAsia"/>
                      <w:color w:val="auto"/>
                      <w:szCs w:val="21"/>
                    </w:rPr>
                    <w:t>/</w:t>
                  </w:r>
                </w:p>
              </w:tc>
              <w:tc>
                <w:tcPr>
                  <w:tcW w:w="743" w:type="pct"/>
                  <w:vAlign w:val="center"/>
                </w:tcPr>
                <w:p>
                  <w:pPr>
                    <w:pStyle w:val="61"/>
                    <w:spacing w:beforeLines="0" w:afterLines="0" w:line="240" w:lineRule="auto"/>
                    <w:rPr>
                      <w:color w:val="auto"/>
                      <w:szCs w:val="21"/>
                    </w:rPr>
                  </w:pPr>
                  <w:r>
                    <w:rPr>
                      <w:rFonts w:hint="eastAsia"/>
                      <w:color w:val="auto"/>
                      <w:szCs w:val="21"/>
                    </w:rPr>
                    <w:t>/</w:t>
                  </w:r>
                </w:p>
              </w:tc>
              <w:tc>
                <w:tcPr>
                  <w:tcW w:w="844" w:type="pct"/>
                  <w:vAlign w:val="center"/>
                </w:tcPr>
                <w:p>
                  <w:pPr>
                    <w:pStyle w:val="61"/>
                    <w:spacing w:beforeLines="0" w:afterLines="0" w:line="240" w:lineRule="auto"/>
                    <w:rPr>
                      <w:color w:val="auto"/>
                      <w:szCs w:val="21"/>
                    </w:rPr>
                  </w:pPr>
                  <w:r>
                    <w:rPr>
                      <w:rFonts w:hint="eastAsia"/>
                      <w:color w:val="auto"/>
                      <w:szCs w:val="21"/>
                    </w:rPr>
                    <w:t>/</w:t>
                  </w:r>
                </w:p>
              </w:tc>
              <w:tc>
                <w:tcPr>
                  <w:tcW w:w="846" w:type="pct"/>
                  <w:vAlign w:val="center"/>
                </w:tcPr>
                <w:p>
                  <w:pPr>
                    <w:pStyle w:val="61"/>
                    <w:spacing w:beforeLines="0" w:afterLines="0" w:line="240" w:lineRule="auto"/>
                    <w:rPr>
                      <w:color w:val="auto"/>
                      <w:szCs w:val="21"/>
                    </w:rPr>
                  </w:pPr>
                  <w:r>
                    <w:rPr>
                      <w:rFonts w:hint="eastAsia"/>
                      <w:color w:val="auto"/>
                      <w:szCs w:val="21"/>
                    </w:rPr>
                    <w:t>/</w:t>
                  </w:r>
                </w:p>
              </w:tc>
              <w:tc>
                <w:tcPr>
                  <w:tcW w:w="894" w:type="pct"/>
                  <w:vAlign w:val="center"/>
                </w:tcPr>
                <w:p>
                  <w:pPr>
                    <w:spacing w:line="280" w:lineRule="exact"/>
                    <w:jc w:val="center"/>
                    <w:rPr>
                      <w:color w:val="auto"/>
                      <w:szCs w:val="21"/>
                    </w:rPr>
                  </w:pPr>
                  <w:r>
                    <w:rPr>
                      <w:rFonts w:hint="eastAsia"/>
                      <w:color w:val="auto"/>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321" w:type="pct"/>
                  <w:vMerge w:val="restart"/>
                  <w:vAlign w:val="center"/>
                </w:tcPr>
                <w:p>
                  <w:pPr>
                    <w:pStyle w:val="81"/>
                    <w:spacing w:line="280" w:lineRule="exact"/>
                    <w:rPr>
                      <w:color w:val="auto"/>
                    </w:rPr>
                  </w:pPr>
                  <w:r>
                    <w:rPr>
                      <w:color w:val="auto"/>
                    </w:rPr>
                    <w:t>固废</w:t>
                  </w:r>
                </w:p>
              </w:tc>
              <w:tc>
                <w:tcPr>
                  <w:tcW w:w="724" w:type="pct"/>
                  <w:vAlign w:val="center"/>
                </w:tcPr>
                <w:p>
                  <w:pPr>
                    <w:pStyle w:val="16"/>
                    <w:jc w:val="center"/>
                    <w:rPr>
                      <w:color w:val="auto"/>
                      <w:szCs w:val="21"/>
                    </w:rPr>
                  </w:pPr>
                  <w:r>
                    <w:rPr>
                      <w:rFonts w:ascii="Times New Roman" w:hAnsi="Times New Roman"/>
                      <w:color w:val="auto"/>
                      <w:szCs w:val="21"/>
                    </w:rPr>
                    <w:t>隔油沉淀池沉渣</w:t>
                  </w:r>
                </w:p>
              </w:tc>
              <w:tc>
                <w:tcPr>
                  <w:tcW w:w="624" w:type="pct"/>
                  <w:vAlign w:val="center"/>
                </w:tcPr>
                <w:p>
                  <w:pPr>
                    <w:pStyle w:val="16"/>
                    <w:jc w:val="center"/>
                    <w:rPr>
                      <w:color w:val="auto"/>
                      <w:szCs w:val="21"/>
                    </w:rPr>
                  </w:pPr>
                  <w:r>
                    <w:rPr>
                      <w:rFonts w:hint="eastAsia" w:ascii="Times New Roman" w:hAnsi="Times New Roman"/>
                      <w:color w:val="auto"/>
                      <w:szCs w:val="21"/>
                    </w:rPr>
                    <w:t>0.06</w:t>
                  </w:r>
                </w:p>
              </w:tc>
              <w:tc>
                <w:tcPr>
                  <w:tcW w:w="743" w:type="pct"/>
                  <w:vAlign w:val="center"/>
                </w:tcPr>
                <w:p>
                  <w:pPr>
                    <w:pStyle w:val="16"/>
                    <w:jc w:val="center"/>
                    <w:rPr>
                      <w:color w:val="auto"/>
                      <w:szCs w:val="21"/>
                    </w:rPr>
                  </w:pPr>
                  <w:r>
                    <w:rPr>
                      <w:rFonts w:hint="eastAsia" w:ascii="Times New Roman" w:hAnsi="Times New Roman"/>
                      <w:color w:val="auto"/>
                      <w:szCs w:val="21"/>
                    </w:rPr>
                    <w:t>0.15</w:t>
                  </w:r>
                </w:p>
              </w:tc>
              <w:tc>
                <w:tcPr>
                  <w:tcW w:w="844" w:type="pct"/>
                  <w:vAlign w:val="center"/>
                </w:tcPr>
                <w:p>
                  <w:pPr>
                    <w:pStyle w:val="81"/>
                    <w:spacing w:line="280" w:lineRule="exact"/>
                    <w:rPr>
                      <w:color w:val="auto"/>
                    </w:rPr>
                  </w:pPr>
                  <w:r>
                    <w:rPr>
                      <w:rFonts w:hint="eastAsia"/>
                      <w:color w:val="auto"/>
                    </w:rPr>
                    <w:t>0</w:t>
                  </w:r>
                </w:p>
              </w:tc>
              <w:tc>
                <w:tcPr>
                  <w:tcW w:w="846" w:type="pct"/>
                  <w:vAlign w:val="center"/>
                </w:tcPr>
                <w:p>
                  <w:pPr>
                    <w:pStyle w:val="16"/>
                    <w:jc w:val="center"/>
                    <w:rPr>
                      <w:color w:val="auto"/>
                      <w:szCs w:val="21"/>
                    </w:rPr>
                  </w:pPr>
                  <w:r>
                    <w:rPr>
                      <w:rFonts w:hint="eastAsia" w:ascii="Times New Roman" w:hAnsi="Times New Roman"/>
                      <w:color w:val="auto"/>
                      <w:szCs w:val="21"/>
                    </w:rPr>
                    <w:t>0.21</w:t>
                  </w:r>
                </w:p>
              </w:tc>
              <w:tc>
                <w:tcPr>
                  <w:tcW w:w="894" w:type="pct"/>
                  <w:vAlign w:val="center"/>
                </w:tcPr>
                <w:p>
                  <w:pPr>
                    <w:pStyle w:val="16"/>
                    <w:jc w:val="center"/>
                    <w:rPr>
                      <w:color w:val="auto"/>
                      <w:szCs w:val="21"/>
                    </w:rPr>
                  </w:pPr>
                  <w:r>
                    <w:rPr>
                      <w:rFonts w:hint="eastAsia" w:ascii="Times New Roman" w:hAnsi="Times New Roman"/>
                      <w:color w:val="auto"/>
                      <w:szCs w:val="21"/>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321" w:type="pct"/>
                  <w:vMerge w:val="continue"/>
                  <w:vAlign w:val="center"/>
                </w:tcPr>
                <w:p>
                  <w:pPr>
                    <w:pStyle w:val="81"/>
                    <w:spacing w:line="280" w:lineRule="exact"/>
                    <w:rPr>
                      <w:color w:val="auto"/>
                    </w:rPr>
                  </w:pPr>
                </w:p>
              </w:tc>
              <w:tc>
                <w:tcPr>
                  <w:tcW w:w="724" w:type="pct"/>
                  <w:vAlign w:val="center"/>
                </w:tcPr>
                <w:p>
                  <w:pPr>
                    <w:pStyle w:val="16"/>
                    <w:jc w:val="center"/>
                    <w:rPr>
                      <w:color w:val="auto"/>
                      <w:szCs w:val="21"/>
                    </w:rPr>
                  </w:pPr>
                  <w:r>
                    <w:rPr>
                      <w:rFonts w:hint="eastAsia" w:ascii="Times New Roman" w:hAnsi="Times New Roman"/>
                      <w:color w:val="auto"/>
                      <w:szCs w:val="21"/>
                    </w:rPr>
                    <w:t>废机油</w:t>
                  </w:r>
                </w:p>
              </w:tc>
              <w:tc>
                <w:tcPr>
                  <w:tcW w:w="624" w:type="pct"/>
                  <w:vAlign w:val="center"/>
                </w:tcPr>
                <w:p>
                  <w:pPr>
                    <w:pStyle w:val="16"/>
                    <w:jc w:val="center"/>
                    <w:rPr>
                      <w:color w:val="auto"/>
                      <w:szCs w:val="21"/>
                    </w:rPr>
                  </w:pPr>
                  <w:r>
                    <w:rPr>
                      <w:rFonts w:hint="eastAsia" w:ascii="Times New Roman" w:hAnsi="Times New Roman"/>
                      <w:color w:val="auto"/>
                      <w:szCs w:val="21"/>
                    </w:rPr>
                    <w:t>0.05</w:t>
                  </w:r>
                </w:p>
              </w:tc>
              <w:tc>
                <w:tcPr>
                  <w:tcW w:w="743" w:type="pct"/>
                  <w:vAlign w:val="center"/>
                </w:tcPr>
                <w:p>
                  <w:pPr>
                    <w:pStyle w:val="16"/>
                    <w:jc w:val="center"/>
                    <w:rPr>
                      <w:color w:val="auto"/>
                      <w:szCs w:val="21"/>
                    </w:rPr>
                  </w:pPr>
                  <w:r>
                    <w:rPr>
                      <w:rFonts w:hint="eastAsia" w:ascii="Times New Roman" w:hAnsi="Times New Roman"/>
                      <w:color w:val="auto"/>
                      <w:szCs w:val="21"/>
                    </w:rPr>
                    <w:t>0.125</w:t>
                  </w:r>
                </w:p>
              </w:tc>
              <w:tc>
                <w:tcPr>
                  <w:tcW w:w="844" w:type="pct"/>
                  <w:vAlign w:val="center"/>
                </w:tcPr>
                <w:p>
                  <w:pPr>
                    <w:pStyle w:val="81"/>
                    <w:spacing w:line="280" w:lineRule="exact"/>
                    <w:rPr>
                      <w:color w:val="auto"/>
                    </w:rPr>
                  </w:pPr>
                  <w:r>
                    <w:rPr>
                      <w:rFonts w:hint="eastAsia"/>
                      <w:color w:val="auto"/>
                    </w:rPr>
                    <w:t>0</w:t>
                  </w:r>
                </w:p>
              </w:tc>
              <w:tc>
                <w:tcPr>
                  <w:tcW w:w="846" w:type="pct"/>
                  <w:vAlign w:val="center"/>
                </w:tcPr>
                <w:p>
                  <w:pPr>
                    <w:pStyle w:val="16"/>
                    <w:jc w:val="center"/>
                    <w:rPr>
                      <w:color w:val="auto"/>
                      <w:szCs w:val="21"/>
                    </w:rPr>
                  </w:pPr>
                  <w:r>
                    <w:rPr>
                      <w:rFonts w:hint="eastAsia" w:ascii="Times New Roman" w:hAnsi="Times New Roman"/>
                      <w:color w:val="auto"/>
                      <w:szCs w:val="21"/>
                    </w:rPr>
                    <w:t>0.175</w:t>
                  </w:r>
                </w:p>
              </w:tc>
              <w:tc>
                <w:tcPr>
                  <w:tcW w:w="894" w:type="pct"/>
                  <w:vAlign w:val="center"/>
                </w:tcPr>
                <w:p>
                  <w:pPr>
                    <w:pStyle w:val="16"/>
                    <w:jc w:val="center"/>
                    <w:rPr>
                      <w:color w:val="auto"/>
                      <w:szCs w:val="21"/>
                    </w:rPr>
                  </w:pPr>
                  <w:r>
                    <w:rPr>
                      <w:rFonts w:hint="eastAsia" w:ascii="Times New Roman" w:hAnsi="Times New Roman"/>
                      <w:color w:val="auto"/>
                      <w:szCs w:val="21"/>
                    </w:rPr>
                    <w:t>+0.125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21" w:type="pct"/>
                  <w:vMerge w:val="continue"/>
                  <w:vAlign w:val="center"/>
                </w:tcPr>
                <w:p>
                  <w:pPr>
                    <w:pStyle w:val="81"/>
                    <w:spacing w:line="280" w:lineRule="exact"/>
                    <w:rPr>
                      <w:color w:val="auto"/>
                    </w:rPr>
                  </w:pPr>
                </w:p>
              </w:tc>
              <w:tc>
                <w:tcPr>
                  <w:tcW w:w="724" w:type="pct"/>
                  <w:vAlign w:val="center"/>
                </w:tcPr>
                <w:p>
                  <w:pPr>
                    <w:pStyle w:val="16"/>
                    <w:jc w:val="center"/>
                    <w:rPr>
                      <w:color w:val="auto"/>
                      <w:szCs w:val="21"/>
                    </w:rPr>
                  </w:pPr>
                  <w:r>
                    <w:rPr>
                      <w:rFonts w:hint="eastAsia" w:ascii="Times New Roman" w:hAnsi="Times New Roman"/>
                      <w:color w:val="auto"/>
                      <w:szCs w:val="21"/>
                    </w:rPr>
                    <w:t>油泥</w:t>
                  </w:r>
                </w:p>
              </w:tc>
              <w:tc>
                <w:tcPr>
                  <w:tcW w:w="624" w:type="pct"/>
                  <w:vAlign w:val="center"/>
                </w:tcPr>
                <w:p>
                  <w:pPr>
                    <w:pStyle w:val="16"/>
                    <w:jc w:val="center"/>
                    <w:rPr>
                      <w:color w:val="auto"/>
                      <w:szCs w:val="21"/>
                    </w:rPr>
                  </w:pPr>
                  <w:r>
                    <w:rPr>
                      <w:rFonts w:hint="eastAsia" w:ascii="Times New Roman" w:hAnsi="Times New Roman"/>
                      <w:color w:val="auto"/>
                      <w:szCs w:val="21"/>
                    </w:rPr>
                    <w:t>/</w:t>
                  </w:r>
                </w:p>
              </w:tc>
              <w:tc>
                <w:tcPr>
                  <w:tcW w:w="743" w:type="pct"/>
                  <w:vAlign w:val="center"/>
                </w:tcPr>
                <w:p>
                  <w:pPr>
                    <w:pStyle w:val="16"/>
                    <w:jc w:val="center"/>
                    <w:rPr>
                      <w:color w:val="auto"/>
                      <w:szCs w:val="21"/>
                    </w:rPr>
                  </w:pPr>
                  <w:r>
                    <w:rPr>
                      <w:rFonts w:hint="eastAsia" w:ascii="Times New Roman" w:hAnsi="Times New Roman"/>
                      <w:color w:val="auto"/>
                      <w:szCs w:val="21"/>
                    </w:rPr>
                    <w:t>0.1</w:t>
                  </w:r>
                </w:p>
              </w:tc>
              <w:tc>
                <w:tcPr>
                  <w:tcW w:w="844" w:type="pct"/>
                  <w:vAlign w:val="center"/>
                </w:tcPr>
                <w:p>
                  <w:pPr>
                    <w:pStyle w:val="81"/>
                    <w:spacing w:line="280" w:lineRule="exact"/>
                    <w:rPr>
                      <w:color w:val="auto"/>
                    </w:rPr>
                  </w:pPr>
                  <w:r>
                    <w:rPr>
                      <w:rFonts w:hint="eastAsia"/>
                      <w:color w:val="auto"/>
                    </w:rPr>
                    <w:t>0</w:t>
                  </w:r>
                </w:p>
              </w:tc>
              <w:tc>
                <w:tcPr>
                  <w:tcW w:w="846" w:type="pct"/>
                  <w:vAlign w:val="center"/>
                </w:tcPr>
                <w:p>
                  <w:pPr>
                    <w:pStyle w:val="16"/>
                    <w:jc w:val="center"/>
                    <w:rPr>
                      <w:color w:val="auto"/>
                      <w:szCs w:val="21"/>
                    </w:rPr>
                  </w:pPr>
                  <w:r>
                    <w:rPr>
                      <w:rFonts w:hint="eastAsia" w:ascii="Times New Roman" w:hAnsi="Times New Roman"/>
                      <w:color w:val="auto"/>
                      <w:szCs w:val="21"/>
                    </w:rPr>
                    <w:t>0.1</w:t>
                  </w:r>
                </w:p>
              </w:tc>
              <w:tc>
                <w:tcPr>
                  <w:tcW w:w="894" w:type="pct"/>
                  <w:vAlign w:val="center"/>
                </w:tcPr>
                <w:p>
                  <w:pPr>
                    <w:pStyle w:val="16"/>
                    <w:jc w:val="center"/>
                    <w:rPr>
                      <w:color w:val="auto"/>
                      <w:szCs w:val="21"/>
                    </w:rPr>
                  </w:pPr>
                  <w:r>
                    <w:rPr>
                      <w:rFonts w:hint="eastAsia" w:ascii="Times New Roman" w:hAnsi="Times New Roman"/>
                      <w:color w:val="auto"/>
                      <w:szCs w:val="21"/>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21" w:type="pct"/>
                  <w:vMerge w:val="continue"/>
                  <w:vAlign w:val="center"/>
                </w:tcPr>
                <w:p>
                  <w:pPr>
                    <w:pStyle w:val="81"/>
                    <w:spacing w:line="280" w:lineRule="exact"/>
                    <w:rPr>
                      <w:color w:val="auto"/>
                    </w:rPr>
                  </w:pPr>
                </w:p>
              </w:tc>
              <w:tc>
                <w:tcPr>
                  <w:tcW w:w="724" w:type="pct"/>
                  <w:vAlign w:val="center"/>
                </w:tcPr>
                <w:p>
                  <w:pPr>
                    <w:pStyle w:val="16"/>
                    <w:jc w:val="center"/>
                    <w:rPr>
                      <w:color w:val="auto"/>
                      <w:szCs w:val="21"/>
                    </w:rPr>
                  </w:pPr>
                  <w:r>
                    <w:rPr>
                      <w:rFonts w:ascii="Times New Roman" w:hAnsi="Times New Roman"/>
                      <w:color w:val="auto"/>
                      <w:szCs w:val="21"/>
                    </w:rPr>
                    <w:t>废包装袋</w:t>
                  </w:r>
                </w:p>
              </w:tc>
              <w:tc>
                <w:tcPr>
                  <w:tcW w:w="624" w:type="pct"/>
                  <w:vAlign w:val="center"/>
                </w:tcPr>
                <w:p>
                  <w:pPr>
                    <w:pStyle w:val="16"/>
                    <w:jc w:val="center"/>
                    <w:rPr>
                      <w:color w:val="auto"/>
                      <w:szCs w:val="21"/>
                    </w:rPr>
                  </w:pPr>
                  <w:r>
                    <w:rPr>
                      <w:rFonts w:hint="eastAsia" w:ascii="Times New Roman" w:hAnsi="Times New Roman"/>
                      <w:color w:val="auto"/>
                      <w:szCs w:val="21"/>
                    </w:rPr>
                    <w:t>0.68</w:t>
                  </w:r>
                </w:p>
              </w:tc>
              <w:tc>
                <w:tcPr>
                  <w:tcW w:w="743" w:type="pct"/>
                  <w:vAlign w:val="center"/>
                </w:tcPr>
                <w:p>
                  <w:pPr>
                    <w:pStyle w:val="16"/>
                    <w:jc w:val="center"/>
                    <w:rPr>
                      <w:color w:val="auto"/>
                      <w:szCs w:val="21"/>
                    </w:rPr>
                  </w:pPr>
                  <w:r>
                    <w:rPr>
                      <w:rFonts w:hint="eastAsia" w:ascii="Times New Roman" w:hAnsi="Times New Roman"/>
                      <w:color w:val="auto"/>
                      <w:szCs w:val="21"/>
                    </w:rPr>
                    <w:t>2.61</w:t>
                  </w:r>
                </w:p>
              </w:tc>
              <w:tc>
                <w:tcPr>
                  <w:tcW w:w="844" w:type="pct"/>
                  <w:vAlign w:val="center"/>
                </w:tcPr>
                <w:p>
                  <w:pPr>
                    <w:pStyle w:val="81"/>
                    <w:spacing w:line="280" w:lineRule="exact"/>
                    <w:rPr>
                      <w:color w:val="auto"/>
                    </w:rPr>
                  </w:pPr>
                  <w:r>
                    <w:rPr>
                      <w:rFonts w:hint="eastAsia"/>
                      <w:color w:val="auto"/>
                    </w:rPr>
                    <w:t>0</w:t>
                  </w:r>
                </w:p>
              </w:tc>
              <w:tc>
                <w:tcPr>
                  <w:tcW w:w="846" w:type="pct"/>
                  <w:vAlign w:val="center"/>
                </w:tcPr>
                <w:p>
                  <w:pPr>
                    <w:pStyle w:val="16"/>
                    <w:jc w:val="center"/>
                    <w:rPr>
                      <w:color w:val="auto"/>
                      <w:szCs w:val="21"/>
                    </w:rPr>
                  </w:pPr>
                  <w:r>
                    <w:rPr>
                      <w:rFonts w:hint="eastAsia" w:ascii="Times New Roman" w:hAnsi="Times New Roman"/>
                      <w:color w:val="auto"/>
                      <w:szCs w:val="21"/>
                    </w:rPr>
                    <w:t>3.29</w:t>
                  </w:r>
                </w:p>
              </w:tc>
              <w:tc>
                <w:tcPr>
                  <w:tcW w:w="894" w:type="pct"/>
                  <w:vAlign w:val="center"/>
                </w:tcPr>
                <w:p>
                  <w:pPr>
                    <w:pStyle w:val="16"/>
                    <w:jc w:val="center"/>
                    <w:rPr>
                      <w:color w:val="auto"/>
                      <w:szCs w:val="21"/>
                    </w:rPr>
                  </w:pPr>
                  <w:r>
                    <w:rPr>
                      <w:rFonts w:hint="eastAsia" w:ascii="Times New Roman" w:hAnsi="Times New Roman"/>
                      <w:color w:val="auto"/>
                      <w:szCs w:val="21"/>
                    </w:rPr>
                    <w:t>+2.61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21" w:type="pct"/>
                  <w:vMerge w:val="continue"/>
                  <w:vAlign w:val="center"/>
                </w:tcPr>
                <w:p>
                  <w:pPr>
                    <w:pStyle w:val="81"/>
                    <w:spacing w:line="280" w:lineRule="exact"/>
                    <w:rPr>
                      <w:color w:val="auto"/>
                    </w:rPr>
                  </w:pPr>
                </w:p>
              </w:tc>
              <w:tc>
                <w:tcPr>
                  <w:tcW w:w="724" w:type="pct"/>
                  <w:vAlign w:val="center"/>
                </w:tcPr>
                <w:p>
                  <w:pPr>
                    <w:pStyle w:val="16"/>
                    <w:jc w:val="center"/>
                    <w:rPr>
                      <w:rFonts w:ascii="Times New Roman" w:hAnsi="Times New Roman"/>
                      <w:color w:val="auto"/>
                      <w:szCs w:val="21"/>
                    </w:rPr>
                  </w:pPr>
                  <w:r>
                    <w:rPr>
                      <w:rFonts w:ascii="Times New Roman" w:hAnsi="Times New Roman"/>
                      <w:color w:val="auto"/>
                      <w:szCs w:val="21"/>
                    </w:rPr>
                    <w:t>生活</w:t>
                  </w:r>
                </w:p>
                <w:p>
                  <w:pPr>
                    <w:pStyle w:val="16"/>
                    <w:jc w:val="center"/>
                    <w:rPr>
                      <w:color w:val="auto"/>
                      <w:szCs w:val="21"/>
                    </w:rPr>
                  </w:pPr>
                  <w:r>
                    <w:rPr>
                      <w:rFonts w:ascii="Times New Roman" w:hAnsi="Times New Roman"/>
                      <w:color w:val="auto"/>
                      <w:szCs w:val="21"/>
                    </w:rPr>
                    <w:t>垃圾</w:t>
                  </w:r>
                </w:p>
              </w:tc>
              <w:tc>
                <w:tcPr>
                  <w:tcW w:w="624" w:type="pct"/>
                  <w:vAlign w:val="center"/>
                </w:tcPr>
                <w:p>
                  <w:pPr>
                    <w:pStyle w:val="16"/>
                    <w:jc w:val="center"/>
                    <w:rPr>
                      <w:color w:val="auto"/>
                      <w:szCs w:val="21"/>
                    </w:rPr>
                  </w:pPr>
                  <w:r>
                    <w:rPr>
                      <w:rFonts w:hint="eastAsia" w:ascii="Times New Roman" w:hAnsi="Times New Roman"/>
                      <w:color w:val="auto"/>
                      <w:szCs w:val="21"/>
                    </w:rPr>
                    <w:t>1.88</w:t>
                  </w:r>
                </w:p>
              </w:tc>
              <w:tc>
                <w:tcPr>
                  <w:tcW w:w="743" w:type="pct"/>
                  <w:vAlign w:val="center"/>
                </w:tcPr>
                <w:p>
                  <w:pPr>
                    <w:pStyle w:val="16"/>
                    <w:jc w:val="center"/>
                    <w:rPr>
                      <w:color w:val="auto"/>
                      <w:szCs w:val="21"/>
                    </w:rPr>
                  </w:pPr>
                  <w:r>
                    <w:rPr>
                      <w:rFonts w:hint="eastAsia" w:ascii="Times New Roman" w:hAnsi="Times New Roman"/>
                      <w:color w:val="auto"/>
                      <w:szCs w:val="21"/>
                    </w:rPr>
                    <w:t>1.25</w:t>
                  </w:r>
                </w:p>
              </w:tc>
              <w:tc>
                <w:tcPr>
                  <w:tcW w:w="844" w:type="pct"/>
                  <w:vAlign w:val="center"/>
                </w:tcPr>
                <w:p>
                  <w:pPr>
                    <w:pStyle w:val="81"/>
                    <w:spacing w:line="280" w:lineRule="exact"/>
                    <w:rPr>
                      <w:rFonts w:hint="eastAsia" w:eastAsia="宋体"/>
                      <w:color w:val="auto"/>
                      <w:lang w:val="en-US" w:eastAsia="zh-CN"/>
                    </w:rPr>
                  </w:pPr>
                  <w:r>
                    <w:rPr>
                      <w:rFonts w:hint="eastAsia"/>
                      <w:color w:val="auto"/>
                      <w:lang w:val="en-US" w:eastAsia="zh-CN"/>
                    </w:rPr>
                    <w:t>0</w:t>
                  </w:r>
                </w:p>
              </w:tc>
              <w:tc>
                <w:tcPr>
                  <w:tcW w:w="846" w:type="pct"/>
                  <w:vAlign w:val="center"/>
                </w:tcPr>
                <w:p>
                  <w:pPr>
                    <w:pStyle w:val="16"/>
                    <w:jc w:val="center"/>
                    <w:rPr>
                      <w:color w:val="auto"/>
                      <w:szCs w:val="21"/>
                    </w:rPr>
                  </w:pPr>
                  <w:r>
                    <w:rPr>
                      <w:rFonts w:hint="eastAsia" w:ascii="Times New Roman" w:hAnsi="Times New Roman"/>
                      <w:color w:val="auto"/>
                      <w:szCs w:val="21"/>
                    </w:rPr>
                    <w:t>3.13</w:t>
                  </w:r>
                </w:p>
              </w:tc>
              <w:tc>
                <w:tcPr>
                  <w:tcW w:w="894" w:type="pct"/>
                  <w:vAlign w:val="center"/>
                </w:tcPr>
                <w:p>
                  <w:pPr>
                    <w:pStyle w:val="16"/>
                    <w:jc w:val="center"/>
                    <w:rPr>
                      <w:color w:val="auto"/>
                      <w:szCs w:val="21"/>
                    </w:rPr>
                  </w:pPr>
                  <w:r>
                    <w:rPr>
                      <w:rFonts w:hint="eastAsia" w:ascii="Times New Roman" w:hAnsi="Times New Roman"/>
                      <w:color w:val="auto"/>
                      <w:szCs w:val="21"/>
                    </w:rPr>
                    <w:t>+1.25</w:t>
                  </w:r>
                </w:p>
              </w:tc>
            </w:tr>
          </w:tbl>
          <w:p>
            <w:pPr>
              <w:spacing w:line="520" w:lineRule="exact"/>
              <w:ind w:firstLine="480" w:firstLineChars="200"/>
              <w:rPr>
                <w:color w:val="auto"/>
                <w:sz w:val="24"/>
                <w:szCs w:val="32"/>
              </w:rPr>
            </w:pPr>
          </w:p>
          <w:p>
            <w:pPr>
              <w:pStyle w:val="10"/>
              <w:rPr>
                <w:color w:val="auto"/>
                <w:sz w:val="24"/>
                <w:szCs w:val="32"/>
              </w:rPr>
            </w:pPr>
          </w:p>
          <w:p>
            <w:pPr>
              <w:pStyle w:val="7"/>
              <w:numPr>
                <w:ilvl w:val="3"/>
                <w:numId w:val="0"/>
              </w:numPr>
              <w:tabs>
                <w:tab w:val="clear" w:pos="864"/>
              </w:tabs>
              <w:ind w:left="420" w:leftChars="200"/>
              <w:rPr>
                <w:color w:val="auto"/>
              </w:rPr>
            </w:pPr>
          </w:p>
          <w:p>
            <w:pPr>
              <w:rPr>
                <w:color w:val="auto"/>
                <w:sz w:val="24"/>
                <w:szCs w:val="32"/>
              </w:rPr>
            </w:pPr>
          </w:p>
          <w:p>
            <w:pPr>
              <w:pStyle w:val="10"/>
              <w:rPr>
                <w:color w:val="auto"/>
                <w:sz w:val="24"/>
                <w:szCs w:val="32"/>
              </w:rPr>
            </w:pPr>
          </w:p>
          <w:p>
            <w:pPr>
              <w:pStyle w:val="7"/>
              <w:numPr>
                <w:ilvl w:val="3"/>
                <w:numId w:val="0"/>
              </w:numPr>
              <w:tabs>
                <w:tab w:val="clear" w:pos="864"/>
              </w:tabs>
              <w:ind w:left="420" w:leftChars="200"/>
              <w:rPr>
                <w:color w:val="auto"/>
              </w:rPr>
            </w:pPr>
          </w:p>
          <w:p>
            <w:pPr>
              <w:rPr>
                <w:color w:val="auto"/>
              </w:rPr>
            </w:pPr>
          </w:p>
          <w:p>
            <w:pPr>
              <w:pStyle w:val="22"/>
              <w:rPr>
                <w:color w:val="auto"/>
              </w:rPr>
            </w:pPr>
          </w:p>
          <w:p>
            <w:pPr>
              <w:rPr>
                <w:color w:val="auto"/>
              </w:rPr>
            </w:pPr>
          </w:p>
          <w:p>
            <w:pPr>
              <w:pStyle w:val="22"/>
              <w:rPr>
                <w:color w:val="auto"/>
              </w:rPr>
            </w:pPr>
          </w:p>
          <w:p>
            <w:pPr>
              <w:rPr>
                <w:color w:val="auto"/>
              </w:rPr>
            </w:pPr>
          </w:p>
          <w:p>
            <w:pPr>
              <w:pStyle w:val="22"/>
              <w:rPr>
                <w:color w:val="auto"/>
              </w:rPr>
            </w:pPr>
          </w:p>
          <w:p>
            <w:pPr>
              <w:rPr>
                <w:color w:val="auto"/>
              </w:rPr>
            </w:pPr>
          </w:p>
          <w:p>
            <w:pPr>
              <w:pStyle w:val="22"/>
              <w:rPr>
                <w:color w:val="auto"/>
              </w:rPr>
            </w:pPr>
          </w:p>
          <w:p>
            <w:pPr>
              <w:rPr>
                <w:color w:val="auto"/>
              </w:rPr>
            </w:pPr>
          </w:p>
          <w:p>
            <w:pPr>
              <w:pStyle w:val="22"/>
              <w:rPr>
                <w:color w:val="auto"/>
              </w:rPr>
            </w:pPr>
          </w:p>
          <w:p>
            <w:pPr>
              <w:pStyle w:val="22"/>
              <w:ind w:left="0" w:leftChars="0" w:firstLine="0" w:firstLineChars="0"/>
              <w:rPr>
                <w:color w:val="auto"/>
              </w:rPr>
            </w:pPr>
          </w:p>
          <w:p>
            <w:pPr>
              <w:rPr>
                <w:color w:val="auto"/>
              </w:rPr>
            </w:pPr>
          </w:p>
          <w:p>
            <w:pPr>
              <w:rPr>
                <w:color w:val="auto"/>
              </w:rPr>
            </w:pPr>
          </w:p>
          <w:p>
            <w:pPr>
              <w:pStyle w:val="22"/>
              <w:rPr>
                <w:color w:val="auto"/>
              </w:rPr>
            </w:pPr>
          </w:p>
          <w:p>
            <w:pPr>
              <w:rPr>
                <w:color w:val="auto"/>
              </w:rPr>
            </w:pPr>
          </w:p>
          <w:p>
            <w:pPr>
              <w:pStyle w:val="22"/>
              <w:rPr>
                <w:color w:val="auto"/>
              </w:rPr>
            </w:pPr>
          </w:p>
          <w:p>
            <w:pPr>
              <w:rPr>
                <w:color w:val="auto"/>
              </w:rPr>
            </w:pPr>
          </w:p>
          <w:p>
            <w:pPr>
              <w:pStyle w:val="22"/>
              <w:rPr>
                <w:color w:val="auto"/>
              </w:rPr>
            </w:pPr>
          </w:p>
          <w:p>
            <w:pPr>
              <w:rPr>
                <w:color w:val="auto"/>
              </w:rPr>
            </w:pPr>
          </w:p>
          <w:p>
            <w:pPr>
              <w:pStyle w:val="22"/>
              <w:rPr>
                <w:color w:val="auto"/>
              </w:rPr>
            </w:pPr>
          </w:p>
          <w:p>
            <w:pPr>
              <w:rPr>
                <w:color w:val="auto"/>
              </w:rPr>
            </w:pPr>
          </w:p>
        </w:tc>
      </w:tr>
    </w:tbl>
    <w:p>
      <w:pPr>
        <w:adjustRightInd w:val="0"/>
        <w:snapToGrid w:val="0"/>
        <w:spacing w:line="360" w:lineRule="auto"/>
        <w:rPr>
          <w:rFonts w:ascii="宋体" w:cs="宋体"/>
          <w:b/>
          <w:color w:val="auto"/>
          <w:kern w:val="0"/>
          <w:sz w:val="28"/>
          <w:szCs w:val="28"/>
        </w:rPr>
        <w:sectPr>
          <w:pgSz w:w="11907" w:h="16840"/>
          <w:pgMar w:top="1701" w:right="1531" w:bottom="2127" w:left="1531" w:header="851" w:footer="851" w:gutter="0"/>
          <w:cols w:space="720" w:num="1"/>
          <w:docGrid w:linePitch="312" w:charSpace="0"/>
        </w:sectPr>
      </w:pPr>
    </w:p>
    <w:p>
      <w:pPr>
        <w:pStyle w:val="24"/>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9" w:name="_Hlk54167917"/>
      <w:r>
        <w:rPr>
          <w:rFonts w:hint="eastAsia" w:ascii="黑体" w:hAnsi="黑体" w:eastAsia="黑体"/>
          <w:snapToGrid w:val="0"/>
          <w:color w:val="auto"/>
          <w:sz w:val="30"/>
          <w:szCs w:val="30"/>
        </w:rPr>
        <w:t>环境保护措施监督检查清单</w:t>
      </w:r>
      <w:bookmarkEnd w:id="9"/>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077"/>
        <w:gridCol w:w="1189"/>
        <w:gridCol w:w="1935"/>
        <w:gridCol w:w="2898"/>
        <w:gridCol w:w="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1" w:type="dxa"/>
          <w:jc w:val="center"/>
        </w:trPr>
        <w:tc>
          <w:tcPr>
            <w:tcW w:w="1778" w:type="dxa"/>
            <w:tcBorders>
              <w:tl2br w:val="single" w:color="auto" w:sz="4" w:space="0"/>
            </w:tcBorders>
          </w:tcPr>
          <w:p>
            <w:pPr>
              <w:adjustRightInd w:val="0"/>
              <w:snapToGrid w:val="0"/>
              <w:ind w:firstLine="840"/>
              <w:rPr>
                <w:color w:val="auto"/>
                <w:szCs w:val="21"/>
              </w:rPr>
            </w:pPr>
            <w:r>
              <w:rPr>
                <w:color w:val="auto"/>
                <w:szCs w:val="21"/>
              </w:rPr>
              <w:t>内容</w:t>
            </w:r>
          </w:p>
          <w:p>
            <w:pPr>
              <w:adjustRightInd w:val="0"/>
              <w:snapToGrid w:val="0"/>
              <w:rPr>
                <w:color w:val="auto"/>
                <w:szCs w:val="21"/>
              </w:rPr>
            </w:pPr>
            <w:r>
              <w:rPr>
                <w:color w:val="auto"/>
                <w:szCs w:val="21"/>
              </w:rPr>
              <w:t>要素</w:t>
            </w:r>
          </w:p>
        </w:tc>
        <w:tc>
          <w:tcPr>
            <w:tcW w:w="1077" w:type="dxa"/>
            <w:vAlign w:val="center"/>
          </w:tcPr>
          <w:p>
            <w:pPr>
              <w:adjustRightInd w:val="0"/>
              <w:snapToGrid w:val="0"/>
              <w:jc w:val="center"/>
              <w:rPr>
                <w:color w:val="auto"/>
                <w:szCs w:val="21"/>
              </w:rPr>
            </w:pPr>
            <w:r>
              <w:rPr>
                <w:color w:val="auto"/>
                <w:szCs w:val="21"/>
              </w:rPr>
              <w:t>排放口</w:t>
            </w:r>
            <w:r>
              <w:rPr>
                <w:rFonts w:hint="eastAsia"/>
                <w:color w:val="auto"/>
                <w:szCs w:val="21"/>
                <w:lang w:eastAsia="zh-CN"/>
              </w:rPr>
              <w:t>（</w:t>
            </w:r>
            <w:r>
              <w:rPr>
                <w:color w:val="auto"/>
                <w:szCs w:val="21"/>
              </w:rPr>
              <w:t>编号、</w:t>
            </w:r>
          </w:p>
          <w:p>
            <w:pPr>
              <w:adjustRightInd w:val="0"/>
              <w:snapToGrid w:val="0"/>
              <w:jc w:val="center"/>
              <w:rPr>
                <w:color w:val="auto"/>
                <w:szCs w:val="21"/>
              </w:rPr>
            </w:pPr>
            <w:r>
              <w:rPr>
                <w:color w:val="auto"/>
                <w:szCs w:val="21"/>
              </w:rPr>
              <w:t>名称</w:t>
            </w:r>
            <w:r>
              <w:rPr>
                <w:rFonts w:hint="eastAsia"/>
                <w:color w:val="auto"/>
                <w:szCs w:val="21"/>
                <w:lang w:eastAsia="zh-CN"/>
              </w:rPr>
              <w:t>）</w:t>
            </w:r>
            <w:r>
              <w:rPr>
                <w:color w:val="auto"/>
                <w:szCs w:val="21"/>
              </w:rPr>
              <w:t>/污染源</w:t>
            </w:r>
          </w:p>
        </w:tc>
        <w:tc>
          <w:tcPr>
            <w:tcW w:w="1189" w:type="dxa"/>
            <w:vAlign w:val="center"/>
          </w:tcPr>
          <w:p>
            <w:pPr>
              <w:adjustRightInd w:val="0"/>
              <w:snapToGrid w:val="0"/>
              <w:jc w:val="center"/>
              <w:rPr>
                <w:color w:val="auto"/>
                <w:szCs w:val="21"/>
              </w:rPr>
            </w:pPr>
            <w:r>
              <w:rPr>
                <w:color w:val="auto"/>
                <w:szCs w:val="21"/>
              </w:rPr>
              <w:t>污染物项目</w:t>
            </w:r>
          </w:p>
        </w:tc>
        <w:tc>
          <w:tcPr>
            <w:tcW w:w="1935" w:type="dxa"/>
            <w:vAlign w:val="center"/>
          </w:tcPr>
          <w:p>
            <w:pPr>
              <w:adjustRightInd w:val="0"/>
              <w:snapToGrid w:val="0"/>
              <w:jc w:val="center"/>
              <w:rPr>
                <w:color w:val="auto"/>
                <w:szCs w:val="21"/>
              </w:rPr>
            </w:pPr>
            <w:r>
              <w:rPr>
                <w:color w:val="auto"/>
                <w:szCs w:val="21"/>
              </w:rPr>
              <w:t>环境保护措施</w:t>
            </w:r>
          </w:p>
        </w:tc>
        <w:tc>
          <w:tcPr>
            <w:tcW w:w="2898" w:type="dxa"/>
            <w:vAlign w:val="center"/>
          </w:tcPr>
          <w:p>
            <w:pPr>
              <w:adjustRightInd w:val="0"/>
              <w:snapToGrid w:val="0"/>
              <w:jc w:val="center"/>
              <w:rPr>
                <w:color w:val="auto"/>
                <w:szCs w:val="21"/>
              </w:rPr>
            </w:pPr>
            <w:r>
              <w:rPr>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1" w:type="dxa"/>
          <w:jc w:val="center"/>
        </w:trPr>
        <w:tc>
          <w:tcPr>
            <w:tcW w:w="1778" w:type="dxa"/>
            <w:vMerge w:val="restart"/>
            <w:vAlign w:val="center"/>
          </w:tcPr>
          <w:p>
            <w:pPr>
              <w:adjustRightInd w:val="0"/>
              <w:snapToGrid w:val="0"/>
              <w:jc w:val="center"/>
              <w:rPr>
                <w:color w:val="auto"/>
                <w:szCs w:val="21"/>
              </w:rPr>
            </w:pPr>
            <w:r>
              <w:rPr>
                <w:color w:val="auto"/>
                <w:szCs w:val="21"/>
              </w:rPr>
              <w:t>大气环境</w:t>
            </w:r>
          </w:p>
        </w:tc>
        <w:tc>
          <w:tcPr>
            <w:tcW w:w="1077" w:type="dxa"/>
            <w:vAlign w:val="center"/>
          </w:tcPr>
          <w:p>
            <w:pPr>
              <w:adjustRightInd w:val="0"/>
              <w:snapToGrid w:val="0"/>
              <w:jc w:val="center"/>
              <w:rPr>
                <w:color w:val="auto"/>
                <w:szCs w:val="21"/>
              </w:rPr>
            </w:pPr>
            <w:r>
              <w:rPr>
                <w:rFonts w:hint="eastAsia"/>
                <w:color w:val="auto"/>
                <w:szCs w:val="21"/>
              </w:rPr>
              <w:t>多孔粒状硝酸铵上料粉尘</w:t>
            </w:r>
          </w:p>
        </w:tc>
        <w:tc>
          <w:tcPr>
            <w:tcW w:w="1189" w:type="dxa"/>
            <w:vAlign w:val="center"/>
          </w:tcPr>
          <w:p>
            <w:pPr>
              <w:adjustRightInd w:val="0"/>
              <w:snapToGrid w:val="0"/>
              <w:jc w:val="center"/>
              <w:rPr>
                <w:color w:val="auto"/>
                <w:szCs w:val="21"/>
              </w:rPr>
            </w:pPr>
            <w:r>
              <w:rPr>
                <w:rFonts w:hint="eastAsia"/>
                <w:color w:val="auto"/>
                <w:szCs w:val="21"/>
              </w:rPr>
              <w:t>颗粒物</w:t>
            </w:r>
          </w:p>
        </w:tc>
        <w:tc>
          <w:tcPr>
            <w:tcW w:w="1935" w:type="dxa"/>
            <w:vAlign w:val="center"/>
          </w:tcPr>
          <w:p>
            <w:pPr>
              <w:adjustRightInd w:val="0"/>
              <w:snapToGrid w:val="0"/>
              <w:jc w:val="center"/>
              <w:rPr>
                <w:color w:val="auto"/>
                <w:szCs w:val="21"/>
              </w:rPr>
            </w:pPr>
            <w:r>
              <w:rPr>
                <w:rFonts w:hint="eastAsia"/>
                <w:color w:val="auto"/>
                <w:szCs w:val="21"/>
              </w:rPr>
              <w:t>密闭上料仓</w:t>
            </w:r>
          </w:p>
        </w:tc>
        <w:tc>
          <w:tcPr>
            <w:tcW w:w="2898" w:type="dxa"/>
            <w:vAlign w:val="center"/>
          </w:tcPr>
          <w:p>
            <w:pPr>
              <w:adjustRightInd w:val="0"/>
              <w:snapToGrid w:val="0"/>
              <w:jc w:val="center"/>
              <w:rPr>
                <w:rFonts w:hAnsi="宋体"/>
                <w:color w:val="auto"/>
                <w:szCs w:val="21"/>
              </w:rPr>
            </w:pPr>
            <w:r>
              <w:rPr>
                <w:rFonts w:hint="eastAsia" w:hAnsi="宋体"/>
                <w:color w:val="auto"/>
                <w:szCs w:val="21"/>
              </w:rPr>
              <w:t>《大气污染物综合排放标准》（GB16297-1996）表2颗粒物无组织排放限值要求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1" w:type="dxa"/>
          <w:jc w:val="center"/>
        </w:trPr>
        <w:tc>
          <w:tcPr>
            <w:tcW w:w="1778" w:type="dxa"/>
            <w:vMerge w:val="continue"/>
            <w:vAlign w:val="center"/>
          </w:tcPr>
          <w:p>
            <w:pPr>
              <w:adjustRightInd w:val="0"/>
              <w:snapToGrid w:val="0"/>
              <w:jc w:val="center"/>
              <w:rPr>
                <w:color w:val="auto"/>
                <w:szCs w:val="21"/>
              </w:rPr>
            </w:pPr>
          </w:p>
        </w:tc>
        <w:tc>
          <w:tcPr>
            <w:tcW w:w="1077" w:type="dxa"/>
            <w:vAlign w:val="center"/>
          </w:tcPr>
          <w:p>
            <w:pPr>
              <w:adjustRightInd w:val="0"/>
              <w:snapToGrid w:val="0"/>
              <w:jc w:val="center"/>
              <w:rPr>
                <w:color w:val="auto"/>
                <w:szCs w:val="21"/>
              </w:rPr>
            </w:pPr>
            <w:r>
              <w:rPr>
                <w:rFonts w:hint="eastAsia"/>
                <w:color w:val="auto"/>
                <w:szCs w:val="21"/>
              </w:rPr>
              <w:t>柴油储罐装卸、储存废气</w:t>
            </w:r>
          </w:p>
        </w:tc>
        <w:tc>
          <w:tcPr>
            <w:tcW w:w="1189" w:type="dxa"/>
            <w:vAlign w:val="center"/>
          </w:tcPr>
          <w:p>
            <w:pPr>
              <w:adjustRightInd w:val="0"/>
              <w:snapToGrid w:val="0"/>
              <w:jc w:val="center"/>
              <w:rPr>
                <w:color w:val="auto"/>
                <w:szCs w:val="21"/>
              </w:rPr>
            </w:pPr>
            <w:r>
              <w:rPr>
                <w:rFonts w:hint="eastAsia"/>
                <w:color w:val="auto"/>
                <w:szCs w:val="21"/>
              </w:rPr>
              <w:t>VOCs</w:t>
            </w:r>
          </w:p>
        </w:tc>
        <w:tc>
          <w:tcPr>
            <w:tcW w:w="1935" w:type="dxa"/>
            <w:vAlign w:val="center"/>
          </w:tcPr>
          <w:p>
            <w:pPr>
              <w:adjustRightInd w:val="0"/>
              <w:snapToGrid w:val="0"/>
              <w:jc w:val="center"/>
              <w:rPr>
                <w:color w:val="auto"/>
                <w:szCs w:val="21"/>
              </w:rPr>
            </w:pPr>
            <w:r>
              <w:rPr>
                <w:rFonts w:hint="eastAsia"/>
                <w:color w:val="auto"/>
                <w:szCs w:val="21"/>
              </w:rPr>
              <w:t>/</w:t>
            </w:r>
          </w:p>
        </w:tc>
        <w:tc>
          <w:tcPr>
            <w:tcW w:w="2898" w:type="dxa"/>
            <w:vAlign w:val="center"/>
          </w:tcPr>
          <w:p>
            <w:pPr>
              <w:adjustRightInd w:val="0"/>
              <w:snapToGrid w:val="0"/>
              <w:jc w:val="center"/>
              <w:rPr>
                <w:color w:val="auto"/>
                <w:spacing w:val="6"/>
                <w:szCs w:val="21"/>
              </w:rPr>
            </w:pPr>
            <w:r>
              <w:rPr>
                <w:rFonts w:hint="eastAsia"/>
                <w:color w:val="auto"/>
                <w:spacing w:val="6"/>
                <w:szCs w:val="21"/>
              </w:rPr>
              <w:t>无组织排放非甲烷总烃厂区内满足《挥发性有机物无组织排放控制标准》（GB37822-2019）表A.1排放限值要求，厂界满足《大气污染物综合排放标准》（GB16297-1996）表2中的浓度限值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1" w:type="dxa"/>
          <w:jc w:val="center"/>
        </w:trPr>
        <w:tc>
          <w:tcPr>
            <w:tcW w:w="1778" w:type="dxa"/>
            <w:vMerge w:val="continue"/>
            <w:vAlign w:val="center"/>
          </w:tcPr>
          <w:p>
            <w:pPr>
              <w:adjustRightInd w:val="0"/>
              <w:snapToGrid w:val="0"/>
              <w:jc w:val="center"/>
              <w:rPr>
                <w:color w:val="auto"/>
                <w:szCs w:val="21"/>
              </w:rPr>
            </w:pPr>
          </w:p>
        </w:tc>
        <w:tc>
          <w:tcPr>
            <w:tcW w:w="1077" w:type="dxa"/>
            <w:vAlign w:val="center"/>
          </w:tcPr>
          <w:p>
            <w:pPr>
              <w:adjustRightInd w:val="0"/>
              <w:snapToGrid w:val="0"/>
              <w:spacing w:line="240" w:lineRule="exact"/>
              <w:jc w:val="center"/>
              <w:rPr>
                <w:color w:val="auto"/>
                <w:szCs w:val="21"/>
              </w:rPr>
            </w:pPr>
            <w:r>
              <w:rPr>
                <w:rFonts w:hint="eastAsia"/>
                <w:color w:val="auto"/>
                <w:szCs w:val="21"/>
              </w:rPr>
              <w:t>硝酸铵库</w:t>
            </w:r>
          </w:p>
        </w:tc>
        <w:tc>
          <w:tcPr>
            <w:tcW w:w="1189" w:type="dxa"/>
            <w:vAlign w:val="center"/>
          </w:tcPr>
          <w:p>
            <w:pPr>
              <w:adjustRightInd w:val="0"/>
              <w:snapToGrid w:val="0"/>
              <w:spacing w:line="240" w:lineRule="exact"/>
              <w:jc w:val="center"/>
              <w:rPr>
                <w:rFonts w:hint="default" w:eastAsia="宋体"/>
                <w:color w:val="auto"/>
                <w:szCs w:val="21"/>
                <w:lang w:val="en-US" w:eastAsia="zh-CN"/>
              </w:rPr>
            </w:pPr>
            <w:r>
              <w:rPr>
                <w:rFonts w:hint="eastAsia"/>
                <w:color w:val="auto"/>
                <w:szCs w:val="21"/>
              </w:rPr>
              <w:t>氨</w:t>
            </w:r>
            <w:r>
              <w:rPr>
                <w:rFonts w:hint="eastAsia"/>
                <w:color w:val="auto"/>
                <w:szCs w:val="21"/>
                <w:lang w:eastAsia="zh-CN"/>
              </w:rPr>
              <w:t>、</w:t>
            </w:r>
            <w:r>
              <w:rPr>
                <w:rFonts w:hint="eastAsia"/>
                <w:color w:val="auto"/>
                <w:szCs w:val="21"/>
                <w:lang w:val="en-US" w:eastAsia="zh-CN"/>
              </w:rPr>
              <w:t>臭气浓度</w:t>
            </w:r>
          </w:p>
        </w:tc>
        <w:tc>
          <w:tcPr>
            <w:tcW w:w="1935" w:type="dxa"/>
            <w:vAlign w:val="center"/>
          </w:tcPr>
          <w:p>
            <w:pPr>
              <w:adjustRightInd w:val="0"/>
              <w:snapToGrid w:val="0"/>
              <w:spacing w:line="240" w:lineRule="exact"/>
              <w:jc w:val="center"/>
              <w:rPr>
                <w:color w:val="auto"/>
                <w:szCs w:val="21"/>
              </w:rPr>
            </w:pPr>
            <w:r>
              <w:rPr>
                <w:rFonts w:hint="eastAsia"/>
                <w:color w:val="auto"/>
                <w:szCs w:val="21"/>
              </w:rPr>
              <w:t>通风换气</w:t>
            </w:r>
          </w:p>
        </w:tc>
        <w:tc>
          <w:tcPr>
            <w:tcW w:w="2898" w:type="dxa"/>
            <w:vAlign w:val="center"/>
          </w:tcPr>
          <w:p>
            <w:pPr>
              <w:widowControl/>
              <w:jc w:val="left"/>
              <w:rPr>
                <w:color w:val="auto"/>
                <w:spacing w:val="6"/>
                <w:szCs w:val="21"/>
              </w:rPr>
            </w:pPr>
            <w:r>
              <w:rPr>
                <w:rFonts w:hint="eastAsia" w:ascii="宋体" w:hAnsi="宋体" w:cs="宋体"/>
                <w:color w:val="auto"/>
                <w:kern w:val="0"/>
                <w:szCs w:val="21"/>
                <w:lang w:bidi="ar"/>
              </w:rPr>
              <w:t>《恶臭污染物排放标准》（</w:t>
            </w:r>
            <w:r>
              <w:rPr>
                <w:color w:val="auto"/>
                <w:kern w:val="0"/>
                <w:szCs w:val="21"/>
                <w:lang w:bidi="ar"/>
              </w:rPr>
              <w:t>GB14554-93</w:t>
            </w:r>
            <w:r>
              <w:rPr>
                <w:rFonts w:hint="eastAsia" w:ascii="宋体" w:hAnsi="宋体" w:cs="宋体"/>
                <w:color w:val="auto"/>
                <w:kern w:val="0"/>
                <w:szCs w:val="21"/>
                <w:lang w:bidi="ar"/>
              </w:rPr>
              <w:t>）表</w:t>
            </w:r>
            <w:r>
              <w:rPr>
                <w:color w:val="auto"/>
                <w:kern w:val="0"/>
                <w:szCs w:val="21"/>
                <w:lang w:bidi="ar"/>
              </w:rPr>
              <w:t>1</w:t>
            </w:r>
            <w:r>
              <w:rPr>
                <w:rFonts w:hint="eastAsia" w:ascii="宋体" w:hAnsi="宋体" w:cs="宋体"/>
                <w:color w:val="auto"/>
                <w:kern w:val="0"/>
                <w:szCs w:val="21"/>
                <w:lang w:bidi="ar"/>
              </w:rPr>
              <w:t>厂界标准的二级标准（新扩改建）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369" w:hRule="atLeast"/>
          <w:jc w:val="center"/>
        </w:trPr>
        <w:tc>
          <w:tcPr>
            <w:tcW w:w="1778" w:type="dxa"/>
            <w:vMerge w:val="restart"/>
            <w:vAlign w:val="center"/>
          </w:tcPr>
          <w:p>
            <w:pPr>
              <w:adjustRightInd w:val="0"/>
              <w:snapToGrid w:val="0"/>
              <w:jc w:val="center"/>
              <w:rPr>
                <w:color w:val="auto"/>
                <w:szCs w:val="21"/>
              </w:rPr>
            </w:pPr>
            <w:r>
              <w:rPr>
                <w:color w:val="auto"/>
                <w:szCs w:val="21"/>
              </w:rPr>
              <w:t>地表水环境</w:t>
            </w:r>
          </w:p>
        </w:tc>
        <w:tc>
          <w:tcPr>
            <w:tcW w:w="1077" w:type="dxa"/>
            <w:vMerge w:val="restart"/>
            <w:vAlign w:val="center"/>
          </w:tcPr>
          <w:p>
            <w:pPr>
              <w:adjustRightInd w:val="0"/>
              <w:snapToGrid w:val="0"/>
              <w:jc w:val="center"/>
              <w:rPr>
                <w:color w:val="auto"/>
                <w:szCs w:val="21"/>
              </w:rPr>
            </w:pPr>
            <w:r>
              <w:rPr>
                <w:color w:val="auto"/>
                <w:szCs w:val="21"/>
              </w:rPr>
              <w:t>生活</w:t>
            </w:r>
            <w:r>
              <w:rPr>
                <w:rFonts w:hint="eastAsia"/>
                <w:color w:val="auto"/>
                <w:szCs w:val="21"/>
              </w:rPr>
              <w:t>污水</w:t>
            </w:r>
          </w:p>
        </w:tc>
        <w:tc>
          <w:tcPr>
            <w:tcW w:w="1189" w:type="dxa"/>
            <w:vAlign w:val="center"/>
          </w:tcPr>
          <w:p>
            <w:pPr>
              <w:adjustRightInd w:val="0"/>
              <w:snapToGrid w:val="0"/>
              <w:jc w:val="center"/>
              <w:rPr>
                <w:color w:val="auto"/>
                <w:szCs w:val="21"/>
                <w:vertAlign w:val="subscript"/>
              </w:rPr>
            </w:pPr>
            <w:r>
              <w:rPr>
                <w:color w:val="auto"/>
                <w:szCs w:val="21"/>
              </w:rPr>
              <w:t>COD</w:t>
            </w:r>
            <w:r>
              <w:rPr>
                <w:rFonts w:hint="eastAsia"/>
                <w:color w:val="auto"/>
                <w:szCs w:val="21"/>
                <w:vertAlign w:val="subscript"/>
              </w:rPr>
              <w:t>Cr</w:t>
            </w:r>
          </w:p>
        </w:tc>
        <w:tc>
          <w:tcPr>
            <w:tcW w:w="1935" w:type="dxa"/>
            <w:vMerge w:val="restart"/>
            <w:vAlign w:val="center"/>
          </w:tcPr>
          <w:p>
            <w:pPr>
              <w:adjustRightInd w:val="0"/>
              <w:snapToGrid w:val="0"/>
              <w:jc w:val="center"/>
              <w:rPr>
                <w:color w:val="auto"/>
                <w:szCs w:val="21"/>
              </w:rPr>
            </w:pPr>
            <w:r>
              <w:rPr>
                <w:rFonts w:hint="eastAsia" w:hAnsi="宋体"/>
                <w:snapToGrid w:val="0"/>
                <w:color w:val="auto"/>
                <w:kern w:val="0"/>
                <w:szCs w:val="21"/>
              </w:rPr>
              <w:t>生活污水依托现有工程已建地埋式一体化污水处理设施，经处理后用于厂区及周边绿化带绿化</w:t>
            </w:r>
          </w:p>
        </w:tc>
        <w:tc>
          <w:tcPr>
            <w:tcW w:w="2898" w:type="dxa"/>
            <w:vMerge w:val="restart"/>
            <w:vAlign w:val="center"/>
          </w:tcPr>
          <w:p>
            <w:pPr>
              <w:adjustRightInd w:val="0"/>
              <w:snapToGrid w:val="0"/>
              <w:jc w:val="center"/>
              <w:rPr>
                <w:color w:val="auto"/>
                <w:szCs w:val="21"/>
              </w:rPr>
            </w:pPr>
            <w:r>
              <w:rPr>
                <w:rFonts w:hint="eastAsia"/>
                <w:color w:val="auto"/>
                <w:kern w:val="0"/>
                <w:szCs w:val="21"/>
              </w:rPr>
              <w:t>《城市污水再利用城市杂用水水质》（GB/T18920-2020）绿化用水标准限值；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268" w:hRule="atLeast"/>
          <w:jc w:val="center"/>
        </w:trPr>
        <w:tc>
          <w:tcPr>
            <w:tcW w:w="1778" w:type="dxa"/>
            <w:vMerge w:val="continue"/>
            <w:vAlign w:val="center"/>
          </w:tcPr>
          <w:p>
            <w:pPr>
              <w:adjustRightInd w:val="0"/>
              <w:snapToGrid w:val="0"/>
              <w:jc w:val="center"/>
              <w:rPr>
                <w:color w:val="auto"/>
                <w:szCs w:val="21"/>
              </w:rPr>
            </w:pPr>
          </w:p>
        </w:tc>
        <w:tc>
          <w:tcPr>
            <w:tcW w:w="1077" w:type="dxa"/>
            <w:vMerge w:val="continue"/>
            <w:vAlign w:val="center"/>
          </w:tcPr>
          <w:p>
            <w:pPr>
              <w:adjustRightInd w:val="0"/>
              <w:snapToGrid w:val="0"/>
              <w:jc w:val="center"/>
              <w:rPr>
                <w:color w:val="auto"/>
                <w:szCs w:val="21"/>
              </w:rPr>
            </w:pPr>
          </w:p>
        </w:tc>
        <w:tc>
          <w:tcPr>
            <w:tcW w:w="1189" w:type="dxa"/>
            <w:vAlign w:val="center"/>
          </w:tcPr>
          <w:p>
            <w:pPr>
              <w:adjustRightInd w:val="0"/>
              <w:snapToGrid w:val="0"/>
              <w:jc w:val="center"/>
              <w:rPr>
                <w:color w:val="auto"/>
                <w:szCs w:val="21"/>
              </w:rPr>
            </w:pPr>
            <w:r>
              <w:rPr>
                <w:color w:val="auto"/>
                <w:szCs w:val="21"/>
              </w:rPr>
              <w:t>BOD</w:t>
            </w:r>
            <w:r>
              <w:rPr>
                <w:color w:val="auto"/>
                <w:szCs w:val="21"/>
                <w:vertAlign w:val="subscript"/>
              </w:rPr>
              <w:t>5</w:t>
            </w:r>
          </w:p>
        </w:tc>
        <w:tc>
          <w:tcPr>
            <w:tcW w:w="1935" w:type="dxa"/>
            <w:vMerge w:val="continue"/>
            <w:vAlign w:val="center"/>
          </w:tcPr>
          <w:p>
            <w:pPr>
              <w:adjustRightInd w:val="0"/>
              <w:snapToGrid w:val="0"/>
              <w:jc w:val="center"/>
              <w:rPr>
                <w:color w:val="auto"/>
                <w:szCs w:val="21"/>
              </w:rPr>
            </w:pPr>
          </w:p>
        </w:tc>
        <w:tc>
          <w:tcPr>
            <w:tcW w:w="2898" w:type="dxa"/>
            <w:vMerge w:val="continue"/>
            <w:vAlign w:val="center"/>
          </w:tcPr>
          <w:p>
            <w:pPr>
              <w:adjustRightInd w:val="0"/>
              <w:snapToGrid w:val="0"/>
              <w:jc w:val="center"/>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371" w:hRule="atLeast"/>
          <w:jc w:val="center"/>
        </w:trPr>
        <w:tc>
          <w:tcPr>
            <w:tcW w:w="1778" w:type="dxa"/>
            <w:vMerge w:val="continue"/>
            <w:vAlign w:val="center"/>
          </w:tcPr>
          <w:p>
            <w:pPr>
              <w:adjustRightInd w:val="0"/>
              <w:snapToGrid w:val="0"/>
              <w:jc w:val="center"/>
              <w:rPr>
                <w:color w:val="auto"/>
                <w:szCs w:val="21"/>
              </w:rPr>
            </w:pPr>
          </w:p>
        </w:tc>
        <w:tc>
          <w:tcPr>
            <w:tcW w:w="1077" w:type="dxa"/>
            <w:vMerge w:val="continue"/>
            <w:vAlign w:val="center"/>
          </w:tcPr>
          <w:p>
            <w:pPr>
              <w:adjustRightInd w:val="0"/>
              <w:snapToGrid w:val="0"/>
              <w:jc w:val="center"/>
              <w:rPr>
                <w:color w:val="auto"/>
                <w:szCs w:val="21"/>
              </w:rPr>
            </w:pPr>
          </w:p>
        </w:tc>
        <w:tc>
          <w:tcPr>
            <w:tcW w:w="1189" w:type="dxa"/>
            <w:vAlign w:val="center"/>
          </w:tcPr>
          <w:p>
            <w:pPr>
              <w:adjustRightInd w:val="0"/>
              <w:snapToGrid w:val="0"/>
              <w:jc w:val="center"/>
              <w:rPr>
                <w:color w:val="auto"/>
                <w:szCs w:val="21"/>
              </w:rPr>
            </w:pPr>
            <w:r>
              <w:rPr>
                <w:color w:val="auto"/>
                <w:szCs w:val="21"/>
              </w:rPr>
              <w:t>NH</w:t>
            </w:r>
            <w:r>
              <w:rPr>
                <w:color w:val="auto"/>
                <w:szCs w:val="21"/>
                <w:vertAlign w:val="subscript"/>
              </w:rPr>
              <w:t>3</w:t>
            </w:r>
            <w:r>
              <w:rPr>
                <w:color w:val="auto"/>
                <w:szCs w:val="21"/>
              </w:rPr>
              <w:t>-N</w:t>
            </w:r>
          </w:p>
        </w:tc>
        <w:tc>
          <w:tcPr>
            <w:tcW w:w="1935" w:type="dxa"/>
            <w:vMerge w:val="continue"/>
            <w:vAlign w:val="center"/>
          </w:tcPr>
          <w:p>
            <w:pPr>
              <w:adjustRightInd w:val="0"/>
              <w:snapToGrid w:val="0"/>
              <w:jc w:val="center"/>
              <w:rPr>
                <w:color w:val="auto"/>
                <w:szCs w:val="21"/>
              </w:rPr>
            </w:pPr>
          </w:p>
        </w:tc>
        <w:tc>
          <w:tcPr>
            <w:tcW w:w="2898" w:type="dxa"/>
            <w:vMerge w:val="continue"/>
            <w:vAlign w:val="center"/>
          </w:tcPr>
          <w:p>
            <w:pPr>
              <w:adjustRightInd w:val="0"/>
              <w:snapToGrid w:val="0"/>
              <w:jc w:val="center"/>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281" w:hRule="atLeast"/>
          <w:jc w:val="center"/>
        </w:trPr>
        <w:tc>
          <w:tcPr>
            <w:tcW w:w="1778" w:type="dxa"/>
            <w:vMerge w:val="continue"/>
            <w:vAlign w:val="center"/>
          </w:tcPr>
          <w:p>
            <w:pPr>
              <w:adjustRightInd w:val="0"/>
              <w:snapToGrid w:val="0"/>
              <w:jc w:val="center"/>
              <w:rPr>
                <w:color w:val="auto"/>
                <w:szCs w:val="21"/>
              </w:rPr>
            </w:pPr>
          </w:p>
        </w:tc>
        <w:tc>
          <w:tcPr>
            <w:tcW w:w="1077" w:type="dxa"/>
            <w:vMerge w:val="continue"/>
            <w:vAlign w:val="center"/>
          </w:tcPr>
          <w:p>
            <w:pPr>
              <w:adjustRightInd w:val="0"/>
              <w:snapToGrid w:val="0"/>
              <w:jc w:val="center"/>
              <w:rPr>
                <w:color w:val="auto"/>
                <w:szCs w:val="21"/>
              </w:rPr>
            </w:pPr>
          </w:p>
        </w:tc>
        <w:tc>
          <w:tcPr>
            <w:tcW w:w="1189" w:type="dxa"/>
            <w:vAlign w:val="center"/>
          </w:tcPr>
          <w:p>
            <w:pPr>
              <w:adjustRightInd w:val="0"/>
              <w:snapToGrid w:val="0"/>
              <w:jc w:val="center"/>
              <w:rPr>
                <w:color w:val="auto"/>
                <w:szCs w:val="21"/>
              </w:rPr>
            </w:pPr>
            <w:r>
              <w:rPr>
                <w:color w:val="auto"/>
                <w:szCs w:val="21"/>
              </w:rPr>
              <w:t>SS</w:t>
            </w:r>
          </w:p>
        </w:tc>
        <w:tc>
          <w:tcPr>
            <w:tcW w:w="1935" w:type="dxa"/>
            <w:vMerge w:val="continue"/>
            <w:vAlign w:val="center"/>
          </w:tcPr>
          <w:p>
            <w:pPr>
              <w:adjustRightInd w:val="0"/>
              <w:snapToGrid w:val="0"/>
              <w:jc w:val="center"/>
              <w:rPr>
                <w:color w:val="auto"/>
                <w:szCs w:val="21"/>
              </w:rPr>
            </w:pPr>
          </w:p>
        </w:tc>
        <w:tc>
          <w:tcPr>
            <w:tcW w:w="2898" w:type="dxa"/>
            <w:vMerge w:val="continue"/>
            <w:vAlign w:val="center"/>
          </w:tcPr>
          <w:p>
            <w:pPr>
              <w:adjustRightInd w:val="0"/>
              <w:snapToGrid w:val="0"/>
              <w:jc w:val="center"/>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575" w:hRule="atLeast"/>
          <w:jc w:val="center"/>
        </w:trPr>
        <w:tc>
          <w:tcPr>
            <w:tcW w:w="1778" w:type="dxa"/>
            <w:vMerge w:val="continue"/>
            <w:vAlign w:val="center"/>
          </w:tcPr>
          <w:p>
            <w:pPr>
              <w:adjustRightInd w:val="0"/>
              <w:snapToGrid w:val="0"/>
              <w:jc w:val="center"/>
              <w:rPr>
                <w:color w:val="auto"/>
                <w:szCs w:val="21"/>
              </w:rPr>
            </w:pPr>
          </w:p>
        </w:tc>
        <w:tc>
          <w:tcPr>
            <w:tcW w:w="1077" w:type="dxa"/>
            <w:vMerge w:val="restart"/>
            <w:vAlign w:val="center"/>
          </w:tcPr>
          <w:p>
            <w:pPr>
              <w:adjustRightInd w:val="0"/>
              <w:snapToGrid w:val="0"/>
              <w:jc w:val="center"/>
              <w:rPr>
                <w:color w:val="auto"/>
                <w:szCs w:val="21"/>
              </w:rPr>
            </w:pPr>
            <w:r>
              <w:rPr>
                <w:rFonts w:hint="eastAsia"/>
                <w:color w:val="auto"/>
                <w:szCs w:val="21"/>
              </w:rPr>
              <w:t>地面、车辆冲洗废水</w:t>
            </w:r>
          </w:p>
        </w:tc>
        <w:tc>
          <w:tcPr>
            <w:tcW w:w="1189" w:type="dxa"/>
            <w:vAlign w:val="center"/>
          </w:tcPr>
          <w:p>
            <w:pPr>
              <w:adjustRightInd w:val="0"/>
              <w:snapToGrid w:val="0"/>
              <w:jc w:val="center"/>
              <w:rPr>
                <w:color w:val="auto"/>
                <w:szCs w:val="21"/>
              </w:rPr>
            </w:pPr>
            <w:r>
              <w:rPr>
                <w:rFonts w:hint="eastAsia"/>
                <w:color w:val="auto"/>
                <w:szCs w:val="21"/>
              </w:rPr>
              <w:t>SS</w:t>
            </w:r>
          </w:p>
        </w:tc>
        <w:tc>
          <w:tcPr>
            <w:tcW w:w="1935" w:type="dxa"/>
            <w:vMerge w:val="restart"/>
            <w:vAlign w:val="center"/>
          </w:tcPr>
          <w:p>
            <w:pPr>
              <w:adjustRightInd w:val="0"/>
              <w:snapToGrid w:val="0"/>
              <w:jc w:val="center"/>
              <w:rPr>
                <w:color w:val="auto"/>
                <w:szCs w:val="21"/>
              </w:rPr>
            </w:pPr>
            <w:r>
              <w:rPr>
                <w:rFonts w:hint="eastAsia"/>
                <w:color w:val="auto"/>
                <w:szCs w:val="21"/>
              </w:rPr>
              <w:t>依托现有工程已建隔油沉淀池处理后排入厂区</w:t>
            </w:r>
            <w:r>
              <w:rPr>
                <w:rFonts w:hint="eastAsia" w:hAnsi="宋体"/>
                <w:snapToGrid w:val="0"/>
                <w:color w:val="auto"/>
                <w:kern w:val="0"/>
                <w:szCs w:val="21"/>
              </w:rPr>
              <w:t>地埋式一体化污水处理设施，经处理后用于厂区及周边绿化带绿化</w:t>
            </w:r>
          </w:p>
        </w:tc>
        <w:tc>
          <w:tcPr>
            <w:tcW w:w="2898" w:type="dxa"/>
            <w:vMerge w:val="continue"/>
            <w:vAlign w:val="center"/>
          </w:tcPr>
          <w:p>
            <w:pPr>
              <w:adjustRightInd w:val="0"/>
              <w:snapToGrid w:val="0"/>
              <w:jc w:val="center"/>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90" w:hRule="atLeast"/>
          <w:jc w:val="center"/>
        </w:trPr>
        <w:tc>
          <w:tcPr>
            <w:tcW w:w="1778" w:type="dxa"/>
            <w:vMerge w:val="continue"/>
            <w:vAlign w:val="center"/>
          </w:tcPr>
          <w:p>
            <w:pPr>
              <w:adjustRightInd w:val="0"/>
              <w:snapToGrid w:val="0"/>
              <w:jc w:val="center"/>
              <w:rPr>
                <w:color w:val="auto"/>
                <w:szCs w:val="21"/>
              </w:rPr>
            </w:pPr>
          </w:p>
        </w:tc>
        <w:tc>
          <w:tcPr>
            <w:tcW w:w="1077" w:type="dxa"/>
            <w:vMerge w:val="continue"/>
            <w:vAlign w:val="center"/>
          </w:tcPr>
          <w:p>
            <w:pPr>
              <w:adjustRightInd w:val="0"/>
              <w:snapToGrid w:val="0"/>
              <w:jc w:val="center"/>
              <w:rPr>
                <w:color w:val="auto"/>
                <w:szCs w:val="21"/>
              </w:rPr>
            </w:pPr>
          </w:p>
        </w:tc>
        <w:tc>
          <w:tcPr>
            <w:tcW w:w="1189" w:type="dxa"/>
            <w:vAlign w:val="center"/>
          </w:tcPr>
          <w:p>
            <w:pPr>
              <w:adjustRightInd w:val="0"/>
              <w:snapToGrid w:val="0"/>
              <w:jc w:val="center"/>
              <w:rPr>
                <w:color w:val="auto"/>
                <w:szCs w:val="21"/>
              </w:rPr>
            </w:pPr>
            <w:r>
              <w:rPr>
                <w:rFonts w:hint="eastAsia"/>
                <w:color w:val="auto"/>
                <w:szCs w:val="21"/>
              </w:rPr>
              <w:t>石油类</w:t>
            </w:r>
          </w:p>
        </w:tc>
        <w:tc>
          <w:tcPr>
            <w:tcW w:w="1935" w:type="dxa"/>
            <w:vMerge w:val="continue"/>
            <w:vAlign w:val="center"/>
          </w:tcPr>
          <w:p>
            <w:pPr>
              <w:adjustRightInd w:val="0"/>
              <w:snapToGrid w:val="0"/>
              <w:jc w:val="center"/>
              <w:rPr>
                <w:color w:val="auto"/>
                <w:szCs w:val="21"/>
              </w:rPr>
            </w:pPr>
          </w:p>
        </w:tc>
        <w:tc>
          <w:tcPr>
            <w:tcW w:w="2898" w:type="dxa"/>
            <w:vMerge w:val="continue"/>
            <w:vAlign w:val="center"/>
          </w:tcPr>
          <w:p>
            <w:pPr>
              <w:adjustRightInd w:val="0"/>
              <w:snapToGrid w:val="0"/>
              <w:jc w:val="center"/>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367" w:hRule="atLeast"/>
          <w:jc w:val="center"/>
        </w:trPr>
        <w:tc>
          <w:tcPr>
            <w:tcW w:w="1778" w:type="dxa"/>
            <w:vMerge w:val="restart"/>
            <w:vAlign w:val="center"/>
          </w:tcPr>
          <w:p>
            <w:pPr>
              <w:adjustRightInd w:val="0"/>
              <w:snapToGrid w:val="0"/>
              <w:jc w:val="center"/>
              <w:rPr>
                <w:color w:val="auto"/>
                <w:szCs w:val="21"/>
              </w:rPr>
            </w:pPr>
            <w:r>
              <w:rPr>
                <w:color w:val="auto"/>
                <w:szCs w:val="21"/>
              </w:rPr>
              <w:t>声环境</w:t>
            </w:r>
          </w:p>
        </w:tc>
        <w:tc>
          <w:tcPr>
            <w:tcW w:w="1077" w:type="dxa"/>
            <w:vAlign w:val="center"/>
          </w:tcPr>
          <w:p>
            <w:pPr>
              <w:adjustRightInd w:val="0"/>
              <w:snapToGrid w:val="0"/>
              <w:jc w:val="center"/>
              <w:rPr>
                <w:color w:val="auto"/>
                <w:szCs w:val="21"/>
              </w:rPr>
            </w:pPr>
            <w:r>
              <w:rPr>
                <w:rFonts w:hint="eastAsia"/>
                <w:color w:val="auto"/>
                <w:szCs w:val="21"/>
              </w:rPr>
              <w:t>柴油输送泵</w:t>
            </w:r>
          </w:p>
        </w:tc>
        <w:tc>
          <w:tcPr>
            <w:tcW w:w="1189" w:type="dxa"/>
            <w:vMerge w:val="restart"/>
            <w:vAlign w:val="center"/>
          </w:tcPr>
          <w:p>
            <w:pPr>
              <w:adjustRightInd w:val="0"/>
              <w:snapToGrid w:val="0"/>
              <w:jc w:val="center"/>
              <w:rPr>
                <w:color w:val="auto"/>
                <w:szCs w:val="21"/>
              </w:rPr>
            </w:pPr>
            <w:r>
              <w:rPr>
                <w:rFonts w:hint="eastAsia"/>
                <w:color w:val="auto"/>
                <w:szCs w:val="21"/>
              </w:rPr>
              <w:t>噪声</w:t>
            </w:r>
          </w:p>
        </w:tc>
        <w:tc>
          <w:tcPr>
            <w:tcW w:w="1935" w:type="dxa"/>
            <w:vMerge w:val="restart"/>
            <w:vAlign w:val="center"/>
          </w:tcPr>
          <w:p>
            <w:pPr>
              <w:adjustRightInd w:val="0"/>
              <w:snapToGrid w:val="0"/>
              <w:jc w:val="center"/>
              <w:rPr>
                <w:color w:val="auto"/>
                <w:szCs w:val="21"/>
              </w:rPr>
            </w:pPr>
            <w:r>
              <w:rPr>
                <w:color w:val="auto"/>
                <w:szCs w:val="21"/>
              </w:rPr>
              <w:t>橡胶</w:t>
            </w:r>
            <w:r>
              <w:rPr>
                <w:rFonts w:hint="eastAsia"/>
                <w:color w:val="auto"/>
                <w:szCs w:val="21"/>
                <w:lang w:eastAsia="zh-CN"/>
              </w:rPr>
              <w:t>减振</w:t>
            </w:r>
            <w:r>
              <w:rPr>
                <w:color w:val="auto"/>
                <w:szCs w:val="21"/>
              </w:rPr>
              <w:t>接头、</w:t>
            </w:r>
            <w:r>
              <w:rPr>
                <w:rFonts w:hint="eastAsia"/>
                <w:color w:val="auto"/>
                <w:szCs w:val="21"/>
                <w:lang w:eastAsia="zh-CN"/>
              </w:rPr>
              <w:t>减振</w:t>
            </w:r>
            <w:r>
              <w:rPr>
                <w:color w:val="auto"/>
                <w:szCs w:val="21"/>
              </w:rPr>
              <w:t>垫、消声、隔声门窗、选用低噪声</w:t>
            </w:r>
            <w:r>
              <w:rPr>
                <w:rFonts w:hint="eastAsia"/>
                <w:color w:val="auto"/>
                <w:szCs w:val="21"/>
              </w:rPr>
              <w:t>设备</w:t>
            </w:r>
          </w:p>
        </w:tc>
        <w:tc>
          <w:tcPr>
            <w:tcW w:w="2898" w:type="dxa"/>
            <w:vMerge w:val="restart"/>
            <w:vAlign w:val="center"/>
          </w:tcPr>
          <w:p>
            <w:pPr>
              <w:adjustRightInd w:val="0"/>
              <w:snapToGrid w:val="0"/>
              <w:jc w:val="center"/>
              <w:rPr>
                <w:color w:val="auto"/>
                <w:szCs w:val="21"/>
              </w:rPr>
            </w:pPr>
            <w:r>
              <w:rPr>
                <w:rFonts w:hAnsi="宋体"/>
                <w:color w:val="auto"/>
                <w:szCs w:val="21"/>
              </w:rPr>
              <w:t>达到《工业企业厂界环境噪声排放标准（</w:t>
            </w:r>
            <w:r>
              <w:rPr>
                <w:color w:val="auto"/>
                <w:szCs w:val="21"/>
              </w:rPr>
              <w:t>GB12348-2008</w:t>
            </w:r>
            <w:r>
              <w:rPr>
                <w:rFonts w:hAnsi="宋体"/>
                <w:color w:val="auto"/>
                <w:szCs w:val="21"/>
              </w:rPr>
              <w:t>）》中</w:t>
            </w:r>
            <w:r>
              <w:rPr>
                <w:rFonts w:hint="eastAsia" w:hAnsi="宋体"/>
                <w:color w:val="auto"/>
                <w:szCs w:val="21"/>
              </w:rPr>
              <w:t>2</w:t>
            </w:r>
            <w:r>
              <w:rPr>
                <w:rFonts w:hAnsi="宋体"/>
                <w:color w:val="auto"/>
                <w:szCs w:val="21"/>
              </w:rPr>
              <w:t>类标准限值中昼间</w:t>
            </w:r>
            <w:r>
              <w:rPr>
                <w:color w:val="auto"/>
                <w:szCs w:val="21"/>
              </w:rPr>
              <w:t>≤6</w:t>
            </w:r>
            <w:r>
              <w:rPr>
                <w:rFonts w:hint="eastAsia"/>
                <w:color w:val="auto"/>
                <w:szCs w:val="21"/>
              </w:rPr>
              <w:t>0</w:t>
            </w:r>
            <w:r>
              <w:rPr>
                <w:color w:val="auto"/>
                <w:szCs w:val="21"/>
              </w:rPr>
              <w:t>dB(A)</w:t>
            </w:r>
            <w:r>
              <w:rPr>
                <w:rFonts w:hAnsi="宋体"/>
                <w:color w:val="auto"/>
                <w:szCs w:val="21"/>
              </w:rPr>
              <w:t>，夜间</w:t>
            </w:r>
            <w:r>
              <w:rPr>
                <w:color w:val="auto"/>
                <w:szCs w:val="21"/>
              </w:rPr>
              <w:t>≤5</w:t>
            </w:r>
            <w:r>
              <w:rPr>
                <w:rFonts w:hint="eastAsia"/>
                <w:color w:val="auto"/>
                <w:szCs w:val="21"/>
              </w:rPr>
              <w:t>0</w:t>
            </w:r>
            <w:r>
              <w:rPr>
                <w:color w:val="auto"/>
                <w:szCs w:val="21"/>
              </w:rPr>
              <w:t>dB(A)</w:t>
            </w:r>
            <w:r>
              <w:rPr>
                <w:rFonts w:hint="eastAsia"/>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1" w:type="dxa"/>
          <w:trHeight w:val="322" w:hRule="atLeast"/>
          <w:jc w:val="center"/>
        </w:trPr>
        <w:tc>
          <w:tcPr>
            <w:tcW w:w="1778" w:type="dxa"/>
            <w:vMerge w:val="continue"/>
            <w:vAlign w:val="center"/>
          </w:tcPr>
          <w:p>
            <w:pPr>
              <w:adjustRightInd w:val="0"/>
              <w:snapToGrid w:val="0"/>
              <w:jc w:val="center"/>
              <w:rPr>
                <w:color w:val="auto"/>
              </w:rPr>
            </w:pPr>
          </w:p>
        </w:tc>
        <w:tc>
          <w:tcPr>
            <w:tcW w:w="1077" w:type="dxa"/>
            <w:vAlign w:val="center"/>
          </w:tcPr>
          <w:p>
            <w:pPr>
              <w:adjustRightInd w:val="0"/>
              <w:snapToGrid w:val="0"/>
              <w:jc w:val="center"/>
              <w:rPr>
                <w:color w:val="auto"/>
                <w:szCs w:val="21"/>
              </w:rPr>
            </w:pPr>
            <w:r>
              <w:rPr>
                <w:rFonts w:hint="eastAsia"/>
                <w:color w:val="auto"/>
                <w:szCs w:val="21"/>
              </w:rPr>
              <w:t>混装车</w:t>
            </w:r>
          </w:p>
        </w:tc>
        <w:tc>
          <w:tcPr>
            <w:tcW w:w="1189" w:type="dxa"/>
            <w:vMerge w:val="continue"/>
            <w:vAlign w:val="center"/>
          </w:tcPr>
          <w:p>
            <w:pPr>
              <w:adjustRightInd w:val="0"/>
              <w:snapToGrid w:val="0"/>
              <w:jc w:val="center"/>
              <w:rPr>
                <w:color w:val="auto"/>
                <w:szCs w:val="21"/>
              </w:rPr>
            </w:pPr>
          </w:p>
        </w:tc>
        <w:tc>
          <w:tcPr>
            <w:tcW w:w="1935" w:type="dxa"/>
            <w:vMerge w:val="continue"/>
            <w:vAlign w:val="center"/>
          </w:tcPr>
          <w:p>
            <w:pPr>
              <w:adjustRightInd w:val="0"/>
              <w:snapToGrid w:val="0"/>
              <w:jc w:val="center"/>
              <w:rPr>
                <w:color w:val="auto"/>
                <w:szCs w:val="21"/>
              </w:rPr>
            </w:pPr>
          </w:p>
        </w:tc>
        <w:tc>
          <w:tcPr>
            <w:tcW w:w="2898" w:type="dxa"/>
            <w:vMerge w:val="continue"/>
            <w:vAlign w:val="center"/>
          </w:tcPr>
          <w:p>
            <w:pPr>
              <w:adjustRightInd w:val="0"/>
              <w:snapToGrid w:val="0"/>
              <w:jc w:val="center"/>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1" w:type="dxa"/>
          <w:jc w:val="center"/>
        </w:trPr>
        <w:tc>
          <w:tcPr>
            <w:tcW w:w="1778" w:type="dxa"/>
            <w:vMerge w:val="continue"/>
            <w:vAlign w:val="center"/>
          </w:tcPr>
          <w:p>
            <w:pPr>
              <w:adjustRightInd w:val="0"/>
              <w:snapToGrid w:val="0"/>
              <w:jc w:val="center"/>
              <w:rPr>
                <w:color w:val="auto"/>
                <w:szCs w:val="21"/>
              </w:rPr>
            </w:pPr>
          </w:p>
        </w:tc>
        <w:tc>
          <w:tcPr>
            <w:tcW w:w="1077" w:type="dxa"/>
            <w:vAlign w:val="center"/>
          </w:tcPr>
          <w:p>
            <w:pPr>
              <w:adjustRightInd w:val="0"/>
              <w:snapToGrid w:val="0"/>
              <w:jc w:val="center"/>
              <w:rPr>
                <w:color w:val="auto"/>
                <w:szCs w:val="21"/>
              </w:rPr>
            </w:pPr>
            <w:r>
              <w:rPr>
                <w:rFonts w:hint="eastAsia"/>
                <w:color w:val="auto"/>
                <w:szCs w:val="21"/>
              </w:rPr>
              <w:t>提升机</w:t>
            </w:r>
          </w:p>
        </w:tc>
        <w:tc>
          <w:tcPr>
            <w:tcW w:w="1189" w:type="dxa"/>
            <w:vMerge w:val="continue"/>
            <w:vAlign w:val="center"/>
          </w:tcPr>
          <w:p>
            <w:pPr>
              <w:adjustRightInd w:val="0"/>
              <w:snapToGrid w:val="0"/>
              <w:jc w:val="center"/>
              <w:rPr>
                <w:color w:val="auto"/>
                <w:szCs w:val="21"/>
              </w:rPr>
            </w:pPr>
          </w:p>
        </w:tc>
        <w:tc>
          <w:tcPr>
            <w:tcW w:w="1935" w:type="dxa"/>
            <w:vMerge w:val="continue"/>
            <w:vAlign w:val="center"/>
          </w:tcPr>
          <w:p>
            <w:pPr>
              <w:adjustRightInd w:val="0"/>
              <w:snapToGrid w:val="0"/>
              <w:jc w:val="center"/>
              <w:rPr>
                <w:color w:val="auto"/>
                <w:szCs w:val="21"/>
              </w:rPr>
            </w:pPr>
          </w:p>
        </w:tc>
        <w:tc>
          <w:tcPr>
            <w:tcW w:w="2898" w:type="dxa"/>
            <w:vMerge w:val="continue"/>
            <w:vAlign w:val="center"/>
          </w:tcPr>
          <w:p>
            <w:pPr>
              <w:adjustRightInd w:val="0"/>
              <w:snapToGrid w:val="0"/>
              <w:jc w:val="center"/>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78" w:type="dxa"/>
            <w:vAlign w:val="center"/>
          </w:tcPr>
          <w:p>
            <w:pPr>
              <w:adjustRightInd w:val="0"/>
              <w:snapToGrid w:val="0"/>
              <w:jc w:val="center"/>
              <w:rPr>
                <w:color w:val="auto"/>
                <w:szCs w:val="21"/>
              </w:rPr>
            </w:pPr>
            <w:r>
              <w:rPr>
                <w:color w:val="auto"/>
                <w:szCs w:val="21"/>
              </w:rPr>
              <w:t>电磁辐射</w:t>
            </w:r>
          </w:p>
        </w:tc>
        <w:tc>
          <w:tcPr>
            <w:tcW w:w="7120" w:type="dxa"/>
            <w:gridSpan w:val="5"/>
            <w:vAlign w:val="center"/>
          </w:tcPr>
          <w:p>
            <w:pPr>
              <w:adjustRightInd w:val="0"/>
              <w:snapToGrid w:val="0"/>
              <w:jc w:val="center"/>
              <w:rPr>
                <w:color w:val="auto"/>
                <w:szCs w:val="21"/>
              </w:rPr>
            </w:pPr>
            <w:r>
              <w:rPr>
                <w:rFonts w:hint="eastAsia"/>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1" w:type="dxa"/>
          <w:jc w:val="center"/>
        </w:trPr>
        <w:tc>
          <w:tcPr>
            <w:tcW w:w="1778" w:type="dxa"/>
            <w:vMerge w:val="restart"/>
            <w:vAlign w:val="center"/>
          </w:tcPr>
          <w:p>
            <w:pPr>
              <w:adjustRightInd w:val="0"/>
              <w:snapToGrid w:val="0"/>
              <w:jc w:val="center"/>
              <w:rPr>
                <w:color w:val="auto"/>
                <w:szCs w:val="21"/>
              </w:rPr>
            </w:pPr>
            <w:r>
              <w:rPr>
                <w:color w:val="auto"/>
                <w:szCs w:val="21"/>
              </w:rPr>
              <w:t>固体废物</w:t>
            </w:r>
          </w:p>
        </w:tc>
        <w:tc>
          <w:tcPr>
            <w:tcW w:w="1077" w:type="dxa"/>
            <w:vMerge w:val="restart"/>
            <w:vAlign w:val="center"/>
          </w:tcPr>
          <w:p>
            <w:pPr>
              <w:adjustRightInd w:val="0"/>
              <w:snapToGrid w:val="0"/>
              <w:jc w:val="center"/>
              <w:rPr>
                <w:color w:val="auto"/>
                <w:szCs w:val="21"/>
              </w:rPr>
            </w:pPr>
            <w:r>
              <w:rPr>
                <w:rFonts w:hint="eastAsia"/>
                <w:color w:val="auto"/>
                <w:szCs w:val="21"/>
              </w:rPr>
              <w:t>生产</w:t>
            </w:r>
          </w:p>
        </w:tc>
        <w:tc>
          <w:tcPr>
            <w:tcW w:w="1189" w:type="dxa"/>
            <w:vAlign w:val="center"/>
          </w:tcPr>
          <w:p>
            <w:pPr>
              <w:adjustRightInd w:val="0"/>
              <w:snapToGrid w:val="0"/>
              <w:jc w:val="center"/>
              <w:rPr>
                <w:color w:val="auto"/>
                <w:szCs w:val="21"/>
              </w:rPr>
            </w:pPr>
            <w:r>
              <w:rPr>
                <w:rFonts w:hint="eastAsia"/>
                <w:color w:val="auto"/>
                <w:szCs w:val="21"/>
              </w:rPr>
              <w:t>废</w:t>
            </w:r>
            <w:r>
              <w:rPr>
                <w:rFonts w:hint="eastAsia"/>
                <w:color w:val="auto"/>
                <w:szCs w:val="21"/>
                <w:lang w:val="en-US" w:eastAsia="zh-CN"/>
              </w:rPr>
              <w:t>硝酸铵</w:t>
            </w:r>
            <w:r>
              <w:rPr>
                <w:rFonts w:hint="eastAsia"/>
                <w:color w:val="auto"/>
                <w:szCs w:val="21"/>
              </w:rPr>
              <w:t>包装袋</w:t>
            </w:r>
          </w:p>
        </w:tc>
        <w:tc>
          <w:tcPr>
            <w:tcW w:w="1935" w:type="dxa"/>
            <w:vMerge w:val="restart"/>
            <w:vAlign w:val="center"/>
          </w:tcPr>
          <w:p>
            <w:pPr>
              <w:adjustRightInd w:val="0"/>
              <w:snapToGrid w:val="0"/>
              <w:jc w:val="center"/>
              <w:rPr>
                <w:color w:val="auto"/>
                <w:szCs w:val="21"/>
              </w:rPr>
            </w:pPr>
            <w:r>
              <w:rPr>
                <w:rFonts w:hint="eastAsia"/>
                <w:color w:val="auto"/>
                <w:szCs w:val="21"/>
              </w:rPr>
              <w:t>依托现有工程已建危废暂存间（16m</w:t>
            </w:r>
            <w:r>
              <w:rPr>
                <w:rFonts w:hint="eastAsia"/>
                <w:color w:val="auto"/>
                <w:szCs w:val="21"/>
                <w:vertAlign w:val="superscript"/>
              </w:rPr>
              <w:t>2</w:t>
            </w:r>
            <w:r>
              <w:rPr>
                <w:rFonts w:hint="eastAsia"/>
                <w:color w:val="auto"/>
                <w:szCs w:val="21"/>
              </w:rPr>
              <w:t>）委托</w:t>
            </w:r>
            <w:r>
              <w:rPr>
                <w:rFonts w:hint="eastAsia"/>
                <w:color w:val="auto"/>
                <w:szCs w:val="21"/>
                <w:lang w:val="zh-CN"/>
              </w:rPr>
              <w:t>新疆鑫鸿伟环保科技有限公司</w:t>
            </w:r>
            <w:r>
              <w:rPr>
                <w:rFonts w:hint="eastAsia"/>
                <w:color w:val="auto"/>
                <w:szCs w:val="21"/>
              </w:rPr>
              <w:t>处置</w:t>
            </w:r>
          </w:p>
        </w:tc>
        <w:tc>
          <w:tcPr>
            <w:tcW w:w="2898" w:type="dxa"/>
            <w:vMerge w:val="restart"/>
            <w:vAlign w:val="center"/>
          </w:tcPr>
          <w:p>
            <w:pPr>
              <w:adjustRightInd w:val="0"/>
              <w:snapToGrid w:val="0"/>
              <w:jc w:val="center"/>
              <w:rPr>
                <w:color w:val="auto"/>
                <w:szCs w:val="21"/>
              </w:rPr>
            </w:pPr>
            <w:r>
              <w:rPr>
                <w:color w:val="auto"/>
                <w:szCs w:val="21"/>
              </w:rPr>
              <w:t>《危险废物贮存污染控制标准》（GB18597-20</w:t>
            </w:r>
            <w:r>
              <w:rPr>
                <w:rFonts w:hint="eastAsia"/>
                <w:color w:val="auto"/>
                <w:szCs w:val="21"/>
              </w:rPr>
              <w:t>23</w:t>
            </w: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1" w:type="dxa"/>
          <w:jc w:val="center"/>
        </w:trPr>
        <w:tc>
          <w:tcPr>
            <w:tcW w:w="1778" w:type="dxa"/>
            <w:vMerge w:val="continue"/>
            <w:vAlign w:val="center"/>
          </w:tcPr>
          <w:p>
            <w:pPr>
              <w:adjustRightInd w:val="0"/>
              <w:snapToGrid w:val="0"/>
              <w:jc w:val="center"/>
              <w:rPr>
                <w:color w:val="auto"/>
                <w:szCs w:val="21"/>
              </w:rPr>
            </w:pPr>
          </w:p>
        </w:tc>
        <w:tc>
          <w:tcPr>
            <w:tcW w:w="1077" w:type="dxa"/>
            <w:vMerge w:val="continue"/>
            <w:vAlign w:val="center"/>
          </w:tcPr>
          <w:p>
            <w:pPr>
              <w:adjustRightInd w:val="0"/>
              <w:snapToGrid w:val="0"/>
              <w:jc w:val="center"/>
              <w:rPr>
                <w:color w:val="auto"/>
                <w:szCs w:val="21"/>
              </w:rPr>
            </w:pPr>
          </w:p>
        </w:tc>
        <w:tc>
          <w:tcPr>
            <w:tcW w:w="1189" w:type="dxa"/>
            <w:vAlign w:val="center"/>
          </w:tcPr>
          <w:p>
            <w:pPr>
              <w:pStyle w:val="16"/>
              <w:jc w:val="center"/>
              <w:rPr>
                <w:color w:val="auto"/>
                <w:szCs w:val="21"/>
              </w:rPr>
            </w:pPr>
            <w:r>
              <w:rPr>
                <w:rFonts w:ascii="Times New Roman" w:hAnsi="Times New Roman"/>
                <w:color w:val="auto"/>
                <w:szCs w:val="21"/>
              </w:rPr>
              <w:t>隔油沉淀池沉渣</w:t>
            </w:r>
          </w:p>
        </w:tc>
        <w:tc>
          <w:tcPr>
            <w:tcW w:w="1935" w:type="dxa"/>
            <w:vMerge w:val="continue"/>
            <w:vAlign w:val="center"/>
          </w:tcPr>
          <w:p>
            <w:pPr>
              <w:adjustRightInd w:val="0"/>
              <w:snapToGrid w:val="0"/>
              <w:jc w:val="center"/>
              <w:rPr>
                <w:color w:val="auto"/>
                <w:szCs w:val="21"/>
              </w:rPr>
            </w:pPr>
          </w:p>
        </w:tc>
        <w:tc>
          <w:tcPr>
            <w:tcW w:w="2898" w:type="dxa"/>
            <w:vMerge w:val="continue"/>
            <w:vAlign w:val="center"/>
          </w:tcPr>
          <w:p>
            <w:pPr>
              <w:adjustRightInd w:val="0"/>
              <w:snapToGrid w:val="0"/>
              <w:jc w:val="center"/>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1" w:type="dxa"/>
          <w:jc w:val="center"/>
        </w:trPr>
        <w:tc>
          <w:tcPr>
            <w:tcW w:w="1778" w:type="dxa"/>
            <w:vMerge w:val="continue"/>
            <w:vAlign w:val="center"/>
          </w:tcPr>
          <w:p>
            <w:pPr>
              <w:adjustRightInd w:val="0"/>
              <w:snapToGrid w:val="0"/>
              <w:jc w:val="center"/>
              <w:rPr>
                <w:color w:val="auto"/>
                <w:szCs w:val="21"/>
              </w:rPr>
            </w:pPr>
          </w:p>
        </w:tc>
        <w:tc>
          <w:tcPr>
            <w:tcW w:w="1077" w:type="dxa"/>
            <w:vMerge w:val="continue"/>
            <w:vAlign w:val="center"/>
          </w:tcPr>
          <w:p>
            <w:pPr>
              <w:adjustRightInd w:val="0"/>
              <w:snapToGrid w:val="0"/>
              <w:jc w:val="center"/>
              <w:rPr>
                <w:color w:val="auto"/>
                <w:szCs w:val="21"/>
              </w:rPr>
            </w:pPr>
          </w:p>
        </w:tc>
        <w:tc>
          <w:tcPr>
            <w:tcW w:w="1189" w:type="dxa"/>
            <w:vAlign w:val="center"/>
          </w:tcPr>
          <w:p>
            <w:pPr>
              <w:pStyle w:val="16"/>
              <w:jc w:val="center"/>
              <w:rPr>
                <w:color w:val="auto"/>
                <w:szCs w:val="21"/>
              </w:rPr>
            </w:pPr>
            <w:r>
              <w:rPr>
                <w:rFonts w:hint="eastAsia" w:ascii="Times New Roman" w:hAnsi="Times New Roman"/>
                <w:color w:val="auto"/>
                <w:szCs w:val="21"/>
              </w:rPr>
              <w:t>废机油</w:t>
            </w:r>
          </w:p>
        </w:tc>
        <w:tc>
          <w:tcPr>
            <w:tcW w:w="1935" w:type="dxa"/>
            <w:vMerge w:val="continue"/>
            <w:vAlign w:val="center"/>
          </w:tcPr>
          <w:p>
            <w:pPr>
              <w:adjustRightInd w:val="0"/>
              <w:snapToGrid w:val="0"/>
              <w:jc w:val="center"/>
              <w:rPr>
                <w:color w:val="auto"/>
                <w:szCs w:val="21"/>
              </w:rPr>
            </w:pPr>
          </w:p>
        </w:tc>
        <w:tc>
          <w:tcPr>
            <w:tcW w:w="2898" w:type="dxa"/>
            <w:vMerge w:val="continue"/>
            <w:vAlign w:val="center"/>
          </w:tcPr>
          <w:p>
            <w:pPr>
              <w:adjustRightInd w:val="0"/>
              <w:snapToGrid w:val="0"/>
              <w:jc w:val="center"/>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1" w:type="dxa"/>
          <w:jc w:val="center"/>
        </w:trPr>
        <w:tc>
          <w:tcPr>
            <w:tcW w:w="1778" w:type="dxa"/>
            <w:vMerge w:val="continue"/>
            <w:vAlign w:val="center"/>
          </w:tcPr>
          <w:p>
            <w:pPr>
              <w:adjustRightInd w:val="0"/>
              <w:snapToGrid w:val="0"/>
              <w:jc w:val="center"/>
              <w:rPr>
                <w:color w:val="auto"/>
                <w:szCs w:val="21"/>
              </w:rPr>
            </w:pPr>
          </w:p>
        </w:tc>
        <w:tc>
          <w:tcPr>
            <w:tcW w:w="1077" w:type="dxa"/>
            <w:vMerge w:val="continue"/>
            <w:vAlign w:val="center"/>
          </w:tcPr>
          <w:p>
            <w:pPr>
              <w:adjustRightInd w:val="0"/>
              <w:snapToGrid w:val="0"/>
              <w:jc w:val="center"/>
              <w:rPr>
                <w:color w:val="auto"/>
                <w:szCs w:val="21"/>
              </w:rPr>
            </w:pPr>
          </w:p>
        </w:tc>
        <w:tc>
          <w:tcPr>
            <w:tcW w:w="1189" w:type="dxa"/>
            <w:vAlign w:val="center"/>
          </w:tcPr>
          <w:p>
            <w:pPr>
              <w:pStyle w:val="16"/>
              <w:jc w:val="center"/>
              <w:rPr>
                <w:color w:val="auto"/>
                <w:szCs w:val="21"/>
              </w:rPr>
            </w:pPr>
            <w:r>
              <w:rPr>
                <w:rFonts w:hint="eastAsia" w:ascii="Times New Roman" w:hAnsi="Times New Roman"/>
                <w:color w:val="auto"/>
                <w:szCs w:val="21"/>
              </w:rPr>
              <w:t>油泥</w:t>
            </w:r>
          </w:p>
        </w:tc>
        <w:tc>
          <w:tcPr>
            <w:tcW w:w="1935" w:type="dxa"/>
            <w:vMerge w:val="continue"/>
            <w:vAlign w:val="center"/>
          </w:tcPr>
          <w:p>
            <w:pPr>
              <w:adjustRightInd w:val="0"/>
              <w:snapToGrid w:val="0"/>
              <w:jc w:val="center"/>
              <w:rPr>
                <w:color w:val="auto"/>
                <w:szCs w:val="21"/>
              </w:rPr>
            </w:pPr>
          </w:p>
        </w:tc>
        <w:tc>
          <w:tcPr>
            <w:tcW w:w="2898" w:type="dxa"/>
            <w:vMerge w:val="continue"/>
            <w:vAlign w:val="center"/>
          </w:tcPr>
          <w:p>
            <w:pPr>
              <w:adjustRightInd w:val="0"/>
              <w:snapToGrid w:val="0"/>
              <w:jc w:val="center"/>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1" w:type="dxa"/>
          <w:jc w:val="center"/>
        </w:trPr>
        <w:tc>
          <w:tcPr>
            <w:tcW w:w="1778" w:type="dxa"/>
            <w:vMerge w:val="continue"/>
            <w:vAlign w:val="center"/>
          </w:tcPr>
          <w:p>
            <w:pPr>
              <w:adjustRightInd w:val="0"/>
              <w:snapToGrid w:val="0"/>
              <w:jc w:val="center"/>
              <w:rPr>
                <w:color w:val="auto"/>
                <w:szCs w:val="21"/>
              </w:rPr>
            </w:pPr>
          </w:p>
        </w:tc>
        <w:tc>
          <w:tcPr>
            <w:tcW w:w="1077" w:type="dxa"/>
            <w:vAlign w:val="center"/>
          </w:tcPr>
          <w:p>
            <w:pPr>
              <w:adjustRightInd w:val="0"/>
              <w:snapToGrid w:val="0"/>
              <w:jc w:val="center"/>
              <w:rPr>
                <w:color w:val="auto"/>
                <w:szCs w:val="21"/>
              </w:rPr>
            </w:pPr>
            <w:r>
              <w:rPr>
                <w:rFonts w:hint="eastAsia"/>
                <w:color w:val="auto"/>
                <w:szCs w:val="21"/>
              </w:rPr>
              <w:t>生活</w:t>
            </w:r>
          </w:p>
        </w:tc>
        <w:tc>
          <w:tcPr>
            <w:tcW w:w="1189" w:type="dxa"/>
            <w:vAlign w:val="center"/>
          </w:tcPr>
          <w:p>
            <w:pPr>
              <w:adjustRightInd w:val="0"/>
              <w:snapToGrid w:val="0"/>
              <w:jc w:val="center"/>
              <w:rPr>
                <w:color w:val="auto"/>
                <w:szCs w:val="21"/>
              </w:rPr>
            </w:pPr>
            <w:r>
              <w:rPr>
                <w:rFonts w:hint="eastAsia"/>
                <w:color w:val="auto"/>
                <w:szCs w:val="21"/>
              </w:rPr>
              <w:t>生活垃圾</w:t>
            </w:r>
          </w:p>
        </w:tc>
        <w:tc>
          <w:tcPr>
            <w:tcW w:w="1935" w:type="dxa"/>
            <w:vAlign w:val="center"/>
          </w:tcPr>
          <w:p>
            <w:pPr>
              <w:adjustRightInd w:val="0"/>
              <w:snapToGrid w:val="0"/>
              <w:jc w:val="center"/>
              <w:rPr>
                <w:color w:val="auto"/>
                <w:szCs w:val="21"/>
              </w:rPr>
            </w:pPr>
            <w:r>
              <w:rPr>
                <w:rFonts w:hint="eastAsia"/>
                <w:color w:val="auto"/>
                <w:szCs w:val="21"/>
              </w:rPr>
              <w:t>集中收集后交由环卫部门统一处置</w:t>
            </w:r>
          </w:p>
        </w:tc>
        <w:tc>
          <w:tcPr>
            <w:tcW w:w="2898" w:type="dxa"/>
            <w:vAlign w:val="center"/>
          </w:tcPr>
          <w:p>
            <w:pPr>
              <w:adjustRightInd w:val="0"/>
              <w:snapToGrid w:val="0"/>
              <w:jc w:val="center"/>
              <w:rPr>
                <w:color w:val="auto"/>
                <w:szCs w:val="21"/>
              </w:rPr>
            </w:pPr>
            <w:r>
              <w:rPr>
                <w:rFonts w:hint="eastAsia"/>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78" w:type="dxa"/>
            <w:vAlign w:val="center"/>
          </w:tcPr>
          <w:p>
            <w:pPr>
              <w:adjustRightInd w:val="0"/>
              <w:snapToGrid w:val="0"/>
              <w:jc w:val="center"/>
              <w:rPr>
                <w:color w:val="auto"/>
                <w:szCs w:val="21"/>
              </w:rPr>
            </w:pPr>
            <w:r>
              <w:rPr>
                <w:color w:val="auto"/>
                <w:szCs w:val="21"/>
              </w:rPr>
              <w:t>土壤及地下水</w:t>
            </w:r>
          </w:p>
          <w:p>
            <w:pPr>
              <w:adjustRightInd w:val="0"/>
              <w:snapToGrid w:val="0"/>
              <w:jc w:val="center"/>
              <w:rPr>
                <w:color w:val="auto"/>
                <w:szCs w:val="21"/>
              </w:rPr>
            </w:pPr>
            <w:r>
              <w:rPr>
                <w:color w:val="auto"/>
                <w:szCs w:val="21"/>
              </w:rPr>
              <w:t>污染防治措施</w:t>
            </w:r>
          </w:p>
        </w:tc>
        <w:tc>
          <w:tcPr>
            <w:tcW w:w="7120" w:type="dxa"/>
            <w:gridSpan w:val="5"/>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柴油储罐采用双层储罐，</w:t>
            </w:r>
            <w:r>
              <w:rPr>
                <w:rFonts w:hint="eastAsia"/>
                <w:color w:val="auto"/>
                <w:lang w:val="en-US" w:eastAsia="zh-CN"/>
              </w:rPr>
              <w:t>隔油沉淀池、危废暂存间、污水处理设施区域地面均采用高标混凝土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78" w:type="dxa"/>
            <w:vAlign w:val="center"/>
          </w:tcPr>
          <w:p>
            <w:pPr>
              <w:adjustRightInd w:val="0"/>
              <w:snapToGrid w:val="0"/>
              <w:jc w:val="center"/>
              <w:rPr>
                <w:color w:val="auto"/>
                <w:szCs w:val="21"/>
              </w:rPr>
            </w:pPr>
            <w:r>
              <w:rPr>
                <w:color w:val="auto"/>
                <w:szCs w:val="21"/>
              </w:rPr>
              <w:t>生态保护措施</w:t>
            </w:r>
          </w:p>
        </w:tc>
        <w:tc>
          <w:tcPr>
            <w:tcW w:w="7120" w:type="dxa"/>
            <w:gridSpan w:val="5"/>
            <w:vAlign w:val="center"/>
          </w:tcPr>
          <w:p>
            <w:pPr>
              <w:adjustRightInd w:val="0"/>
              <w:snapToGrid w:val="0"/>
              <w:jc w:val="center"/>
              <w:rPr>
                <w:color w:val="auto"/>
                <w:szCs w:val="21"/>
              </w:rPr>
            </w:pPr>
            <w:r>
              <w:rPr>
                <w:rFonts w:hint="eastAsia"/>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78" w:type="dxa"/>
            <w:vAlign w:val="center"/>
          </w:tcPr>
          <w:p>
            <w:pPr>
              <w:adjustRightInd w:val="0"/>
              <w:snapToGrid w:val="0"/>
              <w:jc w:val="center"/>
              <w:rPr>
                <w:color w:val="auto"/>
                <w:spacing w:val="-8"/>
                <w:szCs w:val="21"/>
              </w:rPr>
            </w:pPr>
            <w:r>
              <w:rPr>
                <w:color w:val="auto"/>
                <w:spacing w:val="-8"/>
                <w:szCs w:val="21"/>
              </w:rPr>
              <w:t>环境风险</w:t>
            </w:r>
          </w:p>
          <w:p>
            <w:pPr>
              <w:adjustRightInd w:val="0"/>
              <w:snapToGrid w:val="0"/>
              <w:jc w:val="center"/>
              <w:rPr>
                <w:color w:val="auto"/>
                <w:spacing w:val="-8"/>
                <w:szCs w:val="21"/>
              </w:rPr>
            </w:pPr>
            <w:r>
              <w:rPr>
                <w:color w:val="auto"/>
                <w:spacing w:val="-8"/>
                <w:szCs w:val="21"/>
              </w:rPr>
              <w:t>防范措施</w:t>
            </w:r>
          </w:p>
        </w:tc>
        <w:tc>
          <w:tcPr>
            <w:tcW w:w="7120" w:type="dxa"/>
            <w:gridSpan w:val="5"/>
            <w:vAlign w:val="center"/>
          </w:tcPr>
          <w:p>
            <w:pPr>
              <w:adjustRightInd w:val="0"/>
              <w:snapToGrid w:val="0"/>
              <w:jc w:val="center"/>
              <w:rPr>
                <w:rFonts w:hint="default" w:eastAsia="宋体"/>
                <w:color w:val="auto"/>
                <w:szCs w:val="21"/>
                <w:lang w:val="en-US" w:eastAsia="zh-CN"/>
              </w:rPr>
            </w:pPr>
            <w:r>
              <w:rPr>
                <w:rFonts w:hint="eastAsia"/>
                <w:color w:val="auto"/>
                <w:szCs w:val="21"/>
              </w:rPr>
              <w:t>修订突发环境事件应急预案</w:t>
            </w:r>
            <w:r>
              <w:rPr>
                <w:rFonts w:hint="eastAsia"/>
                <w:color w:val="auto"/>
                <w:szCs w:val="21"/>
                <w:lang w:eastAsia="zh-CN"/>
              </w:rPr>
              <w:t>，</w:t>
            </w:r>
            <w:r>
              <w:rPr>
                <w:rFonts w:hint="eastAsia"/>
                <w:color w:val="auto"/>
                <w:szCs w:val="21"/>
                <w:lang w:val="en-US" w:eastAsia="zh-CN"/>
              </w:rPr>
              <w:t>加强日常应急演练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78" w:type="dxa"/>
            <w:vAlign w:val="center"/>
          </w:tcPr>
          <w:p>
            <w:pPr>
              <w:adjustRightInd w:val="0"/>
              <w:snapToGrid w:val="0"/>
              <w:jc w:val="center"/>
              <w:rPr>
                <w:color w:val="auto"/>
                <w:spacing w:val="-8"/>
                <w:szCs w:val="21"/>
              </w:rPr>
            </w:pPr>
            <w:r>
              <w:rPr>
                <w:color w:val="auto"/>
                <w:spacing w:val="-8"/>
                <w:szCs w:val="21"/>
              </w:rPr>
              <w:t>其他环境</w:t>
            </w:r>
          </w:p>
          <w:p>
            <w:pPr>
              <w:adjustRightInd w:val="0"/>
              <w:snapToGrid w:val="0"/>
              <w:jc w:val="center"/>
              <w:rPr>
                <w:color w:val="auto"/>
                <w:spacing w:val="-8"/>
                <w:szCs w:val="21"/>
              </w:rPr>
            </w:pPr>
            <w:r>
              <w:rPr>
                <w:color w:val="auto"/>
                <w:spacing w:val="-8"/>
                <w:szCs w:val="21"/>
              </w:rPr>
              <w:t>管理要求</w:t>
            </w:r>
          </w:p>
        </w:tc>
        <w:tc>
          <w:tcPr>
            <w:tcW w:w="7120" w:type="dxa"/>
            <w:gridSpan w:val="5"/>
            <w:vAlign w:val="center"/>
          </w:tcPr>
          <w:p>
            <w:pPr>
              <w:adjustRightInd w:val="0"/>
              <w:snapToGrid w:val="0"/>
              <w:ind w:firstLine="422" w:firstLineChars="200"/>
              <w:rPr>
                <w:b/>
                <w:bCs/>
                <w:color w:val="auto"/>
              </w:rPr>
            </w:pPr>
            <w:r>
              <w:rPr>
                <w:rFonts w:hint="eastAsia"/>
                <w:b/>
                <w:bCs/>
                <w:color w:val="auto"/>
              </w:rPr>
              <w:t>排污许可衔接</w:t>
            </w:r>
          </w:p>
          <w:p>
            <w:pPr>
              <w:pStyle w:val="70"/>
              <w:spacing w:line="240" w:lineRule="auto"/>
              <w:ind w:firstLine="42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依据《固定污染源排污许可分类管理名录》（2019年版）本项目行业类别为51炸药、火工及焰火产品制造 267，排污许可属于登记管理。本项目试运行前企业应在排污许可证申请平台变更排污许可登记内容，严格执行排污许可制度等环境管理要求。</w:t>
            </w:r>
          </w:p>
          <w:p>
            <w:pPr>
              <w:adjustRightInd w:val="0"/>
              <w:snapToGrid w:val="0"/>
              <w:jc w:val="both"/>
              <w:rPr>
                <w:rFonts w:hint="eastAsia"/>
                <w:color w:val="auto"/>
                <w:szCs w:val="21"/>
              </w:rPr>
            </w:pPr>
          </w:p>
          <w:p>
            <w:pPr>
              <w:adjustRightInd w:val="0"/>
              <w:snapToGrid w:val="0"/>
              <w:ind w:firstLine="422" w:firstLineChars="200"/>
              <w:rPr>
                <w:b/>
                <w:bCs/>
                <w:color w:val="auto"/>
                <w:szCs w:val="21"/>
              </w:rPr>
            </w:pPr>
            <w:r>
              <w:rPr>
                <w:b/>
                <w:bCs/>
                <w:color w:val="auto"/>
                <w:szCs w:val="21"/>
              </w:rPr>
              <w:t>排污口规范化建设要求</w:t>
            </w:r>
          </w:p>
          <w:p>
            <w:pPr>
              <w:pStyle w:val="70"/>
              <w:spacing w:line="240" w:lineRule="auto"/>
              <w:ind w:firstLine="420"/>
              <w:rPr>
                <w:rFonts w:cs="Times New Roman"/>
                <w:color w:val="auto"/>
                <w:sz w:val="21"/>
                <w:szCs w:val="21"/>
              </w:rPr>
            </w:pPr>
            <w:r>
              <w:rPr>
                <w:rFonts w:cs="Times New Roman"/>
                <w:color w:val="auto"/>
                <w:sz w:val="21"/>
                <w:szCs w:val="21"/>
              </w:rPr>
              <w:t>建设单位应在各排污口处设立较明显的排污口标志牌，对排放源及固体废物贮存场也应设立明显的标志牌。标志的设置应严格执行《环境保护图形标志排放口（源）》（GB15562.1-1995）和《环境保护图形标志 固体废物贮存（处置）场》（GB15562.2-1995）</w:t>
            </w:r>
            <w:r>
              <w:rPr>
                <w:rFonts w:hint="eastAsia" w:cs="Times New Roman"/>
                <w:color w:val="auto"/>
                <w:sz w:val="21"/>
                <w:szCs w:val="21"/>
              </w:rPr>
              <w:t>《危险废物贮存污染控制标准》（GB18597-2023）</w:t>
            </w:r>
            <w:r>
              <w:rPr>
                <w:rFonts w:cs="Times New Roman"/>
                <w:color w:val="auto"/>
                <w:sz w:val="21"/>
                <w:szCs w:val="21"/>
              </w:rPr>
              <w:t>中有关规定。</w:t>
            </w:r>
          </w:p>
          <w:p>
            <w:pPr>
              <w:pStyle w:val="70"/>
              <w:spacing w:line="240" w:lineRule="auto"/>
              <w:ind w:firstLine="420"/>
              <w:rPr>
                <w:rFonts w:cs="Times New Roman"/>
                <w:color w:val="auto"/>
                <w:sz w:val="21"/>
                <w:szCs w:val="21"/>
              </w:rPr>
            </w:pPr>
            <w:r>
              <w:rPr>
                <w:rFonts w:hint="eastAsia" w:cs="Times New Roman"/>
                <w:color w:val="auto"/>
                <w:sz w:val="21"/>
                <w:szCs w:val="21"/>
              </w:rPr>
              <w:t>需按照《排污单位污染物排放口二维码标识技术规范》（HJ1297—2023）中唯一性原则、稳定性原则、便捷性原则设置排污口二维码。</w:t>
            </w:r>
          </w:p>
          <w:p>
            <w:pPr>
              <w:pStyle w:val="70"/>
              <w:spacing w:line="240" w:lineRule="auto"/>
              <w:ind w:firstLine="420"/>
              <w:rPr>
                <w:rFonts w:cs="Times New Roman"/>
                <w:color w:val="auto"/>
                <w:sz w:val="21"/>
                <w:szCs w:val="21"/>
              </w:rPr>
            </w:pPr>
            <w:r>
              <w:rPr>
                <w:rFonts w:hint="eastAsia" w:cs="Times New Roman"/>
                <w:color w:val="auto"/>
                <w:sz w:val="21"/>
                <w:szCs w:val="21"/>
              </w:rPr>
              <w:t>危险废物标签需按照《危险废物识别标志设置技术规范》（HJ1276—2022）进行管理，其中规定：危险废物标签的设置位置应明显可见且易读，不应被容器、包装物自身的任何部分或其他标签遮挡。对于盛装同一类危险废物的组合包装容器，应在组合包装容器的外表面设置危险废物标签。</w:t>
            </w:r>
          </w:p>
          <w:p>
            <w:pPr>
              <w:pStyle w:val="36"/>
              <w:bidi w:val="0"/>
              <w:rPr>
                <w:color w:val="auto"/>
              </w:rPr>
            </w:pPr>
            <w:r>
              <w:rPr>
                <w:rFonts w:hint="eastAsia"/>
                <w:color w:val="auto"/>
              </w:rPr>
              <w:t>表</w:t>
            </w:r>
            <w:r>
              <w:rPr>
                <w:rFonts w:hint="eastAsia"/>
                <w:color w:val="auto"/>
                <w:lang w:val="en-US" w:eastAsia="zh-CN"/>
              </w:rPr>
              <w:t>5-1</w:t>
            </w:r>
            <w:r>
              <w:rPr>
                <w:rFonts w:hint="eastAsia"/>
                <w:color w:val="auto"/>
              </w:rPr>
              <w:t xml:space="preserve">  各排污口环境保护图形标志</w:t>
            </w:r>
          </w:p>
          <w:tbl>
            <w:tblPr>
              <w:tblStyle w:val="2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1"/>
              <w:gridCol w:w="1460"/>
              <w:gridCol w:w="1172"/>
              <w:gridCol w:w="1105"/>
              <w:gridCol w:w="1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2" w:type="pct"/>
                  <w:tcBorders>
                    <w:left w:val="nil"/>
                  </w:tcBorders>
                  <w:vAlign w:val="center"/>
                </w:tcPr>
                <w:p>
                  <w:pPr>
                    <w:adjustRightInd w:val="0"/>
                    <w:jc w:val="center"/>
                    <w:rPr>
                      <w:color w:val="auto"/>
                      <w:szCs w:val="21"/>
                    </w:rPr>
                  </w:pPr>
                  <w:r>
                    <w:rPr>
                      <w:color w:val="auto"/>
                      <w:szCs w:val="21"/>
                    </w:rPr>
                    <w:t>排放口名称</w:t>
                  </w:r>
                </w:p>
              </w:tc>
              <w:tc>
                <w:tcPr>
                  <w:tcW w:w="1059" w:type="pct"/>
                  <w:tcBorders>
                    <w:left w:val="nil"/>
                  </w:tcBorders>
                  <w:vAlign w:val="center"/>
                </w:tcPr>
                <w:p>
                  <w:pPr>
                    <w:adjustRightInd w:val="0"/>
                    <w:jc w:val="center"/>
                    <w:rPr>
                      <w:color w:val="auto"/>
                      <w:szCs w:val="21"/>
                    </w:rPr>
                  </w:pPr>
                  <w:r>
                    <w:rPr>
                      <w:color w:val="auto"/>
                      <w:szCs w:val="21"/>
                    </w:rPr>
                    <w:t>图形符号</w:t>
                  </w:r>
                </w:p>
              </w:tc>
              <w:tc>
                <w:tcPr>
                  <w:tcW w:w="851" w:type="pct"/>
                  <w:tcBorders>
                    <w:left w:val="nil"/>
                  </w:tcBorders>
                  <w:vAlign w:val="center"/>
                </w:tcPr>
                <w:p>
                  <w:pPr>
                    <w:adjustRightInd w:val="0"/>
                    <w:jc w:val="center"/>
                    <w:rPr>
                      <w:color w:val="auto"/>
                      <w:szCs w:val="21"/>
                    </w:rPr>
                  </w:pPr>
                  <w:r>
                    <w:rPr>
                      <w:color w:val="auto"/>
                      <w:szCs w:val="21"/>
                    </w:rPr>
                    <w:t>形状</w:t>
                  </w:r>
                </w:p>
              </w:tc>
              <w:tc>
                <w:tcPr>
                  <w:tcW w:w="802" w:type="pct"/>
                  <w:tcBorders>
                    <w:left w:val="nil"/>
                  </w:tcBorders>
                  <w:vAlign w:val="center"/>
                </w:tcPr>
                <w:p>
                  <w:pPr>
                    <w:adjustRightInd w:val="0"/>
                    <w:jc w:val="center"/>
                    <w:rPr>
                      <w:color w:val="auto"/>
                      <w:szCs w:val="21"/>
                    </w:rPr>
                  </w:pPr>
                  <w:r>
                    <w:rPr>
                      <w:color w:val="auto"/>
                      <w:szCs w:val="21"/>
                    </w:rPr>
                    <w:t>背景颜色</w:t>
                  </w:r>
                </w:p>
              </w:tc>
              <w:tc>
                <w:tcPr>
                  <w:tcW w:w="734" w:type="pct"/>
                  <w:tcBorders>
                    <w:left w:val="nil"/>
                    <w:right w:val="nil"/>
                  </w:tcBorders>
                  <w:vAlign w:val="center"/>
                </w:tcPr>
                <w:p>
                  <w:pPr>
                    <w:adjustRightInd w:val="0"/>
                    <w:jc w:val="center"/>
                    <w:rPr>
                      <w:color w:val="auto"/>
                      <w:szCs w:val="21"/>
                    </w:rPr>
                  </w:pPr>
                  <w:r>
                    <w:rPr>
                      <w:color w:val="auto"/>
                      <w:szCs w:val="21"/>
                    </w:rPr>
                    <w:t>图形颜色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2" w:type="pct"/>
                  <w:tcBorders>
                    <w:left w:val="nil"/>
                  </w:tcBorders>
                  <w:vAlign w:val="center"/>
                </w:tcPr>
                <w:p>
                  <w:pPr>
                    <w:adjustRightInd w:val="0"/>
                    <w:jc w:val="center"/>
                    <w:rPr>
                      <w:color w:val="auto"/>
                      <w:szCs w:val="21"/>
                    </w:rPr>
                  </w:pPr>
                  <w:r>
                    <w:rPr>
                      <w:color w:val="auto"/>
                      <w:szCs w:val="21"/>
                    </w:rPr>
                    <w:t>噪声源</w:t>
                  </w:r>
                </w:p>
              </w:tc>
              <w:tc>
                <w:tcPr>
                  <w:tcW w:w="1059" w:type="pct"/>
                  <w:tcBorders>
                    <w:left w:val="nil"/>
                  </w:tcBorders>
                  <w:vAlign w:val="center"/>
                </w:tcPr>
                <w:p>
                  <w:pPr>
                    <w:widowControl/>
                    <w:jc w:val="center"/>
                    <w:rPr>
                      <w:color w:val="auto"/>
                      <w:szCs w:val="21"/>
                    </w:rPr>
                  </w:pPr>
                  <w:r>
                    <w:rPr>
                      <w:color w:val="auto"/>
                      <w:szCs w:val="21"/>
                    </w:rPr>
                    <w:drawing>
                      <wp:inline distT="0" distB="0" distL="114300" distR="114300">
                        <wp:extent cx="819785" cy="813435"/>
                        <wp:effectExtent l="0" t="0" r="18415" b="5715"/>
                        <wp:docPr id="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
                                <pic:cNvPicPr>
                                  <a:picLocks noChangeAspect="1"/>
                                </pic:cNvPicPr>
                              </pic:nvPicPr>
                              <pic:blipFill>
                                <a:blip r:embed="rId33"/>
                                <a:stretch>
                                  <a:fillRect/>
                                </a:stretch>
                              </pic:blipFill>
                              <pic:spPr>
                                <a:xfrm>
                                  <a:off x="0" y="0"/>
                                  <a:ext cx="819785" cy="813435"/>
                                </a:xfrm>
                                <a:prstGeom prst="rect">
                                  <a:avLst/>
                                </a:prstGeom>
                                <a:noFill/>
                                <a:ln>
                                  <a:noFill/>
                                </a:ln>
                              </pic:spPr>
                            </pic:pic>
                          </a:graphicData>
                        </a:graphic>
                      </wp:inline>
                    </w:drawing>
                  </w:r>
                </w:p>
              </w:tc>
              <w:tc>
                <w:tcPr>
                  <w:tcW w:w="851" w:type="pct"/>
                  <w:tcBorders>
                    <w:left w:val="nil"/>
                  </w:tcBorders>
                  <w:vAlign w:val="center"/>
                </w:tcPr>
                <w:p>
                  <w:pPr>
                    <w:adjustRightInd w:val="0"/>
                    <w:jc w:val="center"/>
                    <w:rPr>
                      <w:color w:val="auto"/>
                      <w:szCs w:val="21"/>
                    </w:rPr>
                  </w:pPr>
                  <w:r>
                    <w:rPr>
                      <w:color w:val="auto"/>
                      <w:szCs w:val="21"/>
                    </w:rPr>
                    <w:t>正方形边框</w:t>
                  </w:r>
                </w:p>
              </w:tc>
              <w:tc>
                <w:tcPr>
                  <w:tcW w:w="802" w:type="pct"/>
                  <w:tcBorders>
                    <w:left w:val="nil"/>
                  </w:tcBorders>
                  <w:vAlign w:val="center"/>
                </w:tcPr>
                <w:p>
                  <w:pPr>
                    <w:adjustRightInd w:val="0"/>
                    <w:jc w:val="center"/>
                    <w:rPr>
                      <w:color w:val="auto"/>
                      <w:szCs w:val="21"/>
                    </w:rPr>
                  </w:pPr>
                  <w:r>
                    <w:rPr>
                      <w:color w:val="auto"/>
                      <w:szCs w:val="21"/>
                    </w:rPr>
                    <w:t>绿色</w:t>
                  </w:r>
                </w:p>
              </w:tc>
              <w:tc>
                <w:tcPr>
                  <w:tcW w:w="734" w:type="pct"/>
                  <w:tcBorders>
                    <w:left w:val="nil"/>
                    <w:right w:val="nil"/>
                  </w:tcBorders>
                  <w:vAlign w:val="center"/>
                </w:tcPr>
                <w:p>
                  <w:pPr>
                    <w:adjustRightInd w:val="0"/>
                    <w:jc w:val="center"/>
                    <w:rPr>
                      <w:color w:val="auto"/>
                      <w:szCs w:val="21"/>
                    </w:rPr>
                  </w:pPr>
                  <w:r>
                    <w:rPr>
                      <w:color w:val="auto"/>
                      <w:szCs w:val="21"/>
                    </w:rPr>
                    <w:t>白色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Borders>
                    <w:left w:val="nil"/>
                  </w:tcBorders>
                  <w:vAlign w:val="center"/>
                </w:tcPr>
                <w:p>
                  <w:pPr>
                    <w:adjustRightInd w:val="0"/>
                    <w:jc w:val="center"/>
                    <w:rPr>
                      <w:color w:val="auto"/>
                      <w:szCs w:val="21"/>
                    </w:rPr>
                  </w:pPr>
                  <w:r>
                    <w:rPr>
                      <w:color w:val="auto"/>
                      <w:szCs w:val="21"/>
                    </w:rPr>
                    <w:t>废气</w:t>
                  </w:r>
                </w:p>
              </w:tc>
              <w:tc>
                <w:tcPr>
                  <w:tcW w:w="1507" w:type="dxa"/>
                  <w:tcBorders>
                    <w:left w:val="nil"/>
                  </w:tcBorders>
                  <w:vAlign w:val="center"/>
                </w:tcPr>
                <w:p>
                  <w:pPr>
                    <w:widowControl/>
                    <w:jc w:val="center"/>
                    <w:rPr>
                      <w:color w:val="auto"/>
                      <w:kern w:val="0"/>
                      <w:szCs w:val="21"/>
                    </w:rPr>
                  </w:pPr>
                  <w:r>
                    <w:rPr>
                      <w:color w:val="auto"/>
                      <w:szCs w:val="21"/>
                    </w:rPr>
                    <w:drawing>
                      <wp:inline distT="0" distB="0" distL="114300" distR="114300">
                        <wp:extent cx="817880" cy="737235"/>
                        <wp:effectExtent l="0" t="0" r="1270" b="571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34"/>
                                <a:stretch>
                                  <a:fillRect/>
                                </a:stretch>
                              </pic:blipFill>
                              <pic:spPr>
                                <a:xfrm>
                                  <a:off x="0" y="0"/>
                                  <a:ext cx="817880" cy="737235"/>
                                </a:xfrm>
                                <a:prstGeom prst="rect">
                                  <a:avLst/>
                                </a:prstGeom>
                                <a:noFill/>
                                <a:ln>
                                  <a:noFill/>
                                </a:ln>
                              </pic:spPr>
                            </pic:pic>
                          </a:graphicData>
                        </a:graphic>
                      </wp:inline>
                    </w:drawing>
                  </w:r>
                </w:p>
              </w:tc>
              <w:tc>
                <w:tcPr>
                  <w:tcW w:w="1210" w:type="dxa"/>
                  <w:tcBorders>
                    <w:left w:val="nil"/>
                  </w:tcBorders>
                  <w:vAlign w:val="center"/>
                </w:tcPr>
                <w:p>
                  <w:pPr>
                    <w:adjustRightInd w:val="0"/>
                    <w:jc w:val="center"/>
                    <w:rPr>
                      <w:color w:val="auto"/>
                      <w:szCs w:val="21"/>
                    </w:rPr>
                  </w:pPr>
                  <w:r>
                    <w:rPr>
                      <w:color w:val="auto"/>
                      <w:szCs w:val="21"/>
                    </w:rPr>
                    <w:t>三角形边框</w:t>
                  </w:r>
                </w:p>
              </w:tc>
              <w:tc>
                <w:tcPr>
                  <w:tcW w:w="1141" w:type="dxa"/>
                  <w:tcBorders>
                    <w:left w:val="nil"/>
                  </w:tcBorders>
                  <w:vAlign w:val="center"/>
                </w:tcPr>
                <w:p>
                  <w:pPr>
                    <w:adjustRightInd w:val="0"/>
                    <w:jc w:val="center"/>
                    <w:rPr>
                      <w:color w:val="auto"/>
                      <w:szCs w:val="21"/>
                    </w:rPr>
                  </w:pPr>
                  <w:r>
                    <w:rPr>
                      <w:color w:val="auto"/>
                      <w:szCs w:val="21"/>
                    </w:rPr>
                    <w:t>黄色</w:t>
                  </w:r>
                </w:p>
              </w:tc>
              <w:tc>
                <w:tcPr>
                  <w:tcW w:w="1045" w:type="dxa"/>
                  <w:tcBorders>
                    <w:left w:val="nil"/>
                    <w:right w:val="nil"/>
                  </w:tcBorders>
                  <w:vAlign w:val="center"/>
                </w:tcPr>
                <w:p>
                  <w:pPr>
                    <w:adjustRightInd w:val="0"/>
                    <w:jc w:val="center"/>
                    <w:rPr>
                      <w:color w:val="auto"/>
                      <w:szCs w:val="21"/>
                    </w:rPr>
                  </w:pPr>
                  <w:r>
                    <w:rPr>
                      <w:color w:val="auto"/>
                      <w:szCs w:val="21"/>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2" w:type="pct"/>
                  <w:tcBorders>
                    <w:left w:val="nil"/>
                  </w:tcBorders>
                  <w:vAlign w:val="center"/>
                </w:tcPr>
                <w:p>
                  <w:pPr>
                    <w:adjustRightInd w:val="0"/>
                    <w:jc w:val="center"/>
                    <w:rPr>
                      <w:color w:val="auto"/>
                      <w:szCs w:val="21"/>
                    </w:rPr>
                  </w:pPr>
                  <w:r>
                    <w:rPr>
                      <w:rFonts w:hint="eastAsia"/>
                      <w:color w:val="auto"/>
                      <w:szCs w:val="21"/>
                    </w:rPr>
                    <w:t>废水</w:t>
                  </w:r>
                </w:p>
              </w:tc>
              <w:tc>
                <w:tcPr>
                  <w:tcW w:w="1059" w:type="pct"/>
                  <w:tcBorders>
                    <w:left w:val="nil"/>
                  </w:tcBorders>
                  <w:vAlign w:val="center"/>
                </w:tcPr>
                <w:p>
                  <w:pPr>
                    <w:widowControl/>
                    <w:jc w:val="center"/>
                    <w:rPr>
                      <w:color w:val="auto"/>
                      <w:kern w:val="0"/>
                      <w:szCs w:val="21"/>
                    </w:rPr>
                  </w:pPr>
                  <w:r>
                    <w:rPr>
                      <w:color w:val="auto"/>
                      <w:szCs w:val="21"/>
                    </w:rPr>
                    <w:drawing>
                      <wp:inline distT="0" distB="0" distL="114300" distR="114300">
                        <wp:extent cx="819150" cy="740410"/>
                        <wp:effectExtent l="0" t="0" r="0" b="254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35"/>
                                <a:stretch>
                                  <a:fillRect/>
                                </a:stretch>
                              </pic:blipFill>
                              <pic:spPr>
                                <a:xfrm>
                                  <a:off x="0" y="0"/>
                                  <a:ext cx="819150" cy="740410"/>
                                </a:xfrm>
                                <a:prstGeom prst="rect">
                                  <a:avLst/>
                                </a:prstGeom>
                                <a:noFill/>
                                <a:ln>
                                  <a:noFill/>
                                </a:ln>
                              </pic:spPr>
                            </pic:pic>
                          </a:graphicData>
                        </a:graphic>
                      </wp:inline>
                    </w:drawing>
                  </w:r>
                </w:p>
              </w:tc>
              <w:tc>
                <w:tcPr>
                  <w:tcW w:w="851" w:type="pct"/>
                  <w:tcBorders>
                    <w:left w:val="nil"/>
                  </w:tcBorders>
                  <w:vAlign w:val="center"/>
                </w:tcPr>
                <w:p>
                  <w:pPr>
                    <w:adjustRightInd w:val="0"/>
                    <w:jc w:val="center"/>
                    <w:rPr>
                      <w:color w:val="auto"/>
                      <w:szCs w:val="21"/>
                    </w:rPr>
                  </w:pPr>
                  <w:r>
                    <w:rPr>
                      <w:color w:val="auto"/>
                      <w:szCs w:val="21"/>
                    </w:rPr>
                    <w:t>三角形边框</w:t>
                  </w:r>
                </w:p>
              </w:tc>
              <w:tc>
                <w:tcPr>
                  <w:tcW w:w="802" w:type="pct"/>
                  <w:tcBorders>
                    <w:left w:val="nil"/>
                  </w:tcBorders>
                  <w:vAlign w:val="center"/>
                </w:tcPr>
                <w:p>
                  <w:pPr>
                    <w:adjustRightInd w:val="0"/>
                    <w:jc w:val="center"/>
                    <w:rPr>
                      <w:color w:val="auto"/>
                      <w:szCs w:val="21"/>
                    </w:rPr>
                  </w:pPr>
                  <w:r>
                    <w:rPr>
                      <w:color w:val="auto"/>
                      <w:szCs w:val="21"/>
                    </w:rPr>
                    <w:t>黄色</w:t>
                  </w:r>
                </w:p>
              </w:tc>
              <w:tc>
                <w:tcPr>
                  <w:tcW w:w="734" w:type="pct"/>
                  <w:tcBorders>
                    <w:left w:val="nil"/>
                    <w:right w:val="nil"/>
                  </w:tcBorders>
                  <w:vAlign w:val="center"/>
                </w:tcPr>
                <w:p>
                  <w:pPr>
                    <w:adjustRightInd w:val="0"/>
                    <w:jc w:val="center"/>
                    <w:rPr>
                      <w:color w:val="auto"/>
                      <w:szCs w:val="21"/>
                    </w:rPr>
                  </w:pPr>
                  <w:r>
                    <w:rPr>
                      <w:color w:val="auto"/>
                      <w:szCs w:val="21"/>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2" w:type="pct"/>
                  <w:tcBorders>
                    <w:left w:val="nil"/>
                  </w:tcBorders>
                  <w:vAlign w:val="center"/>
                </w:tcPr>
                <w:p>
                  <w:pPr>
                    <w:adjustRightInd w:val="0"/>
                    <w:jc w:val="center"/>
                    <w:rPr>
                      <w:color w:val="auto"/>
                      <w:szCs w:val="21"/>
                    </w:rPr>
                  </w:pPr>
                  <w:r>
                    <w:rPr>
                      <w:rFonts w:hint="eastAsia"/>
                      <w:color w:val="auto"/>
                      <w:szCs w:val="21"/>
                    </w:rPr>
                    <w:t>一般固体废物</w:t>
                  </w:r>
                </w:p>
              </w:tc>
              <w:tc>
                <w:tcPr>
                  <w:tcW w:w="1059" w:type="pct"/>
                  <w:tcBorders>
                    <w:left w:val="nil"/>
                  </w:tcBorders>
                  <w:vAlign w:val="center"/>
                </w:tcPr>
                <w:p>
                  <w:pPr>
                    <w:widowControl/>
                    <w:jc w:val="center"/>
                    <w:rPr>
                      <w:color w:val="auto"/>
                      <w:szCs w:val="21"/>
                    </w:rPr>
                  </w:pPr>
                  <w:r>
                    <w:rPr>
                      <w:color w:val="auto"/>
                      <w:szCs w:val="21"/>
                    </w:rPr>
                    <w:drawing>
                      <wp:inline distT="0" distB="0" distL="114300" distR="114300">
                        <wp:extent cx="714375" cy="733425"/>
                        <wp:effectExtent l="0" t="0" r="9525" b="952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36"/>
                                <a:stretch>
                                  <a:fillRect/>
                                </a:stretch>
                              </pic:blipFill>
                              <pic:spPr>
                                <a:xfrm>
                                  <a:off x="0" y="0"/>
                                  <a:ext cx="714375" cy="733425"/>
                                </a:xfrm>
                                <a:prstGeom prst="rect">
                                  <a:avLst/>
                                </a:prstGeom>
                                <a:noFill/>
                                <a:ln>
                                  <a:noFill/>
                                </a:ln>
                              </pic:spPr>
                            </pic:pic>
                          </a:graphicData>
                        </a:graphic>
                      </wp:inline>
                    </w:drawing>
                  </w:r>
                </w:p>
              </w:tc>
              <w:tc>
                <w:tcPr>
                  <w:tcW w:w="851" w:type="pct"/>
                  <w:tcBorders>
                    <w:left w:val="nil"/>
                  </w:tcBorders>
                  <w:vAlign w:val="center"/>
                </w:tcPr>
                <w:p>
                  <w:pPr>
                    <w:adjustRightInd w:val="0"/>
                    <w:jc w:val="center"/>
                    <w:rPr>
                      <w:color w:val="auto"/>
                      <w:szCs w:val="21"/>
                    </w:rPr>
                  </w:pPr>
                  <w:r>
                    <w:rPr>
                      <w:color w:val="auto"/>
                      <w:szCs w:val="21"/>
                    </w:rPr>
                    <w:t>正方形边框</w:t>
                  </w:r>
                </w:p>
              </w:tc>
              <w:tc>
                <w:tcPr>
                  <w:tcW w:w="802" w:type="pct"/>
                  <w:tcBorders>
                    <w:left w:val="nil"/>
                  </w:tcBorders>
                  <w:vAlign w:val="center"/>
                </w:tcPr>
                <w:p>
                  <w:pPr>
                    <w:adjustRightInd w:val="0"/>
                    <w:jc w:val="center"/>
                    <w:rPr>
                      <w:color w:val="auto"/>
                      <w:szCs w:val="21"/>
                    </w:rPr>
                  </w:pPr>
                  <w:r>
                    <w:rPr>
                      <w:color w:val="auto"/>
                      <w:szCs w:val="21"/>
                    </w:rPr>
                    <w:t>绿色</w:t>
                  </w:r>
                </w:p>
              </w:tc>
              <w:tc>
                <w:tcPr>
                  <w:tcW w:w="734" w:type="pct"/>
                  <w:tcBorders>
                    <w:left w:val="nil"/>
                    <w:right w:val="nil"/>
                  </w:tcBorders>
                  <w:vAlign w:val="center"/>
                </w:tcPr>
                <w:p>
                  <w:pPr>
                    <w:adjustRightInd w:val="0"/>
                    <w:jc w:val="center"/>
                    <w:rPr>
                      <w:color w:val="auto"/>
                      <w:szCs w:val="21"/>
                    </w:rPr>
                  </w:pPr>
                  <w:r>
                    <w:rPr>
                      <w:color w:val="auto"/>
                      <w:szCs w:val="21"/>
                    </w:rPr>
                    <w:t>白色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2" w:type="pct"/>
                  <w:tcBorders>
                    <w:left w:val="nil"/>
                  </w:tcBorders>
                  <w:vAlign w:val="center"/>
                </w:tcPr>
                <w:p>
                  <w:pPr>
                    <w:adjustRightInd w:val="0"/>
                    <w:jc w:val="center"/>
                    <w:rPr>
                      <w:color w:val="auto"/>
                      <w:szCs w:val="21"/>
                    </w:rPr>
                  </w:pPr>
                  <w:r>
                    <w:rPr>
                      <w:rFonts w:hint="eastAsia"/>
                      <w:color w:val="auto"/>
                      <w:szCs w:val="21"/>
                    </w:rPr>
                    <w:t>危险废物</w:t>
                  </w:r>
                </w:p>
              </w:tc>
              <w:tc>
                <w:tcPr>
                  <w:tcW w:w="1059" w:type="pct"/>
                  <w:tcBorders>
                    <w:left w:val="nil"/>
                  </w:tcBorders>
                  <w:vAlign w:val="center"/>
                </w:tcPr>
                <w:p>
                  <w:pPr>
                    <w:widowControl/>
                    <w:jc w:val="center"/>
                    <w:rPr>
                      <w:color w:val="auto"/>
                      <w:szCs w:val="21"/>
                    </w:rPr>
                  </w:pPr>
                  <w:r>
                    <w:rPr>
                      <w:color w:val="auto"/>
                    </w:rPr>
                    <w:drawing>
                      <wp:inline distT="0" distB="0" distL="114300" distR="114300">
                        <wp:extent cx="748030" cy="708025"/>
                        <wp:effectExtent l="0" t="0" r="13970" b="15875"/>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37"/>
                                <a:stretch>
                                  <a:fillRect/>
                                </a:stretch>
                              </pic:blipFill>
                              <pic:spPr>
                                <a:xfrm>
                                  <a:off x="0" y="0"/>
                                  <a:ext cx="748030" cy="708025"/>
                                </a:xfrm>
                                <a:prstGeom prst="rect">
                                  <a:avLst/>
                                </a:prstGeom>
                                <a:noFill/>
                                <a:ln>
                                  <a:noFill/>
                                </a:ln>
                              </pic:spPr>
                            </pic:pic>
                          </a:graphicData>
                        </a:graphic>
                      </wp:inline>
                    </w:drawing>
                  </w:r>
                </w:p>
              </w:tc>
              <w:tc>
                <w:tcPr>
                  <w:tcW w:w="851" w:type="pct"/>
                  <w:tcBorders>
                    <w:left w:val="nil"/>
                  </w:tcBorders>
                  <w:vAlign w:val="center"/>
                </w:tcPr>
                <w:p>
                  <w:pPr>
                    <w:adjustRightInd w:val="0"/>
                    <w:jc w:val="center"/>
                    <w:rPr>
                      <w:color w:val="auto"/>
                      <w:szCs w:val="21"/>
                    </w:rPr>
                  </w:pPr>
                  <w:r>
                    <w:rPr>
                      <w:color w:val="auto"/>
                      <w:szCs w:val="21"/>
                    </w:rPr>
                    <w:t>三角形边框</w:t>
                  </w:r>
                </w:p>
              </w:tc>
              <w:tc>
                <w:tcPr>
                  <w:tcW w:w="802" w:type="pct"/>
                  <w:tcBorders>
                    <w:left w:val="nil"/>
                  </w:tcBorders>
                  <w:vAlign w:val="center"/>
                </w:tcPr>
                <w:p>
                  <w:pPr>
                    <w:adjustRightInd w:val="0"/>
                    <w:jc w:val="center"/>
                    <w:rPr>
                      <w:color w:val="auto"/>
                      <w:szCs w:val="21"/>
                    </w:rPr>
                  </w:pPr>
                  <w:r>
                    <w:rPr>
                      <w:color w:val="auto"/>
                      <w:szCs w:val="21"/>
                    </w:rPr>
                    <w:t>黄色</w:t>
                  </w:r>
                </w:p>
              </w:tc>
              <w:tc>
                <w:tcPr>
                  <w:tcW w:w="734" w:type="pct"/>
                  <w:tcBorders>
                    <w:left w:val="nil"/>
                    <w:right w:val="nil"/>
                  </w:tcBorders>
                  <w:vAlign w:val="center"/>
                </w:tcPr>
                <w:p>
                  <w:pPr>
                    <w:adjustRightInd w:val="0"/>
                    <w:jc w:val="center"/>
                    <w:rPr>
                      <w:color w:val="auto"/>
                      <w:szCs w:val="21"/>
                    </w:rPr>
                  </w:pPr>
                  <w:r>
                    <w:rPr>
                      <w:color w:val="auto"/>
                      <w:szCs w:val="21"/>
                    </w:rPr>
                    <w:t>黑色</w:t>
                  </w:r>
                </w:p>
              </w:tc>
            </w:tr>
          </w:tbl>
          <w:p>
            <w:pPr>
              <w:pStyle w:val="37"/>
              <w:rPr>
                <w:color w:val="auto"/>
              </w:rPr>
            </w:pPr>
          </w:p>
        </w:tc>
      </w:tr>
    </w:tbl>
    <w:p>
      <w:pPr>
        <w:pStyle w:val="24"/>
        <w:jc w:val="center"/>
        <w:outlineLvl w:val="0"/>
        <w:rPr>
          <w:rFonts w:ascii="黑体" w:hAnsi="黑体" w:eastAsia="黑体"/>
          <w:snapToGrid w:val="0"/>
          <w:color w:val="auto"/>
          <w:sz w:val="30"/>
          <w:szCs w:val="30"/>
        </w:rPr>
      </w:pPr>
      <w:r>
        <w:rPr>
          <w:snapToGrid w:val="0"/>
          <w:color w:val="auto"/>
        </w:rPr>
        <w:br w:type="page"/>
      </w:r>
      <w:r>
        <w:rPr>
          <w:rFonts w:hint="eastAsia" w:ascii="黑体" w:hAnsi="黑体" w:eastAsia="黑体"/>
          <w:snapToGrid w:val="0"/>
          <w:color w:val="auto"/>
          <w:sz w:val="30"/>
          <w:szCs w:val="30"/>
        </w:rPr>
        <w:t>六、结论</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spacing w:line="520" w:lineRule="exact"/>
              <w:ind w:firstLine="480" w:firstLineChars="200"/>
              <w:rPr>
                <w:color w:val="auto"/>
                <w:sz w:val="24"/>
              </w:rPr>
            </w:pPr>
            <w:r>
              <w:rPr>
                <w:color w:val="auto"/>
                <w:sz w:val="24"/>
              </w:rPr>
              <w:t>本次评价对</w:t>
            </w:r>
            <w:r>
              <w:rPr>
                <w:rFonts w:hint="eastAsia"/>
                <w:color w:val="auto"/>
                <w:sz w:val="24"/>
                <w:lang w:val="en-US" w:eastAsia="zh-CN"/>
              </w:rPr>
              <w:t>建设</w:t>
            </w:r>
            <w:r>
              <w:rPr>
                <w:color w:val="auto"/>
                <w:sz w:val="24"/>
              </w:rPr>
              <w:t>项目及其周围区域环境现状进行了调查、监测和评价分析，通过对营运期污染物排放的环境影响分析和对环境风险的分析，提出了项目污染防治措施以及要求和建议，污染物的排放均能够严于相关标准，符合国家环境保护的要求。</w:t>
            </w:r>
          </w:p>
          <w:p>
            <w:pPr>
              <w:spacing w:line="520" w:lineRule="exact"/>
              <w:rPr>
                <w:color w:val="auto"/>
                <w:sz w:val="24"/>
              </w:rPr>
            </w:pPr>
            <w:r>
              <w:rPr>
                <w:color w:val="auto"/>
                <w:sz w:val="24"/>
              </w:rPr>
              <w:t>本项目运行期间产生一定量的废水、废气、噪声和固体废物，通过采取有效的污染防治措施，可将项目对周围环境造成的影响降到最低。同时，项目运营过程中，依据本次评价所提出的有关污染防治措施，全面落实“三同时”制度，加强运营期环境管理，定期监测，确保污染防治设施稳定达标运行，则项目建设对周围环境质量不会产生明显的影响，从环境保护角度出发，本项目建设是可行的。</w:t>
            </w:r>
          </w:p>
          <w:p>
            <w:pPr>
              <w:pStyle w:val="2"/>
              <w:rPr>
                <w:color w:val="auto"/>
                <w:sz w:val="24"/>
              </w:rPr>
            </w:pPr>
          </w:p>
          <w:p>
            <w:pPr>
              <w:pStyle w:val="2"/>
              <w:rPr>
                <w:color w:val="auto"/>
                <w:sz w:val="24"/>
              </w:rPr>
            </w:pPr>
          </w:p>
          <w:p>
            <w:pPr>
              <w:pStyle w:val="2"/>
              <w:rPr>
                <w:color w:val="auto"/>
                <w:sz w:val="24"/>
              </w:rPr>
            </w:pPr>
          </w:p>
          <w:p>
            <w:pPr>
              <w:pStyle w:val="2"/>
              <w:rPr>
                <w:color w:val="auto"/>
                <w:sz w:val="24"/>
              </w:rPr>
            </w:pPr>
          </w:p>
          <w:p>
            <w:pPr>
              <w:pStyle w:val="2"/>
              <w:rPr>
                <w:color w:val="auto"/>
                <w:sz w:val="24"/>
              </w:rPr>
            </w:pPr>
          </w:p>
          <w:p>
            <w:pPr>
              <w:pStyle w:val="2"/>
              <w:rPr>
                <w:color w:val="auto"/>
                <w:sz w:val="24"/>
              </w:rPr>
            </w:pPr>
          </w:p>
        </w:tc>
      </w:tr>
    </w:tbl>
    <w:p>
      <w:pPr>
        <w:rPr>
          <w:rFonts w:ascii="宋体"/>
          <w:color w:val="auto"/>
        </w:rPr>
        <w:sectPr>
          <w:pgSz w:w="11906" w:h="16838"/>
          <w:pgMar w:top="1701" w:right="1531" w:bottom="1701" w:left="1531" w:header="851" w:footer="851" w:gutter="0"/>
          <w:cols w:space="720" w:num="1"/>
          <w:docGrid w:linePitch="312" w:charSpace="0"/>
        </w:sectPr>
      </w:pPr>
    </w:p>
    <w:p>
      <w:pPr>
        <w:pStyle w:val="24"/>
        <w:adjustRightInd w:val="0"/>
        <w:snapToGrid w:val="0"/>
        <w:spacing w:before="0" w:beforeAutospacing="0" w:after="0" w:afterAutospacing="0"/>
        <w:outlineLvl w:val="0"/>
        <w:rPr>
          <w:rFonts w:ascii="黑体" w:hAnsi="黑体" w:eastAsia="黑体"/>
          <w:snapToGrid w:val="0"/>
          <w:color w:val="auto"/>
          <w:sz w:val="32"/>
          <w:szCs w:val="32"/>
        </w:rPr>
      </w:pPr>
      <w:r>
        <w:rPr>
          <w:rFonts w:hint="eastAsia" w:ascii="黑体" w:hAnsi="黑体" w:eastAsia="黑体"/>
          <w:snapToGrid w:val="0"/>
          <w:color w:val="auto"/>
          <w:sz w:val="32"/>
          <w:szCs w:val="32"/>
        </w:rPr>
        <w:t>附表</w:t>
      </w:r>
    </w:p>
    <w:p>
      <w:pPr>
        <w:pStyle w:val="24"/>
        <w:adjustRightInd w:val="0"/>
        <w:snapToGrid w:val="0"/>
        <w:spacing w:before="0" w:beforeAutospacing="0" w:after="0" w:afterAutospacing="0"/>
        <w:jc w:val="center"/>
        <w:outlineLvl w:val="0"/>
        <w:rPr>
          <w:rFonts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p>
    <w:tbl>
      <w:tblPr>
        <w:tblStyle w:val="28"/>
        <w:tblW w:w="1386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1495"/>
        <w:gridCol w:w="1701"/>
        <w:gridCol w:w="1276"/>
        <w:gridCol w:w="1701"/>
        <w:gridCol w:w="1559"/>
        <w:gridCol w:w="1761"/>
        <w:gridCol w:w="1641"/>
        <w:gridCol w:w="135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368" w:type="dxa"/>
            <w:tcBorders>
              <w:tl2br w:val="single" w:color="auto" w:sz="4" w:space="0"/>
            </w:tcBorders>
            <w:tcMar>
              <w:left w:w="28" w:type="dxa"/>
              <w:right w:w="28" w:type="dxa"/>
            </w:tcMar>
            <w:vAlign w:val="center"/>
          </w:tcPr>
          <w:p>
            <w:pPr>
              <w:pStyle w:val="61"/>
              <w:spacing w:beforeLines="0" w:afterLines="0" w:line="240" w:lineRule="auto"/>
              <w:jc w:val="right"/>
              <w:rPr>
                <w:rFonts w:ascii="Times New Roman"/>
                <w:snapToGrid w:val="0"/>
                <w:color w:val="auto"/>
                <w:spacing w:val="-6"/>
                <w:kern w:val="21"/>
                <w:szCs w:val="21"/>
              </w:rPr>
            </w:pPr>
            <w:r>
              <w:rPr>
                <w:rFonts w:ascii="Times New Roman"/>
                <w:snapToGrid w:val="0"/>
                <w:color w:val="auto"/>
                <w:spacing w:val="-6"/>
                <w:kern w:val="21"/>
                <w:szCs w:val="21"/>
              </w:rPr>
              <w:t>项目</w:t>
            </w:r>
          </w:p>
          <w:p>
            <w:pPr>
              <w:pStyle w:val="61"/>
              <w:spacing w:beforeLines="0" w:afterLines="0" w:line="240" w:lineRule="auto"/>
              <w:jc w:val="left"/>
              <w:rPr>
                <w:rFonts w:ascii="Times New Roman"/>
                <w:snapToGrid w:val="0"/>
                <w:color w:val="auto"/>
                <w:spacing w:val="-6"/>
                <w:kern w:val="21"/>
                <w:szCs w:val="21"/>
              </w:rPr>
            </w:pPr>
            <w:r>
              <w:rPr>
                <w:rFonts w:ascii="Times New Roman"/>
                <w:snapToGrid w:val="0"/>
                <w:color w:val="auto"/>
                <w:spacing w:val="-6"/>
                <w:kern w:val="21"/>
                <w:szCs w:val="21"/>
              </w:rPr>
              <w:t>分类</w:t>
            </w:r>
          </w:p>
        </w:tc>
        <w:tc>
          <w:tcPr>
            <w:tcW w:w="1495" w:type="dxa"/>
            <w:tcMar>
              <w:left w:w="28" w:type="dxa"/>
              <w:right w:w="28" w:type="dxa"/>
            </w:tcMar>
            <w:vAlign w:val="center"/>
          </w:tcPr>
          <w:p>
            <w:pPr>
              <w:pStyle w:val="61"/>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污染物名称</w:t>
            </w:r>
          </w:p>
        </w:tc>
        <w:tc>
          <w:tcPr>
            <w:tcW w:w="1701" w:type="dxa"/>
            <w:tcMar>
              <w:left w:w="28" w:type="dxa"/>
              <w:right w:w="28" w:type="dxa"/>
            </w:tcMar>
            <w:vAlign w:val="center"/>
          </w:tcPr>
          <w:p>
            <w:pPr>
              <w:pStyle w:val="61"/>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现有工程</w:t>
            </w:r>
          </w:p>
          <w:p>
            <w:pPr>
              <w:pStyle w:val="61"/>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排放量（固体废物产生量）</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kern w:val="2"/>
                <w:szCs w:val="21"/>
              </w:rPr>
              <w:t>①</w:t>
            </w:r>
            <w:r>
              <w:rPr>
                <w:rFonts w:ascii="Times New Roman"/>
                <w:snapToGrid w:val="0"/>
                <w:color w:val="auto"/>
                <w:spacing w:val="-6"/>
                <w:kern w:val="21"/>
                <w:szCs w:val="21"/>
              </w:rPr>
              <w:fldChar w:fldCharType="end"/>
            </w:r>
          </w:p>
        </w:tc>
        <w:tc>
          <w:tcPr>
            <w:tcW w:w="1276" w:type="dxa"/>
            <w:tcMar>
              <w:left w:w="28" w:type="dxa"/>
              <w:right w:w="28" w:type="dxa"/>
            </w:tcMar>
            <w:vAlign w:val="center"/>
          </w:tcPr>
          <w:p>
            <w:pPr>
              <w:pStyle w:val="61"/>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现有工程</w:t>
            </w:r>
          </w:p>
          <w:p>
            <w:pPr>
              <w:pStyle w:val="61"/>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许可排放量</w:t>
            </w:r>
          </w:p>
          <w:p>
            <w:pPr>
              <w:pStyle w:val="61"/>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2 \* GB3 \* MERGEFORMAT </w:instrText>
            </w:r>
            <w:r>
              <w:rPr>
                <w:rFonts w:ascii="Times New Roman"/>
                <w:snapToGrid w:val="0"/>
                <w:color w:val="auto"/>
                <w:spacing w:val="-6"/>
                <w:kern w:val="21"/>
                <w:szCs w:val="21"/>
              </w:rPr>
              <w:fldChar w:fldCharType="separate"/>
            </w:r>
            <w:r>
              <w:rPr>
                <w:rFonts w:ascii="Times New Roman"/>
                <w:snapToGrid w:val="0"/>
                <w:color w:val="auto"/>
                <w:spacing w:val="-6"/>
                <w:kern w:val="21"/>
                <w:szCs w:val="21"/>
              </w:rPr>
              <w:t>②</w:t>
            </w:r>
            <w:r>
              <w:rPr>
                <w:rFonts w:ascii="Times New Roman"/>
                <w:snapToGrid w:val="0"/>
                <w:color w:val="auto"/>
                <w:spacing w:val="-6"/>
                <w:kern w:val="21"/>
                <w:szCs w:val="21"/>
              </w:rPr>
              <w:fldChar w:fldCharType="end"/>
            </w:r>
          </w:p>
        </w:tc>
        <w:tc>
          <w:tcPr>
            <w:tcW w:w="1701" w:type="dxa"/>
            <w:tcMar>
              <w:left w:w="28" w:type="dxa"/>
              <w:right w:w="28" w:type="dxa"/>
            </w:tcMar>
            <w:vAlign w:val="center"/>
          </w:tcPr>
          <w:p>
            <w:pPr>
              <w:pStyle w:val="61"/>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在建工程</w:t>
            </w:r>
          </w:p>
          <w:p>
            <w:pPr>
              <w:pStyle w:val="61"/>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排放量（固体废物产生量）</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ascii="Times New Roman"/>
                <w:color w:val="auto"/>
                <w:kern w:val="2"/>
                <w:szCs w:val="21"/>
              </w:rPr>
              <w:t>③</w:t>
            </w:r>
            <w:r>
              <w:rPr>
                <w:rFonts w:ascii="Times New Roman"/>
                <w:snapToGrid w:val="0"/>
                <w:color w:val="auto"/>
                <w:spacing w:val="-6"/>
                <w:kern w:val="21"/>
                <w:szCs w:val="21"/>
              </w:rPr>
              <w:fldChar w:fldCharType="end"/>
            </w:r>
          </w:p>
        </w:tc>
        <w:tc>
          <w:tcPr>
            <w:tcW w:w="1559" w:type="dxa"/>
            <w:tcMar>
              <w:left w:w="28" w:type="dxa"/>
              <w:right w:w="28" w:type="dxa"/>
            </w:tcMar>
            <w:vAlign w:val="center"/>
          </w:tcPr>
          <w:p>
            <w:pPr>
              <w:pStyle w:val="61"/>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本项目</w:t>
            </w:r>
          </w:p>
          <w:p>
            <w:pPr>
              <w:pStyle w:val="61"/>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排放量（固体废物产生量）</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ascii="Times New Roman"/>
                <w:color w:val="auto"/>
                <w:kern w:val="2"/>
                <w:szCs w:val="21"/>
              </w:rPr>
              <w:t>④</w:t>
            </w:r>
            <w:r>
              <w:rPr>
                <w:rFonts w:ascii="Times New Roman"/>
                <w:snapToGrid w:val="0"/>
                <w:color w:val="auto"/>
                <w:spacing w:val="-6"/>
                <w:kern w:val="21"/>
                <w:szCs w:val="21"/>
              </w:rPr>
              <w:fldChar w:fldCharType="end"/>
            </w:r>
          </w:p>
        </w:tc>
        <w:tc>
          <w:tcPr>
            <w:tcW w:w="1761" w:type="dxa"/>
            <w:tcMar>
              <w:left w:w="28" w:type="dxa"/>
              <w:right w:w="28" w:type="dxa"/>
            </w:tcMar>
            <w:vAlign w:val="center"/>
          </w:tcPr>
          <w:p>
            <w:pPr>
              <w:pStyle w:val="61"/>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以新带老削减量</w:t>
            </w:r>
          </w:p>
          <w:p>
            <w:pPr>
              <w:pStyle w:val="61"/>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（新建项目不填）</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ascii="Times New Roman"/>
                <w:color w:val="auto"/>
                <w:kern w:val="2"/>
                <w:szCs w:val="21"/>
              </w:rPr>
              <w:t>⑤</w:t>
            </w:r>
            <w:r>
              <w:rPr>
                <w:rFonts w:ascii="Times New Roman"/>
                <w:snapToGrid w:val="0"/>
                <w:color w:val="auto"/>
                <w:spacing w:val="-16"/>
                <w:kern w:val="21"/>
                <w:szCs w:val="21"/>
              </w:rPr>
              <w:fldChar w:fldCharType="end"/>
            </w:r>
          </w:p>
        </w:tc>
        <w:tc>
          <w:tcPr>
            <w:tcW w:w="1641" w:type="dxa"/>
            <w:tcMar>
              <w:left w:w="28" w:type="dxa"/>
              <w:right w:w="28" w:type="dxa"/>
            </w:tcMar>
            <w:vAlign w:val="center"/>
          </w:tcPr>
          <w:p>
            <w:pPr>
              <w:pStyle w:val="61"/>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本项目建成后</w:t>
            </w:r>
          </w:p>
          <w:p>
            <w:pPr>
              <w:pStyle w:val="61"/>
              <w:spacing w:beforeLines="0" w:afterLines="0" w:line="240" w:lineRule="auto"/>
              <w:rPr>
                <w:rFonts w:ascii="Times New Roman"/>
                <w:snapToGrid w:val="0"/>
                <w:color w:val="auto"/>
                <w:spacing w:val="-16"/>
                <w:kern w:val="21"/>
                <w:szCs w:val="21"/>
              </w:rPr>
            </w:pPr>
            <w:r>
              <w:rPr>
                <w:rFonts w:ascii="Times New Roman"/>
                <w:snapToGrid w:val="0"/>
                <w:color w:val="auto"/>
                <w:spacing w:val="-16"/>
                <w:kern w:val="21"/>
                <w:szCs w:val="21"/>
              </w:rPr>
              <w:t>全厂排放量（固体废物产生量）</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kern w:val="2"/>
                <w:szCs w:val="21"/>
              </w:rPr>
              <w:t>⑥</w:t>
            </w:r>
            <w:r>
              <w:rPr>
                <w:rFonts w:ascii="Times New Roman"/>
                <w:snapToGrid w:val="0"/>
                <w:color w:val="auto"/>
                <w:spacing w:val="-16"/>
                <w:kern w:val="21"/>
                <w:szCs w:val="21"/>
              </w:rPr>
              <w:fldChar w:fldCharType="end"/>
            </w:r>
          </w:p>
        </w:tc>
        <w:tc>
          <w:tcPr>
            <w:tcW w:w="1358" w:type="dxa"/>
            <w:tcMar>
              <w:left w:w="28" w:type="dxa"/>
              <w:right w:w="28" w:type="dxa"/>
            </w:tcMar>
            <w:vAlign w:val="center"/>
          </w:tcPr>
          <w:p>
            <w:pPr>
              <w:pStyle w:val="61"/>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t>变化量</w:t>
            </w:r>
          </w:p>
          <w:p>
            <w:pPr>
              <w:pStyle w:val="61"/>
              <w:spacing w:beforeLines="0" w:afterLines="0" w:line="240" w:lineRule="auto"/>
              <w:rPr>
                <w:rFonts w:ascii="Times New Roman"/>
                <w:snapToGrid w:val="0"/>
                <w:color w:val="auto"/>
                <w:spacing w:val="-6"/>
                <w:kern w:val="21"/>
                <w:szCs w:val="21"/>
              </w:rPr>
            </w:pP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ascii="Times New Roman"/>
                <w:color w:val="auto"/>
                <w:kern w:val="2"/>
                <w:szCs w:val="21"/>
              </w:rPr>
              <w:t>⑦</w:t>
            </w:r>
            <w:r>
              <w:rPr>
                <w:rFonts w:ascii="Times New Roman"/>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368" w:type="dxa"/>
            <w:vMerge w:val="restart"/>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废气</w:t>
            </w:r>
          </w:p>
        </w:tc>
        <w:tc>
          <w:tcPr>
            <w:tcW w:w="1495" w:type="dxa"/>
            <w:vAlign w:val="center"/>
          </w:tcPr>
          <w:p>
            <w:pPr>
              <w:pStyle w:val="61"/>
              <w:spacing w:beforeLines="0" w:afterLines="0" w:line="240" w:lineRule="auto"/>
              <w:rPr>
                <w:rFonts w:ascii="Times New Roman"/>
                <w:snapToGrid w:val="0"/>
                <w:color w:val="auto"/>
                <w:kern w:val="21"/>
                <w:szCs w:val="21"/>
              </w:rPr>
            </w:pPr>
            <w:r>
              <w:rPr>
                <w:rFonts w:ascii="Times New Roman"/>
                <w:color w:val="auto"/>
                <w:szCs w:val="21"/>
              </w:rPr>
              <w:t>颗粒物</w:t>
            </w:r>
          </w:p>
        </w:tc>
        <w:tc>
          <w:tcPr>
            <w:tcW w:w="1701" w:type="dxa"/>
            <w:vAlign w:val="center"/>
          </w:tcPr>
          <w:p>
            <w:pPr>
              <w:pStyle w:val="61"/>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0.017</w:t>
            </w:r>
          </w:p>
        </w:tc>
        <w:tc>
          <w:tcPr>
            <w:tcW w:w="1276"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701"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559" w:type="dxa"/>
            <w:vAlign w:val="center"/>
          </w:tcPr>
          <w:p>
            <w:pPr>
              <w:pStyle w:val="61"/>
              <w:spacing w:beforeLines="0" w:afterLines="0" w:line="240" w:lineRule="auto"/>
              <w:rPr>
                <w:rFonts w:ascii="Times New Roman"/>
                <w:snapToGrid w:val="0"/>
                <w:color w:val="auto"/>
                <w:kern w:val="21"/>
                <w:szCs w:val="21"/>
              </w:rPr>
            </w:pPr>
            <w:r>
              <w:rPr>
                <w:rFonts w:hint="eastAsia" w:ascii="Times New Roman"/>
                <w:color w:val="auto"/>
                <w:szCs w:val="21"/>
                <w:lang w:val="en-US" w:eastAsia="zh-CN"/>
              </w:rPr>
              <w:t>0.045</w:t>
            </w:r>
          </w:p>
        </w:tc>
        <w:tc>
          <w:tcPr>
            <w:tcW w:w="1761"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641" w:type="dxa"/>
            <w:vAlign w:val="center"/>
          </w:tcPr>
          <w:p>
            <w:pPr>
              <w:pStyle w:val="61"/>
              <w:spacing w:beforeLines="0" w:afterLines="0" w:line="240" w:lineRule="auto"/>
              <w:rPr>
                <w:rFonts w:hint="default" w:ascii="Times New Roman" w:eastAsia="宋体"/>
                <w:snapToGrid w:val="0"/>
                <w:color w:val="auto"/>
                <w:kern w:val="21"/>
                <w:szCs w:val="21"/>
                <w:lang w:val="en-US" w:eastAsia="zh-CN"/>
              </w:rPr>
            </w:pPr>
            <w:r>
              <w:rPr>
                <w:rFonts w:hint="eastAsia" w:ascii="Times New Roman"/>
                <w:color w:val="auto"/>
                <w:szCs w:val="21"/>
                <w:lang w:val="en-US" w:eastAsia="zh-CN"/>
              </w:rPr>
              <w:t>0.062</w:t>
            </w:r>
          </w:p>
        </w:tc>
        <w:tc>
          <w:tcPr>
            <w:tcW w:w="1358" w:type="dxa"/>
            <w:vAlign w:val="center"/>
          </w:tcPr>
          <w:p>
            <w:pPr>
              <w:pStyle w:val="61"/>
              <w:spacing w:beforeLines="0" w:afterLines="0" w:line="240" w:lineRule="auto"/>
              <w:rPr>
                <w:rFonts w:ascii="Times New Roman"/>
                <w:snapToGrid w:val="0"/>
                <w:color w:val="auto"/>
                <w:kern w:val="21"/>
                <w:szCs w:val="21"/>
              </w:rPr>
            </w:pPr>
            <w:r>
              <w:rPr>
                <w:rFonts w:hint="eastAsia" w:ascii="Times New Roman"/>
                <w:color w:val="auto"/>
                <w:szCs w:val="21"/>
              </w:rPr>
              <w:t>+0.045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368" w:type="dxa"/>
            <w:vMerge w:val="continue"/>
            <w:vAlign w:val="center"/>
          </w:tcPr>
          <w:p>
            <w:pPr>
              <w:pStyle w:val="61"/>
              <w:spacing w:beforeLines="0" w:afterLines="0" w:line="240" w:lineRule="auto"/>
              <w:rPr>
                <w:rFonts w:ascii="Times New Roman"/>
                <w:snapToGrid w:val="0"/>
                <w:color w:val="auto"/>
                <w:kern w:val="21"/>
                <w:szCs w:val="21"/>
              </w:rPr>
            </w:pPr>
          </w:p>
        </w:tc>
        <w:tc>
          <w:tcPr>
            <w:tcW w:w="1495" w:type="dxa"/>
            <w:vAlign w:val="center"/>
          </w:tcPr>
          <w:p>
            <w:pPr>
              <w:pStyle w:val="61"/>
              <w:spacing w:beforeLines="0" w:afterLines="0" w:line="240" w:lineRule="auto"/>
              <w:rPr>
                <w:rFonts w:ascii="Times New Roman"/>
                <w:snapToGrid w:val="0"/>
                <w:color w:val="auto"/>
                <w:kern w:val="21"/>
                <w:szCs w:val="21"/>
              </w:rPr>
            </w:pPr>
            <w:r>
              <w:rPr>
                <w:rFonts w:ascii="Times New Roman"/>
                <w:color w:val="auto"/>
                <w:spacing w:val="6"/>
                <w:szCs w:val="21"/>
              </w:rPr>
              <w:t>SO</w:t>
            </w:r>
            <w:r>
              <w:rPr>
                <w:rFonts w:ascii="Times New Roman"/>
                <w:color w:val="auto"/>
                <w:spacing w:val="6"/>
                <w:szCs w:val="21"/>
                <w:vertAlign w:val="subscript"/>
              </w:rPr>
              <w:t>2</w:t>
            </w:r>
          </w:p>
        </w:tc>
        <w:tc>
          <w:tcPr>
            <w:tcW w:w="1701"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276"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701"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559" w:type="dxa"/>
            <w:vAlign w:val="center"/>
          </w:tcPr>
          <w:p>
            <w:pPr>
              <w:pStyle w:val="61"/>
              <w:spacing w:beforeLines="0" w:afterLines="0" w:line="240" w:lineRule="auto"/>
              <w:rPr>
                <w:rFonts w:ascii="Times New Roman"/>
                <w:snapToGrid w:val="0"/>
                <w:color w:val="auto"/>
                <w:kern w:val="21"/>
                <w:szCs w:val="21"/>
              </w:rPr>
            </w:pPr>
            <w:r>
              <w:rPr>
                <w:rFonts w:hint="eastAsia" w:ascii="Times New Roman"/>
                <w:color w:val="auto"/>
                <w:szCs w:val="21"/>
              </w:rPr>
              <w:t>0</w:t>
            </w:r>
          </w:p>
        </w:tc>
        <w:tc>
          <w:tcPr>
            <w:tcW w:w="1761"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641" w:type="dxa"/>
            <w:vAlign w:val="center"/>
          </w:tcPr>
          <w:p>
            <w:pPr>
              <w:pStyle w:val="61"/>
              <w:spacing w:beforeLines="0" w:afterLines="0" w:line="240" w:lineRule="auto"/>
              <w:rPr>
                <w:rFonts w:ascii="Times New Roman"/>
                <w:snapToGrid w:val="0"/>
                <w:color w:val="auto"/>
                <w:kern w:val="21"/>
                <w:szCs w:val="21"/>
              </w:rPr>
            </w:pPr>
            <w:r>
              <w:rPr>
                <w:rFonts w:hint="eastAsia" w:ascii="Times New Roman"/>
                <w:color w:val="auto"/>
                <w:szCs w:val="21"/>
              </w:rPr>
              <w:t>0</w:t>
            </w:r>
          </w:p>
        </w:tc>
        <w:tc>
          <w:tcPr>
            <w:tcW w:w="1358" w:type="dxa"/>
            <w:vAlign w:val="center"/>
          </w:tcPr>
          <w:p>
            <w:pPr>
              <w:pStyle w:val="61"/>
              <w:spacing w:beforeLines="0" w:afterLines="0" w:line="240" w:lineRule="auto"/>
              <w:rPr>
                <w:rFonts w:ascii="Times New Roman"/>
                <w:snapToGrid w:val="0"/>
                <w:color w:val="auto"/>
                <w:kern w:val="21"/>
                <w:szCs w:val="21"/>
              </w:rPr>
            </w:pPr>
            <w:r>
              <w:rPr>
                <w:rFonts w:hint="eastAsia" w:ascii="Times New Roman"/>
                <w:color w:val="auto"/>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368" w:type="dxa"/>
            <w:vMerge w:val="continue"/>
            <w:vAlign w:val="center"/>
          </w:tcPr>
          <w:p>
            <w:pPr>
              <w:pStyle w:val="61"/>
              <w:spacing w:beforeLines="0" w:afterLines="0" w:line="240" w:lineRule="auto"/>
              <w:rPr>
                <w:rFonts w:ascii="Times New Roman"/>
                <w:snapToGrid w:val="0"/>
                <w:color w:val="auto"/>
                <w:kern w:val="21"/>
                <w:szCs w:val="21"/>
              </w:rPr>
            </w:pPr>
          </w:p>
        </w:tc>
        <w:tc>
          <w:tcPr>
            <w:tcW w:w="1495" w:type="dxa"/>
            <w:vAlign w:val="center"/>
          </w:tcPr>
          <w:p>
            <w:pPr>
              <w:pStyle w:val="61"/>
              <w:spacing w:beforeLines="0" w:afterLines="0" w:line="240" w:lineRule="auto"/>
              <w:rPr>
                <w:rFonts w:ascii="Times New Roman"/>
                <w:snapToGrid w:val="0"/>
                <w:color w:val="auto"/>
                <w:kern w:val="21"/>
                <w:szCs w:val="21"/>
              </w:rPr>
            </w:pPr>
            <w:r>
              <w:rPr>
                <w:rFonts w:ascii="Times New Roman"/>
                <w:color w:val="auto"/>
                <w:spacing w:val="6"/>
                <w:szCs w:val="21"/>
              </w:rPr>
              <w:t>NO</w:t>
            </w:r>
            <w:r>
              <w:rPr>
                <w:rFonts w:ascii="Times New Roman"/>
                <w:color w:val="auto"/>
                <w:spacing w:val="6"/>
                <w:szCs w:val="21"/>
                <w:vertAlign w:val="subscript"/>
              </w:rPr>
              <w:t>x</w:t>
            </w:r>
          </w:p>
        </w:tc>
        <w:tc>
          <w:tcPr>
            <w:tcW w:w="1701"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276"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701"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559" w:type="dxa"/>
            <w:vAlign w:val="center"/>
          </w:tcPr>
          <w:p>
            <w:pPr>
              <w:pStyle w:val="61"/>
              <w:spacing w:beforeLines="0" w:afterLines="0" w:line="240" w:lineRule="auto"/>
              <w:rPr>
                <w:rFonts w:ascii="Times New Roman"/>
                <w:snapToGrid w:val="0"/>
                <w:color w:val="auto"/>
                <w:kern w:val="21"/>
                <w:szCs w:val="21"/>
              </w:rPr>
            </w:pPr>
            <w:r>
              <w:rPr>
                <w:rFonts w:hint="eastAsia" w:ascii="Times New Roman"/>
                <w:color w:val="auto"/>
                <w:szCs w:val="21"/>
              </w:rPr>
              <w:t>0</w:t>
            </w:r>
          </w:p>
        </w:tc>
        <w:tc>
          <w:tcPr>
            <w:tcW w:w="1761"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641" w:type="dxa"/>
            <w:vAlign w:val="center"/>
          </w:tcPr>
          <w:p>
            <w:pPr>
              <w:pStyle w:val="61"/>
              <w:spacing w:beforeLines="0" w:afterLines="0" w:line="240" w:lineRule="auto"/>
              <w:rPr>
                <w:rFonts w:ascii="Times New Roman"/>
                <w:snapToGrid w:val="0"/>
                <w:color w:val="auto"/>
                <w:kern w:val="21"/>
                <w:szCs w:val="21"/>
              </w:rPr>
            </w:pPr>
            <w:r>
              <w:rPr>
                <w:rFonts w:hint="eastAsia" w:ascii="Times New Roman"/>
                <w:color w:val="auto"/>
                <w:szCs w:val="21"/>
              </w:rPr>
              <w:t>0</w:t>
            </w:r>
          </w:p>
        </w:tc>
        <w:tc>
          <w:tcPr>
            <w:tcW w:w="1358" w:type="dxa"/>
            <w:vAlign w:val="center"/>
          </w:tcPr>
          <w:p>
            <w:pPr>
              <w:pStyle w:val="61"/>
              <w:spacing w:beforeLines="0" w:afterLines="0" w:line="240" w:lineRule="auto"/>
              <w:rPr>
                <w:rFonts w:ascii="Times New Roman"/>
                <w:snapToGrid w:val="0"/>
                <w:color w:val="auto"/>
                <w:kern w:val="21"/>
                <w:szCs w:val="21"/>
              </w:rPr>
            </w:pPr>
            <w:r>
              <w:rPr>
                <w:rFonts w:hint="eastAsia" w:ascii="Times New Roman"/>
                <w:color w:val="auto"/>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68" w:type="dxa"/>
            <w:vMerge w:val="continue"/>
            <w:vAlign w:val="center"/>
          </w:tcPr>
          <w:p>
            <w:pPr>
              <w:pStyle w:val="61"/>
              <w:spacing w:beforeLines="0" w:afterLines="0" w:line="240" w:lineRule="auto"/>
              <w:rPr>
                <w:rFonts w:ascii="Times New Roman"/>
                <w:snapToGrid w:val="0"/>
                <w:color w:val="auto"/>
                <w:kern w:val="21"/>
                <w:szCs w:val="21"/>
              </w:rPr>
            </w:pPr>
          </w:p>
        </w:tc>
        <w:tc>
          <w:tcPr>
            <w:tcW w:w="1495" w:type="dxa"/>
            <w:vAlign w:val="center"/>
          </w:tcPr>
          <w:p>
            <w:pPr>
              <w:pStyle w:val="61"/>
              <w:spacing w:beforeLines="0" w:afterLines="0" w:line="240" w:lineRule="auto"/>
              <w:rPr>
                <w:rFonts w:ascii="Times New Roman"/>
                <w:color w:val="auto"/>
                <w:spacing w:val="6"/>
                <w:szCs w:val="21"/>
              </w:rPr>
            </w:pPr>
            <w:r>
              <w:rPr>
                <w:rFonts w:hint="eastAsia" w:ascii="Times New Roman"/>
                <w:color w:val="auto"/>
                <w:spacing w:val="6"/>
                <w:szCs w:val="21"/>
              </w:rPr>
              <w:t>VOCs</w:t>
            </w:r>
          </w:p>
        </w:tc>
        <w:tc>
          <w:tcPr>
            <w:tcW w:w="1701" w:type="dxa"/>
            <w:vAlign w:val="center"/>
          </w:tcPr>
          <w:p>
            <w:pPr>
              <w:pStyle w:val="61"/>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0.038</w:t>
            </w:r>
          </w:p>
        </w:tc>
        <w:tc>
          <w:tcPr>
            <w:tcW w:w="1276"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701"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559" w:type="dxa"/>
            <w:vAlign w:val="center"/>
          </w:tcPr>
          <w:p>
            <w:pPr>
              <w:pStyle w:val="61"/>
              <w:spacing w:beforeLines="0" w:afterLines="0" w:line="240" w:lineRule="auto"/>
              <w:rPr>
                <w:rFonts w:ascii="Times New Roman"/>
                <w:color w:val="auto"/>
                <w:szCs w:val="21"/>
              </w:rPr>
            </w:pPr>
            <w:r>
              <w:rPr>
                <w:rFonts w:hint="eastAsia" w:ascii="Times New Roman"/>
                <w:color w:val="auto"/>
                <w:szCs w:val="21"/>
              </w:rPr>
              <w:t>0.0</w:t>
            </w:r>
            <w:r>
              <w:rPr>
                <w:rFonts w:hint="eastAsia" w:ascii="Times New Roman"/>
                <w:color w:val="auto"/>
                <w:szCs w:val="21"/>
                <w:lang w:val="en-US" w:eastAsia="zh-CN"/>
              </w:rPr>
              <w:t>77</w:t>
            </w:r>
          </w:p>
        </w:tc>
        <w:tc>
          <w:tcPr>
            <w:tcW w:w="1761"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641" w:type="dxa"/>
            <w:vAlign w:val="center"/>
          </w:tcPr>
          <w:p>
            <w:pPr>
              <w:pStyle w:val="61"/>
              <w:spacing w:beforeLines="0" w:afterLines="0" w:line="240" w:lineRule="auto"/>
              <w:rPr>
                <w:rFonts w:hint="default" w:ascii="Times New Roman" w:eastAsia="宋体"/>
                <w:color w:val="auto"/>
                <w:szCs w:val="21"/>
                <w:lang w:val="en-US" w:eastAsia="zh-CN"/>
              </w:rPr>
            </w:pPr>
            <w:r>
              <w:rPr>
                <w:rFonts w:hint="eastAsia" w:ascii="Times New Roman"/>
                <w:color w:val="auto"/>
                <w:szCs w:val="21"/>
                <w:lang w:val="en-US" w:eastAsia="zh-CN"/>
              </w:rPr>
              <w:t>0.115</w:t>
            </w:r>
          </w:p>
        </w:tc>
        <w:tc>
          <w:tcPr>
            <w:tcW w:w="1358" w:type="dxa"/>
            <w:vAlign w:val="center"/>
          </w:tcPr>
          <w:p>
            <w:pPr>
              <w:pStyle w:val="47"/>
              <w:snapToGrid w:val="0"/>
              <w:spacing w:line="240" w:lineRule="auto"/>
              <w:rPr>
                <w:rFonts w:ascii="Times New Roman"/>
                <w:color w:val="auto"/>
              </w:rPr>
            </w:pPr>
            <w:r>
              <w:rPr>
                <w:rFonts w:hint="eastAsia" w:ascii="Times New Roman" w:hAnsi="Times New Roman"/>
                <w:color w:val="auto"/>
              </w:rPr>
              <w:t>+</w:t>
            </w:r>
            <w:r>
              <w:rPr>
                <w:rFonts w:hint="eastAsia" w:ascii="Times New Roman"/>
                <w:color w:val="auto"/>
              </w:rPr>
              <w:t>0.</w:t>
            </w:r>
            <w:r>
              <w:rPr>
                <w:rFonts w:hint="eastAsia" w:ascii="Times New Roman"/>
                <w:color w:val="auto"/>
                <w:lang w:val="en-US" w:eastAsia="zh-CN"/>
              </w:rPr>
              <w:t>077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368" w:type="dxa"/>
            <w:vMerge w:val="restart"/>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废水</w:t>
            </w:r>
          </w:p>
        </w:tc>
        <w:tc>
          <w:tcPr>
            <w:tcW w:w="1495" w:type="dxa"/>
            <w:vAlign w:val="center"/>
          </w:tcPr>
          <w:p>
            <w:pPr>
              <w:pStyle w:val="61"/>
              <w:spacing w:beforeLines="0" w:afterLines="0" w:line="240" w:lineRule="auto"/>
              <w:rPr>
                <w:rFonts w:ascii="Times New Roman"/>
                <w:snapToGrid w:val="0"/>
                <w:color w:val="auto"/>
                <w:kern w:val="21"/>
                <w:szCs w:val="21"/>
                <w:vertAlign w:val="subscript"/>
              </w:rPr>
            </w:pPr>
            <w:r>
              <w:rPr>
                <w:rFonts w:ascii="Times New Roman"/>
                <w:snapToGrid w:val="0"/>
                <w:color w:val="auto"/>
                <w:kern w:val="21"/>
                <w:szCs w:val="21"/>
              </w:rPr>
              <w:t>COD</w:t>
            </w:r>
            <w:r>
              <w:rPr>
                <w:rFonts w:hint="eastAsia" w:ascii="Times New Roman"/>
                <w:snapToGrid w:val="0"/>
                <w:color w:val="auto"/>
                <w:kern w:val="21"/>
                <w:szCs w:val="21"/>
                <w:vertAlign w:val="subscript"/>
              </w:rPr>
              <w:t>Cr</w:t>
            </w:r>
          </w:p>
        </w:tc>
        <w:tc>
          <w:tcPr>
            <w:tcW w:w="1701" w:type="dxa"/>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1276" w:type="dxa"/>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1701" w:type="dxa"/>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1559" w:type="dxa"/>
            <w:vAlign w:val="center"/>
          </w:tcPr>
          <w:p>
            <w:pPr>
              <w:pStyle w:val="61"/>
              <w:spacing w:beforeLines="0" w:afterLines="0" w:line="240" w:lineRule="auto"/>
              <w:rPr>
                <w:rFonts w:ascii="Times New Roman"/>
                <w:color w:val="auto"/>
                <w:kern w:val="21"/>
              </w:rPr>
            </w:pPr>
            <w:r>
              <w:rPr>
                <w:rFonts w:ascii="Times New Roman"/>
                <w:snapToGrid w:val="0"/>
                <w:color w:val="auto"/>
                <w:kern w:val="21"/>
                <w:szCs w:val="21"/>
              </w:rPr>
              <w:t>0</w:t>
            </w:r>
          </w:p>
        </w:tc>
        <w:tc>
          <w:tcPr>
            <w:tcW w:w="1761" w:type="dxa"/>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1641" w:type="dxa"/>
            <w:vAlign w:val="center"/>
          </w:tcPr>
          <w:p>
            <w:pPr>
              <w:pStyle w:val="61"/>
              <w:spacing w:beforeLines="0" w:afterLines="0" w:line="240" w:lineRule="auto"/>
              <w:rPr>
                <w:rFonts w:ascii="Times New Roman"/>
                <w:color w:val="auto"/>
                <w:kern w:val="21"/>
              </w:rPr>
            </w:pPr>
            <w:r>
              <w:rPr>
                <w:rFonts w:ascii="Times New Roman"/>
                <w:snapToGrid w:val="0"/>
                <w:color w:val="auto"/>
                <w:kern w:val="21"/>
                <w:szCs w:val="21"/>
              </w:rPr>
              <w:t>0</w:t>
            </w:r>
          </w:p>
        </w:tc>
        <w:tc>
          <w:tcPr>
            <w:tcW w:w="1358" w:type="dxa"/>
            <w:vAlign w:val="center"/>
          </w:tcPr>
          <w:p>
            <w:pPr>
              <w:pStyle w:val="61"/>
              <w:spacing w:beforeLines="0" w:afterLines="0" w:line="240" w:lineRule="auto"/>
              <w:rPr>
                <w:rFonts w:ascii="Times New Roman"/>
                <w:color w:val="auto"/>
                <w:kern w:val="21"/>
              </w:rPr>
            </w:pPr>
            <w:r>
              <w:rPr>
                <w:rFonts w:ascii="Times New Roman"/>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68" w:type="dxa"/>
            <w:vMerge w:val="continue"/>
            <w:vAlign w:val="center"/>
          </w:tcPr>
          <w:p>
            <w:pPr>
              <w:pStyle w:val="61"/>
              <w:spacing w:beforeLines="0" w:afterLines="0" w:line="240" w:lineRule="auto"/>
              <w:rPr>
                <w:rFonts w:ascii="Times New Roman"/>
                <w:snapToGrid w:val="0"/>
                <w:color w:val="auto"/>
                <w:kern w:val="21"/>
                <w:szCs w:val="21"/>
              </w:rPr>
            </w:pPr>
          </w:p>
        </w:tc>
        <w:tc>
          <w:tcPr>
            <w:tcW w:w="1495" w:type="dxa"/>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NH</w:t>
            </w:r>
            <w:r>
              <w:rPr>
                <w:rFonts w:ascii="Times New Roman"/>
                <w:snapToGrid w:val="0"/>
                <w:color w:val="auto"/>
                <w:kern w:val="21"/>
                <w:szCs w:val="21"/>
                <w:vertAlign w:val="subscript"/>
              </w:rPr>
              <w:t>3</w:t>
            </w:r>
            <w:r>
              <w:rPr>
                <w:rFonts w:ascii="Times New Roman"/>
                <w:snapToGrid w:val="0"/>
                <w:color w:val="auto"/>
                <w:kern w:val="21"/>
                <w:szCs w:val="21"/>
              </w:rPr>
              <w:t>-N</w:t>
            </w:r>
          </w:p>
        </w:tc>
        <w:tc>
          <w:tcPr>
            <w:tcW w:w="1701" w:type="dxa"/>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1276" w:type="dxa"/>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1701" w:type="dxa"/>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1559" w:type="dxa"/>
            <w:vAlign w:val="center"/>
          </w:tcPr>
          <w:p>
            <w:pPr>
              <w:pStyle w:val="61"/>
              <w:spacing w:beforeLines="0" w:afterLines="0" w:line="240" w:lineRule="auto"/>
              <w:rPr>
                <w:rFonts w:ascii="Times New Roman"/>
                <w:color w:val="auto"/>
                <w:kern w:val="21"/>
              </w:rPr>
            </w:pPr>
            <w:r>
              <w:rPr>
                <w:rFonts w:ascii="Times New Roman"/>
                <w:snapToGrid w:val="0"/>
                <w:color w:val="auto"/>
                <w:kern w:val="21"/>
                <w:szCs w:val="21"/>
              </w:rPr>
              <w:t>0</w:t>
            </w:r>
          </w:p>
        </w:tc>
        <w:tc>
          <w:tcPr>
            <w:tcW w:w="1761" w:type="dxa"/>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1641" w:type="dxa"/>
            <w:vAlign w:val="center"/>
          </w:tcPr>
          <w:p>
            <w:pPr>
              <w:pStyle w:val="61"/>
              <w:spacing w:beforeLines="0" w:afterLines="0" w:line="240" w:lineRule="auto"/>
              <w:rPr>
                <w:rFonts w:ascii="Times New Roman"/>
                <w:color w:val="auto"/>
                <w:kern w:val="21"/>
              </w:rPr>
            </w:pPr>
            <w:r>
              <w:rPr>
                <w:rFonts w:ascii="Times New Roman"/>
                <w:snapToGrid w:val="0"/>
                <w:color w:val="auto"/>
                <w:kern w:val="21"/>
                <w:szCs w:val="21"/>
              </w:rPr>
              <w:t>0</w:t>
            </w:r>
          </w:p>
        </w:tc>
        <w:tc>
          <w:tcPr>
            <w:tcW w:w="1358" w:type="dxa"/>
            <w:vAlign w:val="center"/>
          </w:tcPr>
          <w:p>
            <w:pPr>
              <w:pStyle w:val="61"/>
              <w:spacing w:beforeLines="0" w:afterLines="0" w:line="240" w:lineRule="auto"/>
              <w:rPr>
                <w:rFonts w:ascii="Times New Roman"/>
                <w:color w:val="auto"/>
                <w:kern w:val="21"/>
              </w:rPr>
            </w:pPr>
            <w:r>
              <w:rPr>
                <w:rFonts w:ascii="Times New Roman"/>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368" w:type="dxa"/>
            <w:vMerge w:val="continue"/>
            <w:vAlign w:val="center"/>
          </w:tcPr>
          <w:p>
            <w:pPr>
              <w:pStyle w:val="61"/>
              <w:spacing w:beforeLines="0" w:afterLines="0" w:line="240" w:lineRule="auto"/>
              <w:rPr>
                <w:rFonts w:ascii="Times New Roman"/>
                <w:snapToGrid w:val="0"/>
                <w:color w:val="auto"/>
                <w:kern w:val="21"/>
                <w:szCs w:val="21"/>
              </w:rPr>
            </w:pPr>
          </w:p>
        </w:tc>
        <w:tc>
          <w:tcPr>
            <w:tcW w:w="1495" w:type="dxa"/>
            <w:vAlign w:val="center"/>
          </w:tcPr>
          <w:p>
            <w:pPr>
              <w:pStyle w:val="61"/>
              <w:spacing w:beforeLines="0" w:afterLines="0" w:line="240" w:lineRule="auto"/>
              <w:rPr>
                <w:rFonts w:ascii="Times New Roman"/>
                <w:snapToGrid w:val="0"/>
                <w:color w:val="auto"/>
                <w:kern w:val="21"/>
                <w:szCs w:val="21"/>
                <w:vertAlign w:val="subscript"/>
              </w:rPr>
            </w:pPr>
            <w:r>
              <w:rPr>
                <w:rFonts w:ascii="Times New Roman"/>
                <w:snapToGrid w:val="0"/>
                <w:color w:val="auto"/>
                <w:kern w:val="21"/>
                <w:szCs w:val="21"/>
              </w:rPr>
              <w:t>BOD</w:t>
            </w:r>
            <w:r>
              <w:rPr>
                <w:rFonts w:hint="eastAsia" w:ascii="Times New Roman"/>
                <w:snapToGrid w:val="0"/>
                <w:color w:val="auto"/>
                <w:kern w:val="21"/>
                <w:szCs w:val="21"/>
                <w:vertAlign w:val="subscript"/>
              </w:rPr>
              <w:t>5</w:t>
            </w:r>
          </w:p>
        </w:tc>
        <w:tc>
          <w:tcPr>
            <w:tcW w:w="1701" w:type="dxa"/>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1276" w:type="dxa"/>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1701" w:type="dxa"/>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1559" w:type="dxa"/>
            <w:vAlign w:val="center"/>
          </w:tcPr>
          <w:p>
            <w:pPr>
              <w:pStyle w:val="61"/>
              <w:spacing w:beforeLines="0" w:afterLines="0" w:line="240" w:lineRule="auto"/>
              <w:rPr>
                <w:rFonts w:ascii="Times New Roman"/>
                <w:color w:val="auto"/>
                <w:kern w:val="21"/>
              </w:rPr>
            </w:pPr>
            <w:r>
              <w:rPr>
                <w:rFonts w:ascii="Times New Roman"/>
                <w:snapToGrid w:val="0"/>
                <w:color w:val="auto"/>
                <w:kern w:val="21"/>
                <w:szCs w:val="21"/>
              </w:rPr>
              <w:t>0</w:t>
            </w:r>
          </w:p>
        </w:tc>
        <w:tc>
          <w:tcPr>
            <w:tcW w:w="1761" w:type="dxa"/>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1641" w:type="dxa"/>
            <w:vAlign w:val="center"/>
          </w:tcPr>
          <w:p>
            <w:pPr>
              <w:pStyle w:val="61"/>
              <w:spacing w:beforeLines="0" w:afterLines="0" w:line="240" w:lineRule="auto"/>
              <w:rPr>
                <w:rFonts w:ascii="Times New Roman"/>
                <w:color w:val="auto"/>
                <w:kern w:val="21"/>
              </w:rPr>
            </w:pPr>
            <w:r>
              <w:rPr>
                <w:rFonts w:ascii="Times New Roman"/>
                <w:snapToGrid w:val="0"/>
                <w:color w:val="auto"/>
                <w:kern w:val="21"/>
                <w:szCs w:val="21"/>
              </w:rPr>
              <w:t>0</w:t>
            </w:r>
          </w:p>
        </w:tc>
        <w:tc>
          <w:tcPr>
            <w:tcW w:w="1358" w:type="dxa"/>
            <w:vAlign w:val="center"/>
          </w:tcPr>
          <w:p>
            <w:pPr>
              <w:pStyle w:val="61"/>
              <w:spacing w:beforeLines="0" w:afterLines="0" w:line="240" w:lineRule="auto"/>
              <w:rPr>
                <w:rFonts w:ascii="Times New Roman"/>
                <w:color w:val="auto"/>
                <w:kern w:val="21"/>
              </w:rPr>
            </w:pPr>
            <w:r>
              <w:rPr>
                <w:rFonts w:ascii="Times New Roman"/>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68" w:type="dxa"/>
            <w:vMerge w:val="continue"/>
            <w:vAlign w:val="center"/>
          </w:tcPr>
          <w:p>
            <w:pPr>
              <w:pStyle w:val="61"/>
              <w:spacing w:beforeLines="0" w:afterLines="0" w:line="240" w:lineRule="auto"/>
              <w:rPr>
                <w:rFonts w:ascii="Times New Roman"/>
                <w:snapToGrid w:val="0"/>
                <w:color w:val="auto"/>
                <w:kern w:val="21"/>
                <w:szCs w:val="21"/>
              </w:rPr>
            </w:pPr>
          </w:p>
        </w:tc>
        <w:tc>
          <w:tcPr>
            <w:tcW w:w="1495" w:type="dxa"/>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SS</w:t>
            </w:r>
          </w:p>
        </w:tc>
        <w:tc>
          <w:tcPr>
            <w:tcW w:w="1701" w:type="dxa"/>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1276" w:type="dxa"/>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1701" w:type="dxa"/>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1559" w:type="dxa"/>
            <w:vAlign w:val="center"/>
          </w:tcPr>
          <w:p>
            <w:pPr>
              <w:pStyle w:val="61"/>
              <w:spacing w:beforeLines="0" w:afterLines="0" w:line="240" w:lineRule="auto"/>
              <w:rPr>
                <w:rFonts w:ascii="Times New Roman"/>
                <w:color w:val="auto"/>
                <w:kern w:val="21"/>
              </w:rPr>
            </w:pPr>
            <w:r>
              <w:rPr>
                <w:rFonts w:ascii="Times New Roman"/>
                <w:snapToGrid w:val="0"/>
                <w:color w:val="auto"/>
                <w:kern w:val="21"/>
                <w:szCs w:val="21"/>
              </w:rPr>
              <w:t>0</w:t>
            </w:r>
          </w:p>
        </w:tc>
        <w:tc>
          <w:tcPr>
            <w:tcW w:w="1761" w:type="dxa"/>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1641" w:type="dxa"/>
            <w:vAlign w:val="center"/>
          </w:tcPr>
          <w:p>
            <w:pPr>
              <w:pStyle w:val="61"/>
              <w:spacing w:beforeLines="0" w:afterLines="0" w:line="240" w:lineRule="auto"/>
              <w:rPr>
                <w:rFonts w:ascii="Times New Roman"/>
                <w:color w:val="auto"/>
                <w:kern w:val="21"/>
              </w:rPr>
            </w:pPr>
            <w:r>
              <w:rPr>
                <w:rFonts w:ascii="Times New Roman"/>
                <w:snapToGrid w:val="0"/>
                <w:color w:val="auto"/>
                <w:kern w:val="21"/>
                <w:szCs w:val="21"/>
              </w:rPr>
              <w:t>0</w:t>
            </w:r>
          </w:p>
        </w:tc>
        <w:tc>
          <w:tcPr>
            <w:tcW w:w="1358" w:type="dxa"/>
            <w:vAlign w:val="center"/>
          </w:tcPr>
          <w:p>
            <w:pPr>
              <w:pStyle w:val="61"/>
              <w:spacing w:beforeLines="0" w:afterLines="0" w:line="240" w:lineRule="auto"/>
              <w:rPr>
                <w:rFonts w:ascii="Times New Roman"/>
                <w:color w:val="auto"/>
                <w:kern w:val="21"/>
              </w:rPr>
            </w:pPr>
            <w:r>
              <w:rPr>
                <w:rFonts w:ascii="Times New Roman"/>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68" w:type="dxa"/>
            <w:vMerge w:val="continue"/>
            <w:vAlign w:val="center"/>
          </w:tcPr>
          <w:p>
            <w:pPr>
              <w:pStyle w:val="61"/>
              <w:spacing w:beforeLines="0" w:afterLines="0" w:line="240" w:lineRule="auto"/>
              <w:rPr>
                <w:rFonts w:ascii="Times New Roman"/>
                <w:snapToGrid w:val="0"/>
                <w:color w:val="auto"/>
                <w:kern w:val="21"/>
                <w:szCs w:val="21"/>
              </w:rPr>
            </w:pPr>
          </w:p>
        </w:tc>
        <w:tc>
          <w:tcPr>
            <w:tcW w:w="1495"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动植物油</w:t>
            </w:r>
          </w:p>
        </w:tc>
        <w:tc>
          <w:tcPr>
            <w:tcW w:w="1701" w:type="dxa"/>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1276" w:type="dxa"/>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1701" w:type="dxa"/>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1559" w:type="dxa"/>
            <w:vAlign w:val="center"/>
          </w:tcPr>
          <w:p>
            <w:pPr>
              <w:pStyle w:val="47"/>
              <w:snapToGrid w:val="0"/>
              <w:spacing w:line="240" w:lineRule="auto"/>
              <w:rPr>
                <w:rFonts w:ascii="Times New Roman" w:hAnsi="Times New Roman"/>
                <w:color w:val="auto"/>
              </w:rPr>
            </w:pPr>
            <w:r>
              <w:rPr>
                <w:rFonts w:hint="eastAsia" w:ascii="Times New Roman" w:hAnsi="Times New Roman"/>
                <w:color w:val="auto"/>
              </w:rPr>
              <w:t>0</w:t>
            </w:r>
          </w:p>
        </w:tc>
        <w:tc>
          <w:tcPr>
            <w:tcW w:w="1761"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641" w:type="dxa"/>
            <w:vAlign w:val="center"/>
          </w:tcPr>
          <w:p>
            <w:pPr>
              <w:pStyle w:val="47"/>
              <w:snapToGrid w:val="0"/>
              <w:spacing w:line="240" w:lineRule="auto"/>
              <w:rPr>
                <w:rFonts w:ascii="Times New Roman" w:hAnsi="Times New Roman"/>
                <w:color w:val="auto"/>
              </w:rPr>
            </w:pPr>
            <w:r>
              <w:rPr>
                <w:rFonts w:hint="eastAsia" w:ascii="Times New Roman" w:hAnsi="Times New Roman"/>
                <w:color w:val="auto"/>
              </w:rPr>
              <w:t>0</w:t>
            </w:r>
          </w:p>
        </w:tc>
        <w:tc>
          <w:tcPr>
            <w:tcW w:w="1358" w:type="dxa"/>
            <w:vAlign w:val="center"/>
          </w:tcPr>
          <w:p>
            <w:pPr>
              <w:pStyle w:val="47"/>
              <w:snapToGrid w:val="0"/>
              <w:spacing w:line="240" w:lineRule="auto"/>
              <w:rPr>
                <w:rFonts w:ascii="Times New Roman" w:hAnsi="Times New Roman"/>
                <w:color w:val="auto"/>
              </w:rPr>
            </w:pPr>
            <w:r>
              <w:rPr>
                <w:rFonts w:hint="eastAsia" w:ascii="Times New Roman" w:hAnsi="Times New Roman"/>
                <w:color w:val="auto"/>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68" w:type="dxa"/>
            <w:vMerge w:val="continue"/>
            <w:vAlign w:val="center"/>
          </w:tcPr>
          <w:p>
            <w:pPr>
              <w:pStyle w:val="61"/>
              <w:spacing w:beforeLines="0" w:afterLines="0" w:line="240" w:lineRule="auto"/>
              <w:rPr>
                <w:rFonts w:ascii="Times New Roman"/>
                <w:snapToGrid w:val="0"/>
                <w:color w:val="auto"/>
                <w:kern w:val="21"/>
                <w:szCs w:val="21"/>
              </w:rPr>
            </w:pPr>
          </w:p>
        </w:tc>
        <w:tc>
          <w:tcPr>
            <w:tcW w:w="1495"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石油类</w:t>
            </w:r>
          </w:p>
        </w:tc>
        <w:tc>
          <w:tcPr>
            <w:tcW w:w="1701" w:type="dxa"/>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1276" w:type="dxa"/>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1701" w:type="dxa"/>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1559" w:type="dxa"/>
            <w:vAlign w:val="center"/>
          </w:tcPr>
          <w:p>
            <w:pPr>
              <w:pStyle w:val="47"/>
              <w:snapToGrid w:val="0"/>
              <w:spacing w:line="240" w:lineRule="auto"/>
              <w:rPr>
                <w:rFonts w:ascii="Times New Roman" w:hAnsi="Times New Roman"/>
                <w:color w:val="auto"/>
              </w:rPr>
            </w:pPr>
            <w:r>
              <w:rPr>
                <w:rFonts w:hint="eastAsia" w:ascii="Times New Roman" w:hAnsi="Times New Roman"/>
                <w:color w:val="auto"/>
              </w:rPr>
              <w:t>0</w:t>
            </w:r>
          </w:p>
        </w:tc>
        <w:tc>
          <w:tcPr>
            <w:tcW w:w="1761"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641" w:type="dxa"/>
            <w:vAlign w:val="center"/>
          </w:tcPr>
          <w:p>
            <w:pPr>
              <w:pStyle w:val="47"/>
              <w:snapToGrid w:val="0"/>
              <w:spacing w:line="240" w:lineRule="auto"/>
              <w:rPr>
                <w:rFonts w:ascii="Times New Roman" w:hAnsi="Times New Roman"/>
                <w:color w:val="auto"/>
              </w:rPr>
            </w:pPr>
            <w:r>
              <w:rPr>
                <w:rFonts w:hint="eastAsia" w:ascii="Times New Roman" w:hAnsi="Times New Roman"/>
                <w:color w:val="auto"/>
              </w:rPr>
              <w:t>0</w:t>
            </w:r>
          </w:p>
        </w:tc>
        <w:tc>
          <w:tcPr>
            <w:tcW w:w="1358" w:type="dxa"/>
            <w:vAlign w:val="center"/>
          </w:tcPr>
          <w:p>
            <w:pPr>
              <w:pStyle w:val="47"/>
              <w:snapToGrid w:val="0"/>
              <w:spacing w:line="240" w:lineRule="auto"/>
              <w:rPr>
                <w:rFonts w:ascii="Times New Roman" w:hAnsi="Times New Roman"/>
                <w:color w:val="auto"/>
              </w:rPr>
            </w:pPr>
            <w:r>
              <w:rPr>
                <w:rFonts w:hint="eastAsia" w:ascii="Times New Roman" w:hAnsi="Times New Roman"/>
                <w:color w:val="auto"/>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68" w:type="dxa"/>
            <w:vMerge w:val="restart"/>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危险废物</w:t>
            </w:r>
          </w:p>
        </w:tc>
        <w:tc>
          <w:tcPr>
            <w:tcW w:w="1495"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废包装袋</w:t>
            </w:r>
          </w:p>
        </w:tc>
        <w:tc>
          <w:tcPr>
            <w:tcW w:w="1701"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0.68</w:t>
            </w:r>
          </w:p>
        </w:tc>
        <w:tc>
          <w:tcPr>
            <w:tcW w:w="1276"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701"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559"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2.61</w:t>
            </w:r>
          </w:p>
        </w:tc>
        <w:tc>
          <w:tcPr>
            <w:tcW w:w="1761"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641"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3.29</w:t>
            </w:r>
          </w:p>
        </w:tc>
        <w:tc>
          <w:tcPr>
            <w:tcW w:w="1358"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+2.61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68" w:type="dxa"/>
            <w:vMerge w:val="continue"/>
            <w:vAlign w:val="center"/>
          </w:tcPr>
          <w:p>
            <w:pPr>
              <w:pStyle w:val="61"/>
              <w:spacing w:beforeLines="0" w:afterLines="0" w:line="240" w:lineRule="auto"/>
              <w:rPr>
                <w:rFonts w:ascii="Times New Roman"/>
                <w:snapToGrid w:val="0"/>
                <w:color w:val="auto"/>
                <w:kern w:val="21"/>
                <w:szCs w:val="21"/>
              </w:rPr>
            </w:pPr>
          </w:p>
        </w:tc>
        <w:tc>
          <w:tcPr>
            <w:tcW w:w="1495"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废机油</w:t>
            </w:r>
          </w:p>
        </w:tc>
        <w:tc>
          <w:tcPr>
            <w:tcW w:w="1701"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0.05</w:t>
            </w:r>
          </w:p>
        </w:tc>
        <w:tc>
          <w:tcPr>
            <w:tcW w:w="1276" w:type="dxa"/>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1701" w:type="dxa"/>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1559"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0.125</w:t>
            </w:r>
          </w:p>
        </w:tc>
        <w:tc>
          <w:tcPr>
            <w:tcW w:w="1761" w:type="dxa"/>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1641"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0.175</w:t>
            </w:r>
          </w:p>
        </w:tc>
        <w:tc>
          <w:tcPr>
            <w:tcW w:w="1358"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+0.125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68" w:type="dxa"/>
            <w:vMerge w:val="continue"/>
            <w:vAlign w:val="center"/>
          </w:tcPr>
          <w:p>
            <w:pPr>
              <w:pStyle w:val="61"/>
              <w:spacing w:beforeLines="0" w:afterLines="0" w:line="240" w:lineRule="auto"/>
              <w:rPr>
                <w:rFonts w:ascii="Times New Roman"/>
                <w:snapToGrid w:val="0"/>
                <w:color w:val="auto"/>
                <w:kern w:val="21"/>
                <w:szCs w:val="21"/>
              </w:rPr>
            </w:pPr>
          </w:p>
        </w:tc>
        <w:tc>
          <w:tcPr>
            <w:tcW w:w="1495"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浮油渣</w:t>
            </w:r>
          </w:p>
        </w:tc>
        <w:tc>
          <w:tcPr>
            <w:tcW w:w="1701" w:type="dxa"/>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0</w:t>
            </w:r>
            <w:r>
              <w:rPr>
                <w:rFonts w:hint="eastAsia" w:ascii="Times New Roman"/>
                <w:snapToGrid w:val="0"/>
                <w:color w:val="auto"/>
                <w:kern w:val="21"/>
                <w:szCs w:val="21"/>
              </w:rPr>
              <w:t>.06</w:t>
            </w:r>
          </w:p>
        </w:tc>
        <w:tc>
          <w:tcPr>
            <w:tcW w:w="1276" w:type="dxa"/>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1701" w:type="dxa"/>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1559"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0.15</w:t>
            </w:r>
          </w:p>
        </w:tc>
        <w:tc>
          <w:tcPr>
            <w:tcW w:w="1761"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641"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0.21</w:t>
            </w:r>
          </w:p>
        </w:tc>
        <w:tc>
          <w:tcPr>
            <w:tcW w:w="1358"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368" w:type="dxa"/>
            <w:vMerge w:val="continue"/>
            <w:vAlign w:val="center"/>
          </w:tcPr>
          <w:p>
            <w:pPr>
              <w:pStyle w:val="61"/>
              <w:spacing w:beforeLines="0" w:afterLines="0" w:line="240" w:lineRule="auto"/>
              <w:rPr>
                <w:rFonts w:ascii="Times New Roman"/>
                <w:snapToGrid w:val="0"/>
                <w:color w:val="auto"/>
                <w:kern w:val="21"/>
                <w:szCs w:val="21"/>
              </w:rPr>
            </w:pPr>
          </w:p>
        </w:tc>
        <w:tc>
          <w:tcPr>
            <w:tcW w:w="1495"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油泥</w:t>
            </w:r>
          </w:p>
        </w:tc>
        <w:tc>
          <w:tcPr>
            <w:tcW w:w="1701" w:type="dxa"/>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1276"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701" w:type="dxa"/>
            <w:vAlign w:val="center"/>
          </w:tcPr>
          <w:p>
            <w:pPr>
              <w:pStyle w:val="61"/>
              <w:spacing w:beforeLines="0" w:afterLines="0" w:line="240" w:lineRule="auto"/>
              <w:rPr>
                <w:rFonts w:ascii="Times New Roman"/>
                <w:snapToGrid w:val="0"/>
                <w:color w:val="auto"/>
                <w:kern w:val="21"/>
                <w:szCs w:val="21"/>
              </w:rPr>
            </w:pPr>
            <w:r>
              <w:rPr>
                <w:rFonts w:ascii="Times New Roman"/>
                <w:snapToGrid w:val="0"/>
                <w:color w:val="auto"/>
                <w:kern w:val="21"/>
                <w:szCs w:val="21"/>
              </w:rPr>
              <w:t>0</w:t>
            </w:r>
          </w:p>
        </w:tc>
        <w:tc>
          <w:tcPr>
            <w:tcW w:w="1559"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0.1</w:t>
            </w:r>
          </w:p>
        </w:tc>
        <w:tc>
          <w:tcPr>
            <w:tcW w:w="1761"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641"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0.1</w:t>
            </w:r>
          </w:p>
        </w:tc>
        <w:tc>
          <w:tcPr>
            <w:tcW w:w="1358" w:type="dxa"/>
            <w:vAlign w:val="center"/>
          </w:tcPr>
          <w:p>
            <w:pPr>
              <w:pStyle w:val="61"/>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68" w:type="dxa"/>
            <w:vAlign w:val="center"/>
          </w:tcPr>
          <w:p>
            <w:pPr>
              <w:pStyle w:val="6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生活垃圾</w:t>
            </w:r>
          </w:p>
        </w:tc>
        <w:tc>
          <w:tcPr>
            <w:tcW w:w="1495" w:type="dxa"/>
            <w:vAlign w:val="center"/>
          </w:tcPr>
          <w:p>
            <w:pPr>
              <w:pStyle w:val="6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生活垃圾</w:t>
            </w:r>
          </w:p>
        </w:tc>
        <w:tc>
          <w:tcPr>
            <w:tcW w:w="1701" w:type="dxa"/>
            <w:vAlign w:val="center"/>
          </w:tcPr>
          <w:p>
            <w:pPr>
              <w:pStyle w:val="61"/>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1.88</w:t>
            </w:r>
          </w:p>
        </w:tc>
        <w:tc>
          <w:tcPr>
            <w:tcW w:w="1276" w:type="dxa"/>
            <w:vAlign w:val="center"/>
          </w:tcPr>
          <w:p>
            <w:pPr>
              <w:pStyle w:val="6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w:t>
            </w:r>
          </w:p>
        </w:tc>
        <w:tc>
          <w:tcPr>
            <w:tcW w:w="1701" w:type="dxa"/>
            <w:vAlign w:val="center"/>
          </w:tcPr>
          <w:p>
            <w:pPr>
              <w:pStyle w:val="6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w:t>
            </w:r>
          </w:p>
        </w:tc>
        <w:tc>
          <w:tcPr>
            <w:tcW w:w="1559" w:type="dxa"/>
            <w:vAlign w:val="center"/>
          </w:tcPr>
          <w:p>
            <w:pPr>
              <w:pStyle w:val="61"/>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1.25</w:t>
            </w:r>
          </w:p>
        </w:tc>
        <w:tc>
          <w:tcPr>
            <w:tcW w:w="1761" w:type="dxa"/>
            <w:vAlign w:val="center"/>
          </w:tcPr>
          <w:p>
            <w:pPr>
              <w:pStyle w:val="61"/>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w:t>
            </w:r>
          </w:p>
        </w:tc>
        <w:tc>
          <w:tcPr>
            <w:tcW w:w="1641" w:type="dxa"/>
            <w:vAlign w:val="center"/>
          </w:tcPr>
          <w:p>
            <w:pPr>
              <w:pStyle w:val="61"/>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3.13</w:t>
            </w:r>
          </w:p>
        </w:tc>
        <w:tc>
          <w:tcPr>
            <w:tcW w:w="1358" w:type="dxa"/>
            <w:vAlign w:val="center"/>
          </w:tcPr>
          <w:p>
            <w:pPr>
              <w:pStyle w:val="61"/>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+1.25</w:t>
            </w:r>
          </w:p>
        </w:tc>
      </w:tr>
    </w:tbl>
    <w:p>
      <w:pPr>
        <w:pStyle w:val="61"/>
        <w:spacing w:before="192" w:beforeLines="80" w:after="24"/>
        <w:jc w:val="left"/>
        <w:rPr>
          <w:rFonts w:hAnsi="宋体"/>
          <w:snapToGrid w:val="0"/>
          <w:color w:val="auto"/>
          <w:spacing w:val="-6"/>
          <w:kern w:val="21"/>
          <w:szCs w:val="21"/>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p>
      <w:pPr>
        <w:rPr>
          <w:color w:val="auto"/>
        </w:rPr>
        <w:sectPr>
          <w:footerReference r:id="rId6" w:type="default"/>
          <w:pgSz w:w="16838" w:h="11906" w:orient="landscape"/>
          <w:pgMar w:top="1701" w:right="1531" w:bottom="1701" w:left="1531" w:header="851" w:footer="851" w:gutter="0"/>
          <w:cols w:space="720" w:num="1"/>
          <w:docGrid w:linePitch="312" w:charSpace="0"/>
        </w:sectPr>
      </w:pPr>
    </w:p>
    <w:p>
      <w:pPr>
        <w:adjustRightInd w:val="0"/>
        <w:snapToGrid w:val="0"/>
        <w:spacing w:line="288" w:lineRule="auto"/>
        <w:ind w:left="3245" w:leftChars="513" w:hanging="2168" w:hangingChars="600"/>
        <w:rPr>
          <w:rFonts w:ascii="仿宋_GB2312" w:eastAsia="仿宋_GB2312"/>
          <w:b/>
          <w:bCs/>
          <w:color w:val="auto"/>
          <w:sz w:val="36"/>
          <w:szCs w:val="36"/>
        </w:rPr>
      </w:pPr>
    </w:p>
    <w:p>
      <w:pPr>
        <w:adjustRightInd w:val="0"/>
        <w:snapToGrid w:val="0"/>
        <w:spacing w:line="288" w:lineRule="auto"/>
        <w:ind w:left="3245" w:leftChars="513" w:hanging="2168" w:hangingChars="600"/>
        <w:rPr>
          <w:rFonts w:ascii="仿宋_GB2312" w:eastAsia="仿宋_GB2312"/>
          <w:b/>
          <w:bCs/>
          <w:color w:val="auto"/>
          <w:sz w:val="36"/>
          <w:szCs w:val="36"/>
        </w:rPr>
      </w:pPr>
    </w:p>
    <w:p>
      <w:pPr>
        <w:adjustRightInd w:val="0"/>
        <w:snapToGrid w:val="0"/>
        <w:spacing w:line="288" w:lineRule="auto"/>
        <w:ind w:left="3245" w:leftChars="513" w:hanging="2168" w:hangingChars="600"/>
        <w:rPr>
          <w:rFonts w:ascii="仿宋_GB2312" w:eastAsia="仿宋_GB2312"/>
          <w:b/>
          <w:bCs/>
          <w:color w:val="auto"/>
          <w:sz w:val="36"/>
          <w:szCs w:val="36"/>
        </w:rPr>
      </w:pPr>
    </w:p>
    <w:p>
      <w:pPr>
        <w:pStyle w:val="5"/>
        <w:bidi w:val="0"/>
        <w:jc w:val="center"/>
        <w:rPr>
          <w:rFonts w:hint="eastAsia" w:ascii="方正仿宋_GB2312" w:hAnsi="方正仿宋_GB2312" w:eastAsia="方正仿宋_GB2312" w:cs="方正仿宋_GB2312"/>
          <w:b/>
          <w:bCs/>
          <w:color w:val="auto"/>
        </w:rPr>
      </w:pPr>
      <w:r>
        <w:rPr>
          <w:rFonts w:hint="eastAsia" w:ascii="方正仿宋_GB2312" w:hAnsi="方正仿宋_GB2312" w:eastAsia="方正仿宋_GB2312" w:cs="方正仿宋_GB2312"/>
          <w:b/>
          <w:bCs/>
          <w:color w:val="auto"/>
        </w:rPr>
        <w:t>现场混装多孔粒状铵油炸药生产系统扩能项目</w:t>
      </w:r>
    </w:p>
    <w:p>
      <w:pPr>
        <w:pStyle w:val="5"/>
        <w:bidi w:val="0"/>
        <w:jc w:val="center"/>
        <w:rPr>
          <w:rFonts w:hint="eastAsia" w:ascii="方正仿宋_GB2312" w:hAnsi="方正仿宋_GB2312" w:eastAsia="方正仿宋_GB2312" w:cs="方正仿宋_GB2312"/>
          <w:b/>
          <w:bCs/>
          <w:color w:val="auto"/>
        </w:rPr>
      </w:pPr>
      <w:r>
        <w:rPr>
          <w:rFonts w:hint="eastAsia" w:ascii="方正仿宋_GB2312" w:hAnsi="方正仿宋_GB2312" w:eastAsia="方正仿宋_GB2312" w:cs="方正仿宋_GB2312"/>
          <w:b/>
          <w:bCs/>
          <w:color w:val="auto"/>
        </w:rPr>
        <w:t>环境风险专项评价</w:t>
      </w:r>
    </w:p>
    <w:p>
      <w:pPr>
        <w:adjustRightInd w:val="0"/>
        <w:snapToGrid w:val="0"/>
        <w:spacing w:line="288" w:lineRule="auto"/>
        <w:ind w:firstLine="1040"/>
        <w:rPr>
          <w:rFonts w:ascii="仿宋_GB2312" w:eastAsia="仿宋_GB2312"/>
          <w:b/>
          <w:bCs/>
          <w:color w:val="auto"/>
          <w:sz w:val="36"/>
          <w:szCs w:val="36"/>
        </w:rPr>
      </w:pPr>
    </w:p>
    <w:p>
      <w:pPr>
        <w:adjustRightInd w:val="0"/>
        <w:snapToGrid w:val="0"/>
        <w:spacing w:line="288" w:lineRule="auto"/>
        <w:ind w:firstLine="1040"/>
        <w:rPr>
          <w:rFonts w:ascii="仿宋_GB2312" w:eastAsia="仿宋_GB2312"/>
          <w:b/>
          <w:bCs/>
          <w:color w:val="auto"/>
          <w:sz w:val="36"/>
          <w:szCs w:val="36"/>
        </w:rPr>
      </w:pPr>
    </w:p>
    <w:p>
      <w:pPr>
        <w:adjustRightInd w:val="0"/>
        <w:snapToGrid w:val="0"/>
        <w:spacing w:line="288" w:lineRule="auto"/>
        <w:ind w:firstLine="1040"/>
        <w:rPr>
          <w:rFonts w:ascii="仿宋_GB2312" w:eastAsia="仿宋_GB2312"/>
          <w:b/>
          <w:bCs/>
          <w:color w:val="auto"/>
          <w:sz w:val="36"/>
          <w:szCs w:val="36"/>
        </w:rPr>
      </w:pPr>
    </w:p>
    <w:p>
      <w:pPr>
        <w:adjustRightInd w:val="0"/>
        <w:snapToGrid w:val="0"/>
        <w:spacing w:line="288" w:lineRule="auto"/>
        <w:ind w:firstLine="1040"/>
        <w:rPr>
          <w:rFonts w:ascii="仿宋_GB2312" w:eastAsia="仿宋_GB2312"/>
          <w:b/>
          <w:bCs/>
          <w:color w:val="auto"/>
          <w:sz w:val="36"/>
          <w:szCs w:val="36"/>
        </w:rPr>
      </w:pPr>
    </w:p>
    <w:p>
      <w:pPr>
        <w:adjustRightInd w:val="0"/>
        <w:snapToGrid w:val="0"/>
        <w:spacing w:line="288" w:lineRule="auto"/>
        <w:ind w:firstLine="1040"/>
        <w:rPr>
          <w:rFonts w:ascii="仿宋_GB2312" w:eastAsia="仿宋_GB2312"/>
          <w:b/>
          <w:bCs/>
          <w:color w:val="auto"/>
          <w:sz w:val="36"/>
          <w:szCs w:val="36"/>
        </w:rPr>
      </w:pPr>
    </w:p>
    <w:p>
      <w:pPr>
        <w:adjustRightInd w:val="0"/>
        <w:snapToGrid w:val="0"/>
        <w:spacing w:line="288" w:lineRule="auto"/>
        <w:ind w:firstLine="1040"/>
        <w:rPr>
          <w:rFonts w:ascii="仿宋_GB2312" w:eastAsia="仿宋_GB2312"/>
          <w:b/>
          <w:bCs/>
          <w:color w:val="auto"/>
          <w:sz w:val="36"/>
          <w:szCs w:val="36"/>
        </w:rPr>
      </w:pPr>
    </w:p>
    <w:p>
      <w:pPr>
        <w:adjustRightInd w:val="0"/>
        <w:snapToGrid w:val="0"/>
        <w:spacing w:line="288" w:lineRule="auto"/>
        <w:ind w:firstLine="1040"/>
        <w:rPr>
          <w:rFonts w:ascii="仿宋_GB2312" w:eastAsia="仿宋_GB2312"/>
          <w:b/>
          <w:bCs/>
          <w:color w:val="auto"/>
          <w:sz w:val="36"/>
          <w:szCs w:val="36"/>
        </w:rPr>
      </w:pPr>
    </w:p>
    <w:p>
      <w:pPr>
        <w:adjustRightInd w:val="0"/>
        <w:snapToGrid w:val="0"/>
        <w:spacing w:line="288" w:lineRule="auto"/>
        <w:ind w:firstLine="1040"/>
        <w:rPr>
          <w:rFonts w:ascii="仿宋_GB2312" w:eastAsia="仿宋_GB2312"/>
          <w:b/>
          <w:bCs/>
          <w:color w:val="auto"/>
          <w:sz w:val="36"/>
          <w:szCs w:val="36"/>
        </w:rPr>
      </w:pPr>
    </w:p>
    <w:p>
      <w:pPr>
        <w:adjustRightInd w:val="0"/>
        <w:snapToGrid w:val="0"/>
        <w:spacing w:line="288" w:lineRule="auto"/>
        <w:ind w:firstLine="1040"/>
        <w:rPr>
          <w:rFonts w:ascii="仿宋_GB2312" w:eastAsia="仿宋_GB2312"/>
          <w:b/>
          <w:bCs/>
          <w:color w:val="auto"/>
          <w:sz w:val="36"/>
          <w:szCs w:val="36"/>
        </w:rPr>
      </w:pPr>
    </w:p>
    <w:p>
      <w:pPr>
        <w:adjustRightInd w:val="0"/>
        <w:snapToGrid w:val="0"/>
        <w:spacing w:line="288" w:lineRule="auto"/>
        <w:ind w:firstLine="1040"/>
        <w:rPr>
          <w:rFonts w:ascii="仿宋_GB2312" w:eastAsia="仿宋_GB2312"/>
          <w:b/>
          <w:bCs/>
          <w:color w:val="auto"/>
          <w:sz w:val="36"/>
          <w:szCs w:val="36"/>
        </w:rPr>
      </w:pPr>
    </w:p>
    <w:p>
      <w:pPr>
        <w:adjustRightInd w:val="0"/>
        <w:snapToGrid w:val="0"/>
        <w:spacing w:line="288" w:lineRule="auto"/>
        <w:ind w:firstLine="1040"/>
        <w:rPr>
          <w:rFonts w:ascii="仿宋_GB2312" w:eastAsia="仿宋_GB2312"/>
          <w:b/>
          <w:bCs/>
          <w:color w:val="auto"/>
          <w:sz w:val="36"/>
          <w:szCs w:val="36"/>
        </w:rPr>
      </w:pPr>
    </w:p>
    <w:p>
      <w:pPr>
        <w:adjustRightInd w:val="0"/>
        <w:snapToGrid w:val="0"/>
        <w:spacing w:line="288" w:lineRule="auto"/>
        <w:ind w:firstLine="1040"/>
        <w:rPr>
          <w:rFonts w:ascii="仿宋_GB2312" w:eastAsia="仿宋_GB2312"/>
          <w:b/>
          <w:bCs/>
          <w:color w:val="auto"/>
          <w:sz w:val="36"/>
          <w:szCs w:val="36"/>
        </w:rPr>
      </w:pPr>
    </w:p>
    <w:p>
      <w:pPr>
        <w:adjustRightInd w:val="0"/>
        <w:snapToGrid w:val="0"/>
        <w:spacing w:line="288" w:lineRule="auto"/>
        <w:rPr>
          <w:rFonts w:ascii="仿宋_GB2312" w:eastAsia="仿宋_GB2312"/>
          <w:b/>
          <w:bCs/>
          <w:color w:val="auto"/>
          <w:sz w:val="36"/>
          <w:szCs w:val="36"/>
        </w:rPr>
      </w:pPr>
    </w:p>
    <w:p>
      <w:pPr>
        <w:adjustRightInd w:val="0"/>
        <w:snapToGrid w:val="0"/>
        <w:spacing w:line="288" w:lineRule="auto"/>
        <w:rPr>
          <w:rFonts w:ascii="仿宋_GB2312" w:eastAsia="仿宋_GB2312"/>
          <w:b/>
          <w:bCs/>
          <w:color w:val="auto"/>
          <w:sz w:val="36"/>
          <w:szCs w:val="36"/>
        </w:rPr>
      </w:pPr>
    </w:p>
    <w:p>
      <w:pPr>
        <w:spacing w:line="480" w:lineRule="auto"/>
        <w:ind w:left="2401" w:hanging="1440"/>
        <w:rPr>
          <w:rFonts w:ascii="宋体" w:hAnsi="宋体" w:cs="楷体"/>
          <w:b/>
          <w:bCs/>
          <w:color w:val="auto"/>
          <w:sz w:val="32"/>
          <w:szCs w:val="32"/>
        </w:rPr>
      </w:pPr>
      <w:r>
        <w:rPr>
          <w:rFonts w:hint="eastAsia" w:ascii="仿宋_GB2312" w:eastAsia="仿宋_GB2312"/>
          <w:b/>
          <w:bCs/>
          <w:color w:val="auto"/>
          <w:sz w:val="32"/>
          <w:szCs w:val="32"/>
        </w:rPr>
        <w:t>建设单位：昌吉天宝混装炸药制造有限公司</w:t>
      </w:r>
    </w:p>
    <w:p>
      <w:pPr>
        <w:adjustRightInd w:val="0"/>
        <w:snapToGrid w:val="0"/>
        <w:spacing w:line="288" w:lineRule="auto"/>
        <w:ind w:firstLine="361" w:firstLineChars="100"/>
        <w:rPr>
          <w:rFonts w:ascii="仿宋_GB2312" w:eastAsia="仿宋_GB2312"/>
          <w:color w:val="auto"/>
          <w:sz w:val="28"/>
          <w:szCs w:val="28"/>
        </w:rPr>
        <w:sectPr>
          <w:footerReference r:id="rId7" w:type="default"/>
          <w:pgSz w:w="11906" w:h="16838"/>
          <w:pgMar w:top="1134" w:right="1134" w:bottom="1701" w:left="1701" w:header="851" w:footer="992" w:gutter="0"/>
          <w:cols w:space="720" w:num="1"/>
          <w:docGrid w:type="lines" w:linePitch="312" w:charSpace="0"/>
        </w:sectPr>
      </w:pPr>
      <w:r>
        <w:rPr>
          <w:rFonts w:hint="eastAsia" w:ascii="仿宋_GB2312" w:eastAsia="仿宋_GB2312"/>
          <w:b/>
          <w:bCs/>
          <w:color w:val="auto"/>
          <w:sz w:val="36"/>
          <w:szCs w:val="36"/>
        </w:rPr>
        <w:t xml:space="preserve">     </w:t>
      </w:r>
      <w:r>
        <w:rPr>
          <w:rFonts w:hint="eastAsia" w:ascii="仿宋_GB2312" w:eastAsia="仿宋_GB2312"/>
          <w:b/>
          <w:bCs/>
          <w:color w:val="auto"/>
          <w:sz w:val="32"/>
          <w:szCs w:val="32"/>
        </w:rPr>
        <w:t xml:space="preserve">编制日期： </w:t>
      </w:r>
      <w:r>
        <w:rPr>
          <w:rFonts w:ascii="仿宋_GB2312" w:eastAsia="仿宋_GB2312"/>
          <w:b/>
          <w:bCs/>
          <w:color w:val="auto"/>
          <w:sz w:val="32"/>
          <w:szCs w:val="32"/>
        </w:rPr>
        <w:t xml:space="preserve"> </w:t>
      </w:r>
      <w:r>
        <w:rPr>
          <w:rFonts w:hint="eastAsia" w:ascii="仿宋_GB2312" w:eastAsia="仿宋_GB2312"/>
          <w:b/>
          <w:bCs/>
          <w:color w:val="auto"/>
          <w:sz w:val="32"/>
          <w:szCs w:val="32"/>
        </w:rPr>
        <w:t>2024年</w:t>
      </w:r>
      <w:r>
        <w:rPr>
          <w:rFonts w:hint="eastAsia" w:ascii="仿宋_GB2312" w:eastAsia="仿宋_GB2312"/>
          <w:b/>
          <w:bCs/>
          <w:color w:val="auto"/>
          <w:sz w:val="32"/>
          <w:szCs w:val="32"/>
          <w:lang w:val="en-US" w:eastAsia="zh-CN"/>
        </w:rPr>
        <w:t>6</w:t>
      </w:r>
      <w:r>
        <w:rPr>
          <w:rFonts w:hint="eastAsia" w:ascii="仿宋_GB2312" w:eastAsia="仿宋_GB2312"/>
          <w:b/>
          <w:bCs/>
          <w:color w:val="auto"/>
          <w:sz w:val="32"/>
          <w:szCs w:val="32"/>
        </w:rPr>
        <w:t>月</w:t>
      </w:r>
      <w:r>
        <w:rPr>
          <w:rFonts w:ascii="仿宋_GB2312" w:eastAsia="仿宋_GB2312"/>
          <w:b/>
          <w:bCs/>
          <w:color w:val="auto"/>
          <w:sz w:val="32"/>
          <w:szCs w:val="32"/>
        </w:rPr>
        <w:t xml:space="preserve"> </w:t>
      </w:r>
      <w:r>
        <w:rPr>
          <w:rFonts w:ascii="仿宋_GB2312" w:eastAsia="仿宋_GB2312"/>
          <w:color w:val="auto"/>
          <w:sz w:val="28"/>
          <w:szCs w:val="28"/>
        </w:rPr>
        <w:t xml:space="preserve">  </w:t>
      </w:r>
    </w:p>
    <w:p>
      <w:pPr>
        <w:widowControl/>
        <w:spacing w:line="520" w:lineRule="exact"/>
        <w:ind w:firstLine="480" w:firstLineChars="200"/>
        <w:rPr>
          <w:color w:val="auto"/>
          <w:kern w:val="0"/>
          <w:sz w:val="24"/>
          <w:lang w:bidi="ar"/>
        </w:rPr>
      </w:pPr>
      <w:r>
        <w:rPr>
          <w:color w:val="auto"/>
          <w:kern w:val="0"/>
          <w:sz w:val="24"/>
          <w:lang w:bidi="ar"/>
        </w:rPr>
        <w:t>环境风险评价的目的是分析和预测建设项目存在的潜在危险、有害因素，建设项目建设和运行期间可能发生的突发性事件或事故</w:t>
      </w:r>
      <w:r>
        <w:rPr>
          <w:rFonts w:hint="eastAsia"/>
          <w:color w:val="auto"/>
          <w:kern w:val="0"/>
          <w:sz w:val="24"/>
          <w:lang w:bidi="ar"/>
        </w:rPr>
        <w:t>（</w:t>
      </w:r>
      <w:r>
        <w:rPr>
          <w:color w:val="auto"/>
          <w:kern w:val="0"/>
          <w:sz w:val="24"/>
          <w:lang w:bidi="ar"/>
        </w:rPr>
        <w:t>一般不包括人为破坏及自然灾害</w:t>
      </w:r>
      <w:r>
        <w:rPr>
          <w:rFonts w:hint="eastAsia"/>
          <w:color w:val="auto"/>
          <w:kern w:val="0"/>
          <w:sz w:val="24"/>
          <w:lang w:bidi="ar"/>
        </w:rPr>
        <w:t>）</w:t>
      </w:r>
      <w:r>
        <w:rPr>
          <w:color w:val="auto"/>
          <w:kern w:val="0"/>
          <w:sz w:val="24"/>
          <w:lang w:bidi="ar"/>
        </w:rPr>
        <w:t>，引起有毒有害和易燃易爆等物质泄漏，所造成的人身安全与环境影响和损害程度，提出合理可行的防范、应急与减缓措施，以使建设项目事故率、损失和环境影响达到可接受水平。环境风险评价应把事故引起厂</w:t>
      </w:r>
      <w:r>
        <w:rPr>
          <w:rFonts w:hint="eastAsia"/>
          <w:color w:val="auto"/>
          <w:kern w:val="0"/>
          <w:sz w:val="24"/>
          <w:lang w:bidi="ar"/>
        </w:rPr>
        <w:t>（</w:t>
      </w:r>
      <w:r>
        <w:rPr>
          <w:color w:val="auto"/>
          <w:kern w:val="0"/>
          <w:sz w:val="24"/>
          <w:lang w:bidi="ar"/>
        </w:rPr>
        <w:t>场</w:t>
      </w:r>
      <w:r>
        <w:rPr>
          <w:rFonts w:hint="eastAsia"/>
          <w:color w:val="auto"/>
          <w:kern w:val="0"/>
          <w:sz w:val="24"/>
          <w:lang w:bidi="ar"/>
        </w:rPr>
        <w:t>）</w:t>
      </w:r>
      <w:r>
        <w:rPr>
          <w:color w:val="auto"/>
          <w:kern w:val="0"/>
          <w:sz w:val="24"/>
          <w:lang w:bidi="ar"/>
        </w:rPr>
        <w:t>界外人群的伤害、环境质量的恶化及对生态系统影响的预测和防护作为评价工作重点。</w:t>
      </w:r>
    </w:p>
    <w:p>
      <w:pPr>
        <w:widowControl/>
        <w:spacing w:line="520" w:lineRule="exact"/>
        <w:ind w:firstLine="480" w:firstLineChars="200"/>
        <w:rPr>
          <w:color w:val="auto"/>
          <w:kern w:val="0"/>
          <w:sz w:val="24"/>
          <w:lang w:bidi="ar"/>
        </w:rPr>
      </w:pPr>
      <w:r>
        <w:rPr>
          <w:color w:val="auto"/>
          <w:kern w:val="0"/>
          <w:sz w:val="24"/>
          <w:lang w:bidi="ar"/>
        </w:rPr>
        <w:t>本次评价遵照《关于进一步加强环境影响评价管理防范环境风险的通知》</w:t>
      </w:r>
      <w:r>
        <w:rPr>
          <w:rFonts w:hint="eastAsia"/>
          <w:color w:val="auto"/>
          <w:kern w:val="0"/>
          <w:sz w:val="24"/>
          <w:lang w:bidi="ar"/>
        </w:rPr>
        <w:t>（</w:t>
      </w:r>
      <w:r>
        <w:rPr>
          <w:color w:val="auto"/>
          <w:kern w:val="0"/>
          <w:sz w:val="24"/>
          <w:lang w:bidi="ar"/>
        </w:rPr>
        <w:t>环发</w:t>
      </w:r>
      <w:r>
        <w:rPr>
          <w:rFonts w:hint="eastAsia" w:ascii="微软雅黑" w:hAnsi="微软雅黑" w:eastAsia="微软雅黑" w:cs="微软雅黑"/>
          <w:color w:val="auto"/>
          <w:sz w:val="24"/>
        </w:rPr>
        <w:t>〔</w:t>
      </w:r>
      <w:r>
        <w:rPr>
          <w:color w:val="auto"/>
          <w:sz w:val="24"/>
        </w:rPr>
        <w:t>20</w:t>
      </w:r>
      <w:r>
        <w:rPr>
          <w:rFonts w:hint="eastAsia"/>
          <w:color w:val="auto"/>
          <w:sz w:val="24"/>
        </w:rPr>
        <w:t>12</w:t>
      </w:r>
      <w:r>
        <w:rPr>
          <w:rFonts w:hint="eastAsia" w:ascii="微软雅黑" w:hAnsi="微软雅黑" w:eastAsia="微软雅黑" w:cs="微软雅黑"/>
          <w:color w:val="auto"/>
          <w:sz w:val="24"/>
        </w:rPr>
        <w:t>〕</w:t>
      </w:r>
      <w:r>
        <w:rPr>
          <w:color w:val="auto"/>
          <w:kern w:val="0"/>
          <w:sz w:val="24"/>
          <w:lang w:bidi="ar"/>
        </w:rPr>
        <w:t>77号</w:t>
      </w:r>
      <w:r>
        <w:rPr>
          <w:rFonts w:hint="eastAsia"/>
          <w:color w:val="auto"/>
          <w:kern w:val="0"/>
          <w:sz w:val="24"/>
          <w:lang w:bidi="ar"/>
        </w:rPr>
        <w:t>）</w:t>
      </w:r>
      <w:r>
        <w:rPr>
          <w:color w:val="auto"/>
          <w:kern w:val="0"/>
          <w:sz w:val="24"/>
          <w:lang w:bidi="ar"/>
        </w:rPr>
        <w:t>和《关于切实加强风险防范严格环境影响评价管理的通知》</w:t>
      </w:r>
      <w:r>
        <w:rPr>
          <w:rFonts w:hint="eastAsia"/>
          <w:color w:val="auto"/>
          <w:kern w:val="0"/>
          <w:sz w:val="24"/>
          <w:lang w:bidi="ar"/>
        </w:rPr>
        <w:t>（</w:t>
      </w:r>
      <w:r>
        <w:rPr>
          <w:color w:val="auto"/>
          <w:kern w:val="0"/>
          <w:sz w:val="24"/>
          <w:lang w:bidi="ar"/>
        </w:rPr>
        <w:t>环发</w:t>
      </w:r>
      <w:r>
        <w:rPr>
          <w:rFonts w:hint="eastAsia" w:ascii="微软雅黑" w:hAnsi="微软雅黑" w:eastAsia="微软雅黑" w:cs="微软雅黑"/>
          <w:color w:val="auto"/>
          <w:sz w:val="24"/>
        </w:rPr>
        <w:t>〔</w:t>
      </w:r>
      <w:r>
        <w:rPr>
          <w:color w:val="auto"/>
          <w:sz w:val="24"/>
        </w:rPr>
        <w:t>20</w:t>
      </w:r>
      <w:r>
        <w:rPr>
          <w:rFonts w:hint="eastAsia"/>
          <w:color w:val="auto"/>
          <w:sz w:val="24"/>
        </w:rPr>
        <w:t>12</w:t>
      </w:r>
      <w:r>
        <w:rPr>
          <w:rFonts w:hint="eastAsia" w:ascii="微软雅黑" w:hAnsi="微软雅黑" w:eastAsia="微软雅黑" w:cs="微软雅黑"/>
          <w:color w:val="auto"/>
          <w:sz w:val="24"/>
        </w:rPr>
        <w:t>〕</w:t>
      </w:r>
      <w:r>
        <w:rPr>
          <w:color w:val="auto"/>
          <w:kern w:val="0"/>
          <w:sz w:val="24"/>
          <w:lang w:bidi="ar"/>
        </w:rPr>
        <w:t>98号</w:t>
      </w:r>
      <w:r>
        <w:rPr>
          <w:rFonts w:hint="eastAsia"/>
          <w:color w:val="auto"/>
          <w:kern w:val="0"/>
          <w:sz w:val="24"/>
          <w:lang w:bidi="ar"/>
        </w:rPr>
        <w:t>）</w:t>
      </w:r>
      <w:r>
        <w:rPr>
          <w:color w:val="auto"/>
          <w:kern w:val="0"/>
          <w:sz w:val="24"/>
          <w:lang w:bidi="ar"/>
        </w:rPr>
        <w:t>精神，以《建设项目环境风险评价技术导则》</w:t>
      </w:r>
      <w:r>
        <w:rPr>
          <w:rFonts w:hint="eastAsia"/>
          <w:color w:val="auto"/>
          <w:kern w:val="0"/>
          <w:sz w:val="24"/>
          <w:lang w:bidi="ar"/>
        </w:rPr>
        <w:t>（</w:t>
      </w:r>
      <w:r>
        <w:rPr>
          <w:color w:val="auto"/>
          <w:kern w:val="0"/>
          <w:sz w:val="24"/>
          <w:lang w:bidi="ar"/>
        </w:rPr>
        <w:t>HJ169-2018</w:t>
      </w:r>
      <w:r>
        <w:rPr>
          <w:rFonts w:hint="eastAsia"/>
          <w:color w:val="auto"/>
          <w:kern w:val="0"/>
          <w:sz w:val="24"/>
          <w:lang w:bidi="ar"/>
        </w:rPr>
        <w:t>）</w:t>
      </w:r>
      <w:r>
        <w:rPr>
          <w:color w:val="auto"/>
          <w:kern w:val="0"/>
          <w:sz w:val="24"/>
          <w:lang w:bidi="ar"/>
        </w:rPr>
        <w:t>为指导</w:t>
      </w:r>
      <w:r>
        <w:rPr>
          <w:rFonts w:hint="eastAsia"/>
          <w:color w:val="auto"/>
          <w:kern w:val="0"/>
          <w:sz w:val="24"/>
          <w:lang w:bidi="ar"/>
        </w:rPr>
        <w:t>，</w:t>
      </w:r>
      <w:r>
        <w:rPr>
          <w:color w:val="auto"/>
          <w:kern w:val="0"/>
          <w:sz w:val="24"/>
          <w:lang w:bidi="ar"/>
        </w:rPr>
        <w:t>通过对拟建项目进行风险识别和风险事故情形分析</w:t>
      </w:r>
      <w:r>
        <w:rPr>
          <w:rFonts w:hint="eastAsia"/>
          <w:color w:val="auto"/>
          <w:kern w:val="0"/>
          <w:sz w:val="24"/>
          <w:lang w:bidi="ar"/>
        </w:rPr>
        <w:t>，</w:t>
      </w:r>
      <w:r>
        <w:rPr>
          <w:color w:val="auto"/>
          <w:kern w:val="0"/>
          <w:sz w:val="24"/>
          <w:lang w:bidi="ar"/>
        </w:rPr>
        <w:t>进行风险预测与评价，提出减缓风险的措施和建议，为环境管理提供资料和依据，达到降低危险、减少危害的目的。</w:t>
      </w:r>
    </w:p>
    <w:p>
      <w:pPr>
        <w:widowControl/>
        <w:numPr>
          <w:ilvl w:val="0"/>
          <w:numId w:val="17"/>
        </w:numPr>
        <w:spacing w:line="520" w:lineRule="exact"/>
        <w:ind w:firstLine="482"/>
        <w:rPr>
          <w:b/>
          <w:bCs/>
          <w:color w:val="auto"/>
          <w:kern w:val="0"/>
          <w:sz w:val="24"/>
          <w:lang w:bidi="ar"/>
        </w:rPr>
      </w:pPr>
      <w:r>
        <w:rPr>
          <w:rFonts w:hint="eastAsia"/>
          <w:b/>
          <w:bCs/>
          <w:color w:val="auto"/>
          <w:kern w:val="0"/>
          <w:sz w:val="24"/>
          <w:lang w:bidi="ar"/>
        </w:rPr>
        <w:t>评价依据</w:t>
      </w:r>
    </w:p>
    <w:p>
      <w:pPr>
        <w:pStyle w:val="10"/>
        <w:spacing w:line="520" w:lineRule="exact"/>
        <w:rPr>
          <w:rFonts w:eastAsia="宋体"/>
          <w:b/>
          <w:bCs/>
          <w:color w:val="auto"/>
          <w:kern w:val="0"/>
          <w:sz w:val="24"/>
          <w:szCs w:val="24"/>
          <w:lang w:bidi="ar"/>
        </w:rPr>
      </w:pPr>
      <w:r>
        <w:rPr>
          <w:rFonts w:hint="eastAsia" w:eastAsia="宋体"/>
          <w:b/>
          <w:bCs/>
          <w:color w:val="auto"/>
          <w:kern w:val="0"/>
          <w:sz w:val="24"/>
          <w:szCs w:val="24"/>
          <w:lang w:bidi="ar"/>
        </w:rPr>
        <w:t>1.1风险调查</w:t>
      </w:r>
    </w:p>
    <w:p>
      <w:pPr>
        <w:widowControl/>
        <w:spacing w:line="520" w:lineRule="exact"/>
        <w:ind w:firstLine="480" w:firstLineChars="200"/>
        <w:rPr>
          <w:color w:val="auto"/>
          <w:kern w:val="0"/>
          <w:sz w:val="24"/>
          <w:lang w:bidi="ar"/>
        </w:rPr>
      </w:pPr>
      <w:r>
        <w:rPr>
          <w:color w:val="auto"/>
          <w:kern w:val="0"/>
          <w:sz w:val="24"/>
          <w:lang w:bidi="ar"/>
        </w:rPr>
        <w:t>根据《建设项目环境风险评价技术导则》（HJ169-2018）</w:t>
      </w:r>
      <w:r>
        <w:rPr>
          <w:rFonts w:hint="eastAsia"/>
          <w:color w:val="auto"/>
          <w:kern w:val="0"/>
          <w:sz w:val="24"/>
          <w:lang w:bidi="ar"/>
        </w:rPr>
        <w:t>、《危险化学品重大危险源辨识》（GB18218-2018）</w:t>
      </w:r>
      <w:r>
        <w:rPr>
          <w:color w:val="auto"/>
          <w:kern w:val="0"/>
          <w:sz w:val="24"/>
          <w:lang w:bidi="ar"/>
        </w:rPr>
        <w:t>及本项目所涉及到的原辅材料筛选项目区存在的危险物质，危险物质、分布单元及全厂最大存在量统计如下表：</w:t>
      </w:r>
    </w:p>
    <w:p>
      <w:pPr>
        <w:widowControl/>
        <w:ind w:firstLine="480" w:firstLineChars="200"/>
        <w:jc w:val="center"/>
        <w:rPr>
          <w:rFonts w:eastAsia="黑体"/>
          <w:color w:val="auto"/>
          <w:sz w:val="24"/>
        </w:rPr>
      </w:pPr>
      <w:r>
        <w:rPr>
          <w:rFonts w:eastAsia="黑体"/>
          <w:color w:val="auto"/>
          <w:sz w:val="24"/>
        </w:rPr>
        <w:t>表</w:t>
      </w:r>
      <w:r>
        <w:rPr>
          <w:rFonts w:hint="eastAsia" w:eastAsia="黑体"/>
          <w:color w:val="auto"/>
          <w:sz w:val="24"/>
        </w:rPr>
        <w:t>1</w:t>
      </w:r>
      <w:r>
        <w:rPr>
          <w:rFonts w:eastAsia="黑体"/>
          <w:color w:val="auto"/>
          <w:sz w:val="24"/>
        </w:rPr>
        <w:t xml:space="preserve">  全厂危险物质及存在单元</w:t>
      </w:r>
    </w:p>
    <w:tbl>
      <w:tblPr>
        <w:tblStyle w:val="29"/>
        <w:tblW w:w="499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00"/>
        <w:gridCol w:w="1304"/>
        <w:gridCol w:w="1393"/>
        <w:gridCol w:w="2214"/>
        <w:gridCol w:w="294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7" w:hRule="atLeast"/>
          <w:tblHeader/>
        </w:trPr>
        <w:tc>
          <w:tcPr>
            <w:tcW w:w="663" w:type="pct"/>
            <w:tcBorders>
              <w:tl2br w:val="nil"/>
              <w:tr2bl w:val="nil"/>
            </w:tcBorders>
            <w:vAlign w:val="center"/>
          </w:tcPr>
          <w:p>
            <w:pPr>
              <w:pStyle w:val="65"/>
              <w:rPr>
                <w:color w:val="auto"/>
              </w:rPr>
            </w:pPr>
            <w:r>
              <w:rPr>
                <w:color w:val="auto"/>
              </w:rPr>
              <w:t>危险物质名称</w:t>
            </w:r>
          </w:p>
        </w:tc>
        <w:tc>
          <w:tcPr>
            <w:tcW w:w="720" w:type="pct"/>
            <w:tcBorders>
              <w:tl2br w:val="nil"/>
              <w:tr2bl w:val="nil"/>
            </w:tcBorders>
            <w:vAlign w:val="center"/>
          </w:tcPr>
          <w:p>
            <w:pPr>
              <w:pStyle w:val="65"/>
              <w:rPr>
                <w:color w:val="auto"/>
              </w:rPr>
            </w:pPr>
            <w:r>
              <w:rPr>
                <w:color w:val="auto"/>
              </w:rPr>
              <w:t>CAS号</w:t>
            </w:r>
          </w:p>
        </w:tc>
        <w:tc>
          <w:tcPr>
            <w:tcW w:w="769" w:type="pct"/>
            <w:tcBorders>
              <w:tl2br w:val="nil"/>
              <w:tr2bl w:val="nil"/>
            </w:tcBorders>
            <w:vAlign w:val="center"/>
          </w:tcPr>
          <w:p>
            <w:pPr>
              <w:pStyle w:val="65"/>
              <w:rPr>
                <w:color w:val="auto"/>
              </w:rPr>
            </w:pPr>
            <w:r>
              <w:rPr>
                <w:color w:val="auto"/>
              </w:rPr>
              <w:t>存在单元</w:t>
            </w:r>
          </w:p>
        </w:tc>
        <w:tc>
          <w:tcPr>
            <w:tcW w:w="1222" w:type="pct"/>
            <w:tcBorders>
              <w:tl2br w:val="nil"/>
              <w:tr2bl w:val="nil"/>
            </w:tcBorders>
            <w:vAlign w:val="center"/>
          </w:tcPr>
          <w:p>
            <w:pPr>
              <w:pStyle w:val="65"/>
              <w:rPr>
                <w:color w:val="auto"/>
              </w:rPr>
            </w:pPr>
            <w:r>
              <w:rPr>
                <w:color w:val="auto"/>
              </w:rPr>
              <w:t>储存设施及参数</w:t>
            </w:r>
          </w:p>
        </w:tc>
        <w:tc>
          <w:tcPr>
            <w:tcW w:w="1624" w:type="pct"/>
            <w:tcBorders>
              <w:tl2br w:val="nil"/>
              <w:tr2bl w:val="nil"/>
            </w:tcBorders>
            <w:vAlign w:val="center"/>
          </w:tcPr>
          <w:p>
            <w:pPr>
              <w:pStyle w:val="65"/>
              <w:rPr>
                <w:color w:val="auto"/>
              </w:rPr>
            </w:pPr>
            <w:r>
              <w:rPr>
                <w:color w:val="auto"/>
              </w:rPr>
              <w:t>最大存在量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63" w:type="pct"/>
            <w:tcBorders>
              <w:tl2br w:val="nil"/>
              <w:tr2bl w:val="nil"/>
            </w:tcBorders>
            <w:vAlign w:val="center"/>
          </w:tcPr>
          <w:p>
            <w:pPr>
              <w:pStyle w:val="65"/>
              <w:rPr>
                <w:color w:val="auto"/>
              </w:rPr>
            </w:pPr>
            <w:r>
              <w:rPr>
                <w:rFonts w:hint="eastAsia"/>
                <w:color w:val="auto"/>
              </w:rPr>
              <w:t>硝酸铵</w:t>
            </w:r>
          </w:p>
        </w:tc>
        <w:tc>
          <w:tcPr>
            <w:tcW w:w="720" w:type="pct"/>
            <w:tcBorders>
              <w:tl2br w:val="nil"/>
              <w:tr2bl w:val="nil"/>
            </w:tcBorders>
            <w:vAlign w:val="center"/>
          </w:tcPr>
          <w:p>
            <w:pPr>
              <w:pStyle w:val="65"/>
              <w:rPr>
                <w:color w:val="auto"/>
              </w:rPr>
            </w:pPr>
            <w:r>
              <w:rPr>
                <w:rFonts w:hint="eastAsia"/>
                <w:color w:val="auto"/>
              </w:rPr>
              <w:t>6484-52-2</w:t>
            </w:r>
          </w:p>
        </w:tc>
        <w:tc>
          <w:tcPr>
            <w:tcW w:w="769" w:type="pct"/>
            <w:tcBorders>
              <w:tl2br w:val="nil"/>
              <w:tr2bl w:val="nil"/>
            </w:tcBorders>
            <w:vAlign w:val="center"/>
          </w:tcPr>
          <w:p>
            <w:pPr>
              <w:pStyle w:val="65"/>
              <w:rPr>
                <w:color w:val="auto"/>
              </w:rPr>
            </w:pPr>
            <w:r>
              <w:rPr>
                <w:rFonts w:hint="eastAsia"/>
                <w:color w:val="auto"/>
              </w:rPr>
              <w:t>硝酸铵库</w:t>
            </w:r>
          </w:p>
        </w:tc>
        <w:tc>
          <w:tcPr>
            <w:tcW w:w="1222" w:type="pct"/>
            <w:tcBorders>
              <w:tl2br w:val="nil"/>
              <w:tr2bl w:val="nil"/>
            </w:tcBorders>
            <w:vAlign w:val="center"/>
          </w:tcPr>
          <w:p>
            <w:pPr>
              <w:pStyle w:val="65"/>
              <w:rPr>
                <w:color w:val="auto"/>
                <w:vertAlign w:val="superscript"/>
              </w:rPr>
            </w:pPr>
            <w:r>
              <w:rPr>
                <w:rFonts w:hint="eastAsia"/>
                <w:color w:val="auto"/>
              </w:rPr>
              <w:t>硝酸铵库</w:t>
            </w:r>
          </w:p>
        </w:tc>
        <w:tc>
          <w:tcPr>
            <w:tcW w:w="1624" w:type="pct"/>
            <w:tcBorders>
              <w:tl2br w:val="nil"/>
              <w:tr2bl w:val="nil"/>
            </w:tcBorders>
            <w:vAlign w:val="center"/>
          </w:tcPr>
          <w:p>
            <w:pPr>
              <w:pStyle w:val="65"/>
              <w:rPr>
                <w:color w:val="auto"/>
              </w:rPr>
            </w:pPr>
            <w:r>
              <w:rPr>
                <w:rFonts w:hint="eastAsia"/>
                <w:color w:val="auto"/>
              </w:rPr>
              <w:t>600t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1" w:hRule="atLeast"/>
        </w:trPr>
        <w:tc>
          <w:tcPr>
            <w:tcW w:w="663" w:type="pct"/>
            <w:tcBorders>
              <w:tl2br w:val="nil"/>
              <w:tr2bl w:val="nil"/>
            </w:tcBorders>
            <w:vAlign w:val="center"/>
          </w:tcPr>
          <w:p>
            <w:pPr>
              <w:pStyle w:val="65"/>
              <w:rPr>
                <w:color w:val="auto"/>
              </w:rPr>
            </w:pPr>
            <w:r>
              <w:rPr>
                <w:rFonts w:hint="eastAsia"/>
                <w:color w:val="auto"/>
              </w:rPr>
              <w:t>柴油</w:t>
            </w:r>
          </w:p>
        </w:tc>
        <w:tc>
          <w:tcPr>
            <w:tcW w:w="720" w:type="pct"/>
            <w:tcBorders>
              <w:tl2br w:val="nil"/>
              <w:tr2bl w:val="nil"/>
            </w:tcBorders>
            <w:vAlign w:val="center"/>
          </w:tcPr>
          <w:p>
            <w:pPr>
              <w:pStyle w:val="65"/>
              <w:rPr>
                <w:color w:val="auto"/>
              </w:rPr>
            </w:pPr>
            <w:r>
              <w:rPr>
                <w:rFonts w:hint="eastAsia"/>
                <w:color w:val="auto"/>
              </w:rPr>
              <w:t>/</w:t>
            </w:r>
          </w:p>
        </w:tc>
        <w:tc>
          <w:tcPr>
            <w:tcW w:w="769" w:type="pct"/>
            <w:tcBorders>
              <w:tl2br w:val="nil"/>
              <w:tr2bl w:val="nil"/>
            </w:tcBorders>
            <w:vAlign w:val="center"/>
          </w:tcPr>
          <w:p>
            <w:pPr>
              <w:pStyle w:val="65"/>
              <w:rPr>
                <w:color w:val="auto"/>
                <w:highlight w:val="none"/>
              </w:rPr>
            </w:pPr>
            <w:r>
              <w:rPr>
                <w:rFonts w:hint="eastAsia"/>
                <w:color w:val="auto"/>
                <w:highlight w:val="none"/>
              </w:rPr>
              <w:t>柴油储罐</w:t>
            </w:r>
          </w:p>
        </w:tc>
        <w:tc>
          <w:tcPr>
            <w:tcW w:w="1222" w:type="pct"/>
            <w:tcBorders>
              <w:tl2br w:val="nil"/>
              <w:tr2bl w:val="nil"/>
            </w:tcBorders>
            <w:vAlign w:val="center"/>
          </w:tcPr>
          <w:p>
            <w:pPr>
              <w:pStyle w:val="65"/>
              <w:rPr>
                <w:color w:val="auto"/>
                <w:highlight w:val="none"/>
                <w:vertAlign w:val="superscript"/>
              </w:rPr>
            </w:pPr>
            <w:r>
              <w:rPr>
                <w:rFonts w:hint="eastAsia"/>
                <w:color w:val="auto"/>
                <w:highlight w:val="none"/>
              </w:rPr>
              <w:t>柴油储罐</w:t>
            </w:r>
            <w:r>
              <w:rPr>
                <w:color w:val="auto"/>
                <w:highlight w:val="none"/>
              </w:rPr>
              <w:t>：</w:t>
            </w:r>
            <w:r>
              <w:rPr>
                <w:rFonts w:hint="eastAsia"/>
                <w:color w:val="auto"/>
                <w:highlight w:val="none"/>
              </w:rPr>
              <w:t>50</w:t>
            </w:r>
            <w:r>
              <w:rPr>
                <w:color w:val="auto"/>
                <w:highlight w:val="none"/>
              </w:rPr>
              <w:t>m</w:t>
            </w:r>
            <w:r>
              <w:rPr>
                <w:color w:val="auto"/>
                <w:highlight w:val="none"/>
                <w:vertAlign w:val="superscript"/>
              </w:rPr>
              <w:t>3</w:t>
            </w:r>
          </w:p>
          <w:p>
            <w:pPr>
              <w:pStyle w:val="65"/>
              <w:rPr>
                <w:rFonts w:hint="default" w:eastAsia="宋体"/>
                <w:color w:val="auto"/>
                <w:highlight w:val="none"/>
                <w:vertAlign w:val="superscript"/>
                <w:lang w:val="en-US" w:eastAsia="zh-CN"/>
              </w:rPr>
            </w:pPr>
            <w:r>
              <w:rPr>
                <w:rFonts w:hint="eastAsia" w:ascii="Times New Roman" w:hAnsi="Times New Roman" w:cs="Times New Roman"/>
                <w:color w:val="auto"/>
                <w:highlight w:val="none"/>
                <w:lang w:val="en-US" w:eastAsia="zh-CN"/>
              </w:rPr>
              <w:t>撬装加油一体装置：</w:t>
            </w:r>
            <w:r>
              <w:rPr>
                <w:rFonts w:hint="eastAsia"/>
                <w:color w:val="auto"/>
                <w:highlight w:val="none"/>
              </w:rPr>
              <w:t>50</w:t>
            </w:r>
            <w:r>
              <w:rPr>
                <w:color w:val="auto"/>
                <w:highlight w:val="none"/>
              </w:rPr>
              <w:t>m</w:t>
            </w:r>
            <w:r>
              <w:rPr>
                <w:color w:val="auto"/>
                <w:highlight w:val="none"/>
                <w:vertAlign w:val="superscript"/>
              </w:rPr>
              <w:t>3</w:t>
            </w:r>
          </w:p>
        </w:tc>
        <w:tc>
          <w:tcPr>
            <w:tcW w:w="1624" w:type="pct"/>
            <w:tcBorders>
              <w:tl2br w:val="nil"/>
              <w:tr2bl w:val="nil"/>
            </w:tcBorders>
            <w:vAlign w:val="center"/>
          </w:tcPr>
          <w:p>
            <w:pPr>
              <w:pStyle w:val="65"/>
              <w:rPr>
                <w:color w:val="auto"/>
                <w:highlight w:val="none"/>
              </w:rPr>
            </w:pPr>
            <w:r>
              <w:rPr>
                <w:rFonts w:hint="eastAsia"/>
                <w:color w:val="auto"/>
                <w:highlight w:val="none"/>
              </w:rPr>
              <w:t>42.5</w:t>
            </w:r>
            <w:r>
              <w:rPr>
                <w:rFonts w:hint="eastAsia"/>
                <w:color w:val="auto"/>
                <w:highlight w:val="none"/>
                <w:lang w:val="en-US" w:eastAsia="zh-CN"/>
              </w:rPr>
              <w:t>*2</w:t>
            </w:r>
            <w:r>
              <w:rPr>
                <w:rFonts w:hint="eastAsia"/>
                <w:color w:val="auto"/>
                <w:highlight w:val="none"/>
              </w:rPr>
              <w:t>t</w:t>
            </w:r>
          </w:p>
        </w:tc>
      </w:tr>
    </w:tbl>
    <w:p>
      <w:pPr>
        <w:pStyle w:val="10"/>
        <w:spacing w:line="520" w:lineRule="exact"/>
        <w:rPr>
          <w:rFonts w:eastAsia="宋体"/>
          <w:b/>
          <w:bCs/>
          <w:color w:val="auto"/>
          <w:kern w:val="0"/>
          <w:sz w:val="24"/>
          <w:szCs w:val="24"/>
          <w:lang w:bidi="ar"/>
        </w:rPr>
      </w:pPr>
      <w:r>
        <w:rPr>
          <w:rFonts w:hint="eastAsia" w:eastAsia="宋体"/>
          <w:b/>
          <w:bCs/>
          <w:color w:val="auto"/>
          <w:kern w:val="0"/>
          <w:sz w:val="24"/>
          <w:szCs w:val="24"/>
          <w:lang w:bidi="ar"/>
        </w:rPr>
        <w:t>1.2</w:t>
      </w:r>
      <w:r>
        <w:rPr>
          <w:rFonts w:eastAsia="宋体"/>
          <w:b/>
          <w:bCs/>
          <w:color w:val="auto"/>
          <w:kern w:val="0"/>
          <w:sz w:val="24"/>
          <w:szCs w:val="24"/>
          <w:lang w:bidi="ar"/>
        </w:rPr>
        <w:t>环境风险潜势初判</w:t>
      </w:r>
    </w:p>
    <w:p>
      <w:pPr>
        <w:widowControl/>
        <w:spacing w:line="520" w:lineRule="exact"/>
        <w:ind w:firstLine="480" w:firstLineChars="200"/>
        <w:rPr>
          <w:color w:val="auto"/>
          <w:kern w:val="0"/>
          <w:sz w:val="24"/>
          <w:lang w:bidi="ar"/>
        </w:rPr>
      </w:pPr>
      <w:r>
        <w:rPr>
          <w:rFonts w:hint="eastAsia"/>
          <w:color w:val="auto"/>
          <w:kern w:val="0"/>
          <w:sz w:val="24"/>
          <w:lang w:bidi="ar"/>
        </w:rPr>
        <w:t>1.2.1</w:t>
      </w:r>
      <w:r>
        <w:rPr>
          <w:color w:val="auto"/>
          <w:kern w:val="0"/>
          <w:sz w:val="24"/>
          <w:lang w:bidi="ar"/>
        </w:rPr>
        <w:t>危险物质及工艺系统危险性（P）的确定</w:t>
      </w:r>
    </w:p>
    <w:p>
      <w:pPr>
        <w:widowControl/>
        <w:spacing w:line="520" w:lineRule="exact"/>
        <w:ind w:firstLine="480" w:firstLineChars="200"/>
        <w:rPr>
          <w:color w:val="auto"/>
          <w:kern w:val="0"/>
          <w:sz w:val="24"/>
          <w:lang w:bidi="ar"/>
        </w:rPr>
      </w:pPr>
      <w:r>
        <w:rPr>
          <w:color w:val="auto"/>
          <w:kern w:val="0"/>
          <w:sz w:val="24"/>
          <w:lang w:bidi="ar"/>
        </w:rPr>
        <w:t>危险物质及工艺系统危险性（P）应根据危险物质数量与临界量的比值（Q）及所属行业及生产工艺特点（M）确定。</w:t>
      </w:r>
    </w:p>
    <w:p>
      <w:pPr>
        <w:widowControl/>
        <w:spacing w:line="520" w:lineRule="exact"/>
        <w:ind w:firstLine="480" w:firstLineChars="200"/>
        <w:rPr>
          <w:color w:val="auto"/>
          <w:kern w:val="0"/>
          <w:sz w:val="24"/>
          <w:lang w:bidi="ar"/>
        </w:rPr>
      </w:pPr>
      <w:r>
        <w:rPr>
          <w:rFonts w:hint="eastAsia"/>
          <w:color w:val="auto"/>
          <w:kern w:val="0"/>
          <w:sz w:val="24"/>
          <w:lang w:bidi="ar"/>
        </w:rPr>
        <w:t>（1）</w:t>
      </w:r>
      <w:r>
        <w:rPr>
          <w:color w:val="auto"/>
          <w:kern w:val="0"/>
          <w:sz w:val="24"/>
          <w:lang w:bidi="ar"/>
        </w:rPr>
        <w:t>Q值的确定</w:t>
      </w:r>
    </w:p>
    <w:p>
      <w:pPr>
        <w:widowControl/>
        <w:spacing w:line="520" w:lineRule="exact"/>
        <w:ind w:firstLine="480" w:firstLineChars="200"/>
        <w:rPr>
          <w:color w:val="auto"/>
          <w:kern w:val="0"/>
          <w:sz w:val="24"/>
          <w:lang w:bidi="ar"/>
        </w:rPr>
      </w:pPr>
      <w:r>
        <w:rPr>
          <w:color w:val="auto"/>
          <w:kern w:val="0"/>
          <w:sz w:val="24"/>
          <w:lang w:bidi="ar"/>
        </w:rPr>
        <w:t>根据《建设项目环境风险评价技术导则》（HJ/T169-2018）附录C，计算危险物质在厂界内最在存在量与其临界量的比值Q，按下式进行计算：</w:t>
      </w:r>
    </w:p>
    <w:p>
      <w:pPr>
        <w:pStyle w:val="46"/>
        <w:ind w:firstLine="420"/>
        <w:jc w:val="center"/>
        <w:textAlignment w:val="center"/>
        <w:rPr>
          <w:color w:val="auto"/>
        </w:rPr>
      </w:pPr>
      <w:r>
        <w:rPr>
          <w:color w:val="auto"/>
          <w:position w:val="-30"/>
        </w:rPr>
        <w:object>
          <v:shape id="_x0000_i1028" o:spt="75" type="#_x0000_t75" style="height:33.75pt;width:101.25pt;" o:ole="t" filled="f" o:preferrelative="t" stroked="f" coordsize="21600,21600">
            <v:path/>
            <v:fill on="f" focussize="0,0"/>
            <v:stroke on="f" joinstyle="miter"/>
            <v:imagedata r:id="rId39" o:title=""/>
            <o:lock v:ext="edit" aspectratio="t"/>
            <w10:wrap type="none"/>
            <w10:anchorlock/>
          </v:shape>
          <o:OLEObject Type="Embed" ProgID="Equation.3" ShapeID="_x0000_i1028" DrawAspect="Content" ObjectID="_1468075728" r:id="rId38">
            <o:LockedField>false</o:LockedField>
          </o:OLEObject>
        </w:object>
      </w:r>
    </w:p>
    <w:p>
      <w:pPr>
        <w:pStyle w:val="46"/>
        <w:spacing w:line="520" w:lineRule="exact"/>
        <w:ind w:firstLine="480"/>
        <w:jc w:val="both"/>
        <w:rPr>
          <w:color w:val="auto"/>
          <w:sz w:val="24"/>
        </w:rPr>
      </w:pPr>
      <w:r>
        <w:rPr>
          <w:color w:val="auto"/>
          <w:sz w:val="24"/>
        </w:rPr>
        <w:t>式中：</w:t>
      </w:r>
    </w:p>
    <w:p>
      <w:pPr>
        <w:pStyle w:val="46"/>
        <w:spacing w:line="520" w:lineRule="exact"/>
        <w:ind w:firstLine="960" w:firstLineChars="400"/>
        <w:jc w:val="both"/>
        <w:rPr>
          <w:color w:val="auto"/>
          <w:sz w:val="24"/>
        </w:rPr>
      </w:pPr>
      <w:r>
        <w:rPr>
          <w:color w:val="auto"/>
          <w:sz w:val="24"/>
        </w:rPr>
        <w:t>q</w:t>
      </w:r>
      <w:r>
        <w:rPr>
          <w:color w:val="auto"/>
          <w:sz w:val="24"/>
          <w:vertAlign w:val="subscript"/>
        </w:rPr>
        <w:t>1</w:t>
      </w:r>
      <w:r>
        <w:rPr>
          <w:color w:val="auto"/>
          <w:sz w:val="24"/>
        </w:rPr>
        <w:t>，q</w:t>
      </w:r>
      <w:r>
        <w:rPr>
          <w:color w:val="auto"/>
          <w:sz w:val="24"/>
          <w:vertAlign w:val="subscript"/>
        </w:rPr>
        <w:t>2</w:t>
      </w:r>
      <w:r>
        <w:rPr>
          <w:color w:val="auto"/>
          <w:sz w:val="24"/>
        </w:rPr>
        <w:t>，...，q</w:t>
      </w:r>
      <w:r>
        <w:rPr>
          <w:color w:val="auto"/>
          <w:sz w:val="24"/>
          <w:vertAlign w:val="subscript"/>
        </w:rPr>
        <w:t>n</w:t>
      </w:r>
      <w:r>
        <w:rPr>
          <w:color w:val="auto"/>
          <w:sz w:val="24"/>
        </w:rPr>
        <w:t>——每种危险物质的最大存在量，t；</w:t>
      </w:r>
    </w:p>
    <w:p>
      <w:pPr>
        <w:pStyle w:val="46"/>
        <w:spacing w:line="520" w:lineRule="exact"/>
        <w:ind w:firstLine="960" w:firstLineChars="400"/>
        <w:jc w:val="both"/>
        <w:rPr>
          <w:color w:val="auto"/>
          <w:sz w:val="24"/>
        </w:rPr>
      </w:pPr>
      <w:r>
        <w:rPr>
          <w:color w:val="auto"/>
          <w:sz w:val="24"/>
        </w:rPr>
        <w:t>Q</w:t>
      </w:r>
      <w:r>
        <w:rPr>
          <w:color w:val="auto"/>
          <w:sz w:val="24"/>
          <w:vertAlign w:val="subscript"/>
        </w:rPr>
        <w:t>1</w:t>
      </w:r>
      <w:r>
        <w:rPr>
          <w:color w:val="auto"/>
          <w:sz w:val="24"/>
        </w:rPr>
        <w:t>，Q</w:t>
      </w:r>
      <w:r>
        <w:rPr>
          <w:color w:val="auto"/>
          <w:sz w:val="24"/>
          <w:vertAlign w:val="subscript"/>
        </w:rPr>
        <w:t>2</w:t>
      </w:r>
      <w:r>
        <w:rPr>
          <w:color w:val="auto"/>
          <w:sz w:val="24"/>
        </w:rPr>
        <w:t>，...，Q</w:t>
      </w:r>
      <w:r>
        <w:rPr>
          <w:color w:val="auto"/>
          <w:sz w:val="24"/>
          <w:vertAlign w:val="subscript"/>
        </w:rPr>
        <w:t>n</w:t>
      </w:r>
      <w:r>
        <w:rPr>
          <w:color w:val="auto"/>
          <w:sz w:val="24"/>
        </w:rPr>
        <w:t>——每种危险物质的临界量，t。</w:t>
      </w:r>
    </w:p>
    <w:p>
      <w:pPr>
        <w:pStyle w:val="46"/>
        <w:spacing w:line="520" w:lineRule="exact"/>
        <w:ind w:firstLine="960" w:firstLineChars="400"/>
        <w:jc w:val="both"/>
        <w:rPr>
          <w:color w:val="auto"/>
          <w:sz w:val="24"/>
        </w:rPr>
      </w:pPr>
      <w:r>
        <w:rPr>
          <w:color w:val="auto"/>
          <w:sz w:val="24"/>
        </w:rPr>
        <w:t>当Q&lt;1时，该项目环境风险潜势为Ⅰ。</w:t>
      </w:r>
    </w:p>
    <w:p>
      <w:pPr>
        <w:pStyle w:val="46"/>
        <w:spacing w:line="520" w:lineRule="exact"/>
        <w:ind w:firstLine="960" w:firstLineChars="400"/>
        <w:jc w:val="both"/>
        <w:rPr>
          <w:color w:val="auto"/>
          <w:sz w:val="24"/>
        </w:rPr>
      </w:pPr>
      <w:r>
        <w:rPr>
          <w:color w:val="auto"/>
          <w:sz w:val="24"/>
        </w:rPr>
        <w:t>当Q≥1时，将Q值划分为：a.1≤Q&lt;10；b.10≤Q&lt;100；c.Q≥100。</w:t>
      </w:r>
    </w:p>
    <w:p>
      <w:pPr>
        <w:pStyle w:val="46"/>
        <w:spacing w:line="520" w:lineRule="exact"/>
        <w:ind w:firstLine="480"/>
        <w:jc w:val="both"/>
        <w:rPr>
          <w:color w:val="auto"/>
          <w:sz w:val="24"/>
          <w:highlight w:val="yellow"/>
        </w:rPr>
      </w:pPr>
      <w:r>
        <w:rPr>
          <w:color w:val="auto"/>
          <w:sz w:val="24"/>
        </w:rPr>
        <w:t>本项目Q值确定见下表：</w:t>
      </w:r>
    </w:p>
    <w:p>
      <w:pPr>
        <w:widowControl/>
        <w:ind w:firstLine="480" w:firstLineChars="200"/>
        <w:jc w:val="center"/>
        <w:rPr>
          <w:rFonts w:eastAsia="黑体"/>
          <w:color w:val="auto"/>
          <w:sz w:val="24"/>
        </w:rPr>
      </w:pPr>
      <w:r>
        <w:rPr>
          <w:rFonts w:eastAsia="黑体"/>
          <w:color w:val="auto"/>
          <w:sz w:val="24"/>
        </w:rPr>
        <w:t>表</w:t>
      </w:r>
      <w:r>
        <w:rPr>
          <w:rFonts w:hint="eastAsia" w:eastAsia="黑体"/>
          <w:color w:val="auto"/>
          <w:sz w:val="24"/>
        </w:rPr>
        <w:t>2</w:t>
      </w:r>
      <w:r>
        <w:rPr>
          <w:rFonts w:eastAsia="黑体"/>
          <w:color w:val="auto"/>
          <w:sz w:val="24"/>
        </w:rPr>
        <w:t xml:space="preserve">  本项目Q值确定表</w:t>
      </w:r>
    </w:p>
    <w:tbl>
      <w:tblPr>
        <w:tblStyle w:val="29"/>
        <w:tblW w:w="499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810"/>
        <w:gridCol w:w="1900"/>
        <w:gridCol w:w="1873"/>
        <w:gridCol w:w="1467"/>
        <w:gridCol w:w="200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trPr>
        <w:tc>
          <w:tcPr>
            <w:tcW w:w="1000" w:type="pct"/>
            <w:tcBorders>
              <w:tl2br w:val="nil"/>
              <w:tr2bl w:val="nil"/>
            </w:tcBorders>
            <w:vAlign w:val="center"/>
          </w:tcPr>
          <w:p>
            <w:pPr>
              <w:pStyle w:val="65"/>
              <w:rPr>
                <w:color w:val="auto"/>
              </w:rPr>
            </w:pPr>
            <w:r>
              <w:rPr>
                <w:color w:val="auto"/>
              </w:rPr>
              <w:t>危险物质名称</w:t>
            </w:r>
          </w:p>
        </w:tc>
        <w:tc>
          <w:tcPr>
            <w:tcW w:w="1049" w:type="pct"/>
            <w:tcBorders>
              <w:tl2br w:val="nil"/>
              <w:tr2bl w:val="nil"/>
            </w:tcBorders>
            <w:vAlign w:val="center"/>
          </w:tcPr>
          <w:p>
            <w:pPr>
              <w:pStyle w:val="65"/>
              <w:rPr>
                <w:color w:val="auto"/>
              </w:rPr>
            </w:pPr>
            <w:r>
              <w:rPr>
                <w:color w:val="auto"/>
              </w:rPr>
              <w:t>CAS号</w:t>
            </w:r>
          </w:p>
        </w:tc>
        <w:tc>
          <w:tcPr>
            <w:tcW w:w="1034" w:type="pct"/>
            <w:tcBorders>
              <w:tl2br w:val="nil"/>
              <w:tr2bl w:val="nil"/>
            </w:tcBorders>
            <w:vAlign w:val="center"/>
          </w:tcPr>
          <w:p>
            <w:pPr>
              <w:pStyle w:val="65"/>
              <w:rPr>
                <w:color w:val="auto"/>
              </w:rPr>
            </w:pPr>
            <w:r>
              <w:rPr>
                <w:color w:val="auto"/>
              </w:rPr>
              <w:t>最大存在总量qn/t</w:t>
            </w:r>
          </w:p>
        </w:tc>
        <w:tc>
          <w:tcPr>
            <w:tcW w:w="809" w:type="pct"/>
            <w:tcBorders>
              <w:tl2br w:val="nil"/>
              <w:tr2bl w:val="nil"/>
            </w:tcBorders>
            <w:vAlign w:val="center"/>
          </w:tcPr>
          <w:p>
            <w:pPr>
              <w:pStyle w:val="65"/>
              <w:rPr>
                <w:color w:val="auto"/>
              </w:rPr>
            </w:pPr>
            <w:r>
              <w:rPr>
                <w:color w:val="auto"/>
              </w:rPr>
              <w:t>临界量Qn/t</w:t>
            </w:r>
          </w:p>
        </w:tc>
        <w:tc>
          <w:tcPr>
            <w:tcW w:w="1106" w:type="pct"/>
            <w:tcBorders>
              <w:tl2br w:val="nil"/>
              <w:tr2bl w:val="nil"/>
            </w:tcBorders>
            <w:vAlign w:val="center"/>
          </w:tcPr>
          <w:p>
            <w:pPr>
              <w:pStyle w:val="65"/>
              <w:rPr>
                <w:color w:val="auto"/>
              </w:rPr>
            </w:pPr>
            <w:r>
              <w:rPr>
                <w:color w:val="auto"/>
              </w:rPr>
              <w:t>该种危险物质Q值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7" w:hRule="atLeast"/>
        </w:trPr>
        <w:tc>
          <w:tcPr>
            <w:tcW w:w="1000" w:type="pct"/>
            <w:tcBorders>
              <w:tl2br w:val="nil"/>
              <w:tr2bl w:val="nil"/>
            </w:tcBorders>
            <w:vAlign w:val="center"/>
          </w:tcPr>
          <w:p>
            <w:pPr>
              <w:pStyle w:val="65"/>
              <w:rPr>
                <w:color w:val="auto"/>
              </w:rPr>
            </w:pPr>
            <w:r>
              <w:rPr>
                <w:rFonts w:hint="eastAsia"/>
                <w:color w:val="auto"/>
              </w:rPr>
              <w:t>硝酸铵</w:t>
            </w:r>
          </w:p>
        </w:tc>
        <w:tc>
          <w:tcPr>
            <w:tcW w:w="1049" w:type="pct"/>
            <w:tcBorders>
              <w:tl2br w:val="nil"/>
              <w:tr2bl w:val="nil"/>
            </w:tcBorders>
            <w:vAlign w:val="center"/>
          </w:tcPr>
          <w:p>
            <w:pPr>
              <w:pStyle w:val="65"/>
              <w:rPr>
                <w:color w:val="auto"/>
              </w:rPr>
            </w:pPr>
            <w:r>
              <w:rPr>
                <w:rFonts w:hint="eastAsia"/>
                <w:color w:val="auto"/>
              </w:rPr>
              <w:t>6484-52-2</w:t>
            </w:r>
          </w:p>
        </w:tc>
        <w:tc>
          <w:tcPr>
            <w:tcW w:w="1034" w:type="pct"/>
            <w:tcBorders>
              <w:tl2br w:val="nil"/>
              <w:tr2bl w:val="nil"/>
            </w:tcBorders>
            <w:vAlign w:val="center"/>
          </w:tcPr>
          <w:p>
            <w:pPr>
              <w:pStyle w:val="65"/>
              <w:rPr>
                <w:color w:val="auto"/>
              </w:rPr>
            </w:pPr>
            <w:r>
              <w:rPr>
                <w:rFonts w:hint="eastAsia"/>
                <w:color w:val="auto"/>
              </w:rPr>
              <w:t>600</w:t>
            </w:r>
          </w:p>
        </w:tc>
        <w:tc>
          <w:tcPr>
            <w:tcW w:w="809" w:type="pct"/>
            <w:tcBorders>
              <w:tl2br w:val="nil"/>
              <w:tr2bl w:val="nil"/>
            </w:tcBorders>
            <w:vAlign w:val="center"/>
          </w:tcPr>
          <w:p>
            <w:pPr>
              <w:pStyle w:val="65"/>
              <w:rPr>
                <w:color w:val="auto"/>
              </w:rPr>
            </w:pPr>
            <w:r>
              <w:rPr>
                <w:rFonts w:hint="eastAsia"/>
                <w:color w:val="auto"/>
              </w:rPr>
              <w:t>50</w:t>
            </w:r>
          </w:p>
        </w:tc>
        <w:tc>
          <w:tcPr>
            <w:tcW w:w="1106" w:type="pct"/>
            <w:tcBorders>
              <w:tl2br w:val="nil"/>
              <w:tr2bl w:val="nil"/>
            </w:tcBorders>
            <w:vAlign w:val="center"/>
          </w:tcPr>
          <w:p>
            <w:pPr>
              <w:pStyle w:val="65"/>
              <w:rPr>
                <w:color w:val="auto"/>
              </w:rPr>
            </w:pPr>
            <w:r>
              <w:rPr>
                <w:rFonts w:hint="eastAsia"/>
                <w:color w:val="auto"/>
              </w:rPr>
              <w:t>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00" w:type="pct"/>
            <w:tcBorders>
              <w:tl2br w:val="nil"/>
              <w:tr2bl w:val="nil"/>
            </w:tcBorders>
            <w:vAlign w:val="center"/>
          </w:tcPr>
          <w:p>
            <w:pPr>
              <w:pStyle w:val="65"/>
              <w:rPr>
                <w:color w:val="auto"/>
              </w:rPr>
            </w:pPr>
            <w:r>
              <w:rPr>
                <w:rFonts w:hint="eastAsia"/>
                <w:color w:val="auto"/>
              </w:rPr>
              <w:t>轻柴油</w:t>
            </w:r>
          </w:p>
        </w:tc>
        <w:tc>
          <w:tcPr>
            <w:tcW w:w="1049" w:type="pct"/>
            <w:tcBorders>
              <w:tl2br w:val="nil"/>
              <w:tr2bl w:val="nil"/>
            </w:tcBorders>
            <w:vAlign w:val="center"/>
          </w:tcPr>
          <w:p>
            <w:pPr>
              <w:pStyle w:val="65"/>
              <w:rPr>
                <w:color w:val="auto"/>
              </w:rPr>
            </w:pPr>
            <w:r>
              <w:rPr>
                <w:rFonts w:hint="eastAsia"/>
                <w:color w:val="auto"/>
              </w:rPr>
              <w:t>/</w:t>
            </w:r>
          </w:p>
        </w:tc>
        <w:tc>
          <w:tcPr>
            <w:tcW w:w="1034" w:type="pct"/>
            <w:tcBorders>
              <w:tl2br w:val="nil"/>
              <w:tr2bl w:val="nil"/>
            </w:tcBorders>
            <w:vAlign w:val="center"/>
          </w:tcPr>
          <w:p>
            <w:pPr>
              <w:pStyle w:val="65"/>
              <w:rPr>
                <w:rFonts w:hint="default" w:eastAsia="宋体"/>
                <w:color w:val="auto"/>
                <w:lang w:val="en-US" w:eastAsia="zh-CN"/>
              </w:rPr>
            </w:pPr>
            <w:r>
              <w:rPr>
                <w:rFonts w:hint="eastAsia"/>
                <w:color w:val="auto"/>
                <w:lang w:val="en-US" w:eastAsia="zh-CN"/>
              </w:rPr>
              <w:t>85</w:t>
            </w:r>
          </w:p>
        </w:tc>
        <w:tc>
          <w:tcPr>
            <w:tcW w:w="809" w:type="pct"/>
            <w:tcBorders>
              <w:tl2br w:val="nil"/>
              <w:tr2bl w:val="nil"/>
            </w:tcBorders>
            <w:vAlign w:val="center"/>
          </w:tcPr>
          <w:p>
            <w:pPr>
              <w:pStyle w:val="65"/>
              <w:rPr>
                <w:color w:val="auto"/>
              </w:rPr>
            </w:pPr>
            <w:r>
              <w:rPr>
                <w:rFonts w:hint="eastAsia"/>
                <w:color w:val="auto"/>
              </w:rPr>
              <w:t>2500</w:t>
            </w:r>
          </w:p>
        </w:tc>
        <w:tc>
          <w:tcPr>
            <w:tcW w:w="1106" w:type="pct"/>
            <w:tcBorders>
              <w:tl2br w:val="nil"/>
              <w:tr2bl w:val="nil"/>
            </w:tcBorders>
            <w:vAlign w:val="center"/>
          </w:tcPr>
          <w:p>
            <w:pPr>
              <w:pStyle w:val="65"/>
              <w:rPr>
                <w:rFonts w:hint="default" w:eastAsia="宋体"/>
                <w:color w:val="auto"/>
                <w:lang w:val="en-US" w:eastAsia="zh-CN"/>
              </w:rPr>
            </w:pPr>
            <w:r>
              <w:rPr>
                <w:rFonts w:hint="eastAsia"/>
                <w:color w:val="auto"/>
                <w:lang w:val="en-US" w:eastAsia="zh-CN"/>
              </w:rPr>
              <w:t>0.034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893" w:type="pct"/>
            <w:gridSpan w:val="4"/>
            <w:tcBorders>
              <w:tl2br w:val="nil"/>
              <w:tr2bl w:val="nil"/>
            </w:tcBorders>
            <w:vAlign w:val="center"/>
          </w:tcPr>
          <w:p>
            <w:pPr>
              <w:pStyle w:val="65"/>
              <w:rPr>
                <w:color w:val="auto"/>
              </w:rPr>
            </w:pPr>
            <w:r>
              <w:rPr>
                <w:color w:val="auto"/>
              </w:rPr>
              <w:t>本项目Q值</w:t>
            </w:r>
          </w:p>
        </w:tc>
        <w:tc>
          <w:tcPr>
            <w:tcW w:w="1106" w:type="pct"/>
            <w:tcBorders>
              <w:tl2br w:val="nil"/>
              <w:tr2bl w:val="nil"/>
            </w:tcBorders>
            <w:vAlign w:val="center"/>
          </w:tcPr>
          <w:p>
            <w:pPr>
              <w:pStyle w:val="65"/>
              <w:rPr>
                <w:rFonts w:hint="eastAsia" w:eastAsia="宋体"/>
                <w:color w:val="auto"/>
                <w:lang w:eastAsia="zh-CN"/>
              </w:rPr>
            </w:pPr>
            <w:r>
              <w:rPr>
                <w:rFonts w:hint="eastAsia"/>
                <w:color w:val="auto"/>
                <w:lang w:eastAsia="zh-CN"/>
              </w:rPr>
              <w:t>12.034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893" w:type="pct"/>
            <w:gridSpan w:val="4"/>
            <w:tcBorders>
              <w:tl2br w:val="nil"/>
              <w:tr2bl w:val="nil"/>
            </w:tcBorders>
            <w:vAlign w:val="center"/>
          </w:tcPr>
          <w:p>
            <w:pPr>
              <w:pStyle w:val="65"/>
              <w:rPr>
                <w:color w:val="auto"/>
              </w:rPr>
            </w:pPr>
            <w:r>
              <w:rPr>
                <w:color w:val="auto"/>
              </w:rPr>
              <w:t>本项目Q值划分</w:t>
            </w:r>
          </w:p>
        </w:tc>
        <w:tc>
          <w:tcPr>
            <w:tcW w:w="1106" w:type="pct"/>
            <w:tcBorders>
              <w:tl2br w:val="nil"/>
              <w:tr2bl w:val="nil"/>
            </w:tcBorders>
            <w:vAlign w:val="center"/>
          </w:tcPr>
          <w:p>
            <w:pPr>
              <w:pStyle w:val="65"/>
              <w:rPr>
                <w:color w:val="auto"/>
              </w:rPr>
            </w:pPr>
            <w:r>
              <w:rPr>
                <w:rFonts w:hint="eastAsia"/>
                <w:color w:val="auto"/>
              </w:rPr>
              <w:t>10</w:t>
            </w:r>
            <w:r>
              <w:rPr>
                <w:color w:val="auto"/>
              </w:rPr>
              <w:t>≤Q&lt;10</w:t>
            </w:r>
            <w:r>
              <w:rPr>
                <w:rFonts w:hint="eastAsia"/>
                <w:color w:val="auto"/>
              </w:rPr>
              <w:t>0</w:t>
            </w:r>
          </w:p>
        </w:tc>
      </w:tr>
    </w:tbl>
    <w:p>
      <w:pPr>
        <w:widowControl/>
        <w:spacing w:line="520" w:lineRule="exact"/>
        <w:ind w:firstLine="480" w:firstLineChars="200"/>
        <w:rPr>
          <w:color w:val="auto"/>
          <w:kern w:val="0"/>
          <w:sz w:val="24"/>
          <w:lang w:bidi="ar"/>
        </w:rPr>
      </w:pPr>
      <w:r>
        <w:rPr>
          <w:rFonts w:hint="eastAsia"/>
          <w:color w:val="auto"/>
          <w:kern w:val="0"/>
          <w:sz w:val="24"/>
          <w:lang w:bidi="ar"/>
        </w:rPr>
        <w:t>（2）</w:t>
      </w:r>
      <w:r>
        <w:rPr>
          <w:color w:val="auto"/>
          <w:kern w:val="0"/>
          <w:sz w:val="24"/>
          <w:lang w:bidi="ar"/>
        </w:rPr>
        <w:t>M值的确定</w:t>
      </w:r>
    </w:p>
    <w:p>
      <w:pPr>
        <w:widowControl/>
        <w:spacing w:line="520" w:lineRule="exact"/>
        <w:ind w:firstLine="480" w:firstLineChars="200"/>
        <w:rPr>
          <w:color w:val="auto"/>
          <w:kern w:val="0"/>
          <w:sz w:val="24"/>
          <w:lang w:bidi="ar"/>
        </w:rPr>
      </w:pPr>
      <w:r>
        <w:rPr>
          <w:color w:val="auto"/>
          <w:kern w:val="0"/>
          <w:sz w:val="24"/>
          <w:lang w:bidi="ar"/>
        </w:rPr>
        <w:t>根据《建设项目环境风险评价技术导则》（HJ 169-2018）附录C，本项目行业为</w:t>
      </w:r>
      <w:r>
        <w:rPr>
          <w:rFonts w:hint="eastAsia"/>
          <w:color w:val="auto"/>
          <w:kern w:val="0"/>
          <w:sz w:val="24"/>
          <w:lang w:bidi="ar"/>
        </w:rPr>
        <w:t>“</w:t>
      </w:r>
      <w:r>
        <w:rPr>
          <w:color w:val="auto"/>
          <w:kern w:val="0"/>
          <w:sz w:val="24"/>
          <w:lang w:bidi="ar"/>
        </w:rPr>
        <w:t>石化、化工、医药、轻工、化纤、有色冶炼等</w:t>
      </w:r>
      <w:r>
        <w:rPr>
          <w:rFonts w:hint="eastAsia"/>
          <w:color w:val="auto"/>
          <w:kern w:val="0"/>
          <w:sz w:val="24"/>
          <w:lang w:bidi="ar"/>
        </w:rPr>
        <w:t>”</w:t>
      </w:r>
      <w:r>
        <w:rPr>
          <w:color w:val="auto"/>
          <w:kern w:val="0"/>
          <w:sz w:val="24"/>
          <w:lang w:bidi="ar"/>
        </w:rPr>
        <w:t>，</w:t>
      </w:r>
      <w:r>
        <w:rPr>
          <w:rFonts w:hint="eastAsia"/>
          <w:color w:val="auto"/>
          <w:kern w:val="0"/>
          <w:sz w:val="24"/>
          <w:lang w:bidi="ar"/>
        </w:rPr>
        <w:t>评估依据为“危险物质贮存罐区”，本项目建设一座50m</w:t>
      </w:r>
      <w:r>
        <w:rPr>
          <w:rFonts w:hint="eastAsia"/>
          <w:color w:val="auto"/>
          <w:kern w:val="0"/>
          <w:sz w:val="24"/>
          <w:vertAlign w:val="superscript"/>
          <w:lang w:bidi="ar"/>
        </w:rPr>
        <w:t>3</w:t>
      </w:r>
      <w:r>
        <w:rPr>
          <w:rFonts w:hint="eastAsia"/>
          <w:color w:val="auto"/>
          <w:kern w:val="0"/>
          <w:sz w:val="24"/>
          <w:lang w:bidi="ar"/>
        </w:rPr>
        <w:t>柴油储罐，</w:t>
      </w:r>
      <w:r>
        <w:rPr>
          <w:color w:val="auto"/>
          <w:kern w:val="0"/>
          <w:sz w:val="24"/>
          <w:lang w:bidi="ar"/>
        </w:rPr>
        <w:t>分值为</w:t>
      </w:r>
      <w:r>
        <w:rPr>
          <w:rFonts w:hint="eastAsia"/>
          <w:color w:val="auto"/>
          <w:kern w:val="0"/>
          <w:sz w:val="24"/>
          <w:lang w:bidi="ar"/>
        </w:rPr>
        <w:t>5</w:t>
      </w:r>
      <w:r>
        <w:rPr>
          <w:color w:val="auto"/>
          <w:kern w:val="0"/>
          <w:sz w:val="24"/>
          <w:lang w:bidi="ar"/>
        </w:rPr>
        <w:t>分，则项目M</w:t>
      </w:r>
      <w:r>
        <w:rPr>
          <w:rFonts w:hint="eastAsia"/>
          <w:color w:val="auto"/>
          <w:kern w:val="0"/>
          <w:sz w:val="24"/>
          <w:lang w:bidi="ar"/>
        </w:rPr>
        <w:t>=5</w:t>
      </w:r>
      <w:r>
        <w:rPr>
          <w:color w:val="auto"/>
          <w:kern w:val="0"/>
          <w:sz w:val="24"/>
          <w:lang w:bidi="ar"/>
        </w:rPr>
        <w:t>，根据划分依据，属于M</w:t>
      </w:r>
      <w:r>
        <w:rPr>
          <w:rFonts w:hint="eastAsia"/>
          <w:color w:val="auto"/>
          <w:kern w:val="0"/>
          <w:sz w:val="24"/>
          <w:lang w:bidi="ar"/>
        </w:rPr>
        <w:t>4</w:t>
      </w:r>
      <w:r>
        <w:rPr>
          <w:color w:val="auto"/>
          <w:kern w:val="0"/>
          <w:sz w:val="24"/>
          <w:lang w:bidi="ar"/>
        </w:rPr>
        <w:t>。本项目M值确定见下表：</w:t>
      </w:r>
    </w:p>
    <w:p>
      <w:pPr>
        <w:widowControl/>
        <w:ind w:firstLine="480" w:firstLineChars="200"/>
        <w:jc w:val="center"/>
        <w:rPr>
          <w:rFonts w:eastAsia="黑体"/>
          <w:color w:val="auto"/>
          <w:sz w:val="24"/>
        </w:rPr>
      </w:pPr>
      <w:r>
        <w:rPr>
          <w:rFonts w:eastAsia="黑体"/>
          <w:color w:val="auto"/>
          <w:sz w:val="24"/>
        </w:rPr>
        <w:t>表</w:t>
      </w:r>
      <w:r>
        <w:rPr>
          <w:rFonts w:hint="eastAsia" w:eastAsia="黑体"/>
          <w:color w:val="auto"/>
          <w:sz w:val="24"/>
        </w:rPr>
        <w:t xml:space="preserve">3  </w:t>
      </w:r>
      <w:r>
        <w:rPr>
          <w:rFonts w:eastAsia="黑体"/>
          <w:color w:val="auto"/>
          <w:sz w:val="24"/>
        </w:rPr>
        <w:t>本项目M值确定表</w:t>
      </w:r>
    </w:p>
    <w:tbl>
      <w:tblPr>
        <w:tblStyle w:val="29"/>
        <w:tblW w:w="499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010"/>
        <w:gridCol w:w="2703"/>
        <w:gridCol w:w="334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7" w:hRule="atLeast"/>
          <w:tblHeader/>
        </w:trPr>
        <w:tc>
          <w:tcPr>
            <w:tcW w:w="1662" w:type="pct"/>
            <w:tcBorders>
              <w:tl2br w:val="nil"/>
              <w:tr2bl w:val="nil"/>
            </w:tcBorders>
            <w:vAlign w:val="center"/>
          </w:tcPr>
          <w:p>
            <w:pPr>
              <w:pStyle w:val="65"/>
              <w:rPr>
                <w:color w:val="auto"/>
              </w:rPr>
            </w:pPr>
            <w:r>
              <w:rPr>
                <w:color w:val="auto"/>
              </w:rPr>
              <w:t>工艺单元名称</w:t>
            </w:r>
          </w:p>
        </w:tc>
        <w:tc>
          <w:tcPr>
            <w:tcW w:w="1492" w:type="pct"/>
            <w:tcBorders>
              <w:tl2br w:val="nil"/>
              <w:tr2bl w:val="nil"/>
            </w:tcBorders>
            <w:vAlign w:val="center"/>
          </w:tcPr>
          <w:p>
            <w:pPr>
              <w:pStyle w:val="65"/>
              <w:rPr>
                <w:color w:val="auto"/>
              </w:rPr>
            </w:pPr>
            <w:r>
              <w:rPr>
                <w:color w:val="auto"/>
              </w:rPr>
              <w:t>数量/套</w:t>
            </w:r>
          </w:p>
        </w:tc>
        <w:tc>
          <w:tcPr>
            <w:tcW w:w="1844" w:type="pct"/>
            <w:tcBorders>
              <w:tl2br w:val="nil"/>
              <w:tr2bl w:val="nil"/>
            </w:tcBorders>
            <w:vAlign w:val="center"/>
          </w:tcPr>
          <w:p>
            <w:pPr>
              <w:pStyle w:val="65"/>
              <w:rPr>
                <w:color w:val="auto"/>
              </w:rPr>
            </w:pPr>
            <w:r>
              <w:rPr>
                <w:color w:val="auto"/>
              </w:rPr>
              <w:t>M分值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2" w:type="pct"/>
            <w:tcBorders>
              <w:tl2br w:val="nil"/>
              <w:tr2bl w:val="nil"/>
            </w:tcBorders>
            <w:vAlign w:val="center"/>
          </w:tcPr>
          <w:p>
            <w:pPr>
              <w:pStyle w:val="65"/>
              <w:rPr>
                <w:color w:val="auto"/>
              </w:rPr>
            </w:pPr>
            <w:r>
              <w:rPr>
                <w:rFonts w:hint="eastAsia"/>
                <w:color w:val="auto"/>
              </w:rPr>
              <w:t>柴油储罐</w:t>
            </w:r>
          </w:p>
        </w:tc>
        <w:tc>
          <w:tcPr>
            <w:tcW w:w="1492" w:type="pct"/>
            <w:tcBorders>
              <w:tl2br w:val="nil"/>
              <w:tr2bl w:val="nil"/>
            </w:tcBorders>
            <w:vAlign w:val="center"/>
          </w:tcPr>
          <w:p>
            <w:pPr>
              <w:pStyle w:val="65"/>
              <w:rPr>
                <w:color w:val="auto"/>
              </w:rPr>
            </w:pPr>
            <w:r>
              <w:rPr>
                <w:color w:val="auto"/>
              </w:rPr>
              <w:t>1</w:t>
            </w:r>
          </w:p>
        </w:tc>
        <w:tc>
          <w:tcPr>
            <w:tcW w:w="1844" w:type="pct"/>
            <w:tcBorders>
              <w:tl2br w:val="nil"/>
              <w:tr2bl w:val="nil"/>
            </w:tcBorders>
            <w:vAlign w:val="center"/>
          </w:tcPr>
          <w:p>
            <w:pPr>
              <w:pStyle w:val="65"/>
              <w:rPr>
                <w:color w:val="auto"/>
              </w:rPr>
            </w:pPr>
            <w:r>
              <w:rPr>
                <w:color w:val="auto"/>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2" w:type="pct"/>
            <w:tcBorders>
              <w:tl2br w:val="nil"/>
              <w:tr2bl w:val="nil"/>
            </w:tcBorders>
            <w:vAlign w:val="center"/>
          </w:tcPr>
          <w:p>
            <w:pPr>
              <w:pStyle w:val="65"/>
              <w:rPr>
                <w:color w:val="auto"/>
              </w:rPr>
            </w:pPr>
            <w:r>
              <w:rPr>
                <w:color w:val="auto"/>
              </w:rPr>
              <w:t>本项目M值Σ</w:t>
            </w:r>
          </w:p>
        </w:tc>
        <w:tc>
          <w:tcPr>
            <w:tcW w:w="1492" w:type="pct"/>
            <w:tcBorders>
              <w:tl2br w:val="nil"/>
              <w:tr2bl w:val="nil"/>
            </w:tcBorders>
            <w:vAlign w:val="center"/>
          </w:tcPr>
          <w:p>
            <w:pPr>
              <w:pStyle w:val="65"/>
              <w:rPr>
                <w:color w:val="auto"/>
              </w:rPr>
            </w:pPr>
          </w:p>
        </w:tc>
        <w:tc>
          <w:tcPr>
            <w:tcW w:w="1844" w:type="pct"/>
            <w:tcBorders>
              <w:tl2br w:val="nil"/>
              <w:tr2bl w:val="nil"/>
            </w:tcBorders>
            <w:vAlign w:val="center"/>
          </w:tcPr>
          <w:p>
            <w:pPr>
              <w:pStyle w:val="65"/>
              <w:rPr>
                <w:color w:val="auto"/>
              </w:rPr>
            </w:pPr>
            <w:r>
              <w:rPr>
                <w:rFonts w:hint="eastAsia"/>
                <w:color w:val="auto"/>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2" w:type="pct"/>
            <w:tcBorders>
              <w:tl2br w:val="nil"/>
              <w:tr2bl w:val="nil"/>
            </w:tcBorders>
            <w:vAlign w:val="center"/>
          </w:tcPr>
          <w:p>
            <w:pPr>
              <w:pStyle w:val="65"/>
              <w:rPr>
                <w:color w:val="auto"/>
              </w:rPr>
            </w:pPr>
            <w:r>
              <w:rPr>
                <w:color w:val="auto"/>
              </w:rPr>
              <w:t>M值划分</w:t>
            </w:r>
          </w:p>
        </w:tc>
        <w:tc>
          <w:tcPr>
            <w:tcW w:w="1492" w:type="pct"/>
            <w:tcBorders>
              <w:tl2br w:val="nil"/>
              <w:tr2bl w:val="nil"/>
            </w:tcBorders>
            <w:vAlign w:val="center"/>
          </w:tcPr>
          <w:p>
            <w:pPr>
              <w:pStyle w:val="65"/>
              <w:rPr>
                <w:color w:val="auto"/>
              </w:rPr>
            </w:pPr>
          </w:p>
        </w:tc>
        <w:tc>
          <w:tcPr>
            <w:tcW w:w="1844" w:type="pct"/>
            <w:tcBorders>
              <w:tl2br w:val="nil"/>
              <w:tr2bl w:val="nil"/>
            </w:tcBorders>
            <w:vAlign w:val="center"/>
          </w:tcPr>
          <w:p>
            <w:pPr>
              <w:pStyle w:val="65"/>
              <w:rPr>
                <w:color w:val="auto"/>
              </w:rPr>
            </w:pPr>
            <w:r>
              <w:rPr>
                <w:color w:val="auto"/>
              </w:rPr>
              <w:t>M</w:t>
            </w:r>
            <w:r>
              <w:rPr>
                <w:rFonts w:hint="eastAsia"/>
                <w:color w:val="auto"/>
              </w:rPr>
              <w:t>4</w:t>
            </w:r>
          </w:p>
        </w:tc>
      </w:tr>
    </w:tbl>
    <w:p>
      <w:pPr>
        <w:widowControl/>
        <w:spacing w:line="520" w:lineRule="exact"/>
        <w:ind w:firstLine="480" w:firstLineChars="200"/>
        <w:rPr>
          <w:color w:val="auto"/>
          <w:kern w:val="0"/>
          <w:sz w:val="24"/>
          <w:lang w:bidi="ar"/>
        </w:rPr>
      </w:pPr>
      <w:r>
        <w:rPr>
          <w:rFonts w:hint="eastAsia"/>
          <w:color w:val="auto"/>
          <w:kern w:val="0"/>
          <w:sz w:val="24"/>
          <w:lang w:bidi="ar"/>
        </w:rPr>
        <w:t>（3）</w:t>
      </w:r>
      <w:r>
        <w:rPr>
          <w:color w:val="auto"/>
          <w:kern w:val="0"/>
          <w:sz w:val="24"/>
          <w:lang w:bidi="ar"/>
        </w:rPr>
        <w:t>P的确定</w:t>
      </w:r>
    </w:p>
    <w:p>
      <w:pPr>
        <w:widowControl/>
        <w:spacing w:line="520" w:lineRule="exact"/>
        <w:ind w:firstLine="480" w:firstLineChars="200"/>
        <w:rPr>
          <w:color w:val="auto"/>
          <w:kern w:val="0"/>
          <w:sz w:val="24"/>
          <w:lang w:bidi="ar"/>
        </w:rPr>
      </w:pPr>
      <w:r>
        <w:rPr>
          <w:color w:val="auto"/>
          <w:kern w:val="0"/>
          <w:sz w:val="24"/>
          <w:lang w:bidi="ar"/>
        </w:rPr>
        <w:t>根据危险物质数量与临界量比值（Q）和行业及生产工艺（M），按照下表确定危险物质及工艺系统危险性等级（P），分别以极高危害（P1）、高度危害（P2）、中度危害（P3）、轻度危害（P4）表示，则本项目属于P</w:t>
      </w:r>
      <w:r>
        <w:rPr>
          <w:rFonts w:hint="eastAsia"/>
          <w:color w:val="auto"/>
          <w:kern w:val="0"/>
          <w:sz w:val="24"/>
          <w:lang w:bidi="ar"/>
        </w:rPr>
        <w:t>4，轻度危害</w:t>
      </w:r>
      <w:r>
        <w:rPr>
          <w:color w:val="auto"/>
          <w:kern w:val="0"/>
          <w:sz w:val="24"/>
          <w:lang w:bidi="ar"/>
        </w:rPr>
        <w:t>。P等级判定如下表：</w:t>
      </w:r>
    </w:p>
    <w:p>
      <w:pPr>
        <w:widowControl/>
        <w:ind w:firstLine="480" w:firstLineChars="200"/>
        <w:jc w:val="center"/>
        <w:rPr>
          <w:rFonts w:eastAsia="黑体"/>
          <w:color w:val="auto"/>
          <w:sz w:val="24"/>
        </w:rPr>
      </w:pPr>
      <w:r>
        <w:rPr>
          <w:rFonts w:eastAsia="黑体"/>
          <w:color w:val="auto"/>
          <w:sz w:val="24"/>
        </w:rPr>
        <w:t>表</w:t>
      </w:r>
      <w:r>
        <w:rPr>
          <w:rFonts w:hint="eastAsia" w:eastAsia="黑体"/>
          <w:color w:val="auto"/>
          <w:sz w:val="24"/>
        </w:rPr>
        <w:t xml:space="preserve">4 </w:t>
      </w:r>
      <w:r>
        <w:rPr>
          <w:rFonts w:eastAsia="黑体"/>
          <w:color w:val="auto"/>
          <w:sz w:val="24"/>
        </w:rPr>
        <w:t xml:space="preserve">  危险物质及工艺系统危险性（P）等级判断</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942"/>
        <w:gridCol w:w="1708"/>
        <w:gridCol w:w="1813"/>
        <w:gridCol w:w="1755"/>
        <w:gridCol w:w="183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jc w:val="center"/>
        </w:trPr>
        <w:tc>
          <w:tcPr>
            <w:tcW w:w="1072" w:type="pct"/>
            <w:vMerge w:val="restart"/>
            <w:tcBorders>
              <w:tl2br w:val="nil"/>
              <w:tr2bl w:val="nil"/>
            </w:tcBorders>
            <w:vAlign w:val="center"/>
          </w:tcPr>
          <w:p>
            <w:pPr>
              <w:pStyle w:val="65"/>
              <w:rPr>
                <w:color w:val="auto"/>
              </w:rPr>
            </w:pPr>
            <w:r>
              <w:rPr>
                <w:color w:val="auto"/>
              </w:rPr>
              <w:t>危险物质数量与临界量比值（Q）</w:t>
            </w:r>
          </w:p>
        </w:tc>
        <w:tc>
          <w:tcPr>
            <w:tcW w:w="3927" w:type="pct"/>
            <w:gridSpan w:val="4"/>
            <w:tcBorders>
              <w:tl2br w:val="nil"/>
              <w:tr2bl w:val="nil"/>
            </w:tcBorders>
            <w:vAlign w:val="center"/>
          </w:tcPr>
          <w:p>
            <w:pPr>
              <w:pStyle w:val="65"/>
              <w:rPr>
                <w:color w:val="auto"/>
              </w:rPr>
            </w:pPr>
            <w:r>
              <w:rPr>
                <w:color w:val="auto"/>
              </w:rPr>
              <w:t>行业及生产工艺（M）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blHeader/>
          <w:jc w:val="center"/>
        </w:trPr>
        <w:tc>
          <w:tcPr>
            <w:tcW w:w="1072" w:type="pct"/>
            <w:vMerge w:val="continue"/>
            <w:tcBorders>
              <w:tl2br w:val="nil"/>
              <w:tr2bl w:val="nil"/>
            </w:tcBorders>
            <w:vAlign w:val="center"/>
          </w:tcPr>
          <w:p>
            <w:pPr>
              <w:pStyle w:val="65"/>
              <w:rPr>
                <w:color w:val="auto"/>
              </w:rPr>
            </w:pPr>
          </w:p>
        </w:tc>
        <w:tc>
          <w:tcPr>
            <w:tcW w:w="943" w:type="pct"/>
            <w:tcBorders>
              <w:tl2br w:val="nil"/>
              <w:tr2bl w:val="nil"/>
            </w:tcBorders>
            <w:vAlign w:val="center"/>
          </w:tcPr>
          <w:p>
            <w:pPr>
              <w:pStyle w:val="65"/>
              <w:rPr>
                <w:color w:val="auto"/>
              </w:rPr>
            </w:pPr>
            <w:r>
              <w:rPr>
                <w:color w:val="auto"/>
              </w:rPr>
              <w:t>M1</w:t>
            </w:r>
          </w:p>
        </w:tc>
        <w:tc>
          <w:tcPr>
            <w:tcW w:w="1001" w:type="pct"/>
            <w:tcBorders>
              <w:tl2br w:val="nil"/>
              <w:tr2bl w:val="nil"/>
            </w:tcBorders>
            <w:vAlign w:val="center"/>
          </w:tcPr>
          <w:p>
            <w:pPr>
              <w:pStyle w:val="65"/>
              <w:rPr>
                <w:color w:val="auto"/>
              </w:rPr>
            </w:pPr>
            <w:r>
              <w:rPr>
                <w:color w:val="auto"/>
              </w:rPr>
              <w:t>M2</w:t>
            </w:r>
          </w:p>
        </w:tc>
        <w:tc>
          <w:tcPr>
            <w:tcW w:w="969" w:type="pct"/>
            <w:tcBorders>
              <w:tl2br w:val="nil"/>
              <w:tr2bl w:val="nil"/>
            </w:tcBorders>
            <w:vAlign w:val="center"/>
          </w:tcPr>
          <w:p>
            <w:pPr>
              <w:pStyle w:val="65"/>
              <w:rPr>
                <w:color w:val="auto"/>
              </w:rPr>
            </w:pPr>
            <w:r>
              <w:rPr>
                <w:color w:val="auto"/>
              </w:rPr>
              <w:t>M3</w:t>
            </w:r>
          </w:p>
        </w:tc>
        <w:tc>
          <w:tcPr>
            <w:tcW w:w="1014" w:type="pct"/>
            <w:tcBorders>
              <w:tl2br w:val="nil"/>
              <w:tr2bl w:val="nil"/>
            </w:tcBorders>
            <w:vAlign w:val="center"/>
          </w:tcPr>
          <w:p>
            <w:pPr>
              <w:pStyle w:val="65"/>
              <w:rPr>
                <w:color w:val="auto"/>
              </w:rPr>
            </w:pPr>
            <w:r>
              <w:rPr>
                <w:color w:val="auto"/>
              </w:rPr>
              <w:t>M4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072" w:type="pct"/>
            <w:tcBorders>
              <w:tl2br w:val="nil"/>
              <w:tr2bl w:val="nil"/>
            </w:tcBorders>
            <w:vAlign w:val="center"/>
          </w:tcPr>
          <w:p>
            <w:pPr>
              <w:pStyle w:val="65"/>
              <w:rPr>
                <w:color w:val="auto"/>
              </w:rPr>
            </w:pPr>
            <w:r>
              <w:rPr>
                <w:color w:val="auto"/>
              </w:rPr>
              <w:t>Q≥100</w:t>
            </w:r>
          </w:p>
        </w:tc>
        <w:tc>
          <w:tcPr>
            <w:tcW w:w="943" w:type="pct"/>
            <w:tcBorders>
              <w:tl2br w:val="nil"/>
              <w:tr2bl w:val="nil"/>
            </w:tcBorders>
            <w:vAlign w:val="center"/>
          </w:tcPr>
          <w:p>
            <w:pPr>
              <w:pStyle w:val="65"/>
              <w:rPr>
                <w:color w:val="auto"/>
              </w:rPr>
            </w:pPr>
            <w:r>
              <w:rPr>
                <w:color w:val="auto"/>
              </w:rPr>
              <w:t>P1</w:t>
            </w:r>
          </w:p>
        </w:tc>
        <w:tc>
          <w:tcPr>
            <w:tcW w:w="1001" w:type="pct"/>
            <w:tcBorders>
              <w:tl2br w:val="nil"/>
              <w:tr2bl w:val="nil"/>
            </w:tcBorders>
            <w:vAlign w:val="center"/>
          </w:tcPr>
          <w:p>
            <w:pPr>
              <w:pStyle w:val="65"/>
              <w:rPr>
                <w:color w:val="auto"/>
              </w:rPr>
            </w:pPr>
            <w:r>
              <w:rPr>
                <w:color w:val="auto"/>
              </w:rPr>
              <w:t>P1</w:t>
            </w:r>
          </w:p>
        </w:tc>
        <w:tc>
          <w:tcPr>
            <w:tcW w:w="969" w:type="pct"/>
            <w:tcBorders>
              <w:tl2br w:val="nil"/>
              <w:tr2bl w:val="nil"/>
            </w:tcBorders>
            <w:vAlign w:val="center"/>
          </w:tcPr>
          <w:p>
            <w:pPr>
              <w:pStyle w:val="65"/>
              <w:rPr>
                <w:color w:val="auto"/>
              </w:rPr>
            </w:pPr>
            <w:r>
              <w:rPr>
                <w:color w:val="auto"/>
              </w:rPr>
              <w:t>P2</w:t>
            </w:r>
          </w:p>
        </w:tc>
        <w:tc>
          <w:tcPr>
            <w:tcW w:w="1014" w:type="pct"/>
            <w:tcBorders>
              <w:tl2br w:val="nil"/>
              <w:tr2bl w:val="nil"/>
            </w:tcBorders>
            <w:vAlign w:val="center"/>
          </w:tcPr>
          <w:p>
            <w:pPr>
              <w:pStyle w:val="65"/>
              <w:rPr>
                <w:color w:val="auto"/>
              </w:rPr>
            </w:pPr>
            <w:r>
              <w:rPr>
                <w:color w:val="auto"/>
              </w:rPr>
              <w:t>P3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072" w:type="pct"/>
            <w:tcBorders>
              <w:tl2br w:val="nil"/>
              <w:tr2bl w:val="nil"/>
            </w:tcBorders>
            <w:vAlign w:val="center"/>
          </w:tcPr>
          <w:p>
            <w:pPr>
              <w:pStyle w:val="65"/>
              <w:rPr>
                <w:color w:val="auto"/>
              </w:rPr>
            </w:pPr>
            <w:r>
              <w:rPr>
                <w:color w:val="auto"/>
              </w:rPr>
              <w:t>10≤Q&lt;100</w:t>
            </w:r>
          </w:p>
        </w:tc>
        <w:tc>
          <w:tcPr>
            <w:tcW w:w="943" w:type="pct"/>
            <w:tcBorders>
              <w:tl2br w:val="nil"/>
              <w:tr2bl w:val="nil"/>
            </w:tcBorders>
            <w:vAlign w:val="center"/>
          </w:tcPr>
          <w:p>
            <w:pPr>
              <w:pStyle w:val="65"/>
              <w:rPr>
                <w:color w:val="auto"/>
              </w:rPr>
            </w:pPr>
            <w:r>
              <w:rPr>
                <w:color w:val="auto"/>
              </w:rPr>
              <w:t>P1</w:t>
            </w:r>
          </w:p>
        </w:tc>
        <w:tc>
          <w:tcPr>
            <w:tcW w:w="1001" w:type="pct"/>
            <w:tcBorders>
              <w:tl2br w:val="nil"/>
              <w:tr2bl w:val="nil"/>
            </w:tcBorders>
            <w:vAlign w:val="center"/>
          </w:tcPr>
          <w:p>
            <w:pPr>
              <w:pStyle w:val="65"/>
              <w:rPr>
                <w:color w:val="auto"/>
              </w:rPr>
            </w:pPr>
            <w:r>
              <w:rPr>
                <w:color w:val="auto"/>
              </w:rPr>
              <w:t>P2</w:t>
            </w:r>
          </w:p>
        </w:tc>
        <w:tc>
          <w:tcPr>
            <w:tcW w:w="969" w:type="pct"/>
            <w:tcBorders>
              <w:tl2br w:val="nil"/>
              <w:tr2bl w:val="nil"/>
            </w:tcBorders>
            <w:vAlign w:val="center"/>
          </w:tcPr>
          <w:p>
            <w:pPr>
              <w:pStyle w:val="65"/>
              <w:rPr>
                <w:color w:val="auto"/>
              </w:rPr>
            </w:pPr>
            <w:r>
              <w:rPr>
                <w:color w:val="auto"/>
              </w:rPr>
              <w:t>P3</w:t>
            </w:r>
          </w:p>
        </w:tc>
        <w:tc>
          <w:tcPr>
            <w:tcW w:w="1014" w:type="pct"/>
            <w:tcBorders>
              <w:tl2br w:val="nil"/>
              <w:tr2bl w:val="nil"/>
            </w:tcBorders>
            <w:vAlign w:val="center"/>
          </w:tcPr>
          <w:p>
            <w:pPr>
              <w:pStyle w:val="65"/>
              <w:rPr>
                <w:color w:val="auto"/>
              </w:rPr>
            </w:pPr>
            <w:r>
              <w:rPr>
                <w:color w:val="auto"/>
              </w:rPr>
              <w:t>P4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072" w:type="pct"/>
            <w:tcBorders>
              <w:tl2br w:val="nil"/>
              <w:tr2bl w:val="nil"/>
            </w:tcBorders>
            <w:vAlign w:val="center"/>
          </w:tcPr>
          <w:p>
            <w:pPr>
              <w:pStyle w:val="65"/>
              <w:rPr>
                <w:color w:val="auto"/>
              </w:rPr>
            </w:pPr>
            <w:r>
              <w:rPr>
                <w:color w:val="auto"/>
              </w:rPr>
              <w:t>1≤Q&lt;10</w:t>
            </w:r>
          </w:p>
        </w:tc>
        <w:tc>
          <w:tcPr>
            <w:tcW w:w="943" w:type="pct"/>
            <w:tcBorders>
              <w:tl2br w:val="nil"/>
              <w:tr2bl w:val="nil"/>
            </w:tcBorders>
            <w:vAlign w:val="center"/>
          </w:tcPr>
          <w:p>
            <w:pPr>
              <w:pStyle w:val="65"/>
              <w:rPr>
                <w:color w:val="auto"/>
              </w:rPr>
            </w:pPr>
            <w:r>
              <w:rPr>
                <w:color w:val="auto"/>
              </w:rPr>
              <w:t>P2</w:t>
            </w:r>
          </w:p>
        </w:tc>
        <w:tc>
          <w:tcPr>
            <w:tcW w:w="1001" w:type="pct"/>
            <w:tcBorders>
              <w:tl2br w:val="nil"/>
              <w:tr2bl w:val="nil"/>
            </w:tcBorders>
            <w:vAlign w:val="center"/>
          </w:tcPr>
          <w:p>
            <w:pPr>
              <w:pStyle w:val="65"/>
              <w:rPr>
                <w:color w:val="auto"/>
              </w:rPr>
            </w:pPr>
            <w:r>
              <w:rPr>
                <w:color w:val="auto"/>
              </w:rPr>
              <w:t>P3</w:t>
            </w:r>
          </w:p>
        </w:tc>
        <w:tc>
          <w:tcPr>
            <w:tcW w:w="969" w:type="pct"/>
            <w:tcBorders>
              <w:tl2br w:val="nil"/>
              <w:tr2bl w:val="nil"/>
            </w:tcBorders>
            <w:vAlign w:val="center"/>
          </w:tcPr>
          <w:p>
            <w:pPr>
              <w:pStyle w:val="65"/>
              <w:rPr>
                <w:color w:val="auto"/>
              </w:rPr>
            </w:pPr>
            <w:r>
              <w:rPr>
                <w:color w:val="auto"/>
              </w:rPr>
              <w:t>P4</w:t>
            </w:r>
          </w:p>
        </w:tc>
        <w:tc>
          <w:tcPr>
            <w:tcW w:w="1014" w:type="pct"/>
            <w:tcBorders>
              <w:tl2br w:val="nil"/>
              <w:tr2bl w:val="nil"/>
            </w:tcBorders>
            <w:vAlign w:val="center"/>
          </w:tcPr>
          <w:p>
            <w:pPr>
              <w:pStyle w:val="65"/>
              <w:rPr>
                <w:color w:val="auto"/>
              </w:rPr>
            </w:pPr>
            <w:r>
              <w:rPr>
                <w:color w:val="auto"/>
              </w:rPr>
              <w:t>P4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985" w:type="pct"/>
            <w:gridSpan w:val="4"/>
            <w:tcBorders>
              <w:tl2br w:val="nil"/>
              <w:tr2bl w:val="nil"/>
            </w:tcBorders>
            <w:vAlign w:val="center"/>
          </w:tcPr>
          <w:p>
            <w:pPr>
              <w:pStyle w:val="65"/>
              <w:rPr>
                <w:color w:val="auto"/>
              </w:rPr>
            </w:pPr>
            <w:r>
              <w:rPr>
                <w:color w:val="auto"/>
              </w:rPr>
              <w:t>本项目P值等级判定</w:t>
            </w:r>
          </w:p>
        </w:tc>
        <w:tc>
          <w:tcPr>
            <w:tcW w:w="1014" w:type="pct"/>
            <w:tcBorders>
              <w:tl2br w:val="nil"/>
              <w:tr2bl w:val="nil"/>
            </w:tcBorders>
            <w:vAlign w:val="center"/>
          </w:tcPr>
          <w:p>
            <w:pPr>
              <w:pStyle w:val="65"/>
              <w:rPr>
                <w:color w:val="auto"/>
              </w:rPr>
            </w:pPr>
            <w:r>
              <w:rPr>
                <w:color w:val="auto"/>
              </w:rPr>
              <w:t>P</w:t>
            </w:r>
            <w:r>
              <w:rPr>
                <w:rFonts w:hint="eastAsia"/>
                <w:color w:val="auto"/>
              </w:rPr>
              <w:t>4</w:t>
            </w:r>
          </w:p>
        </w:tc>
      </w:tr>
    </w:tbl>
    <w:p>
      <w:pPr>
        <w:widowControl/>
        <w:spacing w:line="520" w:lineRule="exact"/>
        <w:ind w:firstLine="480" w:firstLineChars="200"/>
        <w:rPr>
          <w:color w:val="auto"/>
          <w:kern w:val="0"/>
          <w:sz w:val="24"/>
          <w:lang w:bidi="ar"/>
        </w:rPr>
      </w:pPr>
      <w:r>
        <w:rPr>
          <w:rFonts w:hint="eastAsia"/>
          <w:color w:val="auto"/>
          <w:kern w:val="0"/>
          <w:sz w:val="24"/>
          <w:lang w:bidi="ar"/>
        </w:rPr>
        <w:t>1.2.2</w:t>
      </w:r>
      <w:r>
        <w:rPr>
          <w:color w:val="auto"/>
          <w:kern w:val="0"/>
          <w:sz w:val="24"/>
          <w:lang w:bidi="ar"/>
        </w:rPr>
        <w:t>环境敏感程度（E）的确定</w:t>
      </w:r>
    </w:p>
    <w:p>
      <w:pPr>
        <w:widowControl/>
        <w:spacing w:line="520" w:lineRule="exact"/>
        <w:ind w:firstLine="480" w:firstLineChars="200"/>
        <w:rPr>
          <w:color w:val="auto"/>
          <w:kern w:val="0"/>
          <w:sz w:val="24"/>
          <w:lang w:bidi="ar"/>
        </w:rPr>
      </w:pPr>
      <w:r>
        <w:rPr>
          <w:color w:val="auto"/>
          <w:kern w:val="0"/>
          <w:sz w:val="24"/>
          <w:lang w:bidi="ar"/>
        </w:rPr>
        <w:t>根据《建设项目环境风险评价技术导则》（HJ 169-2018）附录D，本项目敏感程度E确定如下：</w:t>
      </w:r>
    </w:p>
    <w:p>
      <w:pPr>
        <w:widowControl/>
        <w:spacing w:line="520" w:lineRule="exact"/>
        <w:ind w:firstLine="480" w:firstLineChars="200"/>
        <w:rPr>
          <w:color w:val="auto"/>
          <w:kern w:val="0"/>
          <w:sz w:val="24"/>
          <w:lang w:bidi="ar"/>
        </w:rPr>
      </w:pPr>
      <w:r>
        <w:rPr>
          <w:rFonts w:hint="eastAsia"/>
          <w:color w:val="auto"/>
          <w:kern w:val="0"/>
          <w:sz w:val="24"/>
          <w:lang w:bidi="ar"/>
        </w:rPr>
        <w:t>（1）</w:t>
      </w:r>
      <w:r>
        <w:rPr>
          <w:color w:val="auto"/>
          <w:kern w:val="0"/>
          <w:sz w:val="24"/>
          <w:lang w:bidi="ar"/>
        </w:rPr>
        <w:t>大气环境</w:t>
      </w:r>
    </w:p>
    <w:p>
      <w:pPr>
        <w:widowControl/>
        <w:spacing w:line="520" w:lineRule="exact"/>
        <w:ind w:firstLine="480" w:firstLineChars="200"/>
        <w:rPr>
          <w:color w:val="auto"/>
          <w:kern w:val="0"/>
          <w:sz w:val="24"/>
          <w:lang w:bidi="ar"/>
        </w:rPr>
      </w:pPr>
      <w:r>
        <w:rPr>
          <w:color w:val="auto"/>
          <w:kern w:val="0"/>
          <w:sz w:val="24"/>
          <w:lang w:bidi="ar"/>
        </w:rPr>
        <w:t>本项目周边500m范围内</w:t>
      </w:r>
      <w:r>
        <w:rPr>
          <w:rFonts w:hint="eastAsia"/>
          <w:color w:val="auto"/>
          <w:kern w:val="0"/>
          <w:sz w:val="24"/>
          <w:lang w:bidi="ar"/>
        </w:rPr>
        <w:t>无</w:t>
      </w:r>
      <w:r>
        <w:rPr>
          <w:color w:val="auto"/>
          <w:kern w:val="0"/>
          <w:sz w:val="24"/>
          <w:lang w:bidi="ar"/>
        </w:rPr>
        <w:t>居住区、医疗卫生、文化教育、科研和行政办公区，周边5km范围内人口总数小于10000人，大气环境敏感程度为“环境低度敏感区（E3）”。</w:t>
      </w:r>
    </w:p>
    <w:p>
      <w:pPr>
        <w:widowControl/>
        <w:ind w:firstLine="480" w:firstLineChars="200"/>
        <w:jc w:val="center"/>
        <w:rPr>
          <w:rFonts w:eastAsia="黑体"/>
          <w:color w:val="auto"/>
          <w:sz w:val="24"/>
        </w:rPr>
      </w:pPr>
      <w:r>
        <w:rPr>
          <w:rFonts w:eastAsia="黑体"/>
          <w:color w:val="auto"/>
          <w:sz w:val="24"/>
        </w:rPr>
        <w:t>表</w:t>
      </w:r>
      <w:r>
        <w:rPr>
          <w:rFonts w:hint="eastAsia" w:eastAsia="黑体"/>
          <w:color w:val="auto"/>
          <w:sz w:val="24"/>
        </w:rPr>
        <w:t>5</w:t>
      </w:r>
      <w:r>
        <w:rPr>
          <w:rFonts w:eastAsia="黑体"/>
          <w:color w:val="auto"/>
          <w:sz w:val="24"/>
        </w:rPr>
        <w:t xml:space="preserve">  大气环境敏感程度分级</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86"/>
        <w:gridCol w:w="777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10" w:type="pct"/>
            <w:tcBorders>
              <w:tl2br w:val="nil"/>
              <w:tr2bl w:val="nil"/>
            </w:tcBorders>
            <w:vAlign w:val="center"/>
          </w:tcPr>
          <w:p>
            <w:pPr>
              <w:pStyle w:val="65"/>
              <w:rPr>
                <w:color w:val="auto"/>
              </w:rPr>
            </w:pPr>
            <w:r>
              <w:rPr>
                <w:color w:val="auto"/>
              </w:rPr>
              <w:t>分级</w:t>
            </w:r>
          </w:p>
        </w:tc>
        <w:tc>
          <w:tcPr>
            <w:tcW w:w="4289" w:type="pct"/>
            <w:tcBorders>
              <w:tl2br w:val="nil"/>
              <w:tr2bl w:val="nil"/>
            </w:tcBorders>
            <w:vAlign w:val="center"/>
          </w:tcPr>
          <w:p>
            <w:pPr>
              <w:pStyle w:val="65"/>
              <w:rPr>
                <w:color w:val="auto"/>
              </w:rPr>
            </w:pPr>
            <w:r>
              <w:rPr>
                <w:color w:val="auto"/>
              </w:rPr>
              <w:t>大气环境敏感性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10" w:type="pct"/>
            <w:tcBorders>
              <w:tl2br w:val="nil"/>
              <w:tr2bl w:val="nil"/>
            </w:tcBorders>
            <w:vAlign w:val="center"/>
          </w:tcPr>
          <w:p>
            <w:pPr>
              <w:pStyle w:val="65"/>
              <w:rPr>
                <w:color w:val="auto"/>
              </w:rPr>
            </w:pPr>
            <w:r>
              <w:rPr>
                <w:color w:val="auto"/>
              </w:rPr>
              <w:t>E1</w:t>
            </w:r>
          </w:p>
        </w:tc>
        <w:tc>
          <w:tcPr>
            <w:tcW w:w="4289" w:type="pct"/>
            <w:tcBorders>
              <w:tl2br w:val="nil"/>
              <w:tr2bl w:val="nil"/>
            </w:tcBorders>
            <w:vAlign w:val="center"/>
          </w:tcPr>
          <w:p>
            <w:pPr>
              <w:pStyle w:val="65"/>
              <w:jc w:val="left"/>
              <w:rPr>
                <w:color w:val="auto"/>
              </w:rPr>
            </w:pPr>
            <w:r>
              <w:rPr>
                <w:color w:val="auto"/>
              </w:rPr>
              <w:t>周边5km范围内居住区、医疗卫生、文化教育、科研、行政办公等机构人口总数大于5万人，或其他需要特殊保护区域：或周边500m范围内人口总数大于1000人；油气、化学品输送管线管段周边200m范围内，每千米管段人口数大于200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10" w:type="pct"/>
            <w:tcBorders>
              <w:tl2br w:val="nil"/>
              <w:tr2bl w:val="nil"/>
            </w:tcBorders>
            <w:vAlign w:val="center"/>
          </w:tcPr>
          <w:p>
            <w:pPr>
              <w:pStyle w:val="65"/>
              <w:rPr>
                <w:color w:val="auto"/>
              </w:rPr>
            </w:pPr>
            <w:r>
              <w:rPr>
                <w:color w:val="auto"/>
              </w:rPr>
              <w:t>E2</w:t>
            </w:r>
          </w:p>
        </w:tc>
        <w:tc>
          <w:tcPr>
            <w:tcW w:w="4289" w:type="pct"/>
            <w:tcBorders>
              <w:tl2br w:val="nil"/>
              <w:tr2bl w:val="nil"/>
            </w:tcBorders>
            <w:vAlign w:val="center"/>
          </w:tcPr>
          <w:p>
            <w:pPr>
              <w:pStyle w:val="65"/>
              <w:jc w:val="left"/>
              <w:rPr>
                <w:color w:val="auto"/>
              </w:rPr>
            </w:pPr>
            <w:r>
              <w:rPr>
                <w:color w:val="auto"/>
              </w:rPr>
              <w:t>周边5km范围内居住区、医疗卫生、文化教育、科研、行政办公等机构人口总数大于1万人，小于5万人：或周边500m范围内人口总数大于500人，小于1000人：油气、化学品输送管线管段周边200m范围内，每千米管段人口数大于100人，小于200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10" w:type="pct"/>
            <w:tcBorders>
              <w:tl2br w:val="nil"/>
              <w:tr2bl w:val="nil"/>
            </w:tcBorders>
            <w:vAlign w:val="center"/>
          </w:tcPr>
          <w:p>
            <w:pPr>
              <w:pStyle w:val="65"/>
              <w:rPr>
                <w:color w:val="auto"/>
              </w:rPr>
            </w:pPr>
            <w:r>
              <w:rPr>
                <w:color w:val="auto"/>
              </w:rPr>
              <w:t>E3</w:t>
            </w:r>
          </w:p>
        </w:tc>
        <w:tc>
          <w:tcPr>
            <w:tcW w:w="4289" w:type="pct"/>
            <w:tcBorders>
              <w:tl2br w:val="nil"/>
              <w:tr2bl w:val="nil"/>
            </w:tcBorders>
            <w:vAlign w:val="center"/>
          </w:tcPr>
          <w:p>
            <w:pPr>
              <w:pStyle w:val="65"/>
              <w:jc w:val="left"/>
              <w:rPr>
                <w:color w:val="auto"/>
              </w:rPr>
            </w:pPr>
            <w:r>
              <w:rPr>
                <w:color w:val="auto"/>
              </w:rPr>
              <w:t>周边5km范围内居住区、医疗卫生、文化教育、科研、行政办公等机构人口总数小于1万人：或周边500m范围内人口总数小于500人：油气、化学品输送管线管段周边200m范围内，每千米管段人口数小于100人</w:t>
            </w:r>
          </w:p>
        </w:tc>
      </w:tr>
    </w:tbl>
    <w:p>
      <w:pPr>
        <w:pStyle w:val="46"/>
        <w:spacing w:line="520" w:lineRule="exact"/>
        <w:ind w:firstLine="480"/>
        <w:jc w:val="both"/>
        <w:rPr>
          <w:color w:val="auto"/>
          <w:sz w:val="24"/>
        </w:rPr>
      </w:pPr>
      <w:r>
        <w:rPr>
          <w:rFonts w:hint="eastAsia"/>
          <w:color w:val="auto"/>
          <w:sz w:val="24"/>
        </w:rPr>
        <w:t>（2）</w:t>
      </w:r>
      <w:r>
        <w:rPr>
          <w:color w:val="auto"/>
          <w:sz w:val="24"/>
        </w:rPr>
        <w:t>地表水</w:t>
      </w:r>
    </w:p>
    <w:p>
      <w:pPr>
        <w:pStyle w:val="46"/>
        <w:spacing w:line="520" w:lineRule="exact"/>
        <w:ind w:firstLine="480"/>
        <w:jc w:val="both"/>
        <w:rPr>
          <w:color w:val="auto"/>
          <w:sz w:val="24"/>
        </w:rPr>
      </w:pPr>
      <w:r>
        <w:rPr>
          <w:color w:val="auto"/>
          <w:sz w:val="24"/>
        </w:rPr>
        <w:t>本项目</w:t>
      </w:r>
      <w:r>
        <w:rPr>
          <w:rFonts w:hint="eastAsia"/>
          <w:color w:val="auto"/>
          <w:sz w:val="24"/>
        </w:rPr>
        <w:t>废水依托现有工程已建隔油沉淀池及地埋式一体化污水处理设施处理后用于厂区绿化</w:t>
      </w:r>
      <w:r>
        <w:rPr>
          <w:rFonts w:hint="eastAsia"/>
          <w:color w:val="auto"/>
          <w:sz w:val="24"/>
          <w:lang w:eastAsia="zh-CN"/>
        </w:rPr>
        <w:t>，</w:t>
      </w:r>
      <w:r>
        <w:rPr>
          <w:color w:val="auto"/>
          <w:sz w:val="24"/>
        </w:rPr>
        <w:t>风险评价不考虑地表水影响。</w:t>
      </w:r>
    </w:p>
    <w:p>
      <w:pPr>
        <w:pStyle w:val="46"/>
        <w:spacing w:line="520" w:lineRule="exact"/>
        <w:ind w:firstLine="480"/>
        <w:jc w:val="both"/>
        <w:rPr>
          <w:color w:val="auto"/>
          <w:sz w:val="24"/>
        </w:rPr>
      </w:pPr>
      <w:r>
        <w:rPr>
          <w:rFonts w:hint="eastAsia"/>
          <w:color w:val="auto"/>
          <w:sz w:val="24"/>
        </w:rPr>
        <w:t>（3）</w:t>
      </w:r>
      <w:r>
        <w:rPr>
          <w:color w:val="auto"/>
          <w:sz w:val="24"/>
        </w:rPr>
        <w:t>地下水</w:t>
      </w:r>
    </w:p>
    <w:p>
      <w:pPr>
        <w:pStyle w:val="46"/>
        <w:spacing w:line="520" w:lineRule="exact"/>
        <w:ind w:firstLine="480"/>
        <w:jc w:val="both"/>
        <w:rPr>
          <w:color w:val="auto"/>
          <w:sz w:val="24"/>
        </w:rPr>
      </w:pPr>
      <w:r>
        <w:rPr>
          <w:color w:val="auto"/>
          <w:sz w:val="24"/>
        </w:rPr>
        <w:t>本项目位于</w:t>
      </w:r>
      <w:r>
        <w:rPr>
          <w:rFonts w:hint="eastAsia"/>
          <w:color w:val="auto"/>
          <w:sz w:val="24"/>
        </w:rPr>
        <w:t>吉木萨尔县庆阳湖乡水溪沟</w:t>
      </w:r>
      <w:r>
        <w:rPr>
          <w:color w:val="auto"/>
          <w:sz w:val="24"/>
        </w:rPr>
        <w:t>，不属于集中式饮用水水源准保护区及以外的补给径流区，地下水敏感性分区判定为“不敏感G3”。本项目场地及所处区域非含水层厚度大于1.0m，垂直入渗系数：10</w:t>
      </w:r>
      <w:r>
        <w:rPr>
          <w:color w:val="auto"/>
          <w:sz w:val="24"/>
          <w:vertAlign w:val="superscript"/>
        </w:rPr>
        <w:t>-5</w:t>
      </w:r>
      <w:r>
        <w:rPr>
          <w:color w:val="auto"/>
          <w:sz w:val="24"/>
        </w:rPr>
        <w:t>≤K&lt;10</w:t>
      </w:r>
      <w:r>
        <w:rPr>
          <w:color w:val="auto"/>
          <w:sz w:val="24"/>
          <w:vertAlign w:val="superscript"/>
        </w:rPr>
        <w:t>-4</w:t>
      </w:r>
      <w:r>
        <w:rPr>
          <w:color w:val="auto"/>
          <w:sz w:val="24"/>
        </w:rPr>
        <w:t>，包气带防污性能分级为D2，本项目地下水环境敏感程度分级为“环境低度敏感区</w:t>
      </w:r>
      <w:r>
        <w:rPr>
          <w:color w:val="auto"/>
          <w:sz w:val="24"/>
          <w:lang w:bidi="ar"/>
        </w:rPr>
        <w:t>（E3）”。</w:t>
      </w:r>
    </w:p>
    <w:p>
      <w:pPr>
        <w:widowControl/>
        <w:ind w:firstLine="480" w:firstLineChars="200"/>
        <w:jc w:val="center"/>
        <w:rPr>
          <w:rFonts w:eastAsia="黑体"/>
          <w:color w:val="auto"/>
          <w:sz w:val="24"/>
        </w:rPr>
      </w:pPr>
      <w:r>
        <w:rPr>
          <w:rFonts w:eastAsia="黑体"/>
          <w:color w:val="auto"/>
          <w:sz w:val="24"/>
        </w:rPr>
        <w:t>表</w:t>
      </w:r>
      <w:r>
        <w:rPr>
          <w:rFonts w:hint="eastAsia" w:eastAsia="黑体"/>
          <w:color w:val="auto"/>
          <w:sz w:val="24"/>
        </w:rPr>
        <w:t>6</w:t>
      </w:r>
      <w:r>
        <w:rPr>
          <w:rFonts w:eastAsia="黑体"/>
          <w:color w:val="auto"/>
          <w:sz w:val="24"/>
        </w:rPr>
        <w:t xml:space="preserve">  地下水敏感程度分级</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262"/>
        <w:gridCol w:w="2264"/>
        <w:gridCol w:w="2265"/>
        <w:gridCol w:w="226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249" w:type="pct"/>
            <w:vMerge w:val="restart"/>
            <w:tcBorders>
              <w:tl2br w:val="nil"/>
              <w:tr2bl w:val="nil"/>
            </w:tcBorders>
            <w:vAlign w:val="center"/>
          </w:tcPr>
          <w:p>
            <w:pPr>
              <w:pStyle w:val="65"/>
              <w:rPr>
                <w:color w:val="auto"/>
              </w:rPr>
            </w:pPr>
            <w:r>
              <w:rPr>
                <w:color w:val="auto"/>
              </w:rPr>
              <w:t>包气带防污性能</w:t>
            </w:r>
          </w:p>
        </w:tc>
        <w:tc>
          <w:tcPr>
            <w:tcW w:w="3750" w:type="pct"/>
            <w:gridSpan w:val="3"/>
            <w:tcBorders>
              <w:tl2br w:val="nil"/>
              <w:tr2bl w:val="nil"/>
            </w:tcBorders>
            <w:vAlign w:val="center"/>
          </w:tcPr>
          <w:p>
            <w:pPr>
              <w:pStyle w:val="65"/>
              <w:rPr>
                <w:color w:val="auto"/>
              </w:rPr>
            </w:pPr>
            <w:r>
              <w:rPr>
                <w:color w:val="auto"/>
              </w:rPr>
              <w:t>地下水功能敏感性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49" w:type="pct"/>
            <w:vMerge w:val="continue"/>
            <w:tcBorders>
              <w:tl2br w:val="nil"/>
              <w:tr2bl w:val="nil"/>
            </w:tcBorders>
            <w:vAlign w:val="center"/>
          </w:tcPr>
          <w:p>
            <w:pPr>
              <w:pStyle w:val="65"/>
              <w:rPr>
                <w:color w:val="auto"/>
              </w:rPr>
            </w:pPr>
          </w:p>
        </w:tc>
        <w:tc>
          <w:tcPr>
            <w:tcW w:w="1250" w:type="pct"/>
            <w:tcBorders>
              <w:tl2br w:val="nil"/>
              <w:tr2bl w:val="nil"/>
            </w:tcBorders>
            <w:vAlign w:val="center"/>
          </w:tcPr>
          <w:p>
            <w:pPr>
              <w:pStyle w:val="65"/>
              <w:rPr>
                <w:color w:val="auto"/>
              </w:rPr>
            </w:pPr>
            <w:r>
              <w:rPr>
                <w:color w:val="auto"/>
              </w:rPr>
              <w:t>G1</w:t>
            </w:r>
          </w:p>
        </w:tc>
        <w:tc>
          <w:tcPr>
            <w:tcW w:w="1250" w:type="pct"/>
            <w:tcBorders>
              <w:tl2br w:val="nil"/>
              <w:tr2bl w:val="nil"/>
            </w:tcBorders>
            <w:vAlign w:val="center"/>
          </w:tcPr>
          <w:p>
            <w:pPr>
              <w:pStyle w:val="65"/>
              <w:rPr>
                <w:color w:val="auto"/>
              </w:rPr>
            </w:pPr>
            <w:r>
              <w:rPr>
                <w:color w:val="auto"/>
              </w:rPr>
              <w:t>G2</w:t>
            </w:r>
          </w:p>
        </w:tc>
        <w:tc>
          <w:tcPr>
            <w:tcW w:w="1250" w:type="pct"/>
            <w:tcBorders>
              <w:tl2br w:val="nil"/>
              <w:tr2bl w:val="nil"/>
            </w:tcBorders>
            <w:vAlign w:val="center"/>
          </w:tcPr>
          <w:p>
            <w:pPr>
              <w:pStyle w:val="65"/>
              <w:rPr>
                <w:color w:val="auto"/>
              </w:rPr>
            </w:pPr>
            <w:r>
              <w:rPr>
                <w:color w:val="auto"/>
              </w:rPr>
              <w:t>G3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49" w:type="pct"/>
            <w:tcBorders>
              <w:tl2br w:val="nil"/>
              <w:tr2bl w:val="nil"/>
            </w:tcBorders>
            <w:vAlign w:val="center"/>
          </w:tcPr>
          <w:p>
            <w:pPr>
              <w:pStyle w:val="65"/>
              <w:rPr>
                <w:color w:val="auto"/>
              </w:rPr>
            </w:pPr>
            <w:r>
              <w:rPr>
                <w:color w:val="auto"/>
              </w:rPr>
              <w:t>D1</w:t>
            </w:r>
          </w:p>
        </w:tc>
        <w:tc>
          <w:tcPr>
            <w:tcW w:w="1250" w:type="pct"/>
            <w:tcBorders>
              <w:tl2br w:val="nil"/>
              <w:tr2bl w:val="nil"/>
            </w:tcBorders>
            <w:vAlign w:val="center"/>
          </w:tcPr>
          <w:p>
            <w:pPr>
              <w:pStyle w:val="65"/>
              <w:rPr>
                <w:color w:val="auto"/>
              </w:rPr>
            </w:pPr>
            <w:r>
              <w:rPr>
                <w:color w:val="auto"/>
              </w:rPr>
              <w:t>E1</w:t>
            </w:r>
          </w:p>
        </w:tc>
        <w:tc>
          <w:tcPr>
            <w:tcW w:w="1250" w:type="pct"/>
            <w:tcBorders>
              <w:tl2br w:val="nil"/>
              <w:tr2bl w:val="nil"/>
            </w:tcBorders>
            <w:vAlign w:val="center"/>
          </w:tcPr>
          <w:p>
            <w:pPr>
              <w:pStyle w:val="65"/>
              <w:rPr>
                <w:color w:val="auto"/>
              </w:rPr>
            </w:pPr>
            <w:r>
              <w:rPr>
                <w:color w:val="auto"/>
              </w:rPr>
              <w:t>E1</w:t>
            </w:r>
          </w:p>
        </w:tc>
        <w:tc>
          <w:tcPr>
            <w:tcW w:w="1250" w:type="pct"/>
            <w:tcBorders>
              <w:tl2br w:val="nil"/>
              <w:tr2bl w:val="nil"/>
            </w:tcBorders>
            <w:vAlign w:val="center"/>
          </w:tcPr>
          <w:p>
            <w:pPr>
              <w:pStyle w:val="65"/>
              <w:rPr>
                <w:color w:val="auto"/>
              </w:rPr>
            </w:pPr>
            <w:r>
              <w:rPr>
                <w:color w:val="auto"/>
              </w:rPr>
              <w:t>E2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49" w:type="pct"/>
            <w:tcBorders>
              <w:tl2br w:val="nil"/>
              <w:tr2bl w:val="nil"/>
            </w:tcBorders>
            <w:vAlign w:val="center"/>
          </w:tcPr>
          <w:p>
            <w:pPr>
              <w:pStyle w:val="65"/>
              <w:rPr>
                <w:color w:val="auto"/>
              </w:rPr>
            </w:pPr>
            <w:r>
              <w:rPr>
                <w:color w:val="auto"/>
              </w:rPr>
              <w:t>D2</w:t>
            </w:r>
          </w:p>
        </w:tc>
        <w:tc>
          <w:tcPr>
            <w:tcW w:w="1250" w:type="pct"/>
            <w:tcBorders>
              <w:tl2br w:val="nil"/>
              <w:tr2bl w:val="nil"/>
            </w:tcBorders>
            <w:vAlign w:val="center"/>
          </w:tcPr>
          <w:p>
            <w:pPr>
              <w:pStyle w:val="65"/>
              <w:rPr>
                <w:color w:val="auto"/>
              </w:rPr>
            </w:pPr>
            <w:r>
              <w:rPr>
                <w:color w:val="auto"/>
              </w:rPr>
              <w:t>E1</w:t>
            </w:r>
          </w:p>
        </w:tc>
        <w:tc>
          <w:tcPr>
            <w:tcW w:w="1250" w:type="pct"/>
            <w:tcBorders>
              <w:tl2br w:val="nil"/>
              <w:tr2bl w:val="nil"/>
            </w:tcBorders>
            <w:vAlign w:val="center"/>
          </w:tcPr>
          <w:p>
            <w:pPr>
              <w:pStyle w:val="65"/>
              <w:rPr>
                <w:color w:val="auto"/>
              </w:rPr>
            </w:pPr>
            <w:r>
              <w:rPr>
                <w:color w:val="auto"/>
              </w:rPr>
              <w:t>E2</w:t>
            </w:r>
          </w:p>
        </w:tc>
        <w:tc>
          <w:tcPr>
            <w:tcW w:w="1250" w:type="pct"/>
            <w:tcBorders>
              <w:tl2br w:val="nil"/>
              <w:tr2bl w:val="nil"/>
            </w:tcBorders>
            <w:vAlign w:val="center"/>
          </w:tcPr>
          <w:p>
            <w:pPr>
              <w:pStyle w:val="65"/>
              <w:rPr>
                <w:color w:val="auto"/>
              </w:rPr>
            </w:pPr>
            <w:r>
              <w:rPr>
                <w:color w:val="auto"/>
              </w:rPr>
              <w:t>E3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49" w:type="pct"/>
            <w:tcBorders>
              <w:tl2br w:val="nil"/>
              <w:tr2bl w:val="nil"/>
            </w:tcBorders>
            <w:vAlign w:val="center"/>
          </w:tcPr>
          <w:p>
            <w:pPr>
              <w:pStyle w:val="65"/>
              <w:rPr>
                <w:color w:val="auto"/>
              </w:rPr>
            </w:pPr>
            <w:r>
              <w:rPr>
                <w:color w:val="auto"/>
              </w:rPr>
              <w:t>D3</w:t>
            </w:r>
          </w:p>
        </w:tc>
        <w:tc>
          <w:tcPr>
            <w:tcW w:w="1250" w:type="pct"/>
            <w:tcBorders>
              <w:tl2br w:val="nil"/>
              <w:tr2bl w:val="nil"/>
            </w:tcBorders>
            <w:vAlign w:val="center"/>
          </w:tcPr>
          <w:p>
            <w:pPr>
              <w:pStyle w:val="65"/>
              <w:rPr>
                <w:color w:val="auto"/>
              </w:rPr>
            </w:pPr>
            <w:r>
              <w:rPr>
                <w:color w:val="auto"/>
              </w:rPr>
              <w:t>E2</w:t>
            </w:r>
          </w:p>
        </w:tc>
        <w:tc>
          <w:tcPr>
            <w:tcW w:w="1250" w:type="pct"/>
            <w:tcBorders>
              <w:tl2br w:val="nil"/>
              <w:tr2bl w:val="nil"/>
            </w:tcBorders>
            <w:vAlign w:val="center"/>
          </w:tcPr>
          <w:p>
            <w:pPr>
              <w:pStyle w:val="65"/>
              <w:rPr>
                <w:color w:val="auto"/>
              </w:rPr>
            </w:pPr>
            <w:r>
              <w:rPr>
                <w:color w:val="auto"/>
              </w:rPr>
              <w:t>E3</w:t>
            </w:r>
          </w:p>
        </w:tc>
        <w:tc>
          <w:tcPr>
            <w:tcW w:w="1250" w:type="pct"/>
            <w:tcBorders>
              <w:tl2br w:val="nil"/>
              <w:tr2bl w:val="nil"/>
            </w:tcBorders>
            <w:vAlign w:val="center"/>
          </w:tcPr>
          <w:p>
            <w:pPr>
              <w:pStyle w:val="65"/>
              <w:rPr>
                <w:color w:val="auto"/>
              </w:rPr>
            </w:pPr>
            <w:r>
              <w:rPr>
                <w:color w:val="auto"/>
              </w:rPr>
              <w:t>E3</w:t>
            </w:r>
          </w:p>
        </w:tc>
      </w:tr>
    </w:tbl>
    <w:p>
      <w:pPr>
        <w:widowControl/>
        <w:ind w:firstLine="480" w:firstLineChars="200"/>
        <w:jc w:val="center"/>
        <w:rPr>
          <w:rFonts w:eastAsia="黑体"/>
          <w:color w:val="auto"/>
          <w:sz w:val="24"/>
        </w:rPr>
      </w:pPr>
      <w:r>
        <w:rPr>
          <w:rFonts w:eastAsia="黑体"/>
          <w:color w:val="auto"/>
          <w:sz w:val="24"/>
        </w:rPr>
        <w:t>表</w:t>
      </w:r>
      <w:r>
        <w:rPr>
          <w:rFonts w:hint="eastAsia" w:eastAsia="黑体"/>
          <w:color w:val="auto"/>
          <w:sz w:val="24"/>
        </w:rPr>
        <w:t>7</w:t>
      </w:r>
      <w:r>
        <w:rPr>
          <w:rFonts w:eastAsia="黑体"/>
          <w:color w:val="auto"/>
          <w:sz w:val="24"/>
        </w:rPr>
        <w:t xml:space="preserve">  地下水功能敏感性分区</w:t>
      </w:r>
    </w:p>
    <w:tbl>
      <w:tblPr>
        <w:tblStyle w:val="28"/>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42"/>
        <w:gridCol w:w="771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741" w:type="pct"/>
            <w:tcBorders>
              <w:tl2br w:val="nil"/>
              <w:tr2bl w:val="nil"/>
            </w:tcBorders>
            <w:vAlign w:val="center"/>
          </w:tcPr>
          <w:p>
            <w:pPr>
              <w:pStyle w:val="65"/>
              <w:rPr>
                <w:color w:val="auto"/>
              </w:rPr>
            </w:pPr>
            <w:r>
              <w:rPr>
                <w:color w:val="auto"/>
              </w:rPr>
              <w:t>敏感性</w:t>
            </w:r>
          </w:p>
        </w:tc>
        <w:tc>
          <w:tcPr>
            <w:tcW w:w="4258" w:type="pct"/>
            <w:tcBorders>
              <w:tl2br w:val="nil"/>
              <w:tr2bl w:val="nil"/>
            </w:tcBorders>
            <w:vAlign w:val="center"/>
          </w:tcPr>
          <w:p>
            <w:pPr>
              <w:pStyle w:val="65"/>
              <w:jc w:val="left"/>
              <w:rPr>
                <w:color w:val="auto"/>
              </w:rPr>
            </w:pPr>
            <w:r>
              <w:rPr>
                <w:color w:val="auto"/>
              </w:rPr>
              <w:t>地下水环境敏感特性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1" w:type="pct"/>
            <w:tcBorders>
              <w:tl2br w:val="nil"/>
              <w:tr2bl w:val="nil"/>
            </w:tcBorders>
            <w:vAlign w:val="center"/>
          </w:tcPr>
          <w:p>
            <w:pPr>
              <w:pStyle w:val="65"/>
              <w:rPr>
                <w:color w:val="auto"/>
              </w:rPr>
            </w:pPr>
            <w:r>
              <w:rPr>
                <w:color w:val="auto"/>
              </w:rPr>
              <w:t>敏感G1</w:t>
            </w:r>
          </w:p>
        </w:tc>
        <w:tc>
          <w:tcPr>
            <w:tcW w:w="4258" w:type="pct"/>
            <w:tcBorders>
              <w:tl2br w:val="nil"/>
              <w:tr2bl w:val="nil"/>
            </w:tcBorders>
            <w:vAlign w:val="center"/>
          </w:tcPr>
          <w:p>
            <w:pPr>
              <w:pStyle w:val="65"/>
              <w:jc w:val="left"/>
              <w:rPr>
                <w:color w:val="auto"/>
              </w:rPr>
            </w:pPr>
            <w:r>
              <w:rPr>
                <w:color w:val="auto"/>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1" w:type="pct"/>
            <w:tcBorders>
              <w:tl2br w:val="nil"/>
              <w:tr2bl w:val="nil"/>
            </w:tcBorders>
            <w:vAlign w:val="center"/>
          </w:tcPr>
          <w:p>
            <w:pPr>
              <w:pStyle w:val="65"/>
              <w:rPr>
                <w:color w:val="auto"/>
              </w:rPr>
            </w:pPr>
            <w:r>
              <w:rPr>
                <w:color w:val="auto"/>
              </w:rPr>
              <w:t>较敏感G2</w:t>
            </w:r>
          </w:p>
        </w:tc>
        <w:tc>
          <w:tcPr>
            <w:tcW w:w="4258" w:type="pct"/>
            <w:tcBorders>
              <w:tl2br w:val="nil"/>
              <w:tr2bl w:val="nil"/>
            </w:tcBorders>
            <w:vAlign w:val="center"/>
          </w:tcPr>
          <w:p>
            <w:pPr>
              <w:pStyle w:val="65"/>
              <w:jc w:val="left"/>
              <w:rPr>
                <w:color w:val="auto"/>
              </w:rPr>
            </w:pPr>
            <w:r>
              <w:rPr>
                <w:color w:val="auto"/>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1" w:type="pct"/>
            <w:tcBorders>
              <w:tl2br w:val="nil"/>
              <w:tr2bl w:val="nil"/>
            </w:tcBorders>
            <w:vAlign w:val="center"/>
          </w:tcPr>
          <w:p>
            <w:pPr>
              <w:pStyle w:val="65"/>
              <w:rPr>
                <w:color w:val="auto"/>
              </w:rPr>
            </w:pPr>
            <w:r>
              <w:rPr>
                <w:color w:val="auto"/>
              </w:rPr>
              <w:t>不敏感G3</w:t>
            </w:r>
          </w:p>
        </w:tc>
        <w:tc>
          <w:tcPr>
            <w:tcW w:w="4258" w:type="pct"/>
            <w:tcBorders>
              <w:tl2br w:val="nil"/>
              <w:tr2bl w:val="nil"/>
            </w:tcBorders>
            <w:vAlign w:val="center"/>
          </w:tcPr>
          <w:p>
            <w:pPr>
              <w:pStyle w:val="65"/>
              <w:jc w:val="left"/>
              <w:rPr>
                <w:color w:val="auto"/>
              </w:rPr>
            </w:pPr>
            <w:r>
              <w:rPr>
                <w:color w:val="auto"/>
              </w:rPr>
              <w:t>上述地区之外的其它地区。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2"/>
            <w:tcBorders>
              <w:tl2br w:val="nil"/>
              <w:tr2bl w:val="nil"/>
            </w:tcBorders>
            <w:vAlign w:val="center"/>
          </w:tcPr>
          <w:p>
            <w:pPr>
              <w:pStyle w:val="65"/>
              <w:jc w:val="left"/>
              <w:rPr>
                <w:color w:val="auto"/>
              </w:rPr>
            </w:pPr>
            <w:r>
              <w:rPr>
                <w:color w:val="auto"/>
              </w:rPr>
              <w:t>a“环境敏感区”是指《建设项目环境影响评价分类管理名录》中所界定的涉及地下水的环境敏感区。</w:t>
            </w:r>
          </w:p>
        </w:tc>
      </w:tr>
    </w:tbl>
    <w:p>
      <w:pPr>
        <w:widowControl/>
        <w:spacing w:before="156" w:beforeLines="50"/>
        <w:ind w:firstLine="480" w:firstLineChars="200"/>
        <w:jc w:val="center"/>
        <w:rPr>
          <w:rFonts w:eastAsia="黑体"/>
          <w:color w:val="auto"/>
          <w:sz w:val="24"/>
        </w:rPr>
      </w:pPr>
      <w:r>
        <w:rPr>
          <w:rFonts w:eastAsia="黑体"/>
          <w:color w:val="auto"/>
          <w:sz w:val="24"/>
        </w:rPr>
        <w:t>表</w:t>
      </w:r>
      <w:r>
        <w:rPr>
          <w:rFonts w:hint="eastAsia" w:eastAsia="黑体"/>
          <w:color w:val="auto"/>
          <w:sz w:val="24"/>
        </w:rPr>
        <w:t>8</w:t>
      </w:r>
      <w:r>
        <w:rPr>
          <w:rFonts w:eastAsia="黑体"/>
          <w:color w:val="auto"/>
          <w:sz w:val="24"/>
        </w:rPr>
        <w:t xml:space="preserve">  包气带防污性能分级</w:t>
      </w:r>
    </w:p>
    <w:tbl>
      <w:tblPr>
        <w:tblStyle w:val="28"/>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42"/>
        <w:gridCol w:w="771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741" w:type="pct"/>
            <w:tcBorders>
              <w:tl2br w:val="nil"/>
              <w:tr2bl w:val="nil"/>
            </w:tcBorders>
            <w:vAlign w:val="center"/>
          </w:tcPr>
          <w:p>
            <w:pPr>
              <w:pStyle w:val="65"/>
              <w:rPr>
                <w:color w:val="auto"/>
              </w:rPr>
            </w:pPr>
            <w:r>
              <w:rPr>
                <w:color w:val="auto"/>
              </w:rPr>
              <w:t>分级</w:t>
            </w:r>
          </w:p>
        </w:tc>
        <w:tc>
          <w:tcPr>
            <w:tcW w:w="4258" w:type="pct"/>
            <w:tcBorders>
              <w:tl2br w:val="nil"/>
              <w:tr2bl w:val="nil"/>
            </w:tcBorders>
            <w:vAlign w:val="center"/>
          </w:tcPr>
          <w:p>
            <w:pPr>
              <w:pStyle w:val="65"/>
              <w:jc w:val="left"/>
              <w:rPr>
                <w:color w:val="auto"/>
              </w:rPr>
            </w:pPr>
            <w:r>
              <w:rPr>
                <w:color w:val="auto"/>
              </w:rPr>
              <w:t>包气带岩土的渗透性能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1" w:type="pct"/>
            <w:tcBorders>
              <w:tl2br w:val="nil"/>
              <w:tr2bl w:val="nil"/>
            </w:tcBorders>
            <w:vAlign w:val="center"/>
          </w:tcPr>
          <w:p>
            <w:pPr>
              <w:pStyle w:val="65"/>
              <w:rPr>
                <w:color w:val="auto"/>
              </w:rPr>
            </w:pPr>
            <w:r>
              <w:rPr>
                <w:color w:val="auto"/>
              </w:rPr>
              <w:t>D3</w:t>
            </w:r>
          </w:p>
        </w:tc>
        <w:tc>
          <w:tcPr>
            <w:tcW w:w="4258" w:type="pct"/>
            <w:tcBorders>
              <w:tl2br w:val="nil"/>
              <w:tr2bl w:val="nil"/>
            </w:tcBorders>
            <w:vAlign w:val="center"/>
          </w:tcPr>
          <w:p>
            <w:pPr>
              <w:pStyle w:val="65"/>
              <w:jc w:val="left"/>
              <w:rPr>
                <w:color w:val="auto"/>
              </w:rPr>
            </w:pPr>
            <w:r>
              <w:rPr>
                <w:color w:val="auto"/>
              </w:rPr>
              <w:t>Mb≥1.0m，K≤1.0×10</w:t>
            </w:r>
            <w:r>
              <w:rPr>
                <w:color w:val="auto"/>
                <w:vertAlign w:val="superscript"/>
              </w:rPr>
              <w:t>-6</w:t>
            </w:r>
            <w:r>
              <w:rPr>
                <w:color w:val="auto"/>
              </w:rPr>
              <w:t>cm/s，且分布连续、稳定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1" w:type="pct"/>
            <w:tcBorders>
              <w:tl2br w:val="nil"/>
              <w:tr2bl w:val="nil"/>
            </w:tcBorders>
            <w:vAlign w:val="center"/>
          </w:tcPr>
          <w:p>
            <w:pPr>
              <w:pStyle w:val="65"/>
              <w:rPr>
                <w:color w:val="auto"/>
              </w:rPr>
            </w:pPr>
            <w:r>
              <w:rPr>
                <w:color w:val="auto"/>
              </w:rPr>
              <w:t>D2</w:t>
            </w:r>
          </w:p>
        </w:tc>
        <w:tc>
          <w:tcPr>
            <w:tcW w:w="4258" w:type="pct"/>
            <w:tcBorders>
              <w:tl2br w:val="nil"/>
              <w:tr2bl w:val="nil"/>
            </w:tcBorders>
            <w:vAlign w:val="center"/>
          </w:tcPr>
          <w:p>
            <w:pPr>
              <w:pStyle w:val="65"/>
              <w:jc w:val="left"/>
              <w:rPr>
                <w:color w:val="auto"/>
              </w:rPr>
            </w:pPr>
            <w:r>
              <w:rPr>
                <w:color w:val="auto"/>
              </w:rPr>
              <w:t>0.5m≤Mb&lt;1.0m，K≤1.0×10</w:t>
            </w:r>
            <w:r>
              <w:rPr>
                <w:color w:val="auto"/>
                <w:vertAlign w:val="superscript"/>
              </w:rPr>
              <w:t>-6</w:t>
            </w:r>
            <w:r>
              <w:rPr>
                <w:color w:val="auto"/>
              </w:rPr>
              <w:t>cm/s，且分布连续、稳定</w:t>
            </w:r>
          </w:p>
          <w:p>
            <w:pPr>
              <w:pStyle w:val="65"/>
              <w:jc w:val="left"/>
              <w:rPr>
                <w:color w:val="auto"/>
              </w:rPr>
            </w:pPr>
            <w:r>
              <w:rPr>
                <w:color w:val="auto"/>
              </w:rPr>
              <w:t>Mb≥1.0m，1.0×10</w:t>
            </w:r>
            <w:r>
              <w:rPr>
                <w:color w:val="auto"/>
                <w:vertAlign w:val="superscript"/>
              </w:rPr>
              <w:t>-6</w:t>
            </w:r>
            <w:r>
              <w:rPr>
                <w:color w:val="auto"/>
              </w:rPr>
              <w:t>cm/s&lt;K≤1.0×10</w:t>
            </w:r>
            <w:r>
              <w:rPr>
                <w:color w:val="auto"/>
                <w:vertAlign w:val="superscript"/>
              </w:rPr>
              <w:t>-4</w:t>
            </w:r>
            <w:r>
              <w:rPr>
                <w:color w:val="auto"/>
              </w:rPr>
              <w:t>cm/s，且分布连续、稳定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1" w:type="pct"/>
            <w:tcBorders>
              <w:tl2br w:val="nil"/>
              <w:tr2bl w:val="nil"/>
            </w:tcBorders>
            <w:vAlign w:val="center"/>
          </w:tcPr>
          <w:p>
            <w:pPr>
              <w:pStyle w:val="65"/>
              <w:rPr>
                <w:color w:val="auto"/>
              </w:rPr>
            </w:pPr>
            <w:r>
              <w:rPr>
                <w:color w:val="auto"/>
              </w:rPr>
              <w:t>D1</w:t>
            </w:r>
          </w:p>
        </w:tc>
        <w:tc>
          <w:tcPr>
            <w:tcW w:w="4258" w:type="pct"/>
            <w:tcBorders>
              <w:tl2br w:val="nil"/>
              <w:tr2bl w:val="nil"/>
            </w:tcBorders>
            <w:vAlign w:val="center"/>
          </w:tcPr>
          <w:p>
            <w:pPr>
              <w:pStyle w:val="65"/>
              <w:jc w:val="left"/>
              <w:rPr>
                <w:color w:val="auto"/>
              </w:rPr>
            </w:pPr>
            <w:r>
              <w:rPr>
                <w:color w:val="auto"/>
              </w:rPr>
              <w:t>岩（土）层不满足上述“D2”和“D3”条件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2"/>
            <w:tcBorders>
              <w:tl2br w:val="nil"/>
              <w:tr2bl w:val="nil"/>
            </w:tcBorders>
            <w:vAlign w:val="center"/>
          </w:tcPr>
          <w:p>
            <w:pPr>
              <w:pStyle w:val="65"/>
              <w:jc w:val="left"/>
              <w:rPr>
                <w:color w:val="auto"/>
              </w:rPr>
            </w:pPr>
            <w:r>
              <w:rPr>
                <w:color w:val="auto"/>
              </w:rPr>
              <w:t>Mb：岩土层单层厚度。K：渗透系数。</w:t>
            </w:r>
          </w:p>
        </w:tc>
      </w:tr>
    </w:tbl>
    <w:p>
      <w:pPr>
        <w:pStyle w:val="46"/>
        <w:spacing w:line="520" w:lineRule="exact"/>
        <w:ind w:firstLine="480"/>
        <w:jc w:val="both"/>
        <w:rPr>
          <w:color w:val="auto"/>
          <w:sz w:val="24"/>
        </w:rPr>
      </w:pPr>
      <w:r>
        <w:rPr>
          <w:rFonts w:hint="eastAsia"/>
          <w:color w:val="auto"/>
          <w:sz w:val="24"/>
        </w:rPr>
        <w:t>3.3</w:t>
      </w:r>
      <w:r>
        <w:rPr>
          <w:color w:val="auto"/>
          <w:sz w:val="24"/>
        </w:rPr>
        <w:t>风险潜势判断</w:t>
      </w:r>
    </w:p>
    <w:p>
      <w:pPr>
        <w:pStyle w:val="46"/>
        <w:spacing w:line="520" w:lineRule="exact"/>
        <w:ind w:firstLine="480"/>
        <w:jc w:val="both"/>
        <w:rPr>
          <w:color w:val="auto"/>
          <w:sz w:val="24"/>
        </w:rPr>
      </w:pPr>
      <w:r>
        <w:rPr>
          <w:color w:val="auto"/>
          <w:sz w:val="24"/>
        </w:rPr>
        <w:t>本项目大气和地下水环境敏感程度均为E3，工艺危险性程度为P</w:t>
      </w:r>
      <w:r>
        <w:rPr>
          <w:rFonts w:hint="eastAsia"/>
          <w:color w:val="auto"/>
          <w:sz w:val="24"/>
        </w:rPr>
        <w:t>4</w:t>
      </w:r>
      <w:r>
        <w:rPr>
          <w:color w:val="auto"/>
          <w:sz w:val="24"/>
        </w:rPr>
        <w:t>，环境风险潜势划分依据见下表：</w:t>
      </w:r>
    </w:p>
    <w:p>
      <w:pPr>
        <w:widowControl/>
        <w:spacing w:before="156" w:beforeLines="50"/>
        <w:ind w:firstLine="480" w:firstLineChars="200"/>
        <w:jc w:val="center"/>
        <w:rPr>
          <w:rFonts w:eastAsia="黑体"/>
          <w:color w:val="auto"/>
          <w:sz w:val="24"/>
        </w:rPr>
      </w:pPr>
      <w:r>
        <w:rPr>
          <w:rFonts w:eastAsia="黑体"/>
          <w:color w:val="auto"/>
          <w:sz w:val="24"/>
        </w:rPr>
        <w:t>表</w:t>
      </w:r>
      <w:r>
        <w:rPr>
          <w:rFonts w:hint="eastAsia" w:eastAsia="黑体"/>
          <w:color w:val="auto"/>
          <w:sz w:val="24"/>
        </w:rPr>
        <w:t xml:space="preserve">9 </w:t>
      </w:r>
      <w:r>
        <w:rPr>
          <w:rFonts w:eastAsia="黑体"/>
          <w:color w:val="auto"/>
          <w:sz w:val="24"/>
        </w:rPr>
        <w:t xml:space="preserve"> 建设项目环境风险潜势划分</w:t>
      </w:r>
    </w:p>
    <w:tbl>
      <w:tblPr>
        <w:tblStyle w:val="28"/>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494"/>
        <w:gridCol w:w="1707"/>
        <w:gridCol w:w="1647"/>
        <w:gridCol w:w="1630"/>
        <w:gridCol w:w="158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1377" w:type="pct"/>
            <w:vMerge w:val="restart"/>
            <w:tcBorders>
              <w:tl2br w:val="nil"/>
              <w:tr2bl w:val="nil"/>
            </w:tcBorders>
            <w:vAlign w:val="center"/>
          </w:tcPr>
          <w:p>
            <w:pPr>
              <w:pStyle w:val="65"/>
              <w:jc w:val="left"/>
              <w:rPr>
                <w:color w:val="auto"/>
              </w:rPr>
            </w:pPr>
            <w:r>
              <w:rPr>
                <w:color w:val="auto"/>
              </w:rPr>
              <w:t>环境敏感程度（E）</w:t>
            </w:r>
          </w:p>
        </w:tc>
        <w:tc>
          <w:tcPr>
            <w:tcW w:w="3622" w:type="pct"/>
            <w:gridSpan w:val="4"/>
            <w:tcBorders>
              <w:tl2br w:val="nil"/>
              <w:tr2bl w:val="nil"/>
            </w:tcBorders>
            <w:vAlign w:val="center"/>
          </w:tcPr>
          <w:p>
            <w:pPr>
              <w:pStyle w:val="65"/>
              <w:rPr>
                <w:color w:val="auto"/>
              </w:rPr>
            </w:pPr>
            <w:r>
              <w:rPr>
                <w:color w:val="auto"/>
              </w:rPr>
              <w:t>危险物质及工艺系统危害性（P）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1377" w:type="pct"/>
            <w:vMerge w:val="continue"/>
            <w:tcBorders>
              <w:tl2br w:val="nil"/>
              <w:tr2bl w:val="nil"/>
            </w:tcBorders>
            <w:vAlign w:val="center"/>
          </w:tcPr>
          <w:p>
            <w:pPr>
              <w:pStyle w:val="65"/>
              <w:jc w:val="left"/>
              <w:rPr>
                <w:color w:val="auto"/>
              </w:rPr>
            </w:pPr>
          </w:p>
        </w:tc>
        <w:tc>
          <w:tcPr>
            <w:tcW w:w="942" w:type="pct"/>
            <w:tcBorders>
              <w:tl2br w:val="nil"/>
              <w:tr2bl w:val="nil"/>
            </w:tcBorders>
            <w:vAlign w:val="center"/>
          </w:tcPr>
          <w:p>
            <w:pPr>
              <w:pStyle w:val="65"/>
              <w:rPr>
                <w:color w:val="auto"/>
              </w:rPr>
            </w:pPr>
            <w:r>
              <w:rPr>
                <w:color w:val="auto"/>
              </w:rPr>
              <w:t>极度危害（P1）</w:t>
            </w:r>
          </w:p>
        </w:tc>
        <w:tc>
          <w:tcPr>
            <w:tcW w:w="909" w:type="pct"/>
            <w:tcBorders>
              <w:tl2br w:val="nil"/>
              <w:tr2bl w:val="nil"/>
            </w:tcBorders>
            <w:vAlign w:val="center"/>
          </w:tcPr>
          <w:p>
            <w:pPr>
              <w:pStyle w:val="65"/>
              <w:rPr>
                <w:color w:val="auto"/>
              </w:rPr>
            </w:pPr>
            <w:r>
              <w:rPr>
                <w:color w:val="auto"/>
              </w:rPr>
              <w:t>高度危害（P2）</w:t>
            </w:r>
          </w:p>
        </w:tc>
        <w:tc>
          <w:tcPr>
            <w:tcW w:w="900" w:type="pct"/>
            <w:tcBorders>
              <w:tl2br w:val="nil"/>
              <w:tr2bl w:val="nil"/>
            </w:tcBorders>
            <w:vAlign w:val="center"/>
          </w:tcPr>
          <w:p>
            <w:pPr>
              <w:pStyle w:val="65"/>
              <w:rPr>
                <w:color w:val="auto"/>
              </w:rPr>
            </w:pPr>
            <w:r>
              <w:rPr>
                <w:color w:val="auto"/>
              </w:rPr>
              <w:t>中度危害（P3）</w:t>
            </w:r>
          </w:p>
        </w:tc>
        <w:tc>
          <w:tcPr>
            <w:tcW w:w="868" w:type="pct"/>
            <w:tcBorders>
              <w:tl2br w:val="nil"/>
              <w:tr2bl w:val="nil"/>
            </w:tcBorders>
            <w:vAlign w:val="center"/>
          </w:tcPr>
          <w:p>
            <w:pPr>
              <w:pStyle w:val="65"/>
              <w:rPr>
                <w:color w:val="auto"/>
              </w:rPr>
            </w:pPr>
            <w:r>
              <w:rPr>
                <w:color w:val="auto"/>
              </w:rPr>
              <w:t>轻度危害（P4）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77" w:type="pct"/>
            <w:tcBorders>
              <w:tl2br w:val="nil"/>
              <w:tr2bl w:val="nil"/>
            </w:tcBorders>
            <w:vAlign w:val="center"/>
          </w:tcPr>
          <w:p>
            <w:pPr>
              <w:pStyle w:val="65"/>
              <w:jc w:val="left"/>
              <w:rPr>
                <w:color w:val="auto"/>
              </w:rPr>
            </w:pPr>
            <w:r>
              <w:rPr>
                <w:color w:val="auto"/>
              </w:rPr>
              <w:t>环境高度敏感区（E1）</w:t>
            </w:r>
          </w:p>
        </w:tc>
        <w:tc>
          <w:tcPr>
            <w:tcW w:w="942" w:type="pct"/>
            <w:tcBorders>
              <w:tl2br w:val="nil"/>
              <w:tr2bl w:val="nil"/>
            </w:tcBorders>
            <w:vAlign w:val="center"/>
          </w:tcPr>
          <w:p>
            <w:pPr>
              <w:pStyle w:val="65"/>
              <w:rPr>
                <w:color w:val="auto"/>
              </w:rPr>
            </w:pPr>
            <w:r>
              <w:rPr>
                <w:color w:val="auto"/>
              </w:rPr>
              <w:t>Ⅳ+</w:t>
            </w:r>
          </w:p>
        </w:tc>
        <w:tc>
          <w:tcPr>
            <w:tcW w:w="909" w:type="pct"/>
            <w:tcBorders>
              <w:tl2br w:val="nil"/>
              <w:tr2bl w:val="nil"/>
            </w:tcBorders>
            <w:vAlign w:val="center"/>
          </w:tcPr>
          <w:p>
            <w:pPr>
              <w:pStyle w:val="65"/>
              <w:rPr>
                <w:color w:val="auto"/>
              </w:rPr>
            </w:pPr>
            <w:r>
              <w:rPr>
                <w:color w:val="auto"/>
              </w:rPr>
              <w:t>Ⅳ</w:t>
            </w:r>
          </w:p>
        </w:tc>
        <w:tc>
          <w:tcPr>
            <w:tcW w:w="900" w:type="pct"/>
            <w:tcBorders>
              <w:tl2br w:val="nil"/>
              <w:tr2bl w:val="nil"/>
            </w:tcBorders>
            <w:vAlign w:val="center"/>
          </w:tcPr>
          <w:p>
            <w:pPr>
              <w:pStyle w:val="65"/>
              <w:rPr>
                <w:color w:val="auto"/>
              </w:rPr>
            </w:pPr>
            <w:r>
              <w:rPr>
                <w:color w:val="auto"/>
              </w:rPr>
              <w:t>Ⅲ</w:t>
            </w:r>
          </w:p>
        </w:tc>
        <w:tc>
          <w:tcPr>
            <w:tcW w:w="868" w:type="pct"/>
            <w:tcBorders>
              <w:tl2br w:val="nil"/>
              <w:tr2bl w:val="nil"/>
            </w:tcBorders>
            <w:vAlign w:val="center"/>
          </w:tcPr>
          <w:p>
            <w:pPr>
              <w:pStyle w:val="65"/>
              <w:rPr>
                <w:color w:val="auto"/>
              </w:rPr>
            </w:pPr>
            <w:r>
              <w:rPr>
                <w:color w:val="auto"/>
              </w:rPr>
              <w:t>Ⅲ</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377" w:type="pct"/>
            <w:tcBorders>
              <w:tl2br w:val="nil"/>
              <w:tr2bl w:val="nil"/>
            </w:tcBorders>
            <w:vAlign w:val="center"/>
          </w:tcPr>
          <w:p>
            <w:pPr>
              <w:pStyle w:val="65"/>
              <w:jc w:val="left"/>
              <w:rPr>
                <w:color w:val="auto"/>
              </w:rPr>
            </w:pPr>
            <w:r>
              <w:rPr>
                <w:color w:val="auto"/>
              </w:rPr>
              <w:t>环境中度敏感区（E2）</w:t>
            </w:r>
          </w:p>
        </w:tc>
        <w:tc>
          <w:tcPr>
            <w:tcW w:w="942" w:type="pct"/>
            <w:tcBorders>
              <w:tl2br w:val="nil"/>
              <w:tr2bl w:val="nil"/>
            </w:tcBorders>
            <w:vAlign w:val="center"/>
          </w:tcPr>
          <w:p>
            <w:pPr>
              <w:pStyle w:val="65"/>
              <w:rPr>
                <w:color w:val="auto"/>
              </w:rPr>
            </w:pPr>
            <w:r>
              <w:rPr>
                <w:color w:val="auto"/>
              </w:rPr>
              <w:t>Ⅳ</w:t>
            </w:r>
          </w:p>
        </w:tc>
        <w:tc>
          <w:tcPr>
            <w:tcW w:w="909" w:type="pct"/>
            <w:tcBorders>
              <w:tl2br w:val="nil"/>
              <w:tr2bl w:val="nil"/>
            </w:tcBorders>
            <w:vAlign w:val="center"/>
          </w:tcPr>
          <w:p>
            <w:pPr>
              <w:pStyle w:val="65"/>
              <w:rPr>
                <w:color w:val="auto"/>
              </w:rPr>
            </w:pPr>
            <w:r>
              <w:rPr>
                <w:color w:val="auto"/>
              </w:rPr>
              <w:t>Ⅲ</w:t>
            </w:r>
          </w:p>
        </w:tc>
        <w:tc>
          <w:tcPr>
            <w:tcW w:w="900" w:type="pct"/>
            <w:tcBorders>
              <w:tl2br w:val="nil"/>
              <w:tr2bl w:val="nil"/>
            </w:tcBorders>
            <w:vAlign w:val="center"/>
          </w:tcPr>
          <w:p>
            <w:pPr>
              <w:pStyle w:val="65"/>
              <w:rPr>
                <w:color w:val="auto"/>
              </w:rPr>
            </w:pPr>
            <w:r>
              <w:rPr>
                <w:color w:val="auto"/>
              </w:rPr>
              <w:t>Ⅲ</w:t>
            </w:r>
          </w:p>
        </w:tc>
        <w:tc>
          <w:tcPr>
            <w:tcW w:w="868" w:type="pct"/>
            <w:tcBorders>
              <w:tl2br w:val="nil"/>
              <w:tr2bl w:val="nil"/>
            </w:tcBorders>
            <w:vAlign w:val="center"/>
          </w:tcPr>
          <w:p>
            <w:pPr>
              <w:pStyle w:val="65"/>
              <w:rPr>
                <w:color w:val="auto"/>
              </w:rPr>
            </w:pPr>
            <w:r>
              <w:rPr>
                <w:color w:val="auto"/>
              </w:rPr>
              <w:t>Ⅱ</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377" w:type="pct"/>
            <w:tcBorders>
              <w:tl2br w:val="nil"/>
              <w:tr2bl w:val="nil"/>
            </w:tcBorders>
            <w:vAlign w:val="center"/>
          </w:tcPr>
          <w:p>
            <w:pPr>
              <w:pStyle w:val="65"/>
              <w:jc w:val="left"/>
              <w:rPr>
                <w:color w:val="auto"/>
              </w:rPr>
            </w:pPr>
            <w:r>
              <w:rPr>
                <w:color w:val="auto"/>
              </w:rPr>
              <w:t>环境低度敏感区（E3）</w:t>
            </w:r>
          </w:p>
        </w:tc>
        <w:tc>
          <w:tcPr>
            <w:tcW w:w="942" w:type="pct"/>
            <w:tcBorders>
              <w:tl2br w:val="nil"/>
              <w:tr2bl w:val="nil"/>
            </w:tcBorders>
            <w:vAlign w:val="center"/>
          </w:tcPr>
          <w:p>
            <w:pPr>
              <w:pStyle w:val="65"/>
              <w:rPr>
                <w:color w:val="auto"/>
              </w:rPr>
            </w:pPr>
            <w:r>
              <w:rPr>
                <w:color w:val="auto"/>
              </w:rPr>
              <w:t>Ⅲ</w:t>
            </w:r>
          </w:p>
        </w:tc>
        <w:tc>
          <w:tcPr>
            <w:tcW w:w="909" w:type="pct"/>
            <w:tcBorders>
              <w:tl2br w:val="nil"/>
              <w:tr2bl w:val="nil"/>
            </w:tcBorders>
            <w:vAlign w:val="center"/>
          </w:tcPr>
          <w:p>
            <w:pPr>
              <w:pStyle w:val="65"/>
              <w:rPr>
                <w:color w:val="auto"/>
              </w:rPr>
            </w:pPr>
            <w:r>
              <w:rPr>
                <w:color w:val="auto"/>
              </w:rPr>
              <w:t>Ⅲ</w:t>
            </w:r>
          </w:p>
        </w:tc>
        <w:tc>
          <w:tcPr>
            <w:tcW w:w="900" w:type="pct"/>
            <w:tcBorders>
              <w:tl2br w:val="nil"/>
              <w:tr2bl w:val="nil"/>
            </w:tcBorders>
            <w:vAlign w:val="center"/>
          </w:tcPr>
          <w:p>
            <w:pPr>
              <w:pStyle w:val="65"/>
              <w:rPr>
                <w:color w:val="auto"/>
              </w:rPr>
            </w:pPr>
            <w:r>
              <w:rPr>
                <w:color w:val="auto"/>
              </w:rPr>
              <w:t>Ⅱ</w:t>
            </w:r>
          </w:p>
        </w:tc>
        <w:tc>
          <w:tcPr>
            <w:tcW w:w="868" w:type="pct"/>
            <w:tcBorders>
              <w:tl2br w:val="nil"/>
              <w:tr2bl w:val="nil"/>
            </w:tcBorders>
            <w:vAlign w:val="center"/>
          </w:tcPr>
          <w:p>
            <w:pPr>
              <w:pStyle w:val="65"/>
              <w:rPr>
                <w:color w:val="auto"/>
              </w:rPr>
            </w:pPr>
            <w:r>
              <w:rPr>
                <w:color w:val="auto"/>
              </w:rPr>
              <w:t>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000" w:type="pct"/>
            <w:gridSpan w:val="5"/>
            <w:tcBorders>
              <w:tl2br w:val="nil"/>
              <w:tr2bl w:val="nil"/>
            </w:tcBorders>
            <w:vAlign w:val="center"/>
          </w:tcPr>
          <w:p>
            <w:pPr>
              <w:pStyle w:val="65"/>
              <w:jc w:val="left"/>
              <w:rPr>
                <w:color w:val="auto"/>
              </w:rPr>
            </w:pPr>
            <w:r>
              <w:rPr>
                <w:color w:val="auto"/>
              </w:rPr>
              <w:t>注：Ⅳ+为极高环境风险。</w:t>
            </w:r>
          </w:p>
        </w:tc>
      </w:tr>
    </w:tbl>
    <w:p>
      <w:pPr>
        <w:widowControl/>
        <w:spacing w:line="520" w:lineRule="exact"/>
        <w:ind w:firstLine="482" w:firstLineChars="200"/>
        <w:rPr>
          <w:b/>
          <w:bCs/>
          <w:color w:val="auto"/>
          <w:kern w:val="0"/>
          <w:sz w:val="24"/>
          <w:lang w:bidi="ar"/>
        </w:rPr>
      </w:pPr>
      <w:r>
        <w:rPr>
          <w:rFonts w:hint="eastAsia"/>
          <w:b/>
          <w:bCs/>
          <w:color w:val="auto"/>
          <w:kern w:val="0"/>
          <w:sz w:val="24"/>
          <w:lang w:bidi="ar"/>
        </w:rPr>
        <w:t>1.3</w:t>
      </w:r>
      <w:r>
        <w:rPr>
          <w:b/>
          <w:bCs/>
          <w:color w:val="auto"/>
          <w:kern w:val="0"/>
          <w:sz w:val="24"/>
          <w:lang w:bidi="ar"/>
        </w:rPr>
        <w:t>风险评价等级</w:t>
      </w:r>
    </w:p>
    <w:p>
      <w:pPr>
        <w:pStyle w:val="46"/>
        <w:spacing w:line="520" w:lineRule="exact"/>
        <w:ind w:firstLine="480"/>
        <w:jc w:val="both"/>
        <w:rPr>
          <w:color w:val="auto"/>
          <w:sz w:val="24"/>
        </w:rPr>
      </w:pPr>
      <w:r>
        <w:rPr>
          <w:color w:val="auto"/>
          <w:sz w:val="24"/>
        </w:rPr>
        <w:t>根据《建设项目环境风险评价技术导则》（HJ/T169-2018），环境风险等级判定结果见下表：</w:t>
      </w:r>
    </w:p>
    <w:p>
      <w:pPr>
        <w:widowControl/>
        <w:spacing w:before="156" w:beforeLines="50"/>
        <w:ind w:firstLine="480" w:firstLineChars="200"/>
        <w:jc w:val="center"/>
        <w:rPr>
          <w:rFonts w:eastAsia="黑体"/>
          <w:color w:val="auto"/>
          <w:sz w:val="24"/>
        </w:rPr>
      </w:pPr>
      <w:r>
        <w:rPr>
          <w:rFonts w:eastAsia="黑体"/>
          <w:color w:val="auto"/>
          <w:sz w:val="24"/>
        </w:rPr>
        <w:t>表</w:t>
      </w:r>
      <w:r>
        <w:rPr>
          <w:rFonts w:hint="eastAsia" w:eastAsia="黑体"/>
          <w:color w:val="auto"/>
          <w:sz w:val="24"/>
        </w:rPr>
        <w:t>10</w:t>
      </w:r>
      <w:r>
        <w:rPr>
          <w:rFonts w:eastAsia="黑体"/>
          <w:color w:val="auto"/>
          <w:sz w:val="24"/>
        </w:rPr>
        <w:t xml:space="preserve">  环境风险评价工作等级划分表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896"/>
        <w:gridCol w:w="1587"/>
        <w:gridCol w:w="1898"/>
        <w:gridCol w:w="1898"/>
        <w:gridCol w:w="177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47" w:type="pct"/>
            <w:tcBorders>
              <w:tl2br w:val="nil"/>
              <w:tr2bl w:val="nil"/>
            </w:tcBorders>
            <w:vAlign w:val="center"/>
          </w:tcPr>
          <w:p>
            <w:pPr>
              <w:pStyle w:val="65"/>
              <w:rPr>
                <w:color w:val="auto"/>
              </w:rPr>
            </w:pPr>
            <w:r>
              <w:rPr>
                <w:color w:val="auto"/>
              </w:rPr>
              <w:t>环境风险潜势</w:t>
            </w:r>
          </w:p>
        </w:tc>
        <w:tc>
          <w:tcPr>
            <w:tcW w:w="876" w:type="pct"/>
            <w:tcBorders>
              <w:tl2br w:val="nil"/>
              <w:tr2bl w:val="nil"/>
            </w:tcBorders>
            <w:vAlign w:val="center"/>
          </w:tcPr>
          <w:p>
            <w:pPr>
              <w:pStyle w:val="65"/>
              <w:rPr>
                <w:color w:val="auto"/>
              </w:rPr>
            </w:pPr>
            <w:r>
              <w:rPr>
                <w:color w:val="auto"/>
              </w:rPr>
              <w:t>IV、IV+</w:t>
            </w:r>
          </w:p>
        </w:tc>
        <w:tc>
          <w:tcPr>
            <w:tcW w:w="1048" w:type="pct"/>
            <w:tcBorders>
              <w:tl2br w:val="nil"/>
              <w:tr2bl w:val="nil"/>
            </w:tcBorders>
            <w:vAlign w:val="center"/>
          </w:tcPr>
          <w:p>
            <w:pPr>
              <w:pStyle w:val="65"/>
              <w:rPr>
                <w:color w:val="auto"/>
              </w:rPr>
            </w:pPr>
            <w:r>
              <w:rPr>
                <w:color w:val="auto"/>
              </w:rPr>
              <w:t>III</w:t>
            </w:r>
          </w:p>
        </w:tc>
        <w:tc>
          <w:tcPr>
            <w:tcW w:w="1048" w:type="pct"/>
            <w:tcBorders>
              <w:tl2br w:val="nil"/>
              <w:tr2bl w:val="nil"/>
            </w:tcBorders>
            <w:vAlign w:val="center"/>
          </w:tcPr>
          <w:p>
            <w:pPr>
              <w:pStyle w:val="65"/>
              <w:rPr>
                <w:color w:val="auto"/>
              </w:rPr>
            </w:pPr>
            <w:r>
              <w:rPr>
                <w:color w:val="auto"/>
              </w:rPr>
              <w:t>Ⅱ</w:t>
            </w:r>
          </w:p>
        </w:tc>
        <w:tc>
          <w:tcPr>
            <w:tcW w:w="980" w:type="pct"/>
            <w:tcBorders>
              <w:tl2br w:val="nil"/>
              <w:tr2bl w:val="nil"/>
            </w:tcBorders>
            <w:vAlign w:val="center"/>
          </w:tcPr>
          <w:p>
            <w:pPr>
              <w:pStyle w:val="65"/>
              <w:rPr>
                <w:color w:val="auto"/>
              </w:rPr>
            </w:pPr>
            <w:r>
              <w:rPr>
                <w:color w:val="auto"/>
              </w:rPr>
              <w:t>I</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47" w:type="pct"/>
            <w:tcBorders>
              <w:tl2br w:val="nil"/>
              <w:tr2bl w:val="nil"/>
            </w:tcBorders>
            <w:vAlign w:val="center"/>
          </w:tcPr>
          <w:p>
            <w:pPr>
              <w:pStyle w:val="65"/>
              <w:rPr>
                <w:color w:val="auto"/>
              </w:rPr>
            </w:pPr>
            <w:r>
              <w:rPr>
                <w:color w:val="auto"/>
              </w:rPr>
              <w:t>评价工作等级</w:t>
            </w:r>
          </w:p>
        </w:tc>
        <w:tc>
          <w:tcPr>
            <w:tcW w:w="876" w:type="pct"/>
            <w:tcBorders>
              <w:tl2br w:val="nil"/>
              <w:tr2bl w:val="nil"/>
            </w:tcBorders>
            <w:vAlign w:val="center"/>
          </w:tcPr>
          <w:p>
            <w:pPr>
              <w:pStyle w:val="65"/>
              <w:rPr>
                <w:color w:val="auto"/>
              </w:rPr>
            </w:pPr>
            <w:r>
              <w:rPr>
                <w:color w:val="auto"/>
              </w:rPr>
              <w:t>一</w:t>
            </w:r>
          </w:p>
        </w:tc>
        <w:tc>
          <w:tcPr>
            <w:tcW w:w="1048" w:type="pct"/>
            <w:tcBorders>
              <w:tl2br w:val="nil"/>
              <w:tr2bl w:val="nil"/>
            </w:tcBorders>
            <w:vAlign w:val="center"/>
          </w:tcPr>
          <w:p>
            <w:pPr>
              <w:pStyle w:val="65"/>
              <w:rPr>
                <w:color w:val="auto"/>
              </w:rPr>
            </w:pPr>
            <w:r>
              <w:rPr>
                <w:color w:val="auto"/>
              </w:rPr>
              <w:t>二</w:t>
            </w:r>
          </w:p>
        </w:tc>
        <w:tc>
          <w:tcPr>
            <w:tcW w:w="1048" w:type="pct"/>
            <w:tcBorders>
              <w:tl2br w:val="nil"/>
              <w:tr2bl w:val="nil"/>
            </w:tcBorders>
            <w:vAlign w:val="center"/>
          </w:tcPr>
          <w:p>
            <w:pPr>
              <w:pStyle w:val="65"/>
              <w:rPr>
                <w:color w:val="auto"/>
              </w:rPr>
            </w:pPr>
            <w:r>
              <w:rPr>
                <w:color w:val="auto"/>
              </w:rPr>
              <w:t>三</w:t>
            </w:r>
          </w:p>
        </w:tc>
        <w:tc>
          <w:tcPr>
            <w:tcW w:w="980" w:type="pct"/>
            <w:tcBorders>
              <w:tl2br w:val="nil"/>
              <w:tr2bl w:val="nil"/>
            </w:tcBorders>
            <w:vAlign w:val="center"/>
          </w:tcPr>
          <w:p>
            <w:pPr>
              <w:pStyle w:val="65"/>
              <w:rPr>
                <w:color w:val="auto"/>
              </w:rPr>
            </w:pPr>
            <w:r>
              <w:rPr>
                <w:color w:val="auto"/>
              </w:rPr>
              <w:t>简单分析</w:t>
            </w:r>
            <w:r>
              <w:rPr>
                <w:color w:val="auto"/>
                <w:vertAlign w:val="superscript"/>
              </w:rPr>
              <w: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23" w:type="pct"/>
            <w:gridSpan w:val="2"/>
            <w:tcBorders>
              <w:tl2br w:val="nil"/>
              <w:tr2bl w:val="nil"/>
            </w:tcBorders>
            <w:vAlign w:val="center"/>
          </w:tcPr>
          <w:p>
            <w:pPr>
              <w:pStyle w:val="65"/>
              <w:rPr>
                <w:color w:val="auto"/>
              </w:rPr>
            </w:pPr>
            <w:r>
              <w:rPr>
                <w:color w:val="auto"/>
              </w:rPr>
              <w:t>本项目</w:t>
            </w:r>
          </w:p>
        </w:tc>
        <w:tc>
          <w:tcPr>
            <w:tcW w:w="3076" w:type="pct"/>
            <w:gridSpan w:val="3"/>
            <w:tcBorders>
              <w:tl2br w:val="nil"/>
              <w:tr2bl w:val="nil"/>
            </w:tcBorders>
            <w:vAlign w:val="center"/>
          </w:tcPr>
          <w:p>
            <w:pPr>
              <w:pStyle w:val="65"/>
              <w:rPr>
                <w:color w:val="auto"/>
              </w:rPr>
            </w:pPr>
            <w:r>
              <w:rPr>
                <w:rFonts w:hint="eastAsia"/>
                <w:color w:val="auto"/>
              </w:rPr>
              <w:t>简单分析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5"/>
            <w:tcBorders>
              <w:tl2br w:val="nil"/>
              <w:tr2bl w:val="nil"/>
            </w:tcBorders>
            <w:vAlign w:val="center"/>
          </w:tcPr>
          <w:p>
            <w:pPr>
              <w:pStyle w:val="65"/>
              <w:jc w:val="left"/>
              <w:rPr>
                <w:color w:val="auto"/>
              </w:rPr>
            </w:pPr>
            <w:r>
              <w:rPr>
                <w:color w:val="auto"/>
              </w:rPr>
              <w:t>a是相对于详细评价工作内容而言，在描述危险物质、环境影响途径、环境危险后果、风险防范措施等方面给出定性的说明。</w:t>
            </w:r>
          </w:p>
        </w:tc>
      </w:tr>
    </w:tbl>
    <w:p>
      <w:pPr>
        <w:widowControl/>
        <w:numPr>
          <w:ilvl w:val="0"/>
          <w:numId w:val="17"/>
        </w:numPr>
        <w:spacing w:line="520" w:lineRule="exact"/>
        <w:ind w:firstLine="482"/>
        <w:rPr>
          <w:b/>
          <w:bCs/>
          <w:color w:val="auto"/>
          <w:kern w:val="0"/>
          <w:sz w:val="24"/>
          <w:lang w:bidi="ar"/>
        </w:rPr>
      </w:pPr>
      <w:r>
        <w:rPr>
          <w:b/>
          <w:bCs/>
          <w:color w:val="auto"/>
          <w:kern w:val="0"/>
          <w:sz w:val="24"/>
          <w:lang w:bidi="ar"/>
        </w:rPr>
        <w:t>环境敏感目标调查</w:t>
      </w:r>
    </w:p>
    <w:p>
      <w:pPr>
        <w:widowControl/>
        <w:spacing w:line="520" w:lineRule="exact"/>
        <w:ind w:firstLine="480" w:firstLineChars="200"/>
        <w:rPr>
          <w:color w:val="auto"/>
          <w:kern w:val="0"/>
          <w:sz w:val="24"/>
          <w:lang w:bidi="ar"/>
        </w:rPr>
      </w:pPr>
      <w:r>
        <w:rPr>
          <w:color w:val="auto"/>
          <w:kern w:val="0"/>
          <w:sz w:val="24"/>
          <w:lang w:bidi="ar"/>
        </w:rPr>
        <w:t>根据《建设项目环境影响评价分类管理名录》（</w:t>
      </w:r>
      <w:r>
        <w:rPr>
          <w:rFonts w:hint="eastAsia"/>
          <w:color w:val="auto"/>
          <w:kern w:val="0"/>
          <w:sz w:val="24"/>
          <w:lang w:bidi="ar"/>
        </w:rPr>
        <w:t>2021版</w:t>
      </w:r>
      <w:r>
        <w:rPr>
          <w:color w:val="auto"/>
          <w:kern w:val="0"/>
          <w:sz w:val="24"/>
          <w:lang w:bidi="ar"/>
        </w:rPr>
        <w:t>）有关环境敏感区的特征描述，结合环境风险评价区域范围的环境特征，</w:t>
      </w:r>
      <w:r>
        <w:rPr>
          <w:rFonts w:hint="eastAsia"/>
          <w:color w:val="auto"/>
          <w:kern w:val="0"/>
          <w:sz w:val="24"/>
          <w:lang w:bidi="ar"/>
        </w:rPr>
        <w:t>项目区位于吉木萨尔县庆阳湖乡水溪沟，无环境敏感目标。</w:t>
      </w:r>
    </w:p>
    <w:p>
      <w:pPr>
        <w:widowControl/>
        <w:numPr>
          <w:ilvl w:val="0"/>
          <w:numId w:val="17"/>
        </w:numPr>
        <w:spacing w:line="520" w:lineRule="exact"/>
        <w:ind w:firstLine="482"/>
        <w:rPr>
          <w:b/>
          <w:bCs/>
          <w:color w:val="auto"/>
          <w:kern w:val="0"/>
          <w:sz w:val="24"/>
          <w:lang w:bidi="ar"/>
        </w:rPr>
      </w:pPr>
      <w:r>
        <w:rPr>
          <w:rFonts w:hint="eastAsia"/>
          <w:b/>
          <w:bCs/>
          <w:color w:val="auto"/>
          <w:kern w:val="0"/>
          <w:sz w:val="24"/>
          <w:lang w:bidi="ar"/>
        </w:rPr>
        <w:t>风险识别</w:t>
      </w:r>
    </w:p>
    <w:p>
      <w:pPr>
        <w:pStyle w:val="46"/>
        <w:spacing w:line="520" w:lineRule="exact"/>
        <w:ind w:firstLine="480"/>
        <w:jc w:val="both"/>
        <w:rPr>
          <w:color w:val="auto"/>
          <w:sz w:val="24"/>
        </w:rPr>
      </w:pPr>
      <w:r>
        <w:rPr>
          <w:color w:val="auto"/>
          <w:sz w:val="24"/>
        </w:rPr>
        <w:t>本次风险识别范围包括生产设施风险识别、生产过程所涉及的物质风险识别和危险转移途径识别。</w:t>
      </w:r>
    </w:p>
    <w:p>
      <w:pPr>
        <w:pStyle w:val="46"/>
        <w:spacing w:line="520" w:lineRule="exact"/>
        <w:ind w:firstLine="482"/>
        <w:jc w:val="both"/>
        <w:rPr>
          <w:b/>
          <w:bCs/>
          <w:color w:val="auto"/>
          <w:sz w:val="24"/>
        </w:rPr>
      </w:pPr>
      <w:r>
        <w:rPr>
          <w:rFonts w:hint="eastAsia"/>
          <w:b/>
          <w:bCs/>
          <w:color w:val="auto"/>
          <w:sz w:val="24"/>
        </w:rPr>
        <w:t>3.1</w:t>
      </w:r>
      <w:r>
        <w:rPr>
          <w:b/>
          <w:bCs/>
          <w:color w:val="auto"/>
          <w:sz w:val="24"/>
        </w:rPr>
        <w:t>危险物质识别</w:t>
      </w:r>
    </w:p>
    <w:p>
      <w:pPr>
        <w:pStyle w:val="46"/>
        <w:spacing w:line="520" w:lineRule="exact"/>
        <w:ind w:firstLine="480"/>
        <w:jc w:val="both"/>
        <w:rPr>
          <w:color w:val="auto"/>
          <w:sz w:val="24"/>
        </w:rPr>
      </w:pPr>
      <w:r>
        <w:rPr>
          <w:color w:val="auto"/>
          <w:sz w:val="24"/>
        </w:rPr>
        <w:t>根据《建设项目环境风险评价技术导则》（HJ169-</w:t>
      </w:r>
      <w:r>
        <w:rPr>
          <w:rFonts w:hint="eastAsia"/>
          <w:color w:val="auto"/>
          <w:sz w:val="24"/>
        </w:rPr>
        <w:t>2018</w:t>
      </w:r>
      <w:r>
        <w:rPr>
          <w:color w:val="auto"/>
          <w:sz w:val="24"/>
        </w:rPr>
        <w:t>）、《危险化学品重大危险源辨识》（GB18218-20</w:t>
      </w:r>
      <w:r>
        <w:rPr>
          <w:rFonts w:hint="eastAsia"/>
          <w:color w:val="auto"/>
          <w:sz w:val="24"/>
        </w:rPr>
        <w:t>18</w:t>
      </w:r>
      <w:r>
        <w:rPr>
          <w:color w:val="auto"/>
          <w:sz w:val="24"/>
        </w:rPr>
        <w:t>）和《危险化学品目录》（</w:t>
      </w:r>
      <w:r>
        <w:rPr>
          <w:rFonts w:hint="eastAsia"/>
          <w:color w:val="auto"/>
          <w:sz w:val="24"/>
        </w:rPr>
        <w:t>2021版</w:t>
      </w:r>
      <w:r>
        <w:rPr>
          <w:color w:val="auto"/>
          <w:sz w:val="24"/>
        </w:rPr>
        <w:t>）判断，本项目运营期涉及的主要危险物质为</w:t>
      </w:r>
      <w:r>
        <w:rPr>
          <w:rFonts w:hint="eastAsia"/>
          <w:color w:val="auto"/>
          <w:sz w:val="24"/>
        </w:rPr>
        <w:t>硝酸铵、柴油</w:t>
      </w:r>
      <w:r>
        <w:rPr>
          <w:color w:val="auto"/>
          <w:sz w:val="24"/>
        </w:rPr>
        <w:t>。各危险物质性质及危险特性</w:t>
      </w:r>
      <w:r>
        <w:rPr>
          <w:rFonts w:hint="eastAsia"/>
          <w:color w:val="auto"/>
          <w:sz w:val="24"/>
        </w:rPr>
        <w:t>见表11~12。</w:t>
      </w:r>
    </w:p>
    <w:p>
      <w:pPr>
        <w:pStyle w:val="67"/>
        <w:spacing w:line="240" w:lineRule="auto"/>
        <w:ind w:firstLine="480"/>
        <w:jc w:val="center"/>
        <w:rPr>
          <w:rFonts w:hAnsi="Times New Roman" w:eastAsia="黑体"/>
          <w:b w:val="0"/>
          <w:bCs w:val="0"/>
          <w:color w:val="auto"/>
          <w:szCs w:val="24"/>
        </w:rPr>
      </w:pPr>
      <w:r>
        <w:rPr>
          <w:rFonts w:hAnsi="Times New Roman" w:eastAsia="黑体"/>
          <w:b w:val="0"/>
          <w:bCs w:val="0"/>
          <w:color w:val="auto"/>
          <w:szCs w:val="24"/>
        </w:rPr>
        <w:t>表</w:t>
      </w:r>
      <w:r>
        <w:rPr>
          <w:rFonts w:hint="eastAsia" w:hAnsi="Times New Roman" w:eastAsia="黑体"/>
          <w:b w:val="0"/>
          <w:bCs w:val="0"/>
          <w:color w:val="auto"/>
          <w:szCs w:val="24"/>
        </w:rPr>
        <w:t>11</w:t>
      </w:r>
      <w:r>
        <w:rPr>
          <w:rFonts w:hAnsi="Times New Roman" w:eastAsia="黑体"/>
          <w:b w:val="0"/>
          <w:bCs w:val="0"/>
          <w:color w:val="auto"/>
          <w:szCs w:val="24"/>
        </w:rPr>
        <w:t xml:space="preserve">  硝酸铵</w:t>
      </w:r>
      <w:r>
        <w:rPr>
          <w:rFonts w:hint="eastAsia" w:hAnsi="Times New Roman" w:eastAsia="黑体"/>
          <w:b w:val="0"/>
          <w:bCs w:val="0"/>
          <w:color w:val="auto"/>
          <w:szCs w:val="24"/>
        </w:rPr>
        <w:t>溶液特性分析</w:t>
      </w:r>
      <w:r>
        <w:rPr>
          <w:rFonts w:hAnsi="Times New Roman" w:eastAsia="黑体"/>
          <w:b w:val="0"/>
          <w:bCs w:val="0"/>
          <w:color w:val="auto"/>
          <w:szCs w:val="24"/>
        </w:rPr>
        <w:t>表</w:t>
      </w:r>
    </w:p>
    <w:tbl>
      <w:tblPr>
        <w:tblStyle w:val="2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82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vAlign w:val="center"/>
          </w:tcPr>
          <w:p>
            <w:pPr>
              <w:widowControl/>
              <w:jc w:val="center"/>
              <w:rPr>
                <w:color w:val="auto"/>
                <w:kern w:val="0"/>
                <w:szCs w:val="21"/>
              </w:rPr>
            </w:pPr>
            <w:r>
              <w:rPr>
                <w:color w:val="auto"/>
                <w:kern w:val="0"/>
                <w:szCs w:val="21"/>
              </w:rPr>
              <w:t>标识</w:t>
            </w:r>
          </w:p>
        </w:tc>
        <w:tc>
          <w:tcPr>
            <w:tcW w:w="4580" w:type="pct"/>
          </w:tcPr>
          <w:p>
            <w:pPr>
              <w:widowControl/>
              <w:jc w:val="left"/>
              <w:rPr>
                <w:color w:val="auto"/>
                <w:kern w:val="0"/>
                <w:szCs w:val="21"/>
              </w:rPr>
            </w:pPr>
            <w:r>
              <w:rPr>
                <w:color w:val="auto"/>
                <w:kern w:val="0"/>
                <w:szCs w:val="21"/>
              </w:rPr>
              <w:t>中文名：硝酸铵</w:t>
            </w:r>
            <w:r>
              <w:rPr>
                <w:rFonts w:hint="eastAsia"/>
                <w:color w:val="auto"/>
                <w:kern w:val="0"/>
                <w:szCs w:val="21"/>
              </w:rPr>
              <w:t>，液体</w:t>
            </w:r>
            <w:r>
              <w:rPr>
                <w:color w:val="auto"/>
                <w:kern w:val="0"/>
                <w:szCs w:val="21"/>
              </w:rPr>
              <w:t xml:space="preserve">  英文名：Ammonium  nitrate</w:t>
            </w:r>
            <w:r>
              <w:rPr>
                <w:rFonts w:hint="eastAsia"/>
                <w:color w:val="auto"/>
                <w:kern w:val="0"/>
                <w:szCs w:val="21"/>
              </w:rPr>
              <w:t>，liquid</w:t>
            </w:r>
            <w:r>
              <w:rPr>
                <w:color w:val="auto"/>
                <w:kern w:val="0"/>
                <w:szCs w:val="21"/>
              </w:rPr>
              <w:t xml:space="preserve">   分子式：NH</w:t>
            </w:r>
            <w:r>
              <w:rPr>
                <w:color w:val="auto"/>
                <w:kern w:val="0"/>
                <w:szCs w:val="21"/>
                <w:vertAlign w:val="subscript"/>
              </w:rPr>
              <w:t>4</w:t>
            </w:r>
            <w:r>
              <w:rPr>
                <w:color w:val="auto"/>
                <w:kern w:val="0"/>
                <w:szCs w:val="21"/>
              </w:rPr>
              <w:t>NO</w:t>
            </w:r>
            <w:r>
              <w:rPr>
                <w:color w:val="auto"/>
                <w:kern w:val="0"/>
                <w:szCs w:val="21"/>
                <w:vertAlign w:val="subscript"/>
              </w:rPr>
              <w:t>3</w:t>
            </w:r>
          </w:p>
          <w:p>
            <w:pPr>
              <w:widowControl/>
              <w:jc w:val="left"/>
              <w:rPr>
                <w:color w:val="auto"/>
                <w:kern w:val="0"/>
                <w:szCs w:val="21"/>
              </w:rPr>
            </w:pPr>
            <w:r>
              <w:rPr>
                <w:color w:val="auto"/>
                <w:kern w:val="0"/>
                <w:szCs w:val="21"/>
              </w:rPr>
              <w:t>分子量：80.05     危规号：51069                 UN编号：</w:t>
            </w:r>
            <w:r>
              <w:rPr>
                <w:rFonts w:hint="eastAsia"/>
                <w:color w:val="auto"/>
                <w:kern w:val="0"/>
                <w:szCs w:val="21"/>
              </w:rPr>
              <w:t>2426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9" w:type="pct"/>
            <w:vAlign w:val="center"/>
          </w:tcPr>
          <w:p>
            <w:pPr>
              <w:widowControl/>
              <w:jc w:val="center"/>
              <w:rPr>
                <w:color w:val="auto"/>
                <w:kern w:val="0"/>
                <w:szCs w:val="21"/>
              </w:rPr>
            </w:pPr>
            <w:r>
              <w:rPr>
                <w:color w:val="auto"/>
                <w:kern w:val="0"/>
                <w:szCs w:val="21"/>
              </w:rPr>
              <w:t>理化特性</w:t>
            </w:r>
          </w:p>
        </w:tc>
        <w:tc>
          <w:tcPr>
            <w:tcW w:w="4580" w:type="pct"/>
          </w:tcPr>
          <w:p>
            <w:pPr>
              <w:widowControl/>
              <w:rPr>
                <w:color w:val="auto"/>
                <w:kern w:val="0"/>
                <w:szCs w:val="21"/>
              </w:rPr>
            </w:pPr>
            <w:r>
              <w:rPr>
                <w:color w:val="auto"/>
                <w:kern w:val="0"/>
                <w:szCs w:val="21"/>
              </w:rPr>
              <w:t>含硝酸铵不超过93</w:t>
            </w:r>
            <w:r>
              <w:rPr>
                <w:rFonts w:hint="eastAsia"/>
                <w:color w:val="auto"/>
                <w:kern w:val="0"/>
                <w:szCs w:val="21"/>
              </w:rPr>
              <w:t>%</w:t>
            </w:r>
            <w:r>
              <w:rPr>
                <w:color w:val="auto"/>
                <w:kern w:val="0"/>
                <w:szCs w:val="21"/>
              </w:rPr>
              <w:t>和可燃物（包括以碳计算的有机物）不超过0.2</w:t>
            </w:r>
            <w:r>
              <w:rPr>
                <w:rFonts w:hint="eastAsia"/>
                <w:color w:val="auto"/>
                <w:kern w:val="0"/>
                <w:szCs w:val="21"/>
              </w:rPr>
              <w:t>%</w:t>
            </w:r>
            <w:r>
              <w:rPr>
                <w:color w:val="auto"/>
                <w:kern w:val="0"/>
                <w:szCs w:val="21"/>
              </w:rPr>
              <w:t>，无其他添加物，含水至少7</w:t>
            </w:r>
            <w:r>
              <w:rPr>
                <w:rFonts w:hint="eastAsia"/>
                <w:color w:val="auto"/>
                <w:kern w:val="0"/>
                <w:szCs w:val="21"/>
              </w:rPr>
              <w:t>%</w:t>
            </w:r>
            <w:r>
              <w:rPr>
                <w:color w:val="auto"/>
                <w:kern w:val="0"/>
                <w:szCs w:val="21"/>
              </w:rPr>
              <w:t>，氯离子最大含量不得超过0.02</w:t>
            </w:r>
            <w:r>
              <w:rPr>
                <w:rFonts w:hint="eastAsia"/>
                <w:color w:val="auto"/>
                <w:kern w:val="0"/>
                <w:szCs w:val="21"/>
              </w:rPr>
              <w:t>%</w:t>
            </w:r>
            <w:r>
              <w:rPr>
                <w:color w:val="auto"/>
                <w:kern w:val="0"/>
                <w:szCs w:val="21"/>
              </w:rPr>
              <w:t>的热水溶液。</w:t>
            </w:r>
          </w:p>
          <w:p>
            <w:pPr>
              <w:widowControl/>
              <w:rPr>
                <w:color w:val="auto"/>
                <w:kern w:val="0"/>
                <w:szCs w:val="21"/>
              </w:rPr>
            </w:pPr>
            <w:r>
              <w:rPr>
                <w:color w:val="auto"/>
                <w:kern w:val="0"/>
                <w:szCs w:val="21"/>
              </w:rPr>
              <w:t>熔点：169.6℃；分解温度：210℃；相对密度：1.72</w:t>
            </w:r>
          </w:p>
          <w:p>
            <w:pPr>
              <w:widowControl/>
              <w:rPr>
                <w:color w:val="auto"/>
                <w:kern w:val="0"/>
                <w:szCs w:val="21"/>
              </w:rPr>
            </w:pPr>
            <w:r>
              <w:rPr>
                <w:color w:val="auto"/>
                <w:kern w:val="0"/>
                <w:szCs w:val="21"/>
              </w:rPr>
              <w:t>主要用途：用于炸药的氧化剂等。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419" w:type="pct"/>
            <w:vAlign w:val="center"/>
          </w:tcPr>
          <w:p>
            <w:pPr>
              <w:widowControl/>
              <w:jc w:val="center"/>
              <w:rPr>
                <w:color w:val="auto"/>
                <w:kern w:val="0"/>
                <w:szCs w:val="21"/>
              </w:rPr>
            </w:pPr>
            <w:r>
              <w:rPr>
                <w:color w:val="auto"/>
                <w:kern w:val="0"/>
                <w:szCs w:val="21"/>
              </w:rPr>
              <w:t>危险特性</w:t>
            </w:r>
          </w:p>
        </w:tc>
        <w:tc>
          <w:tcPr>
            <w:tcW w:w="4580" w:type="pct"/>
          </w:tcPr>
          <w:p>
            <w:pPr>
              <w:widowControl/>
              <w:rPr>
                <w:color w:val="auto"/>
                <w:kern w:val="0"/>
                <w:szCs w:val="21"/>
              </w:rPr>
            </w:pPr>
            <w:r>
              <w:rPr>
                <w:color w:val="auto"/>
                <w:kern w:val="0"/>
                <w:szCs w:val="21"/>
              </w:rPr>
              <w:t>强氧化剂。遇可燃物着火时，能助长火势。与可燃物粉末混合能发生激烈反应而爆炸。受强烈震动也会引爆。剧烈加热时可发生爆炸。与还原剂、有机物、易燃物如硫、磷或金属粉末等混合可形成爆炸性混合物。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vAlign w:val="center"/>
          </w:tcPr>
          <w:p>
            <w:pPr>
              <w:widowControl/>
              <w:jc w:val="center"/>
              <w:rPr>
                <w:color w:val="auto"/>
                <w:kern w:val="0"/>
                <w:szCs w:val="21"/>
              </w:rPr>
            </w:pPr>
            <w:r>
              <w:rPr>
                <w:color w:val="auto"/>
                <w:kern w:val="0"/>
                <w:szCs w:val="21"/>
              </w:rPr>
              <w:t>毒性</w:t>
            </w:r>
          </w:p>
          <w:p>
            <w:pPr>
              <w:widowControl/>
              <w:jc w:val="center"/>
              <w:rPr>
                <w:color w:val="auto"/>
                <w:kern w:val="0"/>
                <w:szCs w:val="21"/>
              </w:rPr>
            </w:pPr>
            <w:r>
              <w:rPr>
                <w:color w:val="auto"/>
                <w:kern w:val="0"/>
                <w:szCs w:val="21"/>
              </w:rPr>
              <w:t>危害</w:t>
            </w:r>
          </w:p>
        </w:tc>
        <w:tc>
          <w:tcPr>
            <w:tcW w:w="4580" w:type="pct"/>
          </w:tcPr>
          <w:p>
            <w:pPr>
              <w:widowControl/>
              <w:rPr>
                <w:color w:val="auto"/>
                <w:kern w:val="0"/>
                <w:szCs w:val="21"/>
              </w:rPr>
            </w:pPr>
            <w:r>
              <w:rPr>
                <w:color w:val="auto"/>
                <w:kern w:val="0"/>
                <w:szCs w:val="21"/>
              </w:rPr>
              <w:t>侵入途径：吸入、食入、经皮吸收。</w:t>
            </w:r>
          </w:p>
          <w:p>
            <w:pPr>
              <w:widowControl/>
              <w:rPr>
                <w:color w:val="auto"/>
                <w:kern w:val="0"/>
                <w:szCs w:val="21"/>
              </w:rPr>
            </w:pPr>
            <w:r>
              <w:rPr>
                <w:color w:val="auto"/>
                <w:kern w:val="0"/>
                <w:szCs w:val="21"/>
              </w:rPr>
              <w:t>对呼吸道、眼及皮肤有刺激性。接触后可引起恶心、呕吐、头痛、虚弱、无力和虚脱等。</w:t>
            </w:r>
          </w:p>
          <w:p>
            <w:pPr>
              <w:widowControl/>
              <w:rPr>
                <w:color w:val="auto"/>
                <w:kern w:val="0"/>
                <w:szCs w:val="21"/>
              </w:rPr>
            </w:pPr>
            <w:r>
              <w:rPr>
                <w:color w:val="auto"/>
                <w:kern w:val="0"/>
                <w:szCs w:val="21"/>
              </w:rPr>
              <w:t>大量接触可引起高铁血红蛋白血症，影响血液的携氧能力，出现紫绀、头痛、头晕、虚脱，甚至死亡。口服引起剧烈腹痛、呕吐、血便、休克、全身抽搐、昏迷，甚至死亡。</w:t>
            </w:r>
          </w:p>
        </w:tc>
      </w:tr>
    </w:tbl>
    <w:p>
      <w:pPr>
        <w:adjustRightInd w:val="0"/>
        <w:snapToGrid w:val="0"/>
        <w:jc w:val="center"/>
        <w:rPr>
          <w:rFonts w:eastAsia="黑体"/>
          <w:bCs/>
          <w:color w:val="auto"/>
          <w:sz w:val="24"/>
          <w:szCs w:val="32"/>
        </w:rPr>
      </w:pPr>
      <w:r>
        <w:rPr>
          <w:rFonts w:eastAsia="黑体"/>
          <w:bCs/>
          <w:color w:val="auto"/>
          <w:sz w:val="24"/>
          <w:szCs w:val="32"/>
        </w:rPr>
        <w:t>表</w:t>
      </w:r>
      <w:r>
        <w:rPr>
          <w:rFonts w:hint="eastAsia" w:eastAsia="黑体"/>
          <w:bCs/>
          <w:color w:val="auto"/>
          <w:sz w:val="24"/>
          <w:szCs w:val="32"/>
        </w:rPr>
        <w:t xml:space="preserve">12 </w:t>
      </w:r>
      <w:r>
        <w:rPr>
          <w:rFonts w:eastAsia="黑体"/>
          <w:bCs/>
          <w:color w:val="auto"/>
          <w:sz w:val="24"/>
          <w:szCs w:val="32"/>
        </w:rPr>
        <w:t xml:space="preserve"> 柴油的理化性质和危险特性</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3149"/>
        <w:gridCol w:w="1582"/>
        <w:gridCol w:w="27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4"/>
            <w:vAlign w:val="center"/>
          </w:tcPr>
          <w:p>
            <w:pPr>
              <w:jc w:val="center"/>
              <w:rPr>
                <w:bCs/>
                <w:color w:val="auto"/>
                <w:szCs w:val="21"/>
              </w:rPr>
            </w:pPr>
            <w:r>
              <w:rPr>
                <w:bCs/>
                <w:color w:val="auto"/>
                <w:szCs w:val="21"/>
              </w:rPr>
              <w:t>危险性概述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8" w:type="pct"/>
            <w:vAlign w:val="center"/>
          </w:tcPr>
          <w:p>
            <w:pPr>
              <w:jc w:val="center"/>
              <w:rPr>
                <w:color w:val="auto"/>
                <w:szCs w:val="21"/>
              </w:rPr>
            </w:pPr>
            <w:r>
              <w:rPr>
                <w:color w:val="auto"/>
                <w:szCs w:val="21"/>
              </w:rPr>
              <w:t>中文名称</w:t>
            </w:r>
          </w:p>
        </w:tc>
        <w:tc>
          <w:tcPr>
            <w:tcW w:w="1738" w:type="pct"/>
            <w:vAlign w:val="center"/>
          </w:tcPr>
          <w:p>
            <w:pPr>
              <w:jc w:val="center"/>
              <w:rPr>
                <w:color w:val="auto"/>
                <w:szCs w:val="21"/>
              </w:rPr>
            </w:pPr>
            <w:r>
              <w:rPr>
                <w:rFonts w:hint="eastAsia"/>
                <w:color w:val="auto"/>
                <w:szCs w:val="21"/>
              </w:rPr>
              <w:t>柴油</w:t>
            </w:r>
          </w:p>
        </w:tc>
        <w:tc>
          <w:tcPr>
            <w:tcW w:w="873" w:type="pct"/>
            <w:vAlign w:val="center"/>
          </w:tcPr>
          <w:p>
            <w:pPr>
              <w:jc w:val="center"/>
              <w:rPr>
                <w:color w:val="auto"/>
                <w:szCs w:val="21"/>
              </w:rPr>
            </w:pPr>
            <w:r>
              <w:rPr>
                <w:color w:val="auto"/>
                <w:szCs w:val="21"/>
              </w:rPr>
              <w:t>英文名称</w:t>
            </w:r>
          </w:p>
        </w:tc>
        <w:tc>
          <w:tcPr>
            <w:tcW w:w="1521" w:type="pct"/>
            <w:vAlign w:val="center"/>
          </w:tcPr>
          <w:p>
            <w:pPr>
              <w:jc w:val="center"/>
              <w:rPr>
                <w:color w:val="auto"/>
                <w:szCs w:val="21"/>
              </w:rPr>
            </w:pPr>
            <w:r>
              <w:rPr>
                <w:rFonts w:hint="eastAsia"/>
                <w:color w:val="auto"/>
                <w:szCs w:val="21"/>
              </w:rPr>
              <w:t>Dieseloil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8" w:type="pct"/>
            <w:vAlign w:val="center"/>
          </w:tcPr>
          <w:p>
            <w:pPr>
              <w:jc w:val="center"/>
              <w:rPr>
                <w:color w:val="auto"/>
                <w:szCs w:val="21"/>
              </w:rPr>
            </w:pPr>
            <w:r>
              <w:rPr>
                <w:color w:val="auto"/>
                <w:szCs w:val="21"/>
              </w:rPr>
              <w:t>分子式</w:t>
            </w:r>
          </w:p>
        </w:tc>
        <w:tc>
          <w:tcPr>
            <w:tcW w:w="1738" w:type="pct"/>
            <w:vAlign w:val="center"/>
          </w:tcPr>
          <w:p>
            <w:pPr>
              <w:jc w:val="center"/>
              <w:rPr>
                <w:color w:val="auto"/>
                <w:szCs w:val="21"/>
              </w:rPr>
            </w:pPr>
            <w:r>
              <w:rPr>
                <w:color w:val="auto"/>
                <w:szCs w:val="21"/>
              </w:rPr>
              <w:t>混合物</w:t>
            </w:r>
          </w:p>
        </w:tc>
        <w:tc>
          <w:tcPr>
            <w:tcW w:w="873" w:type="pct"/>
            <w:vAlign w:val="center"/>
          </w:tcPr>
          <w:p>
            <w:pPr>
              <w:jc w:val="center"/>
              <w:rPr>
                <w:color w:val="auto"/>
                <w:szCs w:val="21"/>
              </w:rPr>
            </w:pPr>
            <w:r>
              <w:rPr>
                <w:color w:val="auto"/>
                <w:szCs w:val="21"/>
              </w:rPr>
              <w:t>外观与性质</w:t>
            </w:r>
          </w:p>
        </w:tc>
        <w:tc>
          <w:tcPr>
            <w:tcW w:w="1521" w:type="pct"/>
            <w:vAlign w:val="center"/>
          </w:tcPr>
          <w:p>
            <w:pPr>
              <w:jc w:val="center"/>
              <w:rPr>
                <w:color w:val="auto"/>
                <w:szCs w:val="21"/>
              </w:rPr>
            </w:pPr>
            <w:r>
              <w:rPr>
                <w:rFonts w:hint="eastAsia"/>
                <w:color w:val="auto"/>
                <w:szCs w:val="21"/>
              </w:rPr>
              <w:t>稍有粘稠性的棕色液体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8" w:type="pct"/>
            <w:vAlign w:val="center"/>
          </w:tcPr>
          <w:p>
            <w:pPr>
              <w:spacing w:line="280" w:lineRule="exact"/>
              <w:jc w:val="center"/>
              <w:rPr>
                <w:color w:val="auto"/>
                <w:szCs w:val="21"/>
              </w:rPr>
            </w:pPr>
            <w:r>
              <w:rPr>
                <w:rFonts w:hint="eastAsia"/>
                <w:color w:val="auto"/>
                <w:szCs w:val="21"/>
              </w:rPr>
              <w:t>熔点</w:t>
            </w:r>
            <w:r>
              <w:rPr>
                <w:color w:val="auto"/>
                <w:szCs w:val="21"/>
              </w:rPr>
              <w:t>（℃）</w:t>
            </w:r>
          </w:p>
        </w:tc>
        <w:tc>
          <w:tcPr>
            <w:tcW w:w="1738" w:type="pct"/>
            <w:vAlign w:val="center"/>
          </w:tcPr>
          <w:p>
            <w:pPr>
              <w:spacing w:line="280" w:lineRule="exact"/>
              <w:jc w:val="center"/>
              <w:rPr>
                <w:color w:val="auto"/>
                <w:szCs w:val="21"/>
              </w:rPr>
            </w:pPr>
            <w:r>
              <w:rPr>
                <w:rFonts w:hint="eastAsia"/>
                <w:color w:val="auto"/>
                <w:szCs w:val="21"/>
              </w:rPr>
              <w:t>-18</w:t>
            </w:r>
          </w:p>
        </w:tc>
        <w:tc>
          <w:tcPr>
            <w:tcW w:w="873" w:type="pct"/>
            <w:vAlign w:val="center"/>
          </w:tcPr>
          <w:p>
            <w:pPr>
              <w:spacing w:line="280" w:lineRule="exact"/>
              <w:jc w:val="center"/>
              <w:rPr>
                <w:color w:val="auto"/>
                <w:szCs w:val="21"/>
              </w:rPr>
            </w:pPr>
            <w:r>
              <w:rPr>
                <w:color w:val="auto"/>
                <w:szCs w:val="21"/>
              </w:rPr>
              <w:t>沸点（℃）</w:t>
            </w:r>
          </w:p>
        </w:tc>
        <w:tc>
          <w:tcPr>
            <w:tcW w:w="1521" w:type="pct"/>
            <w:vAlign w:val="center"/>
          </w:tcPr>
          <w:p>
            <w:pPr>
              <w:spacing w:line="280" w:lineRule="exact"/>
              <w:jc w:val="center"/>
              <w:rPr>
                <w:color w:val="auto"/>
                <w:szCs w:val="21"/>
              </w:rPr>
            </w:pPr>
            <w:r>
              <w:rPr>
                <w:rFonts w:hint="eastAsia"/>
                <w:color w:val="auto"/>
                <w:szCs w:val="21"/>
              </w:rPr>
              <w:t>282-338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8" w:type="pct"/>
            <w:vAlign w:val="center"/>
          </w:tcPr>
          <w:p>
            <w:pPr>
              <w:jc w:val="center"/>
              <w:rPr>
                <w:color w:val="auto"/>
                <w:szCs w:val="21"/>
              </w:rPr>
            </w:pPr>
            <w:r>
              <w:rPr>
                <w:color w:val="auto"/>
                <w:szCs w:val="21"/>
              </w:rPr>
              <w:t>密度</w:t>
            </w:r>
          </w:p>
        </w:tc>
        <w:tc>
          <w:tcPr>
            <w:tcW w:w="1738" w:type="pct"/>
            <w:vAlign w:val="center"/>
          </w:tcPr>
          <w:p>
            <w:pPr>
              <w:jc w:val="center"/>
              <w:rPr>
                <w:color w:val="auto"/>
                <w:szCs w:val="21"/>
              </w:rPr>
            </w:pPr>
            <w:r>
              <w:rPr>
                <w:color w:val="auto"/>
                <w:szCs w:val="21"/>
              </w:rPr>
              <w:t>相对密度（水＝1）</w:t>
            </w:r>
            <w:r>
              <w:rPr>
                <w:rFonts w:hint="eastAsia"/>
                <w:color w:val="auto"/>
                <w:szCs w:val="21"/>
              </w:rPr>
              <w:t>0.87-0.9</w:t>
            </w:r>
          </w:p>
        </w:tc>
        <w:tc>
          <w:tcPr>
            <w:tcW w:w="873" w:type="pct"/>
            <w:vAlign w:val="center"/>
          </w:tcPr>
          <w:p>
            <w:pPr>
              <w:jc w:val="center"/>
              <w:rPr>
                <w:color w:val="auto"/>
                <w:szCs w:val="21"/>
              </w:rPr>
            </w:pPr>
            <w:r>
              <w:rPr>
                <w:color w:val="auto"/>
                <w:szCs w:val="21"/>
              </w:rPr>
              <w:t>稳定性</w:t>
            </w:r>
          </w:p>
        </w:tc>
        <w:tc>
          <w:tcPr>
            <w:tcW w:w="1521" w:type="pct"/>
            <w:vAlign w:val="center"/>
          </w:tcPr>
          <w:p>
            <w:pPr>
              <w:jc w:val="center"/>
              <w:rPr>
                <w:color w:val="auto"/>
                <w:szCs w:val="21"/>
              </w:rPr>
            </w:pPr>
            <w:r>
              <w:rPr>
                <w:color w:val="auto"/>
                <w:szCs w:val="21"/>
              </w:rPr>
              <w:t>稳定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8" w:type="pct"/>
            <w:vAlign w:val="center"/>
          </w:tcPr>
          <w:p>
            <w:pPr>
              <w:jc w:val="center"/>
              <w:rPr>
                <w:color w:val="auto"/>
                <w:szCs w:val="21"/>
              </w:rPr>
            </w:pPr>
            <w:r>
              <w:rPr>
                <w:color w:val="auto"/>
                <w:szCs w:val="21"/>
              </w:rPr>
              <w:t>溶解性</w:t>
            </w:r>
          </w:p>
        </w:tc>
        <w:tc>
          <w:tcPr>
            <w:tcW w:w="4132" w:type="pct"/>
            <w:gridSpan w:val="3"/>
            <w:vAlign w:val="center"/>
          </w:tcPr>
          <w:p>
            <w:pPr>
              <w:jc w:val="center"/>
              <w:rPr>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8" w:type="pct"/>
            <w:vAlign w:val="center"/>
          </w:tcPr>
          <w:p>
            <w:pPr>
              <w:jc w:val="center"/>
              <w:rPr>
                <w:color w:val="auto"/>
                <w:szCs w:val="21"/>
              </w:rPr>
            </w:pPr>
            <w:r>
              <w:rPr>
                <w:color w:val="auto"/>
                <w:szCs w:val="21"/>
              </w:rPr>
              <w:t>主要用途</w:t>
            </w:r>
          </w:p>
        </w:tc>
        <w:tc>
          <w:tcPr>
            <w:tcW w:w="4132" w:type="pct"/>
            <w:gridSpan w:val="3"/>
            <w:vAlign w:val="center"/>
          </w:tcPr>
          <w:p>
            <w:pPr>
              <w:jc w:val="center"/>
              <w:rPr>
                <w:color w:val="auto"/>
                <w:szCs w:val="21"/>
              </w:rPr>
            </w:pPr>
            <w:r>
              <w:rPr>
                <w:rFonts w:hint="eastAsia"/>
                <w:color w:val="auto"/>
                <w:szCs w:val="21"/>
              </w:rPr>
              <w:t>用作柴油机的燃料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8" w:type="pct"/>
            <w:vAlign w:val="center"/>
          </w:tcPr>
          <w:p>
            <w:pPr>
              <w:jc w:val="center"/>
              <w:rPr>
                <w:color w:val="auto"/>
                <w:szCs w:val="21"/>
              </w:rPr>
            </w:pPr>
            <w:r>
              <w:rPr>
                <w:color w:val="auto"/>
                <w:szCs w:val="21"/>
              </w:rPr>
              <w:t>侵入途径</w:t>
            </w:r>
          </w:p>
        </w:tc>
        <w:tc>
          <w:tcPr>
            <w:tcW w:w="4132" w:type="pct"/>
            <w:gridSpan w:val="3"/>
            <w:vAlign w:val="center"/>
          </w:tcPr>
          <w:p>
            <w:pPr>
              <w:jc w:val="center"/>
              <w:rPr>
                <w:color w:val="auto"/>
                <w:szCs w:val="21"/>
              </w:rPr>
            </w:pPr>
            <w:r>
              <w:rPr>
                <w:color w:val="auto"/>
                <w:szCs w:val="21"/>
              </w:rPr>
              <w:t>吸入、食入、经皮肤吸收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8" w:type="pct"/>
            <w:vAlign w:val="center"/>
          </w:tcPr>
          <w:p>
            <w:pPr>
              <w:jc w:val="center"/>
              <w:rPr>
                <w:color w:val="auto"/>
                <w:szCs w:val="21"/>
              </w:rPr>
            </w:pPr>
            <w:r>
              <w:rPr>
                <w:color w:val="auto"/>
                <w:szCs w:val="21"/>
              </w:rPr>
              <w:t>健康危害</w:t>
            </w:r>
          </w:p>
        </w:tc>
        <w:tc>
          <w:tcPr>
            <w:tcW w:w="4132" w:type="pct"/>
            <w:gridSpan w:val="3"/>
            <w:vAlign w:val="center"/>
          </w:tcPr>
          <w:p>
            <w:pPr>
              <w:pStyle w:val="25"/>
              <w:tabs>
                <w:tab w:val="clear" w:pos="5580"/>
              </w:tabs>
              <w:spacing w:line="240" w:lineRule="auto"/>
              <w:jc w:val="center"/>
              <w:rPr>
                <w:rFonts w:ascii="Times New Roman" w:hAnsi="Times New Roman"/>
                <w:color w:val="auto"/>
                <w:spacing w:val="0"/>
                <w:szCs w:val="21"/>
              </w:rPr>
            </w:pPr>
            <w:r>
              <w:rPr>
                <w:rFonts w:hint="eastAsia" w:ascii="Times New Roman" w:hAnsi="Times New Roman"/>
                <w:color w:val="auto"/>
                <w:spacing w:val="0"/>
                <w:szCs w:val="21"/>
              </w:rPr>
              <w:t>皮肤接触可为主要吸收途径，可致急性肾脏损害。柴油可引起接</w:t>
            </w:r>
          </w:p>
          <w:p>
            <w:pPr>
              <w:pStyle w:val="25"/>
              <w:tabs>
                <w:tab w:val="clear" w:pos="5580"/>
              </w:tabs>
              <w:spacing w:line="240" w:lineRule="auto"/>
              <w:jc w:val="center"/>
              <w:rPr>
                <w:rFonts w:ascii="Times New Roman" w:hAnsi="Times New Roman"/>
                <w:color w:val="auto"/>
                <w:spacing w:val="0"/>
                <w:szCs w:val="21"/>
              </w:rPr>
            </w:pPr>
            <w:r>
              <w:rPr>
                <w:rFonts w:hint="eastAsia" w:ascii="Times New Roman" w:hAnsi="Times New Roman"/>
                <w:color w:val="auto"/>
                <w:spacing w:val="0"/>
                <w:szCs w:val="21"/>
              </w:rPr>
              <w:t>触性皮炎、油性痤疮。吸入其雾滴或液体呛入可引起吸入性肺炎。能经胎盘进入胎儿血中。柴油废气可引起眼、鼻刺激症状，头晕及头痛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8" w:type="pct"/>
            <w:vAlign w:val="center"/>
          </w:tcPr>
          <w:p>
            <w:pPr>
              <w:jc w:val="center"/>
              <w:rPr>
                <w:color w:val="auto"/>
                <w:szCs w:val="21"/>
              </w:rPr>
            </w:pPr>
            <w:r>
              <w:rPr>
                <w:color w:val="auto"/>
                <w:szCs w:val="21"/>
              </w:rPr>
              <w:t>毒性</w:t>
            </w:r>
          </w:p>
        </w:tc>
        <w:tc>
          <w:tcPr>
            <w:tcW w:w="4132" w:type="pct"/>
            <w:gridSpan w:val="3"/>
            <w:vAlign w:val="center"/>
          </w:tcPr>
          <w:p>
            <w:pPr>
              <w:jc w:val="center"/>
              <w:rPr>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8" w:type="pct"/>
            <w:vAlign w:val="center"/>
          </w:tcPr>
          <w:p>
            <w:pPr>
              <w:jc w:val="center"/>
              <w:rPr>
                <w:color w:val="auto"/>
                <w:szCs w:val="21"/>
              </w:rPr>
            </w:pPr>
            <w:r>
              <w:rPr>
                <w:color w:val="auto"/>
                <w:szCs w:val="21"/>
              </w:rPr>
              <w:t>危险特性</w:t>
            </w:r>
          </w:p>
        </w:tc>
        <w:tc>
          <w:tcPr>
            <w:tcW w:w="4132" w:type="pct"/>
            <w:gridSpan w:val="3"/>
            <w:vAlign w:val="center"/>
          </w:tcPr>
          <w:p>
            <w:pPr>
              <w:jc w:val="center"/>
              <w:rPr>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8" w:type="pct"/>
            <w:vAlign w:val="center"/>
          </w:tcPr>
          <w:p>
            <w:pPr>
              <w:jc w:val="center"/>
              <w:rPr>
                <w:color w:val="auto"/>
                <w:szCs w:val="21"/>
              </w:rPr>
            </w:pPr>
            <w:r>
              <w:rPr>
                <w:rFonts w:hint="eastAsia"/>
                <w:color w:val="auto"/>
                <w:szCs w:val="21"/>
              </w:rPr>
              <w:t>有害燃烧物</w:t>
            </w:r>
          </w:p>
        </w:tc>
        <w:tc>
          <w:tcPr>
            <w:tcW w:w="4132" w:type="pct"/>
            <w:gridSpan w:val="3"/>
            <w:vAlign w:val="center"/>
          </w:tcPr>
          <w:p>
            <w:pPr>
              <w:jc w:val="center"/>
              <w:rPr>
                <w:color w:val="auto"/>
                <w:szCs w:val="21"/>
              </w:rPr>
            </w:pPr>
            <w:r>
              <w:rPr>
                <w:color w:val="auto"/>
                <w:szCs w:val="21"/>
              </w:rPr>
              <w:t>一氧化碳、二氧化碳</w:t>
            </w:r>
          </w:p>
        </w:tc>
      </w:tr>
    </w:tbl>
    <w:p>
      <w:pPr>
        <w:pStyle w:val="46"/>
        <w:spacing w:line="520" w:lineRule="exact"/>
        <w:ind w:firstLine="482"/>
        <w:jc w:val="both"/>
        <w:rPr>
          <w:b/>
          <w:bCs/>
          <w:color w:val="auto"/>
          <w:sz w:val="24"/>
        </w:rPr>
      </w:pPr>
      <w:r>
        <w:rPr>
          <w:rFonts w:hint="eastAsia"/>
          <w:b/>
          <w:bCs/>
          <w:color w:val="auto"/>
          <w:sz w:val="24"/>
        </w:rPr>
        <w:t>3.2生产系统危险识别</w:t>
      </w:r>
    </w:p>
    <w:p>
      <w:pPr>
        <w:pStyle w:val="46"/>
        <w:spacing w:line="520" w:lineRule="exact"/>
        <w:ind w:firstLine="480"/>
        <w:jc w:val="both"/>
        <w:rPr>
          <w:color w:val="auto"/>
          <w:sz w:val="24"/>
        </w:rPr>
      </w:pPr>
      <w:r>
        <w:rPr>
          <w:rFonts w:hint="eastAsia"/>
          <w:color w:val="auto"/>
          <w:sz w:val="24"/>
        </w:rPr>
        <w:t>本项目存在危险因素见表13。</w:t>
      </w:r>
    </w:p>
    <w:p>
      <w:pPr>
        <w:widowControl/>
        <w:spacing w:before="156" w:beforeLines="50"/>
        <w:ind w:firstLine="480" w:firstLineChars="200"/>
        <w:jc w:val="center"/>
        <w:rPr>
          <w:rFonts w:eastAsia="黑体"/>
          <w:color w:val="auto"/>
          <w:sz w:val="24"/>
        </w:rPr>
      </w:pPr>
      <w:r>
        <w:rPr>
          <w:rFonts w:hint="eastAsia" w:eastAsia="黑体"/>
          <w:color w:val="auto"/>
          <w:sz w:val="24"/>
        </w:rPr>
        <w:t>表13  现场混装炸药生产过程火灾、爆炸危险因素分析</w:t>
      </w:r>
    </w:p>
    <w:tbl>
      <w:tblPr>
        <w:tblStyle w:val="29"/>
        <w:tblW w:w="500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3"/>
        <w:gridCol w:w="895"/>
        <w:gridCol w:w="2056"/>
        <w:gridCol w:w="4397"/>
        <w:gridCol w:w="11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333" w:type="pct"/>
            <w:tcBorders>
              <w:tl2br w:val="nil"/>
              <w:tr2bl w:val="nil"/>
            </w:tcBorders>
            <w:vAlign w:val="center"/>
          </w:tcPr>
          <w:p>
            <w:pPr>
              <w:widowControl/>
              <w:jc w:val="center"/>
              <w:rPr>
                <w:color w:val="auto"/>
                <w:szCs w:val="21"/>
              </w:rPr>
            </w:pPr>
            <w:r>
              <w:rPr>
                <w:color w:val="auto"/>
                <w:kern w:val="0"/>
                <w:szCs w:val="21"/>
                <w:lang w:bidi="ar"/>
              </w:rPr>
              <w:t>序</w:t>
            </w:r>
          </w:p>
          <w:p>
            <w:pPr>
              <w:widowControl/>
              <w:jc w:val="center"/>
              <w:rPr>
                <w:color w:val="auto"/>
                <w:szCs w:val="21"/>
              </w:rPr>
            </w:pPr>
            <w:r>
              <w:rPr>
                <w:color w:val="auto"/>
                <w:kern w:val="0"/>
                <w:szCs w:val="21"/>
                <w:lang w:bidi="ar"/>
              </w:rPr>
              <w:t>号</w:t>
            </w:r>
          </w:p>
        </w:tc>
        <w:tc>
          <w:tcPr>
            <w:tcW w:w="493" w:type="pct"/>
            <w:tcBorders>
              <w:tl2br w:val="nil"/>
              <w:tr2bl w:val="nil"/>
            </w:tcBorders>
            <w:vAlign w:val="center"/>
          </w:tcPr>
          <w:p>
            <w:pPr>
              <w:widowControl/>
              <w:jc w:val="center"/>
              <w:rPr>
                <w:color w:val="auto"/>
                <w:szCs w:val="21"/>
              </w:rPr>
            </w:pPr>
            <w:r>
              <w:rPr>
                <w:color w:val="auto"/>
                <w:kern w:val="0"/>
                <w:szCs w:val="21"/>
                <w:lang w:bidi="ar"/>
              </w:rPr>
              <w:t>工序</w:t>
            </w:r>
          </w:p>
          <w:p>
            <w:pPr>
              <w:widowControl/>
              <w:jc w:val="center"/>
              <w:rPr>
                <w:color w:val="auto"/>
                <w:szCs w:val="21"/>
              </w:rPr>
            </w:pPr>
            <w:r>
              <w:rPr>
                <w:color w:val="auto"/>
                <w:kern w:val="0"/>
                <w:szCs w:val="21"/>
                <w:lang w:bidi="ar"/>
              </w:rPr>
              <w:t>名称</w:t>
            </w:r>
          </w:p>
        </w:tc>
        <w:tc>
          <w:tcPr>
            <w:tcW w:w="1133" w:type="pct"/>
            <w:tcBorders>
              <w:tl2br w:val="nil"/>
              <w:tr2bl w:val="nil"/>
            </w:tcBorders>
            <w:vAlign w:val="center"/>
          </w:tcPr>
          <w:p>
            <w:pPr>
              <w:widowControl/>
              <w:jc w:val="center"/>
              <w:rPr>
                <w:color w:val="auto"/>
                <w:szCs w:val="21"/>
              </w:rPr>
            </w:pPr>
            <w:r>
              <w:rPr>
                <w:color w:val="auto"/>
                <w:kern w:val="0"/>
                <w:szCs w:val="21"/>
                <w:lang w:bidi="ar"/>
              </w:rPr>
              <w:t>作业内容</w:t>
            </w:r>
          </w:p>
        </w:tc>
        <w:tc>
          <w:tcPr>
            <w:tcW w:w="2423" w:type="pct"/>
            <w:tcBorders>
              <w:tl2br w:val="nil"/>
              <w:tr2bl w:val="nil"/>
            </w:tcBorders>
            <w:vAlign w:val="center"/>
          </w:tcPr>
          <w:p>
            <w:pPr>
              <w:widowControl/>
              <w:jc w:val="center"/>
              <w:rPr>
                <w:color w:val="auto"/>
                <w:szCs w:val="21"/>
              </w:rPr>
            </w:pPr>
            <w:r>
              <w:rPr>
                <w:color w:val="auto"/>
                <w:kern w:val="0"/>
                <w:szCs w:val="21"/>
                <w:lang w:bidi="ar"/>
              </w:rPr>
              <w:t>实际存在和潜在的危险因素</w:t>
            </w:r>
          </w:p>
        </w:tc>
        <w:tc>
          <w:tcPr>
            <w:tcW w:w="616" w:type="pct"/>
            <w:tcBorders>
              <w:tl2br w:val="nil"/>
              <w:tr2bl w:val="nil"/>
            </w:tcBorders>
            <w:vAlign w:val="center"/>
          </w:tcPr>
          <w:p>
            <w:pPr>
              <w:widowControl/>
              <w:jc w:val="center"/>
              <w:rPr>
                <w:color w:val="auto"/>
                <w:szCs w:val="21"/>
              </w:rPr>
            </w:pPr>
            <w:r>
              <w:rPr>
                <w:color w:val="auto"/>
                <w:kern w:val="0"/>
                <w:szCs w:val="21"/>
                <w:lang w:bidi="ar"/>
              </w:rPr>
              <w:t>潜在</w:t>
            </w:r>
          </w:p>
          <w:p>
            <w:pPr>
              <w:widowControl/>
              <w:jc w:val="center"/>
              <w:rPr>
                <w:color w:val="auto"/>
                <w:szCs w:val="21"/>
              </w:rPr>
            </w:pPr>
            <w:r>
              <w:rPr>
                <w:color w:val="auto"/>
                <w:kern w:val="0"/>
                <w:szCs w:val="21"/>
                <w:lang w:bidi="ar"/>
              </w:rPr>
              <w:t>后果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333" w:type="pct"/>
            <w:tcBorders>
              <w:tl2br w:val="nil"/>
              <w:tr2bl w:val="nil"/>
            </w:tcBorders>
            <w:vAlign w:val="center"/>
          </w:tcPr>
          <w:p>
            <w:pPr>
              <w:pStyle w:val="46"/>
              <w:ind w:firstLine="0" w:firstLineChars="0"/>
              <w:jc w:val="center"/>
              <w:rPr>
                <w:color w:val="auto"/>
                <w:szCs w:val="21"/>
              </w:rPr>
            </w:pPr>
            <w:r>
              <w:rPr>
                <w:color w:val="auto"/>
                <w:szCs w:val="21"/>
              </w:rPr>
              <w:t>1</w:t>
            </w:r>
          </w:p>
        </w:tc>
        <w:tc>
          <w:tcPr>
            <w:tcW w:w="493" w:type="pct"/>
            <w:tcBorders>
              <w:tl2br w:val="nil"/>
              <w:tr2bl w:val="nil"/>
            </w:tcBorders>
            <w:vAlign w:val="center"/>
          </w:tcPr>
          <w:p>
            <w:pPr>
              <w:widowControl/>
              <w:jc w:val="center"/>
              <w:rPr>
                <w:color w:val="auto"/>
                <w:szCs w:val="21"/>
              </w:rPr>
            </w:pPr>
            <w:r>
              <w:rPr>
                <w:color w:val="auto"/>
                <w:kern w:val="0"/>
                <w:szCs w:val="21"/>
                <w:lang w:bidi="ar"/>
              </w:rPr>
              <w:t>上料及储存</w:t>
            </w:r>
          </w:p>
        </w:tc>
        <w:tc>
          <w:tcPr>
            <w:tcW w:w="1133" w:type="pct"/>
            <w:tcBorders>
              <w:tl2br w:val="nil"/>
              <w:tr2bl w:val="nil"/>
            </w:tcBorders>
            <w:vAlign w:val="center"/>
          </w:tcPr>
          <w:p>
            <w:pPr>
              <w:widowControl/>
              <w:jc w:val="center"/>
              <w:rPr>
                <w:color w:val="auto"/>
                <w:szCs w:val="21"/>
              </w:rPr>
            </w:pPr>
            <w:r>
              <w:rPr>
                <w:color w:val="auto"/>
                <w:kern w:val="0"/>
                <w:szCs w:val="21"/>
                <w:lang w:bidi="ar"/>
              </w:rPr>
              <w:t>硝酸铵通过计量加入混装车，硝酸铵库储存</w:t>
            </w:r>
          </w:p>
        </w:tc>
        <w:tc>
          <w:tcPr>
            <w:tcW w:w="2423" w:type="pct"/>
            <w:tcBorders>
              <w:tl2br w:val="nil"/>
              <w:tr2bl w:val="nil"/>
            </w:tcBorders>
            <w:vAlign w:val="center"/>
          </w:tcPr>
          <w:p>
            <w:pPr>
              <w:widowControl/>
              <w:jc w:val="left"/>
              <w:rPr>
                <w:color w:val="auto"/>
                <w:szCs w:val="21"/>
              </w:rPr>
            </w:pPr>
            <w:r>
              <w:rPr>
                <w:color w:val="auto"/>
                <w:kern w:val="0"/>
                <w:szCs w:val="21"/>
                <w:lang w:bidi="ar"/>
              </w:rPr>
              <w:t>将明火或其他易燃物质带入库房中；</w:t>
            </w:r>
          </w:p>
          <w:p>
            <w:pPr>
              <w:widowControl/>
              <w:jc w:val="left"/>
              <w:rPr>
                <w:color w:val="auto"/>
                <w:szCs w:val="21"/>
              </w:rPr>
            </w:pPr>
            <w:r>
              <w:rPr>
                <w:color w:val="auto"/>
                <w:kern w:val="0"/>
                <w:szCs w:val="21"/>
                <w:lang w:bidi="ar"/>
              </w:rPr>
              <w:t>巡视人员劳保穿戴不符合要求，违规操作；</w:t>
            </w:r>
          </w:p>
          <w:p>
            <w:pPr>
              <w:widowControl/>
              <w:jc w:val="left"/>
              <w:rPr>
                <w:color w:val="auto"/>
                <w:szCs w:val="21"/>
              </w:rPr>
            </w:pPr>
            <w:r>
              <w:rPr>
                <w:color w:val="auto"/>
                <w:kern w:val="0"/>
                <w:szCs w:val="21"/>
                <w:lang w:bidi="ar"/>
              </w:rPr>
              <w:t>自动控制系统和安全连锁装置失效；</w:t>
            </w:r>
          </w:p>
        </w:tc>
        <w:tc>
          <w:tcPr>
            <w:tcW w:w="616" w:type="pct"/>
            <w:tcBorders>
              <w:tl2br w:val="nil"/>
              <w:tr2bl w:val="nil"/>
            </w:tcBorders>
            <w:vAlign w:val="center"/>
          </w:tcPr>
          <w:p>
            <w:pPr>
              <w:pStyle w:val="46"/>
              <w:ind w:firstLine="0" w:firstLineChars="0"/>
              <w:jc w:val="center"/>
              <w:rPr>
                <w:color w:val="auto"/>
                <w:szCs w:val="21"/>
              </w:rPr>
            </w:pPr>
            <w:r>
              <w:rPr>
                <w:color w:val="auto"/>
                <w:szCs w:val="21"/>
              </w:rPr>
              <w:t>火灾</w:t>
            </w:r>
          </w:p>
          <w:p>
            <w:pPr>
              <w:pStyle w:val="46"/>
              <w:ind w:firstLine="0" w:firstLineChars="0"/>
              <w:jc w:val="center"/>
              <w:rPr>
                <w:color w:val="auto"/>
                <w:szCs w:val="21"/>
              </w:rPr>
            </w:pPr>
            <w:r>
              <w:rPr>
                <w:color w:val="auto"/>
                <w:szCs w:val="21"/>
              </w:rPr>
              <w:t>爆炸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333" w:type="pct"/>
            <w:tcBorders>
              <w:tl2br w:val="nil"/>
              <w:tr2bl w:val="nil"/>
            </w:tcBorders>
            <w:vAlign w:val="center"/>
          </w:tcPr>
          <w:p>
            <w:pPr>
              <w:pStyle w:val="46"/>
              <w:ind w:firstLine="0" w:firstLineChars="0"/>
              <w:jc w:val="center"/>
              <w:rPr>
                <w:color w:val="auto"/>
                <w:szCs w:val="21"/>
              </w:rPr>
            </w:pPr>
            <w:r>
              <w:rPr>
                <w:color w:val="auto"/>
                <w:szCs w:val="21"/>
              </w:rPr>
              <w:t>2</w:t>
            </w:r>
          </w:p>
        </w:tc>
        <w:tc>
          <w:tcPr>
            <w:tcW w:w="493" w:type="pct"/>
            <w:tcBorders>
              <w:tl2br w:val="nil"/>
              <w:tr2bl w:val="nil"/>
            </w:tcBorders>
            <w:vAlign w:val="center"/>
          </w:tcPr>
          <w:p>
            <w:pPr>
              <w:pStyle w:val="46"/>
              <w:ind w:firstLine="0" w:firstLineChars="0"/>
              <w:jc w:val="center"/>
              <w:rPr>
                <w:color w:val="auto"/>
                <w:szCs w:val="21"/>
              </w:rPr>
            </w:pPr>
            <w:r>
              <w:rPr>
                <w:color w:val="auto"/>
                <w:szCs w:val="21"/>
              </w:rPr>
              <w:t>柴油储存装卸</w:t>
            </w:r>
          </w:p>
        </w:tc>
        <w:tc>
          <w:tcPr>
            <w:tcW w:w="1133" w:type="pct"/>
            <w:tcBorders>
              <w:tl2br w:val="nil"/>
              <w:tr2bl w:val="nil"/>
            </w:tcBorders>
            <w:vAlign w:val="center"/>
          </w:tcPr>
          <w:p>
            <w:pPr>
              <w:widowControl/>
              <w:jc w:val="center"/>
              <w:rPr>
                <w:color w:val="auto"/>
                <w:szCs w:val="21"/>
              </w:rPr>
            </w:pPr>
            <w:r>
              <w:rPr>
                <w:color w:val="auto"/>
                <w:szCs w:val="21"/>
              </w:rPr>
              <w:t>柴油在储罐中贮存，通过加油机输送至混装车</w:t>
            </w:r>
          </w:p>
        </w:tc>
        <w:tc>
          <w:tcPr>
            <w:tcW w:w="2423" w:type="pct"/>
            <w:tcBorders>
              <w:tl2br w:val="nil"/>
              <w:tr2bl w:val="nil"/>
            </w:tcBorders>
            <w:vAlign w:val="center"/>
          </w:tcPr>
          <w:p>
            <w:pPr>
              <w:widowControl/>
              <w:jc w:val="left"/>
              <w:rPr>
                <w:color w:val="auto"/>
                <w:szCs w:val="21"/>
              </w:rPr>
            </w:pPr>
            <w:r>
              <w:rPr>
                <w:color w:val="auto"/>
                <w:szCs w:val="21"/>
              </w:rPr>
              <w:t>将明火或其他易燃物质带入柴油储罐区；</w:t>
            </w:r>
          </w:p>
          <w:p>
            <w:pPr>
              <w:pStyle w:val="37"/>
              <w:rPr>
                <w:rFonts w:ascii="Times New Roman"/>
                <w:color w:val="auto"/>
                <w:sz w:val="21"/>
                <w:szCs w:val="21"/>
              </w:rPr>
            </w:pPr>
            <w:r>
              <w:rPr>
                <w:rFonts w:ascii="Times New Roman"/>
                <w:color w:val="auto"/>
                <w:sz w:val="21"/>
                <w:szCs w:val="21"/>
              </w:rPr>
              <w:t>生贮存设备可能因控制系统出现故障或操作与判断失误，导致物料外泄；</w:t>
            </w:r>
          </w:p>
        </w:tc>
        <w:tc>
          <w:tcPr>
            <w:tcW w:w="616" w:type="pct"/>
            <w:tcBorders>
              <w:tl2br w:val="nil"/>
              <w:tr2bl w:val="nil"/>
            </w:tcBorders>
            <w:vAlign w:val="center"/>
          </w:tcPr>
          <w:p>
            <w:pPr>
              <w:pStyle w:val="46"/>
              <w:ind w:firstLine="0" w:firstLineChars="0"/>
              <w:jc w:val="center"/>
              <w:rPr>
                <w:color w:val="auto"/>
                <w:szCs w:val="21"/>
              </w:rPr>
            </w:pPr>
            <w:r>
              <w:rPr>
                <w:color w:val="auto"/>
                <w:szCs w:val="21"/>
              </w:rPr>
              <w:t>火灾</w:t>
            </w:r>
          </w:p>
          <w:p>
            <w:pPr>
              <w:pStyle w:val="46"/>
              <w:ind w:firstLine="0" w:firstLineChars="0"/>
              <w:jc w:val="center"/>
              <w:rPr>
                <w:color w:val="auto"/>
                <w:szCs w:val="21"/>
              </w:rPr>
            </w:pPr>
            <w:r>
              <w:rPr>
                <w:color w:val="auto"/>
                <w:szCs w:val="21"/>
              </w:rPr>
              <w:t>泄漏</w:t>
            </w:r>
          </w:p>
          <w:p>
            <w:pPr>
              <w:pStyle w:val="46"/>
              <w:ind w:firstLine="0" w:firstLineChars="0"/>
              <w:jc w:val="center"/>
              <w:rPr>
                <w:color w:val="auto"/>
                <w:szCs w:val="21"/>
              </w:rPr>
            </w:pPr>
            <w:r>
              <w:rPr>
                <w:color w:val="auto"/>
                <w:szCs w:val="21"/>
              </w:rPr>
              <w:t>爆炸</w:t>
            </w:r>
          </w:p>
        </w:tc>
      </w:tr>
    </w:tbl>
    <w:p>
      <w:pPr>
        <w:pStyle w:val="10"/>
        <w:spacing w:line="520" w:lineRule="exact"/>
        <w:rPr>
          <w:rFonts w:eastAsia="宋体"/>
          <w:b/>
          <w:bCs/>
          <w:color w:val="auto"/>
          <w:kern w:val="0"/>
          <w:sz w:val="24"/>
          <w:szCs w:val="24"/>
          <w:lang w:bidi="ar"/>
        </w:rPr>
      </w:pPr>
      <w:r>
        <w:rPr>
          <w:rFonts w:hint="eastAsia" w:eastAsia="宋体"/>
          <w:b/>
          <w:bCs/>
          <w:color w:val="auto"/>
          <w:kern w:val="0"/>
          <w:sz w:val="24"/>
          <w:szCs w:val="24"/>
          <w:lang w:bidi="ar"/>
        </w:rPr>
        <w:t>3.3周边危险源调查</w:t>
      </w:r>
    </w:p>
    <w:p>
      <w:pPr>
        <w:widowControl/>
        <w:spacing w:line="520" w:lineRule="exact"/>
        <w:ind w:firstLine="480" w:firstLineChars="200"/>
        <w:rPr>
          <w:color w:val="auto"/>
          <w:kern w:val="0"/>
          <w:sz w:val="24"/>
          <w:lang w:bidi="ar"/>
        </w:rPr>
      </w:pPr>
      <w:r>
        <w:rPr>
          <w:rFonts w:hint="eastAsia"/>
          <w:color w:val="auto"/>
          <w:kern w:val="0"/>
          <w:sz w:val="24"/>
          <w:lang w:bidi="ar"/>
        </w:rPr>
        <w:t>项目区周围均为空地和废弃房屋，不涉及危险源</w:t>
      </w:r>
      <w:r>
        <w:rPr>
          <w:rFonts w:hint="eastAsia"/>
          <w:color w:val="auto"/>
          <w:sz w:val="24"/>
        </w:rPr>
        <w:t>。</w:t>
      </w:r>
    </w:p>
    <w:p>
      <w:pPr>
        <w:widowControl/>
        <w:numPr>
          <w:ilvl w:val="0"/>
          <w:numId w:val="17"/>
        </w:numPr>
        <w:spacing w:line="520" w:lineRule="exact"/>
        <w:ind w:firstLine="482"/>
        <w:rPr>
          <w:b/>
          <w:bCs/>
          <w:color w:val="auto"/>
          <w:kern w:val="0"/>
          <w:sz w:val="24"/>
          <w:lang w:bidi="ar"/>
        </w:rPr>
      </w:pPr>
      <w:r>
        <w:rPr>
          <w:rFonts w:hint="eastAsia"/>
          <w:b/>
          <w:bCs/>
          <w:color w:val="auto"/>
          <w:kern w:val="0"/>
          <w:sz w:val="24"/>
          <w:lang w:bidi="ar"/>
        </w:rPr>
        <w:t>环境风险分析</w:t>
      </w:r>
    </w:p>
    <w:p>
      <w:pPr>
        <w:pStyle w:val="46"/>
        <w:spacing w:line="520" w:lineRule="exact"/>
        <w:ind w:firstLine="480"/>
        <w:jc w:val="both"/>
        <w:rPr>
          <w:color w:val="auto"/>
          <w:sz w:val="24"/>
        </w:rPr>
      </w:pPr>
      <w:r>
        <w:rPr>
          <w:rFonts w:hint="eastAsia"/>
          <w:color w:val="auto"/>
          <w:sz w:val="24"/>
        </w:rPr>
        <w:t>根据物质、生产系统以及储运系统的危险性识别，本项目存在的环境风险类型主要为危险物质泄漏以及火灾爆炸引发的次生污染物排放。本项目环境风险类型见表14。</w:t>
      </w:r>
    </w:p>
    <w:p>
      <w:pPr>
        <w:widowControl/>
        <w:spacing w:before="156" w:beforeLines="50"/>
        <w:ind w:firstLine="480" w:firstLineChars="200"/>
        <w:jc w:val="center"/>
        <w:rPr>
          <w:rFonts w:eastAsia="黑体"/>
          <w:color w:val="auto"/>
          <w:sz w:val="24"/>
        </w:rPr>
      </w:pPr>
      <w:r>
        <w:rPr>
          <w:rFonts w:hint="eastAsia" w:eastAsia="黑体"/>
          <w:color w:val="auto"/>
          <w:sz w:val="24"/>
        </w:rPr>
        <w:t>表14  现场混装炸药生产过程火灾、爆炸危险因素分析</w:t>
      </w:r>
    </w:p>
    <w:tbl>
      <w:tblPr>
        <w:tblStyle w:val="29"/>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2007"/>
        <w:gridCol w:w="1317"/>
        <w:gridCol w:w="1522"/>
        <w:gridCol w:w="1607"/>
        <w:gridCol w:w="19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tcBorders>
              <w:tl2br w:val="nil"/>
              <w:tr2bl w:val="nil"/>
            </w:tcBorders>
            <w:vAlign w:val="center"/>
          </w:tcPr>
          <w:p>
            <w:pPr>
              <w:pStyle w:val="46"/>
              <w:ind w:firstLine="0" w:firstLineChars="0"/>
              <w:jc w:val="center"/>
              <w:rPr>
                <w:color w:val="auto"/>
                <w:szCs w:val="21"/>
              </w:rPr>
            </w:pPr>
            <w:r>
              <w:rPr>
                <w:rFonts w:hint="eastAsia"/>
                <w:color w:val="auto"/>
                <w:szCs w:val="21"/>
              </w:rPr>
              <w:t>序号</w:t>
            </w:r>
          </w:p>
        </w:tc>
        <w:tc>
          <w:tcPr>
            <w:tcW w:w="1108" w:type="pct"/>
            <w:tcBorders>
              <w:tl2br w:val="nil"/>
              <w:tr2bl w:val="nil"/>
            </w:tcBorders>
            <w:vAlign w:val="center"/>
          </w:tcPr>
          <w:p>
            <w:pPr>
              <w:pStyle w:val="46"/>
              <w:ind w:firstLine="0" w:firstLineChars="0"/>
              <w:jc w:val="center"/>
              <w:rPr>
                <w:color w:val="auto"/>
                <w:szCs w:val="21"/>
              </w:rPr>
            </w:pPr>
            <w:r>
              <w:rPr>
                <w:rFonts w:hint="eastAsia"/>
                <w:color w:val="auto"/>
                <w:szCs w:val="21"/>
              </w:rPr>
              <w:t>危险单元</w:t>
            </w:r>
          </w:p>
        </w:tc>
        <w:tc>
          <w:tcPr>
            <w:tcW w:w="727" w:type="pct"/>
            <w:tcBorders>
              <w:tl2br w:val="nil"/>
              <w:tr2bl w:val="nil"/>
            </w:tcBorders>
            <w:vAlign w:val="center"/>
          </w:tcPr>
          <w:p>
            <w:pPr>
              <w:pStyle w:val="46"/>
              <w:ind w:firstLine="0" w:firstLineChars="0"/>
              <w:jc w:val="center"/>
              <w:rPr>
                <w:color w:val="auto"/>
                <w:szCs w:val="21"/>
              </w:rPr>
            </w:pPr>
            <w:r>
              <w:rPr>
                <w:rFonts w:hint="eastAsia"/>
                <w:color w:val="auto"/>
                <w:szCs w:val="21"/>
              </w:rPr>
              <w:t>主要危险物质</w:t>
            </w:r>
          </w:p>
        </w:tc>
        <w:tc>
          <w:tcPr>
            <w:tcW w:w="840" w:type="pct"/>
            <w:tcBorders>
              <w:tl2br w:val="nil"/>
              <w:tr2bl w:val="nil"/>
            </w:tcBorders>
            <w:vAlign w:val="center"/>
          </w:tcPr>
          <w:p>
            <w:pPr>
              <w:pStyle w:val="46"/>
              <w:ind w:firstLine="0" w:firstLineChars="0"/>
              <w:jc w:val="center"/>
              <w:rPr>
                <w:color w:val="auto"/>
                <w:szCs w:val="21"/>
              </w:rPr>
            </w:pPr>
            <w:r>
              <w:rPr>
                <w:rFonts w:hint="eastAsia"/>
                <w:color w:val="auto"/>
                <w:szCs w:val="21"/>
              </w:rPr>
              <w:t>环境风险类型</w:t>
            </w:r>
          </w:p>
        </w:tc>
        <w:tc>
          <w:tcPr>
            <w:tcW w:w="887" w:type="pct"/>
            <w:tcBorders>
              <w:tl2br w:val="nil"/>
              <w:tr2bl w:val="nil"/>
            </w:tcBorders>
            <w:vAlign w:val="center"/>
          </w:tcPr>
          <w:p>
            <w:pPr>
              <w:pStyle w:val="46"/>
              <w:ind w:firstLine="0" w:firstLineChars="0"/>
              <w:jc w:val="center"/>
              <w:rPr>
                <w:color w:val="auto"/>
                <w:szCs w:val="21"/>
              </w:rPr>
            </w:pPr>
            <w:r>
              <w:rPr>
                <w:rFonts w:hint="eastAsia"/>
                <w:color w:val="auto"/>
                <w:szCs w:val="21"/>
              </w:rPr>
              <w:t>环境影响途径</w:t>
            </w:r>
          </w:p>
        </w:tc>
        <w:tc>
          <w:tcPr>
            <w:tcW w:w="1071" w:type="pct"/>
            <w:tcBorders>
              <w:tl2br w:val="nil"/>
              <w:tr2bl w:val="nil"/>
            </w:tcBorders>
            <w:vAlign w:val="center"/>
          </w:tcPr>
          <w:p>
            <w:pPr>
              <w:pStyle w:val="46"/>
              <w:ind w:firstLine="0" w:firstLineChars="0"/>
              <w:jc w:val="center"/>
              <w:rPr>
                <w:color w:val="auto"/>
                <w:szCs w:val="21"/>
              </w:rPr>
            </w:pPr>
            <w:r>
              <w:rPr>
                <w:rFonts w:hint="eastAsia"/>
                <w:color w:val="auto"/>
                <w:szCs w:val="21"/>
              </w:rPr>
              <w:t>可能受影响的环境敏感目标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tcBorders>
              <w:tl2br w:val="nil"/>
              <w:tr2bl w:val="nil"/>
            </w:tcBorders>
            <w:vAlign w:val="center"/>
          </w:tcPr>
          <w:p>
            <w:pPr>
              <w:pStyle w:val="46"/>
              <w:ind w:firstLine="0" w:firstLineChars="0"/>
              <w:jc w:val="center"/>
              <w:rPr>
                <w:color w:val="auto"/>
                <w:szCs w:val="21"/>
              </w:rPr>
            </w:pPr>
            <w:r>
              <w:rPr>
                <w:rFonts w:hint="eastAsia"/>
                <w:color w:val="auto"/>
                <w:szCs w:val="21"/>
              </w:rPr>
              <w:t>1</w:t>
            </w:r>
          </w:p>
        </w:tc>
        <w:tc>
          <w:tcPr>
            <w:tcW w:w="1108" w:type="pct"/>
            <w:tcBorders>
              <w:tl2br w:val="nil"/>
              <w:tr2bl w:val="nil"/>
            </w:tcBorders>
            <w:vAlign w:val="center"/>
          </w:tcPr>
          <w:p>
            <w:pPr>
              <w:pStyle w:val="46"/>
              <w:ind w:firstLine="0" w:firstLineChars="0"/>
              <w:jc w:val="center"/>
              <w:rPr>
                <w:color w:val="auto"/>
                <w:szCs w:val="21"/>
              </w:rPr>
            </w:pPr>
            <w:r>
              <w:rPr>
                <w:rFonts w:hint="eastAsia"/>
                <w:color w:val="auto"/>
                <w:szCs w:val="21"/>
              </w:rPr>
              <w:t>硝酸铵库、上料车间</w:t>
            </w:r>
          </w:p>
        </w:tc>
        <w:tc>
          <w:tcPr>
            <w:tcW w:w="727" w:type="pct"/>
            <w:tcBorders>
              <w:tl2br w:val="nil"/>
              <w:tr2bl w:val="nil"/>
            </w:tcBorders>
            <w:vAlign w:val="center"/>
          </w:tcPr>
          <w:p>
            <w:pPr>
              <w:pStyle w:val="46"/>
              <w:ind w:firstLine="0" w:firstLineChars="0"/>
              <w:jc w:val="center"/>
              <w:rPr>
                <w:color w:val="auto"/>
                <w:szCs w:val="21"/>
              </w:rPr>
            </w:pPr>
            <w:r>
              <w:rPr>
                <w:rFonts w:hint="eastAsia"/>
                <w:color w:val="auto"/>
                <w:szCs w:val="21"/>
              </w:rPr>
              <w:t>硝酸铵</w:t>
            </w:r>
          </w:p>
        </w:tc>
        <w:tc>
          <w:tcPr>
            <w:tcW w:w="840" w:type="pct"/>
            <w:tcBorders>
              <w:tl2br w:val="nil"/>
              <w:tr2bl w:val="nil"/>
            </w:tcBorders>
            <w:vAlign w:val="center"/>
          </w:tcPr>
          <w:p>
            <w:pPr>
              <w:pStyle w:val="46"/>
              <w:ind w:firstLine="0" w:firstLineChars="0"/>
              <w:jc w:val="center"/>
              <w:rPr>
                <w:color w:val="auto"/>
                <w:szCs w:val="21"/>
              </w:rPr>
            </w:pPr>
            <w:r>
              <w:rPr>
                <w:rFonts w:hint="eastAsia"/>
                <w:color w:val="auto"/>
                <w:szCs w:val="21"/>
              </w:rPr>
              <w:t>火灾、爆炸</w:t>
            </w:r>
          </w:p>
        </w:tc>
        <w:tc>
          <w:tcPr>
            <w:tcW w:w="887" w:type="pct"/>
            <w:tcBorders>
              <w:tl2br w:val="nil"/>
              <w:tr2bl w:val="nil"/>
            </w:tcBorders>
            <w:vAlign w:val="center"/>
          </w:tcPr>
          <w:p>
            <w:pPr>
              <w:pStyle w:val="46"/>
              <w:ind w:firstLine="0" w:firstLineChars="0"/>
              <w:jc w:val="center"/>
              <w:rPr>
                <w:color w:val="auto"/>
                <w:szCs w:val="21"/>
              </w:rPr>
            </w:pPr>
            <w:r>
              <w:rPr>
                <w:rFonts w:hint="eastAsia"/>
                <w:color w:val="auto"/>
                <w:szCs w:val="21"/>
              </w:rPr>
              <w:t>环境空气</w:t>
            </w:r>
          </w:p>
        </w:tc>
        <w:tc>
          <w:tcPr>
            <w:tcW w:w="1071" w:type="pct"/>
            <w:tcBorders>
              <w:tl2br w:val="nil"/>
              <w:tr2bl w:val="nil"/>
            </w:tcBorders>
            <w:vAlign w:val="center"/>
          </w:tcPr>
          <w:p>
            <w:pPr>
              <w:pStyle w:val="46"/>
              <w:ind w:firstLine="420"/>
              <w:jc w:val="both"/>
              <w:rPr>
                <w:color w:val="auto"/>
                <w:szCs w:val="21"/>
              </w:rPr>
            </w:pPr>
            <w:r>
              <w:rPr>
                <w:rFonts w:hint="eastAsia"/>
                <w:color w:val="auto"/>
                <w:szCs w:val="21"/>
              </w:rPr>
              <w:t>周边居民点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4" w:type="pct"/>
            <w:tcBorders>
              <w:tl2br w:val="nil"/>
              <w:tr2bl w:val="nil"/>
            </w:tcBorders>
            <w:vAlign w:val="center"/>
          </w:tcPr>
          <w:p>
            <w:pPr>
              <w:pStyle w:val="46"/>
              <w:ind w:firstLine="0" w:firstLineChars="0"/>
              <w:jc w:val="center"/>
              <w:rPr>
                <w:color w:val="auto"/>
                <w:szCs w:val="21"/>
              </w:rPr>
            </w:pPr>
            <w:r>
              <w:rPr>
                <w:rFonts w:hint="eastAsia"/>
                <w:color w:val="auto"/>
                <w:szCs w:val="21"/>
              </w:rPr>
              <w:t>2</w:t>
            </w:r>
          </w:p>
        </w:tc>
        <w:tc>
          <w:tcPr>
            <w:tcW w:w="1108" w:type="pct"/>
            <w:tcBorders>
              <w:tl2br w:val="nil"/>
              <w:tr2bl w:val="nil"/>
            </w:tcBorders>
            <w:vAlign w:val="center"/>
          </w:tcPr>
          <w:p>
            <w:pPr>
              <w:pStyle w:val="46"/>
              <w:ind w:firstLine="0" w:firstLineChars="0"/>
              <w:jc w:val="center"/>
              <w:rPr>
                <w:color w:val="auto"/>
                <w:szCs w:val="21"/>
              </w:rPr>
            </w:pPr>
            <w:r>
              <w:rPr>
                <w:rFonts w:hint="eastAsia"/>
                <w:color w:val="auto"/>
                <w:szCs w:val="21"/>
              </w:rPr>
              <w:t>柴油储罐</w:t>
            </w:r>
          </w:p>
        </w:tc>
        <w:tc>
          <w:tcPr>
            <w:tcW w:w="727" w:type="pct"/>
            <w:tcBorders>
              <w:tl2br w:val="nil"/>
              <w:tr2bl w:val="nil"/>
            </w:tcBorders>
            <w:vAlign w:val="center"/>
          </w:tcPr>
          <w:p>
            <w:pPr>
              <w:pStyle w:val="46"/>
              <w:ind w:firstLine="0" w:firstLineChars="0"/>
              <w:jc w:val="center"/>
              <w:rPr>
                <w:color w:val="auto"/>
                <w:szCs w:val="21"/>
              </w:rPr>
            </w:pPr>
            <w:r>
              <w:rPr>
                <w:rFonts w:hint="eastAsia"/>
                <w:color w:val="auto"/>
                <w:szCs w:val="21"/>
              </w:rPr>
              <w:t>柴油</w:t>
            </w:r>
          </w:p>
        </w:tc>
        <w:tc>
          <w:tcPr>
            <w:tcW w:w="840" w:type="pct"/>
            <w:tcBorders>
              <w:tl2br w:val="nil"/>
              <w:tr2bl w:val="nil"/>
            </w:tcBorders>
            <w:vAlign w:val="center"/>
          </w:tcPr>
          <w:p>
            <w:pPr>
              <w:pStyle w:val="46"/>
              <w:ind w:firstLine="0" w:firstLineChars="0"/>
              <w:jc w:val="center"/>
              <w:rPr>
                <w:color w:val="auto"/>
                <w:szCs w:val="21"/>
              </w:rPr>
            </w:pPr>
            <w:r>
              <w:rPr>
                <w:rFonts w:hint="eastAsia"/>
                <w:color w:val="auto"/>
                <w:szCs w:val="21"/>
              </w:rPr>
              <w:t>泄漏、火灾、爆炸</w:t>
            </w:r>
          </w:p>
        </w:tc>
        <w:tc>
          <w:tcPr>
            <w:tcW w:w="887" w:type="pct"/>
            <w:tcBorders>
              <w:tl2br w:val="nil"/>
              <w:tr2bl w:val="nil"/>
            </w:tcBorders>
            <w:vAlign w:val="center"/>
          </w:tcPr>
          <w:p>
            <w:pPr>
              <w:pStyle w:val="46"/>
              <w:ind w:firstLine="0" w:firstLineChars="0"/>
              <w:jc w:val="center"/>
              <w:rPr>
                <w:color w:val="auto"/>
                <w:szCs w:val="21"/>
              </w:rPr>
            </w:pPr>
            <w:r>
              <w:rPr>
                <w:rFonts w:hint="eastAsia"/>
                <w:color w:val="auto"/>
                <w:szCs w:val="21"/>
              </w:rPr>
              <w:t>环境空气、地下水、土壤</w:t>
            </w:r>
          </w:p>
        </w:tc>
        <w:tc>
          <w:tcPr>
            <w:tcW w:w="1071" w:type="pct"/>
            <w:tcBorders>
              <w:tl2br w:val="nil"/>
              <w:tr2bl w:val="nil"/>
            </w:tcBorders>
            <w:vAlign w:val="center"/>
          </w:tcPr>
          <w:p>
            <w:pPr>
              <w:pStyle w:val="46"/>
              <w:ind w:firstLine="0" w:firstLineChars="0"/>
              <w:jc w:val="center"/>
              <w:rPr>
                <w:color w:val="auto"/>
                <w:szCs w:val="21"/>
              </w:rPr>
            </w:pPr>
            <w:r>
              <w:rPr>
                <w:rFonts w:hint="eastAsia"/>
                <w:color w:val="auto"/>
                <w:szCs w:val="21"/>
              </w:rPr>
              <w:t>周边居民点、地下水、附近土壤</w:t>
            </w:r>
          </w:p>
        </w:tc>
      </w:tr>
    </w:tbl>
    <w:p>
      <w:pPr>
        <w:widowControl/>
        <w:numPr>
          <w:ilvl w:val="0"/>
          <w:numId w:val="17"/>
        </w:numPr>
        <w:spacing w:line="520" w:lineRule="exact"/>
        <w:ind w:firstLine="482"/>
        <w:rPr>
          <w:b/>
          <w:bCs/>
          <w:color w:val="auto"/>
          <w:kern w:val="0"/>
          <w:sz w:val="24"/>
          <w:lang w:bidi="ar"/>
        </w:rPr>
      </w:pPr>
      <w:r>
        <w:rPr>
          <w:rFonts w:hint="eastAsia"/>
          <w:b/>
          <w:bCs/>
          <w:color w:val="auto"/>
          <w:kern w:val="0"/>
          <w:sz w:val="24"/>
          <w:lang w:bidi="ar"/>
        </w:rPr>
        <w:t>环境风险防范措施及应急要求</w:t>
      </w:r>
    </w:p>
    <w:p>
      <w:pPr>
        <w:pStyle w:val="46"/>
        <w:spacing w:line="520" w:lineRule="exact"/>
        <w:ind w:firstLine="480"/>
        <w:jc w:val="both"/>
        <w:rPr>
          <w:color w:val="auto"/>
          <w:sz w:val="24"/>
        </w:rPr>
      </w:pPr>
      <w:r>
        <w:rPr>
          <w:rFonts w:hint="eastAsia"/>
          <w:color w:val="auto"/>
          <w:sz w:val="24"/>
        </w:rPr>
        <w:t>5.1运输过程风险防范措施</w:t>
      </w:r>
    </w:p>
    <w:p>
      <w:pPr>
        <w:pStyle w:val="46"/>
        <w:spacing w:line="520" w:lineRule="exact"/>
        <w:ind w:firstLine="480"/>
        <w:jc w:val="both"/>
        <w:rPr>
          <w:color w:val="auto"/>
          <w:sz w:val="24"/>
        </w:rPr>
      </w:pPr>
      <w:r>
        <w:rPr>
          <w:rFonts w:hint="eastAsia"/>
          <w:color w:val="auto"/>
          <w:sz w:val="24"/>
        </w:rPr>
        <w:t>（1）</w:t>
      </w:r>
      <w:r>
        <w:rPr>
          <w:color w:val="auto"/>
          <w:sz w:val="24"/>
        </w:rPr>
        <w:t>严格按《危险化学品安全管理条例》的要求，加强对</w:t>
      </w:r>
      <w:r>
        <w:rPr>
          <w:rFonts w:hint="eastAsia"/>
          <w:color w:val="auto"/>
          <w:sz w:val="24"/>
        </w:rPr>
        <w:t>厂区硝酸铵、柴油等</w:t>
      </w:r>
      <w:r>
        <w:rPr>
          <w:color w:val="auto"/>
          <w:sz w:val="24"/>
        </w:rPr>
        <w:t>危险化学品的管理</w:t>
      </w:r>
      <w:r>
        <w:rPr>
          <w:rFonts w:hint="eastAsia"/>
          <w:color w:val="auto"/>
          <w:sz w:val="24"/>
        </w:rPr>
        <w:t>；</w:t>
      </w:r>
      <w:r>
        <w:rPr>
          <w:color w:val="auto"/>
          <w:sz w:val="24"/>
        </w:rPr>
        <w:t>确定危险化学品安全操作规程，要求操作人员严格按照操作规程作业</w:t>
      </w:r>
      <w:r>
        <w:rPr>
          <w:rFonts w:hint="eastAsia"/>
          <w:color w:val="auto"/>
          <w:sz w:val="24"/>
        </w:rPr>
        <w:t>；</w:t>
      </w:r>
      <w:r>
        <w:rPr>
          <w:color w:val="auto"/>
          <w:sz w:val="24"/>
        </w:rPr>
        <w:t>对从事危险化学作业人员定期进行安全培训教育</w:t>
      </w:r>
      <w:r>
        <w:rPr>
          <w:rFonts w:hint="eastAsia"/>
          <w:color w:val="auto"/>
          <w:sz w:val="24"/>
        </w:rPr>
        <w:t>；</w:t>
      </w:r>
      <w:r>
        <w:rPr>
          <w:color w:val="auto"/>
          <w:sz w:val="24"/>
        </w:rPr>
        <w:t>经常性对危险化学品作业场所进行安全检查。</w:t>
      </w:r>
    </w:p>
    <w:p>
      <w:pPr>
        <w:pStyle w:val="46"/>
        <w:spacing w:line="520" w:lineRule="exact"/>
        <w:ind w:firstLine="480"/>
        <w:jc w:val="both"/>
        <w:rPr>
          <w:color w:val="auto"/>
          <w:sz w:val="24"/>
        </w:rPr>
      </w:pPr>
      <w:r>
        <w:rPr>
          <w:rFonts w:hint="eastAsia"/>
          <w:color w:val="auto"/>
          <w:sz w:val="24"/>
        </w:rPr>
        <w:t>（2）</w:t>
      </w:r>
      <w:r>
        <w:rPr>
          <w:color w:val="auto"/>
          <w:sz w:val="24"/>
        </w:rPr>
        <w:t>采购危险化学品时，到已获得危险化学品经营许可证的企业进行采购，并要求供货商提供技术说明书及相关技术资料</w:t>
      </w:r>
      <w:r>
        <w:rPr>
          <w:rFonts w:hint="eastAsia"/>
          <w:color w:val="auto"/>
          <w:sz w:val="24"/>
        </w:rPr>
        <w:t>；</w:t>
      </w:r>
      <w:r>
        <w:rPr>
          <w:color w:val="auto"/>
          <w:sz w:val="24"/>
        </w:rPr>
        <w:t>采购人员进行专业培训并取证</w:t>
      </w:r>
      <w:r>
        <w:rPr>
          <w:rFonts w:hint="eastAsia"/>
          <w:color w:val="auto"/>
          <w:sz w:val="24"/>
        </w:rPr>
        <w:t>；</w:t>
      </w:r>
      <w:r>
        <w:rPr>
          <w:color w:val="auto"/>
          <w:sz w:val="24"/>
        </w:rPr>
        <w:t>危险化学品的包装物、容器有专业检测机构检验合格后才使用</w:t>
      </w:r>
      <w:r>
        <w:rPr>
          <w:rFonts w:hint="eastAsia"/>
          <w:color w:val="auto"/>
          <w:sz w:val="24"/>
        </w:rPr>
        <w:t>；</w:t>
      </w:r>
      <w:r>
        <w:rPr>
          <w:color w:val="auto"/>
          <w:sz w:val="24"/>
        </w:rPr>
        <w:t>从事危险化学品运输、押运人员，应经有关培训并取证后才能从事危险化学品运输、押运工作</w:t>
      </w:r>
      <w:r>
        <w:rPr>
          <w:rFonts w:hint="eastAsia"/>
          <w:color w:val="auto"/>
          <w:sz w:val="24"/>
        </w:rPr>
        <w:t>；</w:t>
      </w:r>
      <w:r>
        <w:rPr>
          <w:color w:val="auto"/>
          <w:sz w:val="24"/>
        </w:rPr>
        <w:t>运输危险化学品的车辆应悬挂危险化学品标志，不得在人口密集地停留</w:t>
      </w:r>
      <w:r>
        <w:rPr>
          <w:rFonts w:hint="eastAsia"/>
          <w:color w:val="auto"/>
          <w:sz w:val="24"/>
        </w:rPr>
        <w:t>；</w:t>
      </w:r>
      <w:r>
        <w:rPr>
          <w:color w:val="auto"/>
          <w:sz w:val="24"/>
        </w:rPr>
        <w:t>危险化学品的运输、押运人员，应配置合格的防护器材。</w:t>
      </w:r>
    </w:p>
    <w:p>
      <w:pPr>
        <w:pStyle w:val="46"/>
        <w:spacing w:line="520" w:lineRule="exact"/>
        <w:ind w:firstLine="480"/>
        <w:jc w:val="both"/>
        <w:rPr>
          <w:color w:val="auto"/>
          <w:sz w:val="24"/>
        </w:rPr>
      </w:pPr>
      <w:r>
        <w:rPr>
          <w:rFonts w:hint="eastAsia"/>
          <w:color w:val="auto"/>
          <w:sz w:val="24"/>
        </w:rPr>
        <w:t>（3）</w:t>
      </w:r>
      <w:r>
        <w:rPr>
          <w:color w:val="auto"/>
          <w:sz w:val="24"/>
        </w:rPr>
        <w:t>化学品的运输应单独运输，不得与其有禁忌的物质混合运输，防止发生风险事故</w:t>
      </w:r>
      <w:r>
        <w:rPr>
          <w:rFonts w:hint="eastAsia"/>
          <w:color w:val="auto"/>
          <w:sz w:val="24"/>
        </w:rPr>
        <w:t>；</w:t>
      </w:r>
      <w:r>
        <w:rPr>
          <w:color w:val="auto"/>
          <w:sz w:val="24"/>
        </w:rPr>
        <w:t>运输过程中要确保包装容器密封，确保容器不泄漏、不倒塌、不坠落、不损坏。</w:t>
      </w:r>
    </w:p>
    <w:p>
      <w:pPr>
        <w:pStyle w:val="46"/>
        <w:spacing w:line="520" w:lineRule="exact"/>
        <w:ind w:firstLine="480"/>
        <w:jc w:val="both"/>
        <w:rPr>
          <w:color w:val="auto"/>
          <w:sz w:val="24"/>
        </w:rPr>
      </w:pPr>
      <w:r>
        <w:rPr>
          <w:rFonts w:hint="eastAsia"/>
          <w:color w:val="auto"/>
          <w:sz w:val="24"/>
        </w:rPr>
        <w:t>（4）</w:t>
      </w:r>
      <w:r>
        <w:rPr>
          <w:color w:val="auto"/>
          <w:sz w:val="24"/>
        </w:rPr>
        <w:t>运输过程中应防曝晒、雨淋，防高温</w:t>
      </w:r>
      <w:r>
        <w:rPr>
          <w:rFonts w:hint="eastAsia"/>
          <w:color w:val="auto"/>
          <w:sz w:val="24"/>
        </w:rPr>
        <w:t>；</w:t>
      </w:r>
      <w:r>
        <w:rPr>
          <w:color w:val="auto"/>
          <w:sz w:val="24"/>
        </w:rPr>
        <w:t>行走路线应固定，勿在居民区和人口稠密区停留。</w:t>
      </w:r>
    </w:p>
    <w:p>
      <w:pPr>
        <w:pStyle w:val="46"/>
        <w:spacing w:line="520" w:lineRule="exact"/>
        <w:ind w:firstLine="480"/>
        <w:jc w:val="both"/>
        <w:rPr>
          <w:color w:val="auto"/>
          <w:sz w:val="24"/>
        </w:rPr>
      </w:pPr>
      <w:r>
        <w:rPr>
          <w:rFonts w:hint="eastAsia"/>
          <w:color w:val="auto"/>
          <w:sz w:val="24"/>
        </w:rPr>
        <w:t>（5）</w:t>
      </w:r>
      <w:r>
        <w:rPr>
          <w:color w:val="auto"/>
          <w:sz w:val="24"/>
        </w:rPr>
        <w:t>运输车辆应具备防静电铰链、防火器材、防泄漏器材，可对运输过程中发生的风险事故进行应急处理。</w:t>
      </w:r>
    </w:p>
    <w:p>
      <w:pPr>
        <w:widowControl/>
        <w:spacing w:line="520" w:lineRule="exact"/>
        <w:ind w:firstLine="480" w:firstLineChars="200"/>
        <w:jc w:val="left"/>
        <w:rPr>
          <w:color w:val="auto"/>
        </w:rPr>
      </w:pPr>
      <w:r>
        <w:rPr>
          <w:rFonts w:hint="eastAsia"/>
          <w:color w:val="auto"/>
          <w:kern w:val="0"/>
          <w:sz w:val="24"/>
        </w:rPr>
        <w:t>（6）</w:t>
      </w:r>
      <w:r>
        <w:rPr>
          <w:color w:val="auto"/>
          <w:kern w:val="0"/>
          <w:sz w:val="24"/>
        </w:rPr>
        <w:t>运送</w:t>
      </w:r>
      <w:r>
        <w:rPr>
          <w:rFonts w:hint="eastAsia"/>
          <w:color w:val="auto"/>
          <w:kern w:val="0"/>
          <w:sz w:val="24"/>
        </w:rPr>
        <w:t>混装</w:t>
      </w:r>
      <w:r>
        <w:rPr>
          <w:color w:val="auto"/>
          <w:kern w:val="0"/>
          <w:sz w:val="24"/>
        </w:rPr>
        <w:t>炸药的人员必须经过上岗培训，经定期考核通过后方能持证上岗。工作人员应熟悉事故应急设备的使用和维护，了解应急处理流程，一旦发生意外，在采取应急处理的同时，迅速报告公安、交通和环保等有关部门,必要时疏散群众，防止事态进一步扩大和恶化。</w:t>
      </w:r>
    </w:p>
    <w:p>
      <w:pPr>
        <w:pStyle w:val="46"/>
        <w:spacing w:line="520" w:lineRule="exact"/>
        <w:ind w:firstLine="480"/>
        <w:jc w:val="both"/>
        <w:rPr>
          <w:color w:val="auto"/>
          <w:sz w:val="24"/>
        </w:rPr>
      </w:pPr>
      <w:r>
        <w:rPr>
          <w:rFonts w:hint="eastAsia"/>
          <w:color w:val="auto"/>
          <w:sz w:val="24"/>
        </w:rPr>
        <w:t>5.2操作区风险防范措施</w:t>
      </w:r>
    </w:p>
    <w:p>
      <w:pPr>
        <w:widowControl/>
        <w:numPr>
          <w:ilvl w:val="0"/>
          <w:numId w:val="18"/>
        </w:numPr>
        <w:spacing w:line="520" w:lineRule="exact"/>
        <w:ind w:firstLine="480" w:firstLineChars="200"/>
        <w:rPr>
          <w:color w:val="auto"/>
          <w:kern w:val="0"/>
          <w:sz w:val="24"/>
        </w:rPr>
      </w:pPr>
      <w:r>
        <w:rPr>
          <w:rFonts w:hint="eastAsia"/>
          <w:color w:val="auto"/>
          <w:kern w:val="0"/>
          <w:sz w:val="24"/>
        </w:rPr>
        <w:t>各化学品必须根据各自的性质制定合理的操作规范、工作程序，并将</w:t>
      </w:r>
      <w:r>
        <w:rPr>
          <w:color w:val="auto"/>
          <w:kern w:val="0"/>
          <w:sz w:val="24"/>
        </w:rPr>
        <w:t>操作规程张贴在对应工段的显眼位置，以便随时可查看。</w:t>
      </w:r>
      <w:r>
        <w:rPr>
          <w:rFonts w:hint="eastAsia"/>
          <w:color w:val="auto"/>
          <w:kern w:val="0"/>
          <w:sz w:val="24"/>
        </w:rPr>
        <w:t xml:space="preserve"> </w:t>
      </w:r>
    </w:p>
    <w:p>
      <w:pPr>
        <w:widowControl/>
        <w:numPr>
          <w:ilvl w:val="0"/>
          <w:numId w:val="18"/>
        </w:numPr>
        <w:spacing w:line="520" w:lineRule="exact"/>
        <w:ind w:firstLine="480" w:firstLineChars="200"/>
        <w:rPr>
          <w:color w:val="auto"/>
          <w:kern w:val="0"/>
          <w:sz w:val="24"/>
        </w:rPr>
      </w:pPr>
      <w:r>
        <w:rPr>
          <w:color w:val="auto"/>
          <w:kern w:val="0"/>
          <w:sz w:val="24"/>
        </w:rPr>
        <w:t>根据各自的性质必须配备合理的防护措施，并对操作工人进行严格的培训，严格要求各操作工人佩戴防护措施，熟练掌握操作技巧和工艺，减少因人为失误造成的风险事故。</w:t>
      </w:r>
    </w:p>
    <w:p>
      <w:pPr>
        <w:widowControl/>
        <w:numPr>
          <w:ilvl w:val="0"/>
          <w:numId w:val="18"/>
        </w:numPr>
        <w:spacing w:line="520" w:lineRule="exact"/>
        <w:ind w:firstLine="480" w:firstLineChars="200"/>
        <w:rPr>
          <w:color w:val="auto"/>
          <w:kern w:val="0"/>
          <w:sz w:val="24"/>
        </w:rPr>
      </w:pPr>
      <w:r>
        <w:rPr>
          <w:color w:val="auto"/>
          <w:kern w:val="0"/>
          <w:sz w:val="24"/>
        </w:rPr>
        <w:t>根据各工段、各物质性质的不同，确定在各工段配备、放置合理的风险处理物资，风险处理物资必须在车间显眼处，并标示，以便随时可以启用。</w:t>
      </w:r>
    </w:p>
    <w:p>
      <w:pPr>
        <w:widowControl/>
        <w:numPr>
          <w:ilvl w:val="0"/>
          <w:numId w:val="18"/>
        </w:numPr>
        <w:spacing w:line="520" w:lineRule="exact"/>
        <w:ind w:firstLine="480" w:firstLineChars="200"/>
        <w:rPr>
          <w:color w:val="auto"/>
          <w:kern w:val="0"/>
          <w:sz w:val="24"/>
        </w:rPr>
      </w:pPr>
      <w:r>
        <w:rPr>
          <w:color w:val="auto"/>
          <w:kern w:val="0"/>
          <w:sz w:val="24"/>
        </w:rPr>
        <w:t xml:space="preserve">工房设置避雷装置以及视频监控设施。 </w:t>
      </w:r>
    </w:p>
    <w:p>
      <w:pPr>
        <w:pStyle w:val="46"/>
        <w:spacing w:line="520" w:lineRule="exact"/>
        <w:ind w:firstLine="480"/>
        <w:jc w:val="both"/>
        <w:rPr>
          <w:color w:val="auto"/>
          <w:sz w:val="24"/>
        </w:rPr>
      </w:pPr>
      <w:r>
        <w:rPr>
          <w:rFonts w:hint="eastAsia"/>
          <w:color w:val="auto"/>
          <w:sz w:val="24"/>
        </w:rPr>
        <w:t>5.3储存区的风险防范措施</w:t>
      </w:r>
    </w:p>
    <w:p>
      <w:pPr>
        <w:pStyle w:val="46"/>
        <w:numPr>
          <w:ilvl w:val="0"/>
          <w:numId w:val="19"/>
        </w:numPr>
        <w:spacing w:line="520" w:lineRule="exact"/>
        <w:ind w:firstLine="480"/>
        <w:jc w:val="both"/>
        <w:rPr>
          <w:color w:val="auto"/>
          <w:sz w:val="24"/>
        </w:rPr>
      </w:pPr>
      <w:r>
        <w:rPr>
          <w:color w:val="auto"/>
          <w:sz w:val="24"/>
        </w:rPr>
        <w:t>危险物质储存区应安置在专用区域，加强其作为危险区的标识</w:t>
      </w:r>
      <w:r>
        <w:rPr>
          <w:rFonts w:hint="eastAsia"/>
          <w:color w:val="auto"/>
          <w:sz w:val="24"/>
        </w:rPr>
        <w:t>；</w:t>
      </w:r>
      <w:r>
        <w:rPr>
          <w:color w:val="auto"/>
          <w:sz w:val="24"/>
        </w:rPr>
        <w:t>配备防火设施</w:t>
      </w:r>
      <w:r>
        <w:rPr>
          <w:rFonts w:hint="eastAsia"/>
          <w:color w:val="auto"/>
          <w:sz w:val="24"/>
        </w:rPr>
        <w:t>；</w:t>
      </w:r>
      <w:r>
        <w:rPr>
          <w:color w:val="auto"/>
          <w:sz w:val="24"/>
        </w:rPr>
        <w:t>对地面进行</w:t>
      </w:r>
      <w:r>
        <w:rPr>
          <w:rFonts w:hint="eastAsia"/>
          <w:color w:val="auto"/>
          <w:sz w:val="24"/>
        </w:rPr>
        <w:t>分区</w:t>
      </w:r>
      <w:r>
        <w:rPr>
          <w:color w:val="auto"/>
          <w:sz w:val="24"/>
        </w:rPr>
        <w:t>防渗处理，防止污染土壤</w:t>
      </w:r>
      <w:r>
        <w:rPr>
          <w:rFonts w:hint="eastAsia"/>
          <w:color w:val="auto"/>
          <w:sz w:val="24"/>
        </w:rPr>
        <w:t>；</w:t>
      </w:r>
      <w:r>
        <w:rPr>
          <w:color w:val="auto"/>
          <w:sz w:val="24"/>
        </w:rPr>
        <w:t>加强通风。</w:t>
      </w:r>
    </w:p>
    <w:p>
      <w:pPr>
        <w:pStyle w:val="46"/>
        <w:numPr>
          <w:ilvl w:val="0"/>
          <w:numId w:val="19"/>
        </w:numPr>
        <w:spacing w:line="520" w:lineRule="exact"/>
        <w:ind w:firstLine="480"/>
        <w:jc w:val="both"/>
        <w:rPr>
          <w:color w:val="auto"/>
          <w:sz w:val="24"/>
        </w:rPr>
      </w:pPr>
      <w:r>
        <w:rPr>
          <w:color w:val="auto"/>
          <w:sz w:val="24"/>
        </w:rPr>
        <w:t>危险品不得与禁忌物料混合存放，不可堆放木材及其他引火物。设置事故</w:t>
      </w:r>
      <w:r>
        <w:rPr>
          <w:rFonts w:hint="eastAsia"/>
          <w:color w:val="auto"/>
          <w:sz w:val="24"/>
        </w:rPr>
        <w:t>应急</w:t>
      </w:r>
      <w:r>
        <w:rPr>
          <w:color w:val="auto"/>
          <w:sz w:val="24"/>
        </w:rPr>
        <w:t>池用于爆炸事故发生及发生以后应急池。</w:t>
      </w:r>
    </w:p>
    <w:p>
      <w:pPr>
        <w:pStyle w:val="46"/>
        <w:spacing w:line="520" w:lineRule="exact"/>
        <w:ind w:firstLine="480"/>
        <w:jc w:val="both"/>
        <w:rPr>
          <w:color w:val="auto"/>
          <w:sz w:val="24"/>
        </w:rPr>
      </w:pPr>
      <w:r>
        <w:rPr>
          <w:rFonts w:hint="eastAsia"/>
          <w:color w:val="auto"/>
          <w:sz w:val="24"/>
        </w:rPr>
        <w:t>（3）</w:t>
      </w:r>
      <w:r>
        <w:rPr>
          <w:color w:val="auto"/>
          <w:sz w:val="24"/>
        </w:rPr>
        <w:t>储存区应设置严格的安全防火措施，严禁吸烟和使用明火。合理安排储存区危险物品贮存量，防止一旦发生风险事故时有更多危险品泄漏。</w:t>
      </w:r>
    </w:p>
    <w:p>
      <w:pPr>
        <w:pStyle w:val="46"/>
        <w:spacing w:line="520" w:lineRule="exact"/>
        <w:ind w:firstLine="480"/>
        <w:jc w:val="both"/>
        <w:rPr>
          <w:color w:val="auto"/>
          <w:sz w:val="24"/>
        </w:rPr>
      </w:pPr>
      <w:r>
        <w:rPr>
          <w:rFonts w:hint="eastAsia"/>
          <w:color w:val="auto"/>
          <w:sz w:val="24"/>
        </w:rPr>
        <w:t>（4）</w:t>
      </w:r>
      <w:r>
        <w:rPr>
          <w:color w:val="auto"/>
          <w:sz w:val="24"/>
        </w:rPr>
        <w:t>装卸、搬运危险品时应按照规定进行，做到轻装轻卸，严禁摔、碰、撞击、拖拉、倾斜和滚动</w:t>
      </w:r>
      <w:r>
        <w:rPr>
          <w:rFonts w:hint="eastAsia"/>
          <w:color w:val="auto"/>
          <w:sz w:val="24"/>
        </w:rPr>
        <w:t>；</w:t>
      </w:r>
      <w:r>
        <w:rPr>
          <w:color w:val="auto"/>
          <w:sz w:val="24"/>
        </w:rPr>
        <w:t>装卸易燃液体需穿防静电工作服，禁止穿带钉鞋，大桶不得在水泥地面滚动，不得使用产生火花的机具。</w:t>
      </w:r>
    </w:p>
    <w:p>
      <w:pPr>
        <w:pStyle w:val="46"/>
        <w:spacing w:line="520" w:lineRule="exact"/>
        <w:ind w:firstLine="480"/>
        <w:jc w:val="both"/>
        <w:rPr>
          <w:color w:val="auto"/>
          <w:sz w:val="24"/>
        </w:rPr>
      </w:pPr>
      <w:r>
        <w:rPr>
          <w:rFonts w:hint="eastAsia"/>
          <w:color w:val="auto"/>
          <w:sz w:val="24"/>
        </w:rPr>
        <w:t>5.4应急物资配制</w:t>
      </w:r>
    </w:p>
    <w:p>
      <w:pPr>
        <w:pStyle w:val="46"/>
        <w:spacing w:line="520" w:lineRule="exact"/>
        <w:ind w:firstLine="480"/>
        <w:jc w:val="both"/>
        <w:rPr>
          <w:color w:val="auto"/>
          <w:sz w:val="24"/>
        </w:rPr>
      </w:pPr>
      <w:r>
        <w:rPr>
          <w:rFonts w:hint="eastAsia"/>
          <w:color w:val="auto"/>
          <w:sz w:val="24"/>
        </w:rPr>
        <w:t>处置：雾状水、二氧化碳、干粉灭火器</w:t>
      </w:r>
    </w:p>
    <w:p>
      <w:pPr>
        <w:pStyle w:val="46"/>
        <w:spacing w:line="520" w:lineRule="exact"/>
        <w:ind w:firstLine="480"/>
        <w:jc w:val="both"/>
        <w:rPr>
          <w:color w:val="auto"/>
          <w:sz w:val="24"/>
        </w:rPr>
      </w:pPr>
      <w:r>
        <w:rPr>
          <w:rFonts w:hint="eastAsia"/>
          <w:color w:val="auto"/>
          <w:sz w:val="24"/>
        </w:rPr>
        <w:t>防护：自给正压式呼吸器，防静电服。</w:t>
      </w:r>
    </w:p>
    <w:p>
      <w:pPr>
        <w:pStyle w:val="46"/>
        <w:spacing w:line="520" w:lineRule="exact"/>
        <w:ind w:firstLine="480"/>
        <w:jc w:val="both"/>
        <w:rPr>
          <w:color w:val="auto"/>
          <w:sz w:val="24"/>
        </w:rPr>
      </w:pPr>
      <w:r>
        <w:rPr>
          <w:rFonts w:hint="eastAsia"/>
          <w:color w:val="auto"/>
          <w:sz w:val="24"/>
        </w:rPr>
        <w:t>5.5罐体泄漏风险防范措施</w:t>
      </w:r>
    </w:p>
    <w:p>
      <w:pPr>
        <w:pStyle w:val="46"/>
        <w:spacing w:line="520" w:lineRule="exact"/>
        <w:ind w:firstLine="480"/>
        <w:jc w:val="both"/>
        <w:rPr>
          <w:color w:val="auto"/>
          <w:sz w:val="24"/>
        </w:rPr>
      </w:pPr>
      <w:r>
        <w:rPr>
          <w:color w:val="auto"/>
          <w:sz w:val="24"/>
        </w:rPr>
        <w:t>切断</w:t>
      </w:r>
      <w:r>
        <w:rPr>
          <w:rFonts w:hint="eastAsia"/>
          <w:color w:val="auto"/>
          <w:sz w:val="24"/>
        </w:rPr>
        <w:t>柴油</w:t>
      </w:r>
      <w:r>
        <w:rPr>
          <w:color w:val="auto"/>
          <w:sz w:val="24"/>
        </w:rPr>
        <w:t>泄漏源。切断泄漏源应迅速撤离泄漏污染区人员至安全区域，切断电源，立即设置警戒线，严禁无关人员进入。尽可能关闭泄漏容器或管道的阀门</w:t>
      </w:r>
      <w:r>
        <w:rPr>
          <w:rFonts w:hint="eastAsia"/>
          <w:color w:val="auto"/>
          <w:sz w:val="24"/>
        </w:rPr>
        <w:t>，</w:t>
      </w:r>
      <w:r>
        <w:rPr>
          <w:color w:val="auto"/>
          <w:sz w:val="24"/>
        </w:rPr>
        <w:t>控制物料继续泄漏，防止泄漏物料进入下水道等限制性空间，在确保安全情况下修补堵漏。</w:t>
      </w:r>
    </w:p>
    <w:p>
      <w:pPr>
        <w:pStyle w:val="46"/>
        <w:spacing w:line="520" w:lineRule="exact"/>
        <w:ind w:firstLine="480"/>
        <w:jc w:val="both"/>
        <w:rPr>
          <w:color w:val="auto"/>
          <w:sz w:val="24"/>
        </w:rPr>
      </w:pPr>
      <w:r>
        <w:rPr>
          <w:rFonts w:hint="eastAsia"/>
          <w:color w:val="auto"/>
          <w:sz w:val="24"/>
        </w:rPr>
        <w:t>5.6柴油发生火灾风险防范措施</w:t>
      </w:r>
    </w:p>
    <w:p>
      <w:pPr>
        <w:pStyle w:val="46"/>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color w:val="auto"/>
          <w:sz w:val="24"/>
        </w:rPr>
      </w:pPr>
      <w:r>
        <w:rPr>
          <w:rFonts w:hint="eastAsia"/>
          <w:color w:val="auto"/>
          <w:sz w:val="24"/>
        </w:rPr>
        <w:t>柴油发生燃烧事故时立即切断电源，启动消防系统备用电源。应迅速撤离人员至厂区安全区域，设置警戒线，严禁无关人员进入。应急救援人员应佩戴自给式呼吸器，穿消防服，戴橡胶手套等安全防护设施。应急救援人员以2~3人为一个小组，以便互相照应，严禁单独行动，宜采用二氧化碳、干粉灭火器灭火。出现人员中毒时，使中毒人员迅速脱离现场至空气新鲜处，保持呼吸畅通，如呼吸困难或停止呼吸，及时就医。发生火灾爆炸时消防污水引入厂区已建事故应急池（400m</w:t>
      </w:r>
      <w:r>
        <w:rPr>
          <w:rFonts w:hint="eastAsia"/>
          <w:color w:val="auto"/>
          <w:sz w:val="24"/>
          <w:vertAlign w:val="superscript"/>
        </w:rPr>
        <w:t>3</w:t>
      </w:r>
      <w:r>
        <w:rPr>
          <w:rFonts w:hint="eastAsia"/>
          <w:color w:val="auto"/>
          <w:sz w:val="24"/>
        </w:rPr>
        <w:t>），视情况处置事故废水。</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Times New Roman" w:hAnsi="Times New Roman" w:eastAsia="宋体" w:cs="Times New Roman"/>
          <w:b/>
          <w:bCs/>
          <w:color w:val="auto"/>
          <w:kern w:val="0"/>
          <w:sz w:val="24"/>
          <w:szCs w:val="24"/>
          <w:lang w:val="en-US" w:eastAsia="zh-CN" w:bidi="ar-SA"/>
        </w:rPr>
      </w:pPr>
      <w:r>
        <w:rPr>
          <w:rFonts w:hint="eastAsia" w:ascii="Times New Roman" w:hAnsi="Times New Roman" w:eastAsia="宋体" w:cs="Times New Roman"/>
          <w:b/>
          <w:bCs/>
          <w:color w:val="auto"/>
          <w:kern w:val="0"/>
          <w:sz w:val="24"/>
          <w:szCs w:val="24"/>
          <w:lang w:val="en-US" w:eastAsia="zh-CN" w:bidi="ar-SA"/>
        </w:rPr>
        <w:t>事故应急池依托可行性分析</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kern w:val="0"/>
          <w:sz w:val="24"/>
          <w:szCs w:val="24"/>
          <w:lang w:val="zh-CN" w:eastAsia="zh-CN" w:bidi="ar-SA"/>
        </w:rPr>
      </w:pPr>
      <w:r>
        <w:rPr>
          <w:rFonts w:hint="default" w:ascii="Times New Roman" w:hAnsi="Times New Roman" w:eastAsia="宋体" w:cs="Times New Roman"/>
          <w:color w:val="auto"/>
          <w:kern w:val="0"/>
          <w:sz w:val="24"/>
          <w:szCs w:val="24"/>
          <w:lang w:val="zh-CN" w:eastAsia="zh-CN" w:bidi="ar-SA"/>
        </w:rPr>
        <w:t>根据中国石化《水体污染防控紧急措施设计导则》，应设置能够储存事故排水的储存设施，储存设施包括事故池、事故罐、防火堤内或围堰内区域等。</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kern w:val="0"/>
          <w:sz w:val="24"/>
          <w:szCs w:val="24"/>
          <w:lang w:val="zh-CN" w:eastAsia="zh-CN" w:bidi="ar-SA"/>
        </w:rPr>
      </w:pPr>
      <w:r>
        <w:rPr>
          <w:rFonts w:hint="default" w:ascii="Times New Roman" w:hAnsi="Times New Roman" w:eastAsia="宋体" w:cs="Times New Roman"/>
          <w:color w:val="auto"/>
          <w:kern w:val="0"/>
          <w:sz w:val="24"/>
          <w:szCs w:val="24"/>
          <w:lang w:val="zh-CN" w:eastAsia="zh-CN" w:bidi="ar-SA"/>
        </w:rPr>
        <w:t>事故储存设施总有效容积</w:t>
      </w:r>
      <w:r>
        <w:rPr>
          <w:rFonts w:hint="default" w:ascii="Times New Roman" w:hAnsi="Times New Roman" w:eastAsia="宋体" w:cs="Times New Roman"/>
          <w:color w:val="auto"/>
          <w:kern w:val="0"/>
          <w:sz w:val="24"/>
          <w:szCs w:val="24"/>
          <w:lang w:val="zh-CN" w:eastAsia="zh-CN" w:bidi="ar-SA"/>
        </w:rPr>
        <w:drawing>
          <wp:inline distT="0" distB="0" distL="114300" distR="114300">
            <wp:extent cx="1868170" cy="227965"/>
            <wp:effectExtent l="0" t="0" r="17780" b="635"/>
            <wp:docPr id="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pic:cNvPicPr>
                      <a:picLocks noChangeAspect="1"/>
                    </pic:cNvPicPr>
                  </pic:nvPicPr>
                  <pic:blipFill>
                    <a:blip r:embed="rId40"/>
                    <a:stretch>
                      <a:fillRect/>
                    </a:stretch>
                  </pic:blipFill>
                  <pic:spPr>
                    <a:xfrm>
                      <a:off x="0" y="0"/>
                      <a:ext cx="1868170" cy="2279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kern w:val="0"/>
          <w:sz w:val="24"/>
          <w:szCs w:val="24"/>
          <w:lang w:val="zh-CN" w:eastAsia="zh-CN" w:bidi="ar-SA"/>
        </w:rPr>
      </w:pPr>
      <w:r>
        <w:rPr>
          <w:rFonts w:hint="default" w:ascii="Times New Roman" w:hAnsi="Times New Roman" w:eastAsia="宋体" w:cs="Times New Roman"/>
          <w:color w:val="auto"/>
          <w:kern w:val="0"/>
          <w:sz w:val="24"/>
          <w:szCs w:val="24"/>
          <w:lang w:val="zh-CN" w:eastAsia="zh-CN" w:bidi="ar-SA"/>
        </w:rPr>
        <w:t>其中：</w:t>
      </w:r>
      <w:r>
        <w:rPr>
          <w:rFonts w:hint="default" w:ascii="Times New Roman" w:hAnsi="Times New Roman" w:eastAsia="宋体" w:cs="Times New Roman"/>
          <w:color w:val="auto"/>
          <w:kern w:val="0"/>
          <w:sz w:val="24"/>
          <w:szCs w:val="24"/>
          <w:lang w:val="zh-CN" w:eastAsia="zh-CN" w:bidi="ar-SA"/>
        </w:rPr>
        <w:drawing>
          <wp:inline distT="0" distB="0" distL="114300" distR="114300">
            <wp:extent cx="990600" cy="227965"/>
            <wp:effectExtent l="0" t="0" r="0" b="635"/>
            <wp:docPr id="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
                    <pic:cNvPicPr>
                      <a:picLocks noChangeAspect="1"/>
                    </pic:cNvPicPr>
                  </pic:nvPicPr>
                  <pic:blipFill>
                    <a:blip r:embed="rId41"/>
                    <a:stretch>
                      <a:fillRect/>
                    </a:stretch>
                  </pic:blipFill>
                  <pic:spPr>
                    <a:xfrm>
                      <a:off x="0" y="0"/>
                      <a:ext cx="990600" cy="227965"/>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4"/>
          <w:lang w:val="zh-CN" w:eastAsia="zh-CN" w:bidi="ar-SA"/>
        </w:rPr>
        <w:t>是指对收集系统范围内不同罐组或装置分别计算V1+V2-V3，取其中最大值。</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kern w:val="0"/>
          <w:sz w:val="24"/>
          <w:szCs w:val="24"/>
          <w:lang w:val="zh-CN" w:eastAsia="zh-CN" w:bidi="ar-SA"/>
        </w:rPr>
      </w:pPr>
      <w:r>
        <w:rPr>
          <w:rFonts w:hint="default" w:ascii="Times New Roman" w:hAnsi="Times New Roman" w:eastAsia="宋体" w:cs="Times New Roman"/>
          <w:color w:val="auto"/>
          <w:kern w:val="0"/>
          <w:sz w:val="24"/>
          <w:szCs w:val="24"/>
          <w:lang w:val="zh-CN" w:eastAsia="zh-CN" w:bidi="ar-SA"/>
        </w:rPr>
        <w:drawing>
          <wp:inline distT="0" distB="0" distL="114300" distR="114300">
            <wp:extent cx="153670" cy="227965"/>
            <wp:effectExtent l="0" t="0" r="17780" b="635"/>
            <wp:docPr id="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pic:cNvPicPr>
                      <a:picLocks noChangeAspect="1"/>
                    </pic:cNvPicPr>
                  </pic:nvPicPr>
                  <pic:blipFill>
                    <a:blip r:embed="rId42"/>
                    <a:stretch>
                      <a:fillRect/>
                    </a:stretch>
                  </pic:blipFill>
                  <pic:spPr>
                    <a:xfrm>
                      <a:off x="0" y="0"/>
                      <a:ext cx="153670" cy="227965"/>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4"/>
          <w:lang w:val="zh-CN" w:eastAsia="zh-CN" w:bidi="ar-SA"/>
        </w:rPr>
        <w:t>—收集系统范围内发生事故的一个罐组或一套装置的物料量（注：储存相同物料的罐组按一个最大储罐计，装置物料量按存留最大物料量的一台反应器或中间储罐计）；</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kern w:val="0"/>
          <w:sz w:val="24"/>
          <w:szCs w:val="24"/>
          <w:lang w:val="zh-CN" w:eastAsia="zh-CN" w:bidi="ar-SA"/>
        </w:rPr>
      </w:pPr>
      <w:r>
        <w:rPr>
          <w:rFonts w:hint="default" w:ascii="Times New Roman" w:hAnsi="Times New Roman" w:eastAsia="宋体" w:cs="Times New Roman"/>
          <w:color w:val="auto"/>
          <w:kern w:val="0"/>
          <w:sz w:val="24"/>
          <w:szCs w:val="24"/>
          <w:lang w:val="zh-CN" w:eastAsia="zh-CN" w:bidi="ar-SA"/>
        </w:rPr>
        <w:drawing>
          <wp:inline distT="0" distB="0" distL="114300" distR="114300">
            <wp:extent cx="161925" cy="227965"/>
            <wp:effectExtent l="0" t="0" r="9525" b="63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43"/>
                    <a:stretch>
                      <a:fillRect/>
                    </a:stretch>
                  </pic:blipFill>
                  <pic:spPr>
                    <a:xfrm>
                      <a:off x="0" y="0"/>
                      <a:ext cx="161925" cy="227965"/>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4"/>
          <w:lang w:val="zh-CN" w:eastAsia="zh-CN" w:bidi="ar-SA"/>
        </w:rPr>
        <w:t>—发生事故的储罐或装置的消防水量，m</w:t>
      </w:r>
      <w:r>
        <w:rPr>
          <w:rFonts w:hint="default" w:ascii="Times New Roman" w:hAnsi="Times New Roman" w:eastAsia="宋体" w:cs="Times New Roman"/>
          <w:color w:val="auto"/>
          <w:kern w:val="0"/>
          <w:sz w:val="24"/>
          <w:szCs w:val="24"/>
          <w:vertAlign w:val="superscript"/>
          <w:lang w:val="zh-CN" w:eastAsia="zh-CN" w:bidi="ar-SA"/>
        </w:rPr>
        <w:t>3</w:t>
      </w:r>
      <w:r>
        <w:rPr>
          <w:rFonts w:hint="default" w:ascii="Times New Roman" w:hAnsi="Times New Roman" w:eastAsia="宋体" w:cs="Times New Roman"/>
          <w:color w:val="auto"/>
          <w:kern w:val="0"/>
          <w:sz w:val="24"/>
          <w:szCs w:val="24"/>
          <w:lang w:val="zh-CN" w:eastAsia="zh-CN" w:bidi="ar-SA"/>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kern w:val="0"/>
          <w:sz w:val="24"/>
          <w:szCs w:val="24"/>
          <w:lang w:val="zh-CN" w:eastAsia="zh-CN" w:bidi="ar-SA"/>
        </w:rPr>
      </w:pPr>
      <w:r>
        <w:rPr>
          <w:rFonts w:hint="default" w:ascii="Times New Roman" w:hAnsi="Times New Roman" w:eastAsia="宋体" w:cs="Times New Roman"/>
          <w:color w:val="auto"/>
          <w:kern w:val="0"/>
          <w:sz w:val="24"/>
          <w:szCs w:val="24"/>
          <w:lang w:val="zh-CN" w:eastAsia="zh-CN" w:bidi="ar-SA"/>
        </w:rPr>
        <w:drawing>
          <wp:inline distT="0" distB="0" distL="114300" distR="114300">
            <wp:extent cx="161925" cy="227965"/>
            <wp:effectExtent l="0" t="0" r="9525" b="635"/>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a:picLocks noChangeAspect="1"/>
                    </pic:cNvPicPr>
                  </pic:nvPicPr>
                  <pic:blipFill>
                    <a:blip r:embed="rId44"/>
                    <a:stretch>
                      <a:fillRect/>
                    </a:stretch>
                  </pic:blipFill>
                  <pic:spPr>
                    <a:xfrm>
                      <a:off x="0" y="0"/>
                      <a:ext cx="161925" cy="227965"/>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4"/>
          <w:lang w:val="zh-CN" w:eastAsia="zh-CN" w:bidi="ar-SA"/>
        </w:rPr>
        <w:t>—发生事故时可以转输到其他储存或处理设施的物料量，m</w:t>
      </w:r>
      <w:r>
        <w:rPr>
          <w:rFonts w:hint="default" w:ascii="Times New Roman" w:hAnsi="Times New Roman" w:eastAsia="宋体" w:cs="Times New Roman"/>
          <w:color w:val="auto"/>
          <w:kern w:val="0"/>
          <w:sz w:val="24"/>
          <w:szCs w:val="24"/>
          <w:vertAlign w:val="superscript"/>
          <w:lang w:val="zh-CN" w:eastAsia="zh-CN" w:bidi="ar-SA"/>
        </w:rPr>
        <w:t>3</w:t>
      </w:r>
      <w:r>
        <w:rPr>
          <w:rFonts w:hint="eastAsia" w:ascii="Times New Roman" w:hAnsi="Times New Roman" w:eastAsia="宋体" w:cs="Times New Roman"/>
          <w:color w:val="auto"/>
          <w:kern w:val="0"/>
          <w:sz w:val="24"/>
          <w:szCs w:val="24"/>
          <w:vertAlign w:val="baseline"/>
          <w:lang w:val="zh-CN" w:eastAsia="zh-CN" w:bidi="ar-SA"/>
        </w:rPr>
        <w:t>（</w:t>
      </w:r>
      <w:r>
        <w:rPr>
          <w:rFonts w:hint="eastAsia" w:ascii="Times New Roman" w:hAnsi="Times New Roman" w:eastAsia="宋体" w:cs="Times New Roman"/>
          <w:color w:val="auto"/>
          <w:kern w:val="0"/>
          <w:sz w:val="24"/>
          <w:szCs w:val="24"/>
          <w:vertAlign w:val="baseline"/>
          <w:lang w:val="en-US" w:eastAsia="zh-CN" w:bidi="ar-SA"/>
        </w:rPr>
        <w:t>依据项目特点，无该项</w:t>
      </w:r>
      <w:r>
        <w:rPr>
          <w:rFonts w:hint="eastAsia" w:ascii="Times New Roman" w:hAnsi="Times New Roman" w:eastAsia="宋体" w:cs="Times New Roman"/>
          <w:color w:val="auto"/>
          <w:kern w:val="0"/>
          <w:sz w:val="24"/>
          <w:szCs w:val="24"/>
          <w:vertAlign w:val="baseline"/>
          <w:lang w:val="zh-CN" w:eastAsia="zh-CN" w:bidi="ar-SA"/>
        </w:rPr>
        <w:t>）</w:t>
      </w:r>
      <w:r>
        <w:rPr>
          <w:rFonts w:hint="default" w:ascii="Times New Roman" w:hAnsi="Times New Roman" w:eastAsia="宋体" w:cs="Times New Roman"/>
          <w:color w:val="auto"/>
          <w:kern w:val="0"/>
          <w:sz w:val="24"/>
          <w:szCs w:val="24"/>
          <w:lang w:val="zh-CN" w:eastAsia="zh-CN" w:bidi="ar-SA"/>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kern w:val="0"/>
          <w:sz w:val="24"/>
          <w:szCs w:val="24"/>
          <w:lang w:val="zh-CN" w:eastAsia="zh-CN" w:bidi="ar-SA"/>
        </w:rPr>
      </w:pPr>
      <w:r>
        <w:rPr>
          <w:rFonts w:hint="default" w:ascii="Times New Roman" w:hAnsi="Times New Roman" w:eastAsia="宋体" w:cs="Times New Roman"/>
          <w:color w:val="auto"/>
          <w:kern w:val="0"/>
          <w:sz w:val="24"/>
          <w:szCs w:val="24"/>
          <w:lang w:val="zh-CN" w:eastAsia="zh-CN" w:bidi="ar-SA"/>
        </w:rPr>
        <w:drawing>
          <wp:inline distT="0" distB="0" distL="114300" distR="114300">
            <wp:extent cx="161925" cy="227965"/>
            <wp:effectExtent l="0" t="0" r="9525" b="635"/>
            <wp:docPr id="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pic:cNvPicPr>
                      <a:picLocks noChangeAspect="1"/>
                    </pic:cNvPicPr>
                  </pic:nvPicPr>
                  <pic:blipFill>
                    <a:blip r:embed="rId45"/>
                    <a:stretch>
                      <a:fillRect/>
                    </a:stretch>
                  </pic:blipFill>
                  <pic:spPr>
                    <a:xfrm>
                      <a:off x="0" y="0"/>
                      <a:ext cx="161925" cy="227965"/>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4"/>
          <w:lang w:val="zh-CN" w:eastAsia="zh-CN" w:bidi="ar-SA"/>
        </w:rPr>
        <w:t>—发生事故时仍必须进入该收集系统的废水量，m</w:t>
      </w:r>
      <w:r>
        <w:rPr>
          <w:rFonts w:hint="default" w:ascii="Times New Roman" w:hAnsi="Times New Roman" w:eastAsia="宋体" w:cs="Times New Roman"/>
          <w:color w:val="auto"/>
          <w:kern w:val="0"/>
          <w:sz w:val="24"/>
          <w:szCs w:val="24"/>
          <w:vertAlign w:val="superscript"/>
          <w:lang w:val="zh-CN" w:eastAsia="zh-CN" w:bidi="ar-SA"/>
        </w:rPr>
        <w:t>3</w:t>
      </w:r>
      <w:r>
        <w:rPr>
          <w:rFonts w:hint="default" w:ascii="Times New Roman" w:hAnsi="Times New Roman" w:eastAsia="宋体" w:cs="Times New Roman"/>
          <w:color w:val="auto"/>
          <w:kern w:val="0"/>
          <w:sz w:val="24"/>
          <w:szCs w:val="24"/>
          <w:lang w:val="zh-CN" w:eastAsia="zh-CN" w:bidi="ar-SA"/>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kern w:val="0"/>
          <w:sz w:val="24"/>
          <w:szCs w:val="24"/>
          <w:lang w:val="zh-CN" w:eastAsia="zh-CN" w:bidi="ar-SA"/>
        </w:rPr>
      </w:pPr>
      <w:r>
        <w:rPr>
          <w:rFonts w:hint="default" w:ascii="Times New Roman" w:hAnsi="Times New Roman" w:eastAsia="宋体" w:cs="Times New Roman"/>
          <w:color w:val="auto"/>
          <w:kern w:val="0"/>
          <w:sz w:val="24"/>
          <w:szCs w:val="24"/>
          <w:lang w:val="zh-CN" w:eastAsia="zh-CN" w:bidi="ar-SA"/>
        </w:rPr>
        <w:drawing>
          <wp:inline distT="0" distB="0" distL="114300" distR="114300">
            <wp:extent cx="161925" cy="227965"/>
            <wp:effectExtent l="0" t="0" r="9525" b="635"/>
            <wp:docPr id="6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1"/>
                    <pic:cNvPicPr>
                      <a:picLocks noChangeAspect="1"/>
                    </pic:cNvPicPr>
                  </pic:nvPicPr>
                  <pic:blipFill>
                    <a:blip r:embed="rId46"/>
                    <a:stretch>
                      <a:fillRect/>
                    </a:stretch>
                  </pic:blipFill>
                  <pic:spPr>
                    <a:xfrm>
                      <a:off x="0" y="0"/>
                      <a:ext cx="161925" cy="227965"/>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4"/>
          <w:lang w:val="zh-CN" w:eastAsia="zh-CN" w:bidi="ar-SA"/>
        </w:rPr>
        <w:t>—发生事故时可能进入该收集系统的降雨量，m</w:t>
      </w:r>
      <w:r>
        <w:rPr>
          <w:rFonts w:hint="default" w:ascii="Times New Roman" w:hAnsi="Times New Roman" w:eastAsia="宋体" w:cs="Times New Roman"/>
          <w:color w:val="auto"/>
          <w:kern w:val="0"/>
          <w:sz w:val="24"/>
          <w:szCs w:val="24"/>
          <w:vertAlign w:val="superscript"/>
          <w:lang w:val="zh-CN" w:eastAsia="zh-CN" w:bidi="ar-SA"/>
        </w:rPr>
        <w:t>3</w:t>
      </w:r>
      <w:r>
        <w:rPr>
          <w:rFonts w:hint="eastAsia" w:ascii="Times New Roman" w:hAnsi="Times New Roman" w:eastAsia="宋体" w:cs="Times New Roman"/>
          <w:color w:val="auto"/>
          <w:kern w:val="0"/>
          <w:sz w:val="24"/>
          <w:szCs w:val="24"/>
          <w:vertAlign w:val="superscript"/>
          <w:lang w:val="zh-CN" w:eastAsia="zh-CN" w:bidi="ar-SA"/>
        </w:rPr>
        <w:t>（</w:t>
      </w:r>
      <w:r>
        <w:rPr>
          <w:rFonts w:hint="eastAsia" w:ascii="Times New Roman" w:hAnsi="Times New Roman" w:eastAsia="宋体" w:cs="Times New Roman"/>
          <w:color w:val="auto"/>
          <w:kern w:val="0"/>
          <w:sz w:val="24"/>
          <w:szCs w:val="24"/>
          <w:vertAlign w:val="baseline"/>
          <w:lang w:val="en-US" w:eastAsia="zh-CN" w:bidi="ar-SA"/>
        </w:rPr>
        <w:t>不考虑）</w:t>
      </w:r>
      <w:r>
        <w:rPr>
          <w:rFonts w:hint="default" w:ascii="Times New Roman" w:hAnsi="Times New Roman" w:eastAsia="宋体" w:cs="Times New Roman"/>
          <w:color w:val="auto"/>
          <w:kern w:val="0"/>
          <w:sz w:val="24"/>
          <w:szCs w:val="24"/>
          <w:lang w:val="zh-CN" w:eastAsia="zh-CN" w:bidi="ar-SA"/>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kern w:val="0"/>
          <w:sz w:val="24"/>
          <w:szCs w:val="24"/>
          <w:lang w:val="zh-CN" w:eastAsia="zh-CN" w:bidi="ar-SA"/>
        </w:rPr>
      </w:pPr>
      <w:r>
        <w:rPr>
          <w:rFonts w:hint="default" w:ascii="Times New Roman" w:hAnsi="Times New Roman" w:eastAsia="宋体" w:cs="Times New Roman"/>
          <w:color w:val="auto"/>
          <w:kern w:val="0"/>
          <w:sz w:val="24"/>
          <w:szCs w:val="24"/>
          <w:lang w:val="zh-CN" w:eastAsia="zh-CN" w:bidi="ar-SA"/>
        </w:rPr>
        <w:t>（1）泄漏物料（</w:t>
      </w:r>
      <w:r>
        <w:rPr>
          <w:rFonts w:hint="default" w:ascii="Times New Roman" w:hAnsi="Times New Roman" w:eastAsia="宋体" w:cs="Times New Roman"/>
          <w:color w:val="auto"/>
          <w:kern w:val="0"/>
          <w:sz w:val="24"/>
          <w:szCs w:val="24"/>
          <w:lang w:val="zh-CN" w:eastAsia="zh-CN" w:bidi="ar-SA"/>
        </w:rPr>
        <w:drawing>
          <wp:inline distT="0" distB="0" distL="114300" distR="114300">
            <wp:extent cx="153670" cy="227965"/>
            <wp:effectExtent l="0" t="0" r="17780" b="635"/>
            <wp:docPr id="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pic:cNvPicPr>
                      <a:picLocks noChangeAspect="1"/>
                    </pic:cNvPicPr>
                  </pic:nvPicPr>
                  <pic:blipFill>
                    <a:blip r:embed="rId42"/>
                    <a:stretch>
                      <a:fillRect/>
                    </a:stretch>
                  </pic:blipFill>
                  <pic:spPr>
                    <a:xfrm>
                      <a:off x="0" y="0"/>
                      <a:ext cx="153670" cy="227965"/>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4"/>
          <w:lang w:val="zh-CN" w:eastAsia="zh-CN" w:bidi="ar-SA"/>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kern w:val="0"/>
          <w:sz w:val="24"/>
          <w:szCs w:val="24"/>
          <w:lang w:val="zh-CN" w:eastAsia="zh-CN" w:bidi="ar-SA"/>
        </w:rPr>
      </w:pPr>
      <w:r>
        <w:rPr>
          <w:rFonts w:hint="default" w:ascii="Times New Roman" w:hAnsi="Times New Roman" w:eastAsia="宋体" w:cs="Times New Roman"/>
          <w:color w:val="auto"/>
          <w:kern w:val="0"/>
          <w:sz w:val="24"/>
          <w:szCs w:val="24"/>
          <w:lang w:val="zh-CN" w:eastAsia="zh-CN" w:bidi="ar-SA"/>
        </w:rPr>
        <w:t>本次风险分析按照</w:t>
      </w:r>
      <w:r>
        <w:rPr>
          <w:rFonts w:hint="eastAsia" w:ascii="Times New Roman" w:hAnsi="Times New Roman" w:eastAsia="宋体" w:cs="Times New Roman"/>
          <w:color w:val="auto"/>
          <w:kern w:val="0"/>
          <w:sz w:val="24"/>
          <w:szCs w:val="24"/>
          <w:lang w:val="en-US" w:eastAsia="zh-CN" w:bidi="ar-SA"/>
        </w:rPr>
        <w:t>一个柴油储罐及撬装加油装置</w:t>
      </w:r>
      <w:r>
        <w:rPr>
          <w:rFonts w:hint="default" w:ascii="Times New Roman" w:hAnsi="Times New Roman" w:eastAsia="宋体" w:cs="Times New Roman"/>
          <w:color w:val="auto"/>
          <w:kern w:val="0"/>
          <w:sz w:val="24"/>
          <w:szCs w:val="24"/>
          <w:lang w:val="zh-CN" w:eastAsia="zh-CN" w:bidi="ar-SA"/>
        </w:rPr>
        <w:t>发生泄露进行计算，确定V1=</w:t>
      </w:r>
      <w:r>
        <w:rPr>
          <w:rFonts w:hint="eastAsia" w:ascii="Times New Roman" w:hAnsi="Times New Roman" w:eastAsia="宋体" w:cs="Times New Roman"/>
          <w:color w:val="auto"/>
          <w:kern w:val="0"/>
          <w:sz w:val="24"/>
          <w:szCs w:val="24"/>
          <w:lang w:val="en-US" w:eastAsia="zh-CN" w:bidi="ar-SA"/>
        </w:rPr>
        <w:t>50*2</w:t>
      </w:r>
      <w:r>
        <w:rPr>
          <w:rFonts w:hint="default" w:ascii="Times New Roman" w:hAnsi="Times New Roman" w:eastAsia="宋体" w:cs="Times New Roman"/>
          <w:color w:val="auto"/>
          <w:kern w:val="0"/>
          <w:sz w:val="24"/>
          <w:szCs w:val="24"/>
          <w:lang w:val="zh-CN" w:eastAsia="zh-CN" w:bidi="ar-SA"/>
        </w:rPr>
        <w:t>m</w:t>
      </w:r>
      <w:r>
        <w:rPr>
          <w:rFonts w:hint="default" w:ascii="Times New Roman" w:hAnsi="Times New Roman" w:eastAsia="宋体" w:cs="Times New Roman"/>
          <w:color w:val="auto"/>
          <w:kern w:val="0"/>
          <w:sz w:val="24"/>
          <w:szCs w:val="24"/>
          <w:vertAlign w:val="superscript"/>
          <w:lang w:val="zh-CN" w:eastAsia="zh-CN" w:bidi="ar-SA"/>
        </w:rPr>
        <w:t>3</w:t>
      </w:r>
      <w:r>
        <w:rPr>
          <w:rFonts w:hint="default" w:ascii="Times New Roman" w:hAnsi="Times New Roman" w:eastAsia="宋体" w:cs="Times New Roman"/>
          <w:color w:val="auto"/>
          <w:kern w:val="0"/>
          <w:sz w:val="24"/>
          <w:szCs w:val="24"/>
          <w:lang w:val="zh-CN" w:eastAsia="zh-CN" w:bidi="ar-SA"/>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kern w:val="0"/>
          <w:sz w:val="24"/>
          <w:szCs w:val="24"/>
          <w:lang w:val="zh-CN" w:eastAsia="zh-CN" w:bidi="ar-SA"/>
        </w:rPr>
      </w:pPr>
      <w:r>
        <w:rPr>
          <w:rFonts w:hint="default" w:ascii="Times New Roman" w:hAnsi="Times New Roman" w:eastAsia="宋体" w:cs="Times New Roman"/>
          <w:color w:val="auto"/>
          <w:kern w:val="0"/>
          <w:sz w:val="24"/>
          <w:szCs w:val="24"/>
          <w:lang w:val="zh-CN" w:eastAsia="zh-CN" w:bidi="ar-SA"/>
        </w:rPr>
        <w:t>（2）消防废水（</w:t>
      </w:r>
      <w:r>
        <w:rPr>
          <w:rFonts w:hint="default" w:ascii="Times New Roman" w:hAnsi="Times New Roman" w:eastAsia="宋体" w:cs="Times New Roman"/>
          <w:color w:val="auto"/>
          <w:kern w:val="0"/>
          <w:sz w:val="24"/>
          <w:szCs w:val="24"/>
          <w:lang w:val="zh-CN" w:eastAsia="zh-CN" w:bidi="ar-SA"/>
        </w:rPr>
        <w:drawing>
          <wp:inline distT="0" distB="0" distL="114300" distR="114300">
            <wp:extent cx="161925" cy="227965"/>
            <wp:effectExtent l="0" t="0" r="9525" b="635"/>
            <wp:docPr id="7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pic:cNvPicPr>
                      <a:picLocks noChangeAspect="1"/>
                    </pic:cNvPicPr>
                  </pic:nvPicPr>
                  <pic:blipFill>
                    <a:blip r:embed="rId43"/>
                    <a:stretch>
                      <a:fillRect/>
                    </a:stretch>
                  </pic:blipFill>
                  <pic:spPr>
                    <a:xfrm>
                      <a:off x="0" y="0"/>
                      <a:ext cx="161925" cy="227965"/>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4"/>
          <w:lang w:val="zh-CN" w:eastAsia="zh-CN" w:bidi="ar-SA"/>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kern w:val="0"/>
          <w:sz w:val="24"/>
          <w:szCs w:val="24"/>
          <w:lang w:val="zh-CN" w:eastAsia="zh-CN" w:bidi="ar-SA"/>
        </w:rPr>
      </w:pPr>
      <w:r>
        <w:rPr>
          <w:rFonts w:hint="default" w:ascii="Times New Roman" w:hAnsi="Times New Roman" w:eastAsia="宋体" w:cs="Times New Roman"/>
          <w:color w:val="auto"/>
          <w:kern w:val="0"/>
          <w:sz w:val="24"/>
          <w:szCs w:val="24"/>
          <w:lang w:val="zh-CN" w:eastAsia="zh-CN" w:bidi="ar-SA"/>
        </w:rPr>
        <w:t>根据《石油化工企业设计防火规范》（GB50160-20</w:t>
      </w:r>
      <w:r>
        <w:rPr>
          <w:rFonts w:hint="default" w:ascii="Times New Roman" w:hAnsi="Times New Roman" w:eastAsia="宋体" w:cs="Times New Roman"/>
          <w:color w:val="auto"/>
          <w:kern w:val="0"/>
          <w:sz w:val="24"/>
          <w:szCs w:val="24"/>
          <w:lang w:val="en-US" w:eastAsia="zh-CN" w:bidi="ar-SA"/>
        </w:rPr>
        <w:t>1</w:t>
      </w:r>
      <w:r>
        <w:rPr>
          <w:rFonts w:hint="default" w:ascii="Times New Roman" w:hAnsi="Times New Roman" w:eastAsia="宋体" w:cs="Times New Roman"/>
          <w:color w:val="auto"/>
          <w:kern w:val="0"/>
          <w:sz w:val="24"/>
          <w:szCs w:val="24"/>
          <w:lang w:val="zh-CN" w:eastAsia="zh-CN" w:bidi="ar-SA"/>
        </w:rPr>
        <w:t>8）中的相关要求，本厂区消防废水产生量估算原则如下：</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kern w:val="0"/>
          <w:sz w:val="24"/>
          <w:szCs w:val="24"/>
          <w:lang w:val="zh-CN" w:eastAsia="zh-CN" w:bidi="ar-SA"/>
        </w:rPr>
      </w:pPr>
      <w:r>
        <w:rPr>
          <w:rFonts w:hint="default" w:ascii="Times New Roman" w:hAnsi="Times New Roman" w:eastAsia="宋体" w:cs="Times New Roman"/>
          <w:color w:val="auto"/>
          <w:kern w:val="0"/>
          <w:sz w:val="24"/>
          <w:szCs w:val="24"/>
          <w:lang w:val="zh-CN" w:eastAsia="zh-CN" w:bidi="ar-SA"/>
        </w:rPr>
        <w:t>①厂内同一时间内的火灾次数按1次考虑，考虑厂区消防用水量最大处。</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kern w:val="0"/>
          <w:sz w:val="24"/>
          <w:szCs w:val="24"/>
          <w:lang w:val="zh-CN" w:eastAsia="zh-CN" w:bidi="ar-SA"/>
        </w:rPr>
      </w:pPr>
      <w:r>
        <w:rPr>
          <w:rFonts w:hint="default" w:ascii="Times New Roman" w:hAnsi="Times New Roman" w:eastAsia="宋体" w:cs="Times New Roman"/>
          <w:color w:val="auto"/>
          <w:kern w:val="0"/>
          <w:sz w:val="24"/>
          <w:szCs w:val="24"/>
          <w:lang w:val="zh-CN" w:eastAsia="zh-CN" w:bidi="ar-SA"/>
        </w:rPr>
        <w:t>②可燃液体罐区的消防用水量应按火灾时消防用水量最大的罐组进行计算，其水量应为配置泡沫混合液用水及着火罐和临近罐的冷却用水量之和。但是，当着火罐为浮顶、内浮顶罐时，其临近罐可不考虑冷却。</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kern w:val="0"/>
          <w:sz w:val="24"/>
          <w:szCs w:val="24"/>
          <w:lang w:val="zh-CN" w:eastAsia="zh-CN" w:bidi="ar-SA"/>
        </w:rPr>
      </w:pPr>
      <w:r>
        <w:rPr>
          <w:rFonts w:hint="default" w:ascii="Times New Roman" w:hAnsi="Times New Roman" w:eastAsia="宋体" w:cs="Times New Roman"/>
          <w:color w:val="auto"/>
          <w:kern w:val="0"/>
          <w:sz w:val="24"/>
          <w:szCs w:val="24"/>
          <w:lang w:val="zh-CN" w:eastAsia="zh-CN" w:bidi="ar-SA"/>
        </w:rPr>
        <w:t>消防措施以水消防为主，化学消防为辅。设计消防用水量约为</w:t>
      </w:r>
      <w:r>
        <w:rPr>
          <w:rFonts w:hint="eastAsia" w:ascii="Times New Roman" w:hAnsi="Times New Roman" w:eastAsia="宋体" w:cs="Times New Roman"/>
          <w:color w:val="auto"/>
          <w:kern w:val="0"/>
          <w:sz w:val="24"/>
          <w:szCs w:val="24"/>
          <w:lang w:val="en-US" w:eastAsia="zh-CN" w:bidi="ar-SA"/>
        </w:rPr>
        <w:t>80</w:t>
      </w:r>
      <w:r>
        <w:rPr>
          <w:rFonts w:hint="default" w:ascii="Times New Roman" w:hAnsi="Times New Roman" w:eastAsia="宋体" w:cs="Times New Roman"/>
          <w:color w:val="auto"/>
          <w:kern w:val="0"/>
          <w:sz w:val="24"/>
          <w:szCs w:val="24"/>
          <w:lang w:val="zh-CN" w:eastAsia="zh-CN" w:bidi="ar-SA"/>
        </w:rPr>
        <w:t xml:space="preserve"> L/s，用水延续时间按</w:t>
      </w:r>
      <w:r>
        <w:rPr>
          <w:rFonts w:hint="eastAsia" w:ascii="Times New Roman" w:hAnsi="Times New Roman" w:eastAsia="宋体" w:cs="Times New Roman"/>
          <w:color w:val="auto"/>
          <w:kern w:val="0"/>
          <w:sz w:val="24"/>
          <w:szCs w:val="24"/>
          <w:lang w:val="en-US" w:eastAsia="zh-CN" w:bidi="ar-SA"/>
        </w:rPr>
        <w:t>半</w:t>
      </w:r>
      <w:r>
        <w:rPr>
          <w:rFonts w:hint="default" w:ascii="Times New Roman" w:hAnsi="Times New Roman" w:eastAsia="宋体" w:cs="Times New Roman"/>
          <w:color w:val="auto"/>
          <w:kern w:val="0"/>
          <w:sz w:val="24"/>
          <w:szCs w:val="24"/>
          <w:lang w:val="zh-CN" w:eastAsia="zh-CN" w:bidi="ar-SA"/>
        </w:rPr>
        <w:t>小时计，则消防水用量</w:t>
      </w:r>
      <w:r>
        <w:rPr>
          <w:rFonts w:hint="eastAsia" w:ascii="Times New Roman" w:hAnsi="Times New Roman" w:eastAsia="宋体" w:cs="Times New Roman"/>
          <w:color w:val="auto"/>
          <w:kern w:val="0"/>
          <w:sz w:val="24"/>
          <w:szCs w:val="24"/>
          <w:lang w:val="en-US" w:eastAsia="zh-CN" w:bidi="ar-SA"/>
        </w:rPr>
        <w:t>144</w:t>
      </w:r>
      <w:r>
        <w:rPr>
          <w:rFonts w:hint="default" w:ascii="Times New Roman" w:hAnsi="Times New Roman" w:eastAsia="宋体" w:cs="Times New Roman"/>
          <w:color w:val="auto"/>
          <w:kern w:val="0"/>
          <w:sz w:val="24"/>
          <w:szCs w:val="24"/>
          <w:lang w:val="zh-CN" w:eastAsia="zh-CN" w:bidi="ar-SA"/>
        </w:rPr>
        <w:t>m</w:t>
      </w:r>
      <w:r>
        <w:rPr>
          <w:rFonts w:hint="default" w:ascii="Times New Roman" w:hAnsi="Times New Roman" w:eastAsia="宋体" w:cs="Times New Roman"/>
          <w:color w:val="auto"/>
          <w:kern w:val="0"/>
          <w:sz w:val="24"/>
          <w:szCs w:val="24"/>
          <w:vertAlign w:val="superscript"/>
          <w:lang w:val="zh-CN" w:eastAsia="zh-CN" w:bidi="ar-SA"/>
        </w:rPr>
        <w:t>3</w:t>
      </w:r>
      <w:r>
        <w:rPr>
          <w:rFonts w:hint="default" w:ascii="Times New Roman" w:hAnsi="Times New Roman" w:eastAsia="宋体" w:cs="Times New Roman"/>
          <w:color w:val="auto"/>
          <w:kern w:val="0"/>
          <w:sz w:val="24"/>
          <w:szCs w:val="24"/>
          <w:lang w:val="zh-CN" w:eastAsia="zh-CN" w:bidi="ar-SA"/>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kern w:val="0"/>
          <w:sz w:val="24"/>
          <w:szCs w:val="24"/>
          <w:lang w:val="zh-CN" w:eastAsia="zh-CN" w:bidi="ar-SA"/>
        </w:rPr>
      </w:pPr>
      <w:r>
        <w:rPr>
          <w:rFonts w:hint="default" w:ascii="Times New Roman" w:hAnsi="Times New Roman" w:eastAsia="宋体" w:cs="Times New Roman"/>
          <w:color w:val="auto"/>
          <w:kern w:val="0"/>
          <w:sz w:val="24"/>
          <w:szCs w:val="24"/>
          <w:lang w:val="zh-CN" w:eastAsia="zh-CN" w:bidi="ar-SA"/>
        </w:rPr>
        <w:t>（3）废水（</w:t>
      </w:r>
      <w:r>
        <w:rPr>
          <w:rFonts w:hint="default" w:ascii="Times New Roman" w:hAnsi="Times New Roman" w:eastAsia="宋体" w:cs="Times New Roman"/>
          <w:color w:val="auto"/>
          <w:kern w:val="0"/>
          <w:sz w:val="24"/>
          <w:szCs w:val="24"/>
          <w:lang w:val="zh-CN" w:eastAsia="zh-CN" w:bidi="ar-SA"/>
        </w:rPr>
        <w:drawing>
          <wp:inline distT="0" distB="0" distL="114300" distR="114300">
            <wp:extent cx="161925" cy="227965"/>
            <wp:effectExtent l="0" t="0" r="9525" b="635"/>
            <wp:docPr id="7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4"/>
                    <pic:cNvPicPr>
                      <a:picLocks noChangeAspect="1"/>
                    </pic:cNvPicPr>
                  </pic:nvPicPr>
                  <pic:blipFill>
                    <a:blip r:embed="rId45"/>
                    <a:stretch>
                      <a:fillRect/>
                    </a:stretch>
                  </pic:blipFill>
                  <pic:spPr>
                    <a:xfrm>
                      <a:off x="0" y="0"/>
                      <a:ext cx="161925" cy="227965"/>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4"/>
          <w:lang w:val="zh-CN" w:eastAsia="zh-CN" w:bidi="ar-SA"/>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kern w:val="0"/>
          <w:sz w:val="24"/>
          <w:szCs w:val="24"/>
          <w:lang w:val="zh-CN" w:eastAsia="zh-CN" w:bidi="ar-SA"/>
        </w:rPr>
      </w:pPr>
      <w:r>
        <w:rPr>
          <w:rFonts w:hint="default" w:ascii="Times New Roman" w:hAnsi="Times New Roman" w:eastAsia="宋体" w:cs="Times New Roman"/>
          <w:color w:val="auto"/>
          <w:kern w:val="0"/>
          <w:sz w:val="24"/>
          <w:szCs w:val="24"/>
          <w:lang w:val="zh-CN" w:eastAsia="zh-CN" w:bidi="ar-SA"/>
        </w:rPr>
        <w:t>事故状况下的</w:t>
      </w:r>
      <w:r>
        <w:rPr>
          <w:rFonts w:hint="eastAsia" w:ascii="Times New Roman" w:hAnsi="Times New Roman" w:eastAsia="宋体" w:cs="Times New Roman"/>
          <w:color w:val="auto"/>
          <w:kern w:val="0"/>
          <w:sz w:val="24"/>
          <w:szCs w:val="24"/>
          <w:lang w:val="en-US" w:eastAsia="zh-CN" w:bidi="ar-SA"/>
        </w:rPr>
        <w:t>全厂</w:t>
      </w:r>
      <w:r>
        <w:rPr>
          <w:rFonts w:hint="default" w:ascii="Times New Roman" w:hAnsi="Times New Roman" w:eastAsia="宋体" w:cs="Times New Roman"/>
          <w:color w:val="auto"/>
          <w:kern w:val="0"/>
          <w:sz w:val="24"/>
          <w:szCs w:val="24"/>
          <w:lang w:val="zh-CN" w:eastAsia="zh-CN" w:bidi="ar-SA"/>
        </w:rPr>
        <w:t>废水产生量为</w:t>
      </w:r>
      <w:r>
        <w:rPr>
          <w:rFonts w:hint="eastAsia" w:ascii="Times New Roman" w:hAnsi="Times New Roman" w:eastAsia="宋体" w:cs="Times New Roman"/>
          <w:color w:val="auto"/>
          <w:kern w:val="0"/>
          <w:sz w:val="24"/>
          <w:szCs w:val="24"/>
          <w:lang w:val="en-US" w:eastAsia="zh-CN" w:bidi="ar-SA"/>
        </w:rPr>
        <w:t>4.6</w:t>
      </w:r>
      <w:r>
        <w:rPr>
          <w:rFonts w:hint="default" w:ascii="Times New Roman" w:hAnsi="Times New Roman" w:eastAsia="宋体" w:cs="Times New Roman"/>
          <w:color w:val="auto"/>
          <w:kern w:val="0"/>
          <w:sz w:val="24"/>
          <w:szCs w:val="24"/>
          <w:lang w:val="zh-CN" w:eastAsia="zh-CN" w:bidi="ar-SA"/>
        </w:rPr>
        <w:t xml:space="preserve"> m</w:t>
      </w:r>
      <w:r>
        <w:rPr>
          <w:rFonts w:hint="default" w:ascii="Times New Roman" w:hAnsi="Times New Roman" w:eastAsia="宋体" w:cs="Times New Roman"/>
          <w:color w:val="auto"/>
          <w:kern w:val="0"/>
          <w:sz w:val="24"/>
          <w:szCs w:val="24"/>
          <w:vertAlign w:val="superscript"/>
          <w:lang w:val="zh-CN" w:eastAsia="zh-CN" w:bidi="ar-SA"/>
        </w:rPr>
        <w:t>3</w:t>
      </w:r>
      <w:r>
        <w:rPr>
          <w:rFonts w:hint="default" w:ascii="Times New Roman" w:hAnsi="Times New Roman" w:eastAsia="宋体" w:cs="Times New Roman"/>
          <w:color w:val="auto"/>
          <w:kern w:val="0"/>
          <w:sz w:val="24"/>
          <w:szCs w:val="24"/>
          <w:lang w:val="zh-CN" w:eastAsia="zh-CN" w:bidi="ar-SA"/>
        </w:rPr>
        <w:t>/d，按事故时间</w:t>
      </w:r>
      <w:r>
        <w:rPr>
          <w:rFonts w:hint="eastAsia" w:ascii="Times New Roman" w:hAnsi="Times New Roman" w:eastAsia="宋体" w:cs="Times New Roman"/>
          <w:color w:val="auto"/>
          <w:kern w:val="0"/>
          <w:sz w:val="24"/>
          <w:szCs w:val="24"/>
          <w:lang w:val="en-US" w:eastAsia="zh-CN" w:bidi="ar-SA"/>
        </w:rPr>
        <w:t>1天</w:t>
      </w:r>
      <w:r>
        <w:rPr>
          <w:rFonts w:hint="default" w:ascii="Times New Roman" w:hAnsi="Times New Roman" w:eastAsia="宋体" w:cs="Times New Roman"/>
          <w:color w:val="auto"/>
          <w:kern w:val="0"/>
          <w:sz w:val="24"/>
          <w:szCs w:val="24"/>
          <w:lang w:val="zh-CN" w:eastAsia="zh-CN" w:bidi="ar-SA"/>
        </w:rPr>
        <w:t>考虑，则发生事故时仍必须进入该收集系统的生产废水量约为</w:t>
      </w:r>
      <w:r>
        <w:rPr>
          <w:rFonts w:hint="eastAsia" w:ascii="Times New Roman" w:hAnsi="Times New Roman" w:eastAsia="宋体" w:cs="Times New Roman"/>
          <w:color w:val="auto"/>
          <w:kern w:val="0"/>
          <w:sz w:val="24"/>
          <w:szCs w:val="24"/>
          <w:lang w:val="en-US" w:eastAsia="zh-CN" w:bidi="ar-SA"/>
        </w:rPr>
        <w:t>4.6m</w:t>
      </w:r>
      <w:r>
        <w:rPr>
          <w:rFonts w:hint="eastAsia" w:ascii="Times New Roman" w:hAnsi="Times New Roman" w:eastAsia="宋体" w:cs="Times New Roman"/>
          <w:color w:val="auto"/>
          <w:kern w:val="0"/>
          <w:sz w:val="24"/>
          <w:szCs w:val="24"/>
          <w:vertAlign w:val="superscript"/>
          <w:lang w:val="en-US" w:eastAsia="zh-CN" w:bidi="ar-SA"/>
        </w:rPr>
        <w:t>3</w:t>
      </w:r>
      <w:r>
        <w:rPr>
          <w:rFonts w:hint="default" w:ascii="Times New Roman" w:hAnsi="Times New Roman" w:eastAsia="宋体" w:cs="Times New Roman"/>
          <w:color w:val="auto"/>
          <w:kern w:val="0"/>
          <w:sz w:val="24"/>
          <w:szCs w:val="24"/>
          <w:lang w:val="zh-CN" w:eastAsia="zh-CN" w:bidi="ar-SA"/>
        </w:rPr>
        <w:t>。</w:t>
      </w:r>
    </w:p>
    <w:p>
      <w:pPr>
        <w:pStyle w:val="2"/>
        <w:rPr>
          <w:rFonts w:hint="default" w:ascii="Times New Roman" w:hAnsi="Times New Roman" w:eastAsia="宋体" w:cs="Times New Roman"/>
          <w:color w:val="auto"/>
          <w:kern w:val="0"/>
          <w:sz w:val="24"/>
          <w:szCs w:val="24"/>
          <w:lang w:val="zh-CN" w:eastAsia="zh-CN" w:bidi="ar-SA"/>
        </w:rPr>
      </w:pPr>
      <w:r>
        <w:rPr>
          <w:rFonts w:hint="eastAsia" w:ascii="Times New Roman" w:hAnsi="Times New Roman" w:eastAsia="宋体" w:cs="Times New Roman"/>
          <w:color w:val="auto"/>
          <w:kern w:val="0"/>
          <w:sz w:val="24"/>
          <w:szCs w:val="24"/>
          <w:lang w:val="en-US" w:eastAsia="zh-CN" w:bidi="ar-SA"/>
        </w:rPr>
        <w:t>故 V1</w:t>
      </w:r>
      <w:r>
        <w:rPr>
          <w:rFonts w:hint="default" w:ascii="Times New Roman" w:hAnsi="Times New Roman" w:eastAsia="宋体" w:cs="Times New Roman"/>
          <w:color w:val="auto"/>
          <w:kern w:val="0"/>
          <w:sz w:val="24"/>
          <w:szCs w:val="24"/>
          <w:lang w:val="zh-CN" w:eastAsia="zh-CN" w:bidi="ar-SA"/>
        </w:rPr>
        <w:t>=</w:t>
      </w:r>
      <w:r>
        <w:rPr>
          <w:rFonts w:hint="eastAsia" w:ascii="Times New Roman" w:hAnsi="Times New Roman" w:eastAsia="宋体" w:cs="Times New Roman"/>
          <w:color w:val="auto"/>
          <w:kern w:val="0"/>
          <w:sz w:val="24"/>
          <w:szCs w:val="24"/>
          <w:lang w:val="en-US" w:eastAsia="zh-CN" w:bidi="ar-SA"/>
        </w:rPr>
        <w:t>100</w:t>
      </w:r>
      <w:r>
        <w:rPr>
          <w:rFonts w:hint="default" w:ascii="Times New Roman" w:hAnsi="Times New Roman" w:eastAsia="宋体" w:cs="Times New Roman"/>
          <w:color w:val="auto"/>
          <w:kern w:val="0"/>
          <w:sz w:val="24"/>
          <w:szCs w:val="24"/>
          <w:lang w:val="zh-CN" w:eastAsia="zh-CN" w:bidi="ar-SA"/>
        </w:rPr>
        <w:t xml:space="preserve"> m</w:t>
      </w:r>
      <w:r>
        <w:rPr>
          <w:rFonts w:hint="default" w:ascii="Times New Roman" w:hAnsi="Times New Roman" w:eastAsia="宋体" w:cs="Times New Roman"/>
          <w:color w:val="auto"/>
          <w:kern w:val="0"/>
          <w:sz w:val="24"/>
          <w:szCs w:val="24"/>
          <w:vertAlign w:val="superscript"/>
          <w:lang w:val="zh-CN" w:eastAsia="zh-CN" w:bidi="ar-SA"/>
        </w:rPr>
        <w:t>3</w:t>
      </w:r>
      <w:r>
        <w:rPr>
          <w:rFonts w:hint="default" w:ascii="Times New Roman" w:hAnsi="Times New Roman" w:eastAsia="宋体" w:cs="Times New Roman"/>
          <w:color w:val="auto"/>
          <w:kern w:val="0"/>
          <w:sz w:val="24"/>
          <w:szCs w:val="24"/>
          <w:lang w:val="zh-CN" w:eastAsia="zh-CN" w:bidi="ar-SA"/>
        </w:rPr>
        <w:t>，</w:t>
      </w:r>
      <w:r>
        <w:rPr>
          <w:rFonts w:hint="eastAsia" w:ascii="Times New Roman" w:hAnsi="Times New Roman" w:eastAsia="宋体" w:cs="Times New Roman"/>
          <w:color w:val="auto"/>
          <w:kern w:val="0"/>
          <w:sz w:val="24"/>
          <w:szCs w:val="24"/>
          <w:lang w:val="en-US" w:eastAsia="zh-CN" w:bidi="ar-SA"/>
        </w:rPr>
        <w:t>V2</w:t>
      </w:r>
      <w:r>
        <w:rPr>
          <w:rFonts w:hint="default" w:ascii="Times New Roman" w:hAnsi="Times New Roman" w:eastAsia="宋体" w:cs="Times New Roman"/>
          <w:color w:val="auto"/>
          <w:kern w:val="0"/>
          <w:sz w:val="24"/>
          <w:szCs w:val="24"/>
          <w:lang w:val="zh-CN" w:eastAsia="zh-CN" w:bidi="ar-SA"/>
        </w:rPr>
        <w:t>=</w:t>
      </w:r>
      <w:r>
        <w:rPr>
          <w:rFonts w:hint="eastAsia" w:ascii="Times New Roman" w:hAnsi="Times New Roman" w:eastAsia="宋体" w:cs="Times New Roman"/>
          <w:color w:val="auto"/>
          <w:kern w:val="0"/>
          <w:sz w:val="24"/>
          <w:szCs w:val="24"/>
          <w:lang w:val="en-US" w:eastAsia="zh-CN" w:bidi="ar-SA"/>
        </w:rPr>
        <w:t>144</w:t>
      </w:r>
      <w:r>
        <w:rPr>
          <w:rFonts w:hint="default" w:ascii="Times New Roman" w:hAnsi="Times New Roman" w:eastAsia="宋体" w:cs="Times New Roman"/>
          <w:color w:val="auto"/>
          <w:kern w:val="0"/>
          <w:sz w:val="24"/>
          <w:szCs w:val="24"/>
          <w:lang w:val="zh-CN" w:eastAsia="zh-CN" w:bidi="ar-SA"/>
        </w:rPr>
        <w:t>m</w:t>
      </w:r>
      <w:r>
        <w:rPr>
          <w:rFonts w:hint="default" w:ascii="Times New Roman" w:hAnsi="Times New Roman" w:eastAsia="宋体" w:cs="Times New Roman"/>
          <w:color w:val="auto"/>
          <w:kern w:val="0"/>
          <w:sz w:val="24"/>
          <w:szCs w:val="24"/>
          <w:vertAlign w:val="superscript"/>
          <w:lang w:val="zh-CN" w:eastAsia="zh-CN" w:bidi="ar-SA"/>
        </w:rPr>
        <w:t>3</w:t>
      </w:r>
      <w:r>
        <w:rPr>
          <w:rFonts w:hint="default" w:ascii="Times New Roman" w:hAnsi="Times New Roman" w:eastAsia="宋体" w:cs="Times New Roman"/>
          <w:color w:val="auto"/>
          <w:kern w:val="0"/>
          <w:sz w:val="24"/>
          <w:szCs w:val="24"/>
          <w:lang w:val="zh-CN" w:eastAsia="zh-CN" w:bidi="ar-SA"/>
        </w:rPr>
        <w:t>，</w:t>
      </w:r>
      <w:r>
        <w:rPr>
          <w:rFonts w:hint="eastAsia" w:ascii="Times New Roman" w:hAnsi="Times New Roman" w:eastAsia="宋体" w:cs="Times New Roman"/>
          <w:color w:val="auto"/>
          <w:kern w:val="0"/>
          <w:sz w:val="24"/>
          <w:szCs w:val="24"/>
          <w:lang w:val="en-US" w:eastAsia="zh-CN" w:bidi="ar-SA"/>
        </w:rPr>
        <w:t>V4</w:t>
      </w:r>
      <w:r>
        <w:rPr>
          <w:rFonts w:hint="default" w:ascii="Times New Roman" w:hAnsi="Times New Roman" w:eastAsia="宋体" w:cs="Times New Roman"/>
          <w:color w:val="auto"/>
          <w:kern w:val="0"/>
          <w:sz w:val="24"/>
          <w:szCs w:val="24"/>
          <w:lang w:val="zh-CN" w:eastAsia="zh-CN" w:bidi="ar-SA"/>
        </w:rPr>
        <w:t>=</w:t>
      </w:r>
      <w:r>
        <w:rPr>
          <w:rFonts w:hint="eastAsia" w:ascii="Times New Roman" w:hAnsi="Times New Roman" w:eastAsia="宋体" w:cs="Times New Roman"/>
          <w:color w:val="auto"/>
          <w:kern w:val="0"/>
          <w:sz w:val="24"/>
          <w:szCs w:val="24"/>
          <w:lang w:val="en-US" w:eastAsia="zh-CN" w:bidi="ar-SA"/>
        </w:rPr>
        <w:t>4.6</w:t>
      </w:r>
      <w:r>
        <w:rPr>
          <w:rFonts w:hint="default" w:ascii="Times New Roman" w:hAnsi="Times New Roman" w:eastAsia="宋体" w:cs="Times New Roman"/>
          <w:color w:val="auto"/>
          <w:kern w:val="0"/>
          <w:sz w:val="24"/>
          <w:szCs w:val="24"/>
          <w:lang w:val="zh-CN" w:eastAsia="zh-CN" w:bidi="ar-SA"/>
        </w:rPr>
        <w:t>m</w:t>
      </w:r>
      <w:r>
        <w:rPr>
          <w:rFonts w:hint="default" w:ascii="Times New Roman" w:hAnsi="Times New Roman" w:eastAsia="宋体" w:cs="Times New Roman"/>
          <w:color w:val="auto"/>
          <w:kern w:val="0"/>
          <w:sz w:val="24"/>
          <w:szCs w:val="24"/>
          <w:vertAlign w:val="superscript"/>
          <w:lang w:val="zh-CN" w:eastAsia="zh-CN" w:bidi="ar-SA"/>
        </w:rPr>
        <w:t>3</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kern w:val="0"/>
          <w:sz w:val="24"/>
          <w:szCs w:val="24"/>
          <w:lang w:val="zh-CN" w:eastAsia="zh-CN" w:bidi="ar-SA"/>
        </w:rPr>
      </w:pPr>
      <w:r>
        <w:rPr>
          <w:rFonts w:hint="default" w:ascii="Times New Roman" w:hAnsi="Times New Roman" w:eastAsia="宋体" w:cs="Times New Roman"/>
          <w:color w:val="auto"/>
          <w:kern w:val="0"/>
          <w:sz w:val="24"/>
          <w:szCs w:val="24"/>
          <w:lang w:val="zh-CN" w:eastAsia="zh-CN" w:bidi="ar-SA"/>
        </w:rPr>
        <w:t>考虑</w:t>
      </w:r>
      <w:r>
        <w:rPr>
          <w:rFonts w:hint="eastAsia" w:ascii="Times New Roman" w:hAnsi="Times New Roman" w:eastAsia="宋体" w:cs="Times New Roman"/>
          <w:color w:val="auto"/>
          <w:kern w:val="0"/>
          <w:sz w:val="24"/>
          <w:szCs w:val="24"/>
          <w:lang w:val="en-US" w:eastAsia="zh-CN" w:bidi="ar-SA"/>
        </w:rPr>
        <w:t>柴油储罐</w:t>
      </w:r>
      <w:r>
        <w:rPr>
          <w:rFonts w:hint="default" w:ascii="Times New Roman" w:hAnsi="Times New Roman" w:eastAsia="宋体" w:cs="Times New Roman"/>
          <w:color w:val="auto"/>
          <w:kern w:val="0"/>
          <w:sz w:val="24"/>
          <w:szCs w:val="24"/>
          <w:lang w:val="zh-CN" w:eastAsia="zh-CN" w:bidi="ar-SA"/>
        </w:rPr>
        <w:t>破裂、发生火灾以及</w:t>
      </w:r>
      <w:r>
        <w:rPr>
          <w:rFonts w:hint="eastAsia" w:ascii="Times New Roman" w:hAnsi="Times New Roman" w:eastAsia="宋体" w:cs="Times New Roman"/>
          <w:color w:val="auto"/>
          <w:kern w:val="0"/>
          <w:sz w:val="24"/>
          <w:szCs w:val="24"/>
          <w:lang w:val="en-US" w:eastAsia="zh-CN" w:bidi="ar-SA"/>
        </w:rPr>
        <w:t>污水处理站故障</w:t>
      </w:r>
      <w:r>
        <w:rPr>
          <w:rFonts w:hint="default" w:ascii="Times New Roman" w:hAnsi="Times New Roman" w:eastAsia="宋体" w:cs="Times New Roman"/>
          <w:color w:val="auto"/>
          <w:kern w:val="0"/>
          <w:sz w:val="24"/>
          <w:szCs w:val="24"/>
          <w:lang w:val="zh-CN" w:eastAsia="zh-CN" w:bidi="ar-SA"/>
        </w:rPr>
        <w:t>，需进入收集系统的废水量总计约为</w:t>
      </w:r>
      <w:r>
        <w:rPr>
          <w:rFonts w:hint="eastAsia" w:ascii="Times New Roman" w:hAnsi="Times New Roman" w:eastAsia="宋体" w:cs="Times New Roman"/>
          <w:color w:val="auto"/>
          <w:kern w:val="0"/>
          <w:sz w:val="24"/>
          <w:szCs w:val="24"/>
          <w:lang w:val="en-US" w:eastAsia="zh-CN" w:bidi="ar-SA"/>
        </w:rPr>
        <w:t>100</w:t>
      </w:r>
      <w:r>
        <w:rPr>
          <w:rFonts w:hint="default" w:ascii="Times New Roman" w:hAnsi="Times New Roman" w:eastAsia="宋体" w:cs="Times New Roman"/>
          <w:color w:val="auto"/>
          <w:kern w:val="0"/>
          <w:sz w:val="24"/>
          <w:szCs w:val="24"/>
          <w:lang w:val="zh-CN" w:eastAsia="zh-CN" w:bidi="ar-SA"/>
        </w:rPr>
        <w:t>+</w:t>
      </w:r>
      <w:r>
        <w:rPr>
          <w:rFonts w:hint="eastAsia" w:ascii="Times New Roman" w:hAnsi="Times New Roman" w:eastAsia="宋体" w:cs="Times New Roman"/>
          <w:color w:val="auto"/>
          <w:kern w:val="0"/>
          <w:sz w:val="24"/>
          <w:szCs w:val="24"/>
          <w:lang w:val="en-US" w:eastAsia="zh-CN" w:bidi="ar-SA"/>
        </w:rPr>
        <w:t>144</w:t>
      </w:r>
      <w:r>
        <w:rPr>
          <w:rFonts w:hint="default" w:ascii="Times New Roman" w:hAnsi="Times New Roman" w:eastAsia="宋体" w:cs="Times New Roman"/>
          <w:color w:val="auto"/>
          <w:kern w:val="0"/>
          <w:sz w:val="24"/>
          <w:szCs w:val="24"/>
          <w:lang w:val="zh-CN" w:eastAsia="zh-CN" w:bidi="ar-SA"/>
        </w:rPr>
        <w:t>+</w:t>
      </w:r>
      <w:r>
        <w:rPr>
          <w:rFonts w:hint="eastAsia" w:ascii="Times New Roman" w:hAnsi="Times New Roman" w:eastAsia="宋体" w:cs="Times New Roman"/>
          <w:color w:val="auto"/>
          <w:kern w:val="0"/>
          <w:sz w:val="24"/>
          <w:szCs w:val="24"/>
          <w:lang w:val="en-US" w:eastAsia="zh-CN" w:bidi="ar-SA"/>
        </w:rPr>
        <w:t>4.6</w:t>
      </w:r>
      <w:r>
        <w:rPr>
          <w:rFonts w:hint="default" w:ascii="Times New Roman" w:hAnsi="Times New Roman" w:eastAsia="宋体" w:cs="Times New Roman"/>
          <w:color w:val="auto"/>
          <w:kern w:val="0"/>
          <w:sz w:val="24"/>
          <w:szCs w:val="24"/>
          <w:lang w:val="zh-CN" w:eastAsia="zh-CN" w:bidi="ar-SA"/>
        </w:rPr>
        <w:t>=</w:t>
      </w:r>
      <w:r>
        <w:rPr>
          <w:rFonts w:hint="eastAsia" w:ascii="Times New Roman" w:hAnsi="Times New Roman" w:eastAsia="宋体" w:cs="Times New Roman"/>
          <w:color w:val="auto"/>
          <w:kern w:val="0"/>
          <w:sz w:val="24"/>
          <w:szCs w:val="24"/>
          <w:lang w:val="en-US" w:eastAsia="zh-CN" w:bidi="ar-SA"/>
        </w:rPr>
        <w:t>248.6</w:t>
      </w:r>
      <w:r>
        <w:rPr>
          <w:rFonts w:hint="default" w:ascii="Times New Roman" w:hAnsi="Times New Roman" w:eastAsia="宋体" w:cs="Times New Roman"/>
          <w:color w:val="auto"/>
          <w:kern w:val="0"/>
          <w:sz w:val="24"/>
          <w:szCs w:val="24"/>
          <w:lang w:val="zh-CN" w:eastAsia="zh-CN" w:bidi="ar-SA"/>
        </w:rPr>
        <w:t>m</w:t>
      </w:r>
      <w:r>
        <w:rPr>
          <w:rFonts w:hint="default" w:ascii="Times New Roman" w:hAnsi="Times New Roman" w:eastAsia="宋体" w:cs="Times New Roman"/>
          <w:color w:val="auto"/>
          <w:kern w:val="0"/>
          <w:sz w:val="24"/>
          <w:szCs w:val="24"/>
          <w:vertAlign w:val="superscript"/>
          <w:lang w:val="zh-CN" w:eastAsia="zh-CN" w:bidi="ar-SA"/>
        </w:rPr>
        <w:t>3</w:t>
      </w:r>
      <w:r>
        <w:rPr>
          <w:rFonts w:hint="default" w:ascii="Times New Roman" w:hAnsi="Times New Roman" w:eastAsia="宋体" w:cs="Times New Roman"/>
          <w:color w:val="auto"/>
          <w:kern w:val="0"/>
          <w:sz w:val="24"/>
          <w:szCs w:val="24"/>
          <w:lang w:val="zh-CN" w:eastAsia="zh-CN" w:bidi="ar-SA"/>
        </w:rPr>
        <w:t>；因此厂区事故废水池容积应大于</w:t>
      </w:r>
      <w:r>
        <w:rPr>
          <w:rFonts w:hint="eastAsia" w:ascii="Times New Roman" w:hAnsi="Times New Roman" w:eastAsia="宋体" w:cs="Times New Roman"/>
          <w:color w:val="auto"/>
          <w:kern w:val="0"/>
          <w:sz w:val="24"/>
          <w:szCs w:val="24"/>
          <w:lang w:val="en-US" w:eastAsia="zh-CN" w:bidi="ar-SA"/>
        </w:rPr>
        <w:t>248.6</w:t>
      </w:r>
      <w:r>
        <w:rPr>
          <w:rFonts w:hint="default" w:ascii="Times New Roman" w:hAnsi="Times New Roman" w:eastAsia="宋体" w:cs="Times New Roman"/>
          <w:color w:val="auto"/>
          <w:kern w:val="0"/>
          <w:sz w:val="24"/>
          <w:szCs w:val="24"/>
          <w:lang w:val="zh-CN" w:eastAsia="zh-CN" w:bidi="ar-SA"/>
        </w:rPr>
        <w:t>m</w:t>
      </w:r>
      <w:r>
        <w:rPr>
          <w:rFonts w:hint="default" w:ascii="Times New Roman" w:hAnsi="Times New Roman" w:eastAsia="宋体" w:cs="Times New Roman"/>
          <w:color w:val="auto"/>
          <w:kern w:val="0"/>
          <w:sz w:val="24"/>
          <w:szCs w:val="24"/>
          <w:vertAlign w:val="superscript"/>
          <w:lang w:val="zh-CN" w:eastAsia="zh-CN" w:bidi="ar-SA"/>
        </w:rPr>
        <w:t>3</w:t>
      </w:r>
      <w:r>
        <w:rPr>
          <w:rFonts w:hint="default" w:ascii="Times New Roman" w:hAnsi="Times New Roman" w:eastAsia="宋体" w:cs="Times New Roman"/>
          <w:color w:val="auto"/>
          <w:kern w:val="0"/>
          <w:sz w:val="24"/>
          <w:szCs w:val="24"/>
          <w:lang w:val="zh-CN" w:eastAsia="zh-CN" w:bidi="ar-SA"/>
        </w:rPr>
        <w:t>。本厂区事故水池体积为</w:t>
      </w:r>
      <w:r>
        <w:rPr>
          <w:rFonts w:hint="eastAsia" w:ascii="Times New Roman" w:hAnsi="Times New Roman" w:eastAsia="宋体" w:cs="Times New Roman"/>
          <w:color w:val="auto"/>
          <w:kern w:val="0"/>
          <w:sz w:val="24"/>
          <w:szCs w:val="24"/>
          <w:lang w:val="en-US" w:eastAsia="zh-CN" w:bidi="ar-SA"/>
        </w:rPr>
        <w:t>400</w:t>
      </w:r>
      <w:r>
        <w:rPr>
          <w:rFonts w:hint="default" w:ascii="Times New Roman" w:hAnsi="Times New Roman" w:eastAsia="宋体" w:cs="Times New Roman"/>
          <w:color w:val="auto"/>
          <w:kern w:val="0"/>
          <w:sz w:val="24"/>
          <w:szCs w:val="24"/>
          <w:lang w:val="zh-CN" w:eastAsia="zh-CN" w:bidi="ar-SA"/>
        </w:rPr>
        <w:t>m</w:t>
      </w:r>
      <w:r>
        <w:rPr>
          <w:rFonts w:hint="default" w:ascii="Times New Roman" w:hAnsi="Times New Roman" w:eastAsia="宋体" w:cs="Times New Roman"/>
          <w:color w:val="auto"/>
          <w:kern w:val="0"/>
          <w:sz w:val="24"/>
          <w:szCs w:val="24"/>
          <w:vertAlign w:val="superscript"/>
          <w:lang w:val="zh-CN" w:eastAsia="zh-CN" w:bidi="ar-SA"/>
        </w:rPr>
        <w:t>3</w:t>
      </w:r>
      <w:r>
        <w:rPr>
          <w:rFonts w:hint="default" w:ascii="Times New Roman" w:hAnsi="Times New Roman" w:eastAsia="宋体" w:cs="Times New Roman"/>
          <w:color w:val="auto"/>
          <w:kern w:val="0"/>
          <w:sz w:val="24"/>
          <w:szCs w:val="24"/>
          <w:lang w:val="zh-CN" w:eastAsia="zh-CN" w:bidi="ar-SA"/>
        </w:rPr>
        <w:t>，可以满足厂区事故状态下废水收集的要求。</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综上，本项目事故废水依托现有工程已建400m</w:t>
      </w:r>
      <w:r>
        <w:rPr>
          <w:rFonts w:hint="eastAsia" w:ascii="Times New Roman" w:hAnsi="Times New Roman" w:eastAsia="宋体" w:cs="Times New Roman"/>
          <w:color w:val="auto"/>
          <w:kern w:val="0"/>
          <w:sz w:val="24"/>
          <w:szCs w:val="24"/>
          <w:vertAlign w:val="superscript"/>
          <w:lang w:val="en-US" w:eastAsia="zh-CN" w:bidi="ar-SA"/>
        </w:rPr>
        <w:t>3</w:t>
      </w:r>
      <w:r>
        <w:rPr>
          <w:rFonts w:hint="eastAsia" w:ascii="Times New Roman" w:hAnsi="Times New Roman" w:eastAsia="宋体" w:cs="Times New Roman"/>
          <w:color w:val="auto"/>
          <w:kern w:val="0"/>
          <w:sz w:val="24"/>
          <w:szCs w:val="24"/>
          <w:lang w:val="en-US" w:eastAsia="zh-CN" w:bidi="ar-SA"/>
        </w:rPr>
        <w:t>事故水池可行。</w:t>
      </w:r>
    </w:p>
    <w:p>
      <w:pPr>
        <w:widowControl/>
        <w:numPr>
          <w:ilvl w:val="0"/>
          <w:numId w:val="17"/>
        </w:numPr>
        <w:spacing w:line="520" w:lineRule="exact"/>
        <w:ind w:firstLine="482"/>
        <w:rPr>
          <w:b/>
          <w:bCs/>
          <w:color w:val="auto"/>
          <w:kern w:val="0"/>
          <w:sz w:val="24"/>
          <w:lang w:bidi="ar"/>
        </w:rPr>
      </w:pPr>
      <w:r>
        <w:rPr>
          <w:rFonts w:hint="eastAsia"/>
          <w:b/>
          <w:bCs/>
          <w:color w:val="auto"/>
          <w:kern w:val="0"/>
          <w:sz w:val="24"/>
          <w:lang w:bidi="ar"/>
        </w:rPr>
        <w:t>突发环境事件应急预案</w:t>
      </w:r>
    </w:p>
    <w:p>
      <w:pPr>
        <w:pStyle w:val="46"/>
        <w:spacing w:line="520" w:lineRule="exact"/>
        <w:ind w:firstLine="480"/>
        <w:jc w:val="both"/>
        <w:rPr>
          <w:color w:val="auto"/>
          <w:sz w:val="24"/>
        </w:rPr>
      </w:pPr>
      <w:r>
        <w:rPr>
          <w:rFonts w:hint="eastAsia"/>
          <w:color w:val="auto"/>
          <w:sz w:val="24"/>
        </w:rPr>
        <w:t>本扩能项目建成后，应更新修订202</w:t>
      </w:r>
      <w:r>
        <w:rPr>
          <w:rFonts w:hint="eastAsia"/>
          <w:color w:val="auto"/>
          <w:sz w:val="24"/>
          <w:lang w:val="en-US" w:eastAsia="zh-CN"/>
        </w:rPr>
        <w:t>4</w:t>
      </w:r>
      <w:r>
        <w:rPr>
          <w:rFonts w:hint="eastAsia"/>
          <w:color w:val="auto"/>
          <w:sz w:val="24"/>
        </w:rPr>
        <w:t>版应急预案，将本扩能项目纳入全厂突发环境事件应急预案中，根据预案内容，组织全厂相关人员进行桌面推演，根据情况，及时修改应急预案中不适用内容，并将修改后的应急预案报当地环保部门备案。项目运营期，应定期进行应急演练。</w:t>
      </w:r>
    </w:p>
    <w:p>
      <w:pPr>
        <w:pStyle w:val="46"/>
        <w:spacing w:line="520" w:lineRule="exact"/>
        <w:ind w:firstLine="480"/>
        <w:jc w:val="both"/>
        <w:rPr>
          <w:color w:val="auto"/>
          <w:sz w:val="24"/>
        </w:rPr>
      </w:pPr>
      <w:r>
        <w:rPr>
          <w:rFonts w:hint="eastAsia"/>
          <w:color w:val="auto"/>
          <w:sz w:val="24"/>
        </w:rPr>
        <w:t>结合环境应急预案实施情况，至少每三年对环境应急预案进行一次回顾性评估，并在当地备案。</w:t>
      </w:r>
    </w:p>
    <w:p>
      <w:pPr>
        <w:widowControl/>
        <w:numPr>
          <w:ilvl w:val="0"/>
          <w:numId w:val="17"/>
        </w:numPr>
        <w:spacing w:line="520" w:lineRule="exact"/>
        <w:ind w:firstLine="482"/>
        <w:rPr>
          <w:b/>
          <w:bCs/>
          <w:color w:val="auto"/>
          <w:kern w:val="0"/>
          <w:sz w:val="24"/>
          <w:lang w:bidi="ar"/>
        </w:rPr>
      </w:pPr>
      <w:r>
        <w:rPr>
          <w:rFonts w:hint="eastAsia"/>
          <w:b/>
          <w:bCs/>
          <w:color w:val="auto"/>
          <w:kern w:val="0"/>
          <w:sz w:val="24"/>
          <w:lang w:bidi="ar"/>
        </w:rPr>
        <w:t>周边企业环境风险应急联动</w:t>
      </w:r>
    </w:p>
    <w:p>
      <w:pPr>
        <w:widowControl/>
        <w:spacing w:line="520" w:lineRule="exact"/>
        <w:ind w:firstLine="480" w:firstLineChars="200"/>
        <w:rPr>
          <w:color w:val="auto"/>
          <w:sz w:val="24"/>
        </w:rPr>
      </w:pPr>
      <w:r>
        <w:rPr>
          <w:rFonts w:hint="eastAsia"/>
          <w:color w:val="auto"/>
          <w:sz w:val="24"/>
        </w:rPr>
        <w:t>昌吉天宝混装炸药制造公司厂上料工房内外设置了消防栓、便携式灭火器等应急设备，厂区内建设了1座400m</w:t>
      </w:r>
      <w:r>
        <w:rPr>
          <w:rFonts w:hint="eastAsia"/>
          <w:color w:val="auto"/>
          <w:sz w:val="24"/>
          <w:vertAlign w:val="superscript"/>
        </w:rPr>
        <w:t>3</w:t>
      </w:r>
      <w:r>
        <w:rPr>
          <w:rFonts w:hint="eastAsia"/>
          <w:color w:val="auto"/>
          <w:sz w:val="24"/>
        </w:rPr>
        <w:t>防渗消防</w:t>
      </w:r>
      <w:r>
        <w:rPr>
          <w:rFonts w:hint="eastAsia"/>
          <w:color w:val="auto"/>
          <w:sz w:val="24"/>
          <w:lang w:val="en-US" w:eastAsia="zh-CN"/>
        </w:rPr>
        <w:t>事故</w:t>
      </w:r>
      <w:r>
        <w:rPr>
          <w:rFonts w:hint="eastAsia"/>
          <w:color w:val="auto"/>
          <w:sz w:val="24"/>
        </w:rPr>
        <w:t>水池，当各工段以及库房发生火灾事故时，可容纳本项目消防事故废水。</w:t>
      </w:r>
    </w:p>
    <w:p>
      <w:pPr>
        <w:widowControl/>
        <w:spacing w:line="520" w:lineRule="exact"/>
        <w:ind w:firstLine="480" w:firstLineChars="200"/>
        <w:rPr>
          <w:color w:val="auto"/>
          <w:sz w:val="24"/>
        </w:rPr>
      </w:pPr>
      <w:r>
        <w:rPr>
          <w:rFonts w:hint="eastAsia"/>
          <w:color w:val="auto"/>
          <w:sz w:val="24"/>
        </w:rPr>
        <w:t>公司于2023年12月编制了《昌吉天宝混装炸药制造有限公司突发环境事件应急预案》，备案编号为：652327-2024-001-L。</w:t>
      </w:r>
    </w:p>
    <w:p>
      <w:pPr>
        <w:widowControl/>
        <w:spacing w:line="520" w:lineRule="exact"/>
        <w:ind w:firstLine="480" w:firstLineChars="200"/>
        <w:rPr>
          <w:color w:val="auto"/>
        </w:rPr>
      </w:pPr>
      <w:r>
        <w:rPr>
          <w:rFonts w:hint="eastAsia"/>
          <w:color w:val="auto"/>
          <w:sz w:val="24"/>
        </w:rPr>
        <w:t>本公司针对厂区各类突发环境风险及时采取相应措施，同时与</w:t>
      </w:r>
      <w:r>
        <w:rPr>
          <w:rFonts w:hint="eastAsia"/>
          <w:color w:val="auto"/>
          <w:kern w:val="0"/>
          <w:sz w:val="24"/>
          <w:lang w:val="en-US" w:eastAsia="zh-CN"/>
        </w:rPr>
        <w:t>周边单位</w:t>
      </w:r>
      <w:r>
        <w:rPr>
          <w:rFonts w:hint="eastAsia"/>
          <w:color w:val="auto"/>
          <w:sz w:val="24"/>
        </w:rPr>
        <w:t>环境应急领导小组各成员之间加强信息交流和沟通，实现单位之间信息共享制度化、规范化和常态化，及时通报处置信息和可能影响环境安全的安全生产事故、交通事故等信息，并建立应急联动工作机制，进一步降低环境风险事故。</w:t>
      </w:r>
    </w:p>
    <w:p>
      <w:pPr>
        <w:widowControl/>
        <w:numPr>
          <w:ilvl w:val="0"/>
          <w:numId w:val="17"/>
        </w:numPr>
        <w:spacing w:line="520" w:lineRule="exact"/>
        <w:ind w:firstLine="482"/>
        <w:rPr>
          <w:b/>
          <w:bCs/>
          <w:color w:val="auto"/>
          <w:kern w:val="0"/>
          <w:sz w:val="24"/>
          <w:lang w:bidi="ar"/>
        </w:rPr>
      </w:pPr>
      <w:r>
        <w:rPr>
          <w:rFonts w:hint="eastAsia"/>
          <w:b/>
          <w:bCs/>
          <w:color w:val="auto"/>
          <w:kern w:val="0"/>
          <w:sz w:val="24"/>
          <w:lang w:bidi="ar"/>
        </w:rPr>
        <w:t>分析结论</w:t>
      </w:r>
    </w:p>
    <w:p>
      <w:pPr>
        <w:pStyle w:val="46"/>
        <w:spacing w:line="520" w:lineRule="exact"/>
        <w:ind w:firstLine="480"/>
        <w:jc w:val="both"/>
        <w:rPr>
          <w:color w:val="auto"/>
          <w:sz w:val="24"/>
        </w:rPr>
      </w:pPr>
      <w:r>
        <w:rPr>
          <w:rFonts w:hint="eastAsia"/>
          <w:color w:val="auto"/>
          <w:sz w:val="24"/>
        </w:rPr>
        <w:t>综合以上分析，本项目为多孔铵状炸药生产项目，主要环境风险事故情形为柴油发生泄漏，硝酸铵及柴油在高温、明火和有可能被氧化的物质存在下发生爆炸，导致次生污染物大量NO</w:t>
      </w:r>
      <w:r>
        <w:rPr>
          <w:rFonts w:hint="eastAsia"/>
          <w:color w:val="auto"/>
          <w:sz w:val="24"/>
          <w:vertAlign w:val="subscript"/>
        </w:rPr>
        <w:t>2</w:t>
      </w:r>
      <w:r>
        <w:rPr>
          <w:rFonts w:hint="eastAsia"/>
          <w:color w:val="auto"/>
          <w:sz w:val="24"/>
        </w:rPr>
        <w:t>气体瞬时排放可能对周围人群身体健康产生不利影响。</w:t>
      </w:r>
    </w:p>
    <w:p>
      <w:pPr>
        <w:pStyle w:val="46"/>
        <w:spacing w:line="520" w:lineRule="exact"/>
        <w:ind w:firstLine="480"/>
        <w:jc w:val="both"/>
        <w:rPr>
          <w:color w:val="auto"/>
          <w:sz w:val="24"/>
        </w:rPr>
      </w:pPr>
      <w:r>
        <w:rPr>
          <w:rFonts w:hint="eastAsia"/>
          <w:color w:val="auto"/>
          <w:sz w:val="24"/>
        </w:rPr>
        <w:t>硝酸铵储存过程中发生爆炸事故后处理过程中产生的消防事故水，厂区已设置事故废水池，并在厂内设置截流明沟与消防废水收集池相连，消防事故水集中收集排入消防废水收集池中。为防范事故和减少危害，本扩能项目建成后，应将本项目纳入全厂突发环境事件应急预案，对现有突发环境事件应急预案进行更新修订，并定期进行应急演练，为生产和贮运系统提供一套突发事故状态下可操作的应急指导方案，以利于减缓风险损害。</w:t>
      </w:r>
    </w:p>
    <w:p>
      <w:pPr>
        <w:pStyle w:val="46"/>
        <w:spacing w:line="520" w:lineRule="exact"/>
        <w:ind w:firstLine="480"/>
        <w:jc w:val="both"/>
        <w:rPr>
          <w:color w:val="auto"/>
          <w:sz w:val="24"/>
        </w:rPr>
      </w:pPr>
      <w:r>
        <w:rPr>
          <w:rFonts w:hint="eastAsia"/>
          <w:color w:val="auto"/>
          <w:sz w:val="24"/>
        </w:rPr>
        <w:t>因此，在严格落实本评价提出的环境风险防范措施、《初步设计》和《安全预评价报告》提出的各项安全对策措施的情况下，其环境影响可以接受。</w:t>
      </w:r>
    </w:p>
    <w:p>
      <w:pPr>
        <w:widowControl/>
        <w:spacing w:before="156" w:beforeLines="50"/>
        <w:ind w:firstLine="480" w:firstLineChars="200"/>
        <w:jc w:val="center"/>
        <w:rPr>
          <w:rFonts w:eastAsia="黑体"/>
          <w:color w:val="auto"/>
          <w:sz w:val="24"/>
        </w:rPr>
      </w:pPr>
      <w:r>
        <w:rPr>
          <w:rFonts w:hint="eastAsia" w:eastAsia="黑体"/>
          <w:color w:val="auto"/>
          <w:sz w:val="24"/>
        </w:rPr>
        <w:t>表15  建设项目环境风险简单分析内容表</w:t>
      </w:r>
    </w:p>
    <w:tbl>
      <w:tblPr>
        <w:tblStyle w:val="28"/>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05"/>
        <w:gridCol w:w="1525"/>
        <w:gridCol w:w="1537"/>
        <w:gridCol w:w="1162"/>
        <w:gridCol w:w="1313"/>
        <w:gridCol w:w="18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942" w:type="pct"/>
            <w:vAlign w:val="center"/>
          </w:tcPr>
          <w:p>
            <w:pPr>
              <w:jc w:val="center"/>
              <w:rPr>
                <w:color w:val="auto"/>
                <w:szCs w:val="21"/>
              </w:rPr>
            </w:pPr>
            <w:r>
              <w:rPr>
                <w:color w:val="auto"/>
                <w:szCs w:val="21"/>
              </w:rPr>
              <w:t>建设项目名称</w:t>
            </w:r>
          </w:p>
        </w:tc>
        <w:tc>
          <w:tcPr>
            <w:tcW w:w="4057" w:type="pct"/>
            <w:gridSpan w:val="5"/>
            <w:vAlign w:val="center"/>
          </w:tcPr>
          <w:p>
            <w:pPr>
              <w:rPr>
                <w:color w:val="auto"/>
                <w:szCs w:val="21"/>
              </w:rPr>
            </w:pPr>
            <w:r>
              <w:rPr>
                <w:rFonts w:hint="eastAsia"/>
                <w:color w:val="auto"/>
                <w:szCs w:val="21"/>
              </w:rPr>
              <w:t>现场混装多孔粒状铵油炸药生产系统扩能项目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942" w:type="pct"/>
            <w:vAlign w:val="center"/>
          </w:tcPr>
          <w:p>
            <w:pPr>
              <w:jc w:val="center"/>
              <w:rPr>
                <w:color w:val="auto"/>
                <w:szCs w:val="21"/>
              </w:rPr>
            </w:pPr>
            <w:r>
              <w:rPr>
                <w:color w:val="auto"/>
                <w:szCs w:val="21"/>
              </w:rPr>
              <w:t>建设地点</w:t>
            </w:r>
          </w:p>
        </w:tc>
        <w:tc>
          <w:tcPr>
            <w:tcW w:w="842" w:type="pct"/>
            <w:vAlign w:val="center"/>
          </w:tcPr>
          <w:p>
            <w:pPr>
              <w:jc w:val="center"/>
              <w:rPr>
                <w:color w:val="auto"/>
                <w:szCs w:val="21"/>
              </w:rPr>
            </w:pPr>
            <w:r>
              <w:rPr>
                <w:color w:val="auto"/>
                <w:szCs w:val="21"/>
              </w:rPr>
              <w:t>新疆</w:t>
            </w:r>
            <w:r>
              <w:rPr>
                <w:rFonts w:hint="eastAsia"/>
                <w:color w:val="auto"/>
                <w:szCs w:val="21"/>
              </w:rPr>
              <w:t>维吾尔</w:t>
            </w:r>
          </w:p>
          <w:p>
            <w:pPr>
              <w:jc w:val="center"/>
              <w:rPr>
                <w:color w:val="auto"/>
                <w:szCs w:val="21"/>
              </w:rPr>
            </w:pPr>
            <w:r>
              <w:rPr>
                <w:rFonts w:hint="eastAsia"/>
                <w:color w:val="auto"/>
                <w:szCs w:val="21"/>
              </w:rPr>
              <w:t>自治区</w:t>
            </w:r>
          </w:p>
        </w:tc>
        <w:tc>
          <w:tcPr>
            <w:tcW w:w="849" w:type="pct"/>
            <w:vAlign w:val="center"/>
          </w:tcPr>
          <w:p>
            <w:pPr>
              <w:jc w:val="center"/>
              <w:rPr>
                <w:color w:val="auto"/>
                <w:szCs w:val="21"/>
              </w:rPr>
            </w:pPr>
            <w:r>
              <w:rPr>
                <w:rFonts w:hint="eastAsia"/>
                <w:color w:val="auto"/>
                <w:szCs w:val="21"/>
              </w:rPr>
              <w:t>昌吉回族自治州</w:t>
            </w:r>
          </w:p>
        </w:tc>
        <w:tc>
          <w:tcPr>
            <w:tcW w:w="642" w:type="pct"/>
            <w:vAlign w:val="center"/>
          </w:tcPr>
          <w:p>
            <w:pPr>
              <w:rPr>
                <w:color w:val="auto"/>
                <w:szCs w:val="21"/>
              </w:rPr>
            </w:pPr>
            <w:r>
              <w:rPr>
                <w:color w:val="auto"/>
                <w:szCs w:val="21"/>
              </w:rPr>
              <w:t>（</w:t>
            </w:r>
            <w:r>
              <w:rPr>
                <w:rFonts w:hint="eastAsia"/>
                <w:color w:val="auto"/>
                <w:szCs w:val="21"/>
              </w:rPr>
              <w:t>/</w:t>
            </w:r>
            <w:r>
              <w:rPr>
                <w:color w:val="auto"/>
                <w:szCs w:val="21"/>
              </w:rPr>
              <w:t>）区</w:t>
            </w:r>
          </w:p>
        </w:tc>
        <w:tc>
          <w:tcPr>
            <w:tcW w:w="725" w:type="pct"/>
            <w:vAlign w:val="center"/>
          </w:tcPr>
          <w:p>
            <w:pPr>
              <w:rPr>
                <w:color w:val="auto"/>
                <w:szCs w:val="21"/>
              </w:rPr>
            </w:pPr>
            <w:r>
              <w:rPr>
                <w:rFonts w:hint="eastAsia"/>
                <w:color w:val="auto"/>
                <w:szCs w:val="21"/>
              </w:rPr>
              <w:t>吉木萨尔</w:t>
            </w:r>
            <w:r>
              <w:rPr>
                <w:color w:val="auto"/>
                <w:szCs w:val="21"/>
              </w:rPr>
              <w:t>县</w:t>
            </w:r>
          </w:p>
        </w:tc>
        <w:tc>
          <w:tcPr>
            <w:tcW w:w="997" w:type="pct"/>
            <w:vAlign w:val="center"/>
          </w:tcPr>
          <w:p>
            <w:pPr>
              <w:rPr>
                <w:color w:val="auto"/>
                <w:szCs w:val="21"/>
              </w:rPr>
            </w:pPr>
            <w:r>
              <w:rPr>
                <w:rFonts w:hint="eastAsia"/>
                <w:color w:val="auto"/>
                <w:szCs w:val="21"/>
              </w:rPr>
              <w:t>庆阳湖乡水溪沟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42" w:type="pct"/>
            <w:vAlign w:val="center"/>
          </w:tcPr>
          <w:p>
            <w:pPr>
              <w:jc w:val="center"/>
              <w:rPr>
                <w:color w:val="auto"/>
                <w:szCs w:val="21"/>
              </w:rPr>
            </w:pPr>
            <w:r>
              <w:rPr>
                <w:color w:val="auto"/>
                <w:szCs w:val="21"/>
              </w:rPr>
              <w:t>地理坐标</w:t>
            </w:r>
          </w:p>
        </w:tc>
        <w:tc>
          <w:tcPr>
            <w:tcW w:w="842" w:type="pct"/>
            <w:vAlign w:val="center"/>
          </w:tcPr>
          <w:p>
            <w:pPr>
              <w:jc w:val="center"/>
              <w:rPr>
                <w:color w:val="auto"/>
                <w:szCs w:val="21"/>
              </w:rPr>
            </w:pPr>
            <w:r>
              <w:rPr>
                <w:color w:val="auto"/>
                <w:szCs w:val="21"/>
              </w:rPr>
              <w:t>经度</w:t>
            </w:r>
          </w:p>
        </w:tc>
        <w:tc>
          <w:tcPr>
            <w:tcW w:w="849" w:type="pct"/>
            <w:vAlign w:val="center"/>
          </w:tcPr>
          <w:p>
            <w:pPr>
              <w:jc w:val="center"/>
              <w:rPr>
                <w:color w:val="auto"/>
                <w:szCs w:val="21"/>
              </w:rPr>
            </w:pPr>
            <w:r>
              <w:rPr>
                <w:color w:val="auto"/>
                <w:szCs w:val="21"/>
              </w:rPr>
              <w:t>88°58′22.783″</w:t>
            </w:r>
          </w:p>
        </w:tc>
        <w:tc>
          <w:tcPr>
            <w:tcW w:w="642" w:type="pct"/>
            <w:vAlign w:val="center"/>
          </w:tcPr>
          <w:p>
            <w:pPr>
              <w:jc w:val="center"/>
              <w:rPr>
                <w:color w:val="auto"/>
                <w:szCs w:val="21"/>
              </w:rPr>
            </w:pPr>
            <w:r>
              <w:rPr>
                <w:color w:val="auto"/>
                <w:szCs w:val="21"/>
              </w:rPr>
              <w:t>纬度</w:t>
            </w:r>
          </w:p>
        </w:tc>
        <w:tc>
          <w:tcPr>
            <w:tcW w:w="1723" w:type="pct"/>
            <w:gridSpan w:val="2"/>
            <w:vAlign w:val="center"/>
          </w:tcPr>
          <w:p>
            <w:pPr>
              <w:jc w:val="center"/>
              <w:rPr>
                <w:color w:val="auto"/>
                <w:szCs w:val="21"/>
              </w:rPr>
            </w:pPr>
            <w:r>
              <w:rPr>
                <w:color w:val="auto"/>
                <w:szCs w:val="21"/>
              </w:rPr>
              <w:t>43°59′14.042″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942" w:type="pct"/>
            <w:vAlign w:val="center"/>
          </w:tcPr>
          <w:p>
            <w:pPr>
              <w:jc w:val="center"/>
              <w:rPr>
                <w:color w:val="auto"/>
                <w:szCs w:val="21"/>
              </w:rPr>
            </w:pPr>
            <w:r>
              <w:rPr>
                <w:color w:val="auto"/>
                <w:szCs w:val="21"/>
              </w:rPr>
              <w:t>主要危险物质及分布</w:t>
            </w:r>
          </w:p>
        </w:tc>
        <w:tc>
          <w:tcPr>
            <w:tcW w:w="4057" w:type="pct"/>
            <w:gridSpan w:val="5"/>
            <w:vAlign w:val="center"/>
          </w:tcPr>
          <w:p>
            <w:pPr>
              <w:rPr>
                <w:color w:val="auto"/>
                <w:szCs w:val="21"/>
              </w:rPr>
            </w:pPr>
            <w:r>
              <w:rPr>
                <w:color w:val="auto"/>
                <w:szCs w:val="21"/>
              </w:rPr>
              <w:t>硝酸铵</w:t>
            </w:r>
            <w:r>
              <w:rPr>
                <w:rFonts w:hint="eastAsia"/>
                <w:color w:val="auto"/>
                <w:szCs w:val="21"/>
              </w:rPr>
              <w:t>、柴油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7" w:hRule="atLeast"/>
        </w:trPr>
        <w:tc>
          <w:tcPr>
            <w:tcW w:w="942" w:type="pct"/>
            <w:vAlign w:val="center"/>
          </w:tcPr>
          <w:p>
            <w:pPr>
              <w:jc w:val="center"/>
              <w:rPr>
                <w:color w:val="auto"/>
                <w:szCs w:val="21"/>
              </w:rPr>
            </w:pPr>
            <w:r>
              <w:rPr>
                <w:color w:val="auto"/>
                <w:szCs w:val="21"/>
              </w:rPr>
              <w:t>环境影响途径及危害后果（大气、地表水、地下水等）</w:t>
            </w:r>
          </w:p>
        </w:tc>
        <w:tc>
          <w:tcPr>
            <w:tcW w:w="4057" w:type="pct"/>
            <w:gridSpan w:val="5"/>
            <w:vAlign w:val="center"/>
          </w:tcPr>
          <w:p>
            <w:pPr>
              <w:rPr>
                <w:color w:val="auto"/>
                <w:szCs w:val="21"/>
              </w:rPr>
            </w:pPr>
            <w:r>
              <w:rPr>
                <w:color w:val="auto"/>
                <w:szCs w:val="21"/>
              </w:rPr>
              <w:t>（</w:t>
            </w:r>
            <w:r>
              <w:rPr>
                <w:rFonts w:hint="eastAsia"/>
                <w:color w:val="auto"/>
                <w:szCs w:val="21"/>
              </w:rPr>
              <w:t>1</w:t>
            </w:r>
            <w:r>
              <w:rPr>
                <w:color w:val="auto"/>
                <w:szCs w:val="21"/>
              </w:rPr>
              <w:t>）</w:t>
            </w:r>
            <w:r>
              <w:rPr>
                <w:rFonts w:hint="eastAsia"/>
                <w:color w:val="auto"/>
                <w:szCs w:val="21"/>
              </w:rPr>
              <w:t>柴油</w:t>
            </w:r>
            <w:r>
              <w:rPr>
                <w:color w:val="auto"/>
                <w:szCs w:val="21"/>
              </w:rPr>
              <w:t>泵送过程产生静电火花或其它火源作用；（</w:t>
            </w:r>
            <w:r>
              <w:rPr>
                <w:rFonts w:hint="eastAsia"/>
                <w:color w:val="auto"/>
                <w:szCs w:val="21"/>
              </w:rPr>
              <w:t>2</w:t>
            </w:r>
            <w:r>
              <w:rPr>
                <w:color w:val="auto"/>
                <w:szCs w:val="21"/>
              </w:rPr>
              <w:t>）加料过程混入禁忌性杂质给下一步生产造成隐患。（4）炸药混制过程，螺旋故障或混入机械杂质，局部长时间摩擦；（5）控制系统故障，断料，螺旋长时间断料空转、干磨。</w:t>
            </w:r>
            <w:r>
              <w:rPr>
                <w:rFonts w:hint="eastAsia"/>
                <w:color w:val="auto"/>
                <w:szCs w:val="21"/>
              </w:rPr>
              <w:t>（6）柴油储罐发生破裂导致泄漏，影响地下水及土壤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42" w:type="pct"/>
            <w:vAlign w:val="center"/>
          </w:tcPr>
          <w:p>
            <w:pPr>
              <w:jc w:val="center"/>
              <w:rPr>
                <w:color w:val="auto"/>
                <w:szCs w:val="21"/>
              </w:rPr>
            </w:pPr>
            <w:r>
              <w:rPr>
                <w:color w:val="auto"/>
                <w:szCs w:val="21"/>
              </w:rPr>
              <w:t>风险防范措施</w:t>
            </w:r>
          </w:p>
          <w:p>
            <w:pPr>
              <w:jc w:val="center"/>
              <w:rPr>
                <w:color w:val="auto"/>
                <w:szCs w:val="21"/>
              </w:rPr>
            </w:pPr>
            <w:r>
              <w:rPr>
                <w:color w:val="auto"/>
                <w:szCs w:val="21"/>
              </w:rPr>
              <w:t>要求</w:t>
            </w:r>
          </w:p>
        </w:tc>
        <w:tc>
          <w:tcPr>
            <w:tcW w:w="4057" w:type="pct"/>
            <w:gridSpan w:val="5"/>
            <w:vAlign w:val="center"/>
          </w:tcPr>
          <w:p>
            <w:pPr>
              <w:rPr>
                <w:color w:val="auto"/>
              </w:rPr>
            </w:pPr>
            <w:r>
              <w:rPr>
                <w:color w:val="auto"/>
              </w:rPr>
              <w:t>（1）工段风险防范措施：危险品生产工艺设计在满足安全生产的前提下，采用了行之有效的隔离操作、自动控制和计算机管理等先进技术，并减少厂房存放药量和操作人员；</w:t>
            </w:r>
          </w:p>
          <w:p>
            <w:pPr>
              <w:rPr>
                <w:color w:val="auto"/>
              </w:rPr>
            </w:pPr>
            <w:r>
              <w:rPr>
                <w:color w:val="auto"/>
              </w:rPr>
              <w:t>（2）重大危险源管理措施：依据《民用爆破器材工程设计安全规范》（GB50089-2007）和《民用爆破器材企业安全管理规程》（WJ9049-2005）的要求，不相容的物质不得混贮或混运</w:t>
            </w:r>
          </w:p>
          <w:p>
            <w:pPr>
              <w:rPr>
                <w:color w:val="auto"/>
              </w:rPr>
            </w:pPr>
            <w:r>
              <w:rPr>
                <w:color w:val="auto"/>
              </w:rPr>
              <w:t>（3）严格按照规定控制各工、库房贮存量。</w:t>
            </w:r>
          </w:p>
          <w:p>
            <w:pPr>
              <w:rPr>
                <w:color w:val="auto"/>
              </w:rPr>
            </w:pPr>
            <w:r>
              <w:rPr>
                <w:color w:val="auto"/>
              </w:rPr>
              <w:t>（</w:t>
            </w:r>
            <w:r>
              <w:rPr>
                <w:rFonts w:hint="eastAsia"/>
                <w:color w:val="auto"/>
              </w:rPr>
              <w:t>4</w:t>
            </w:r>
            <w:r>
              <w:rPr>
                <w:color w:val="auto"/>
              </w:rPr>
              <w:t>）运输事故防范措施：严格执行《道路危险货物运输管理规定》及其他相关法律法规和安全操作规程；驾驶员、押运员持证上岗；出车前按规定对车辆进行检查（包括安全、消防设施），确认合格后，方可装运；装运严禁超载：严格按规定的时间、路线行驶。</w:t>
            </w:r>
          </w:p>
          <w:p>
            <w:pPr>
              <w:rPr>
                <w:color w:val="auto"/>
              </w:rPr>
            </w:pPr>
            <w:r>
              <w:rPr>
                <w:rFonts w:hint="eastAsia"/>
                <w:color w:val="auto"/>
              </w:rPr>
              <w:t>（5）罐体泄漏风险防范措施：</w:t>
            </w:r>
            <w:r>
              <w:rPr>
                <w:color w:val="auto"/>
              </w:rPr>
              <w:t>切断</w:t>
            </w:r>
            <w:r>
              <w:rPr>
                <w:rFonts w:hint="eastAsia"/>
                <w:color w:val="auto"/>
              </w:rPr>
              <w:t>柴油</w:t>
            </w:r>
            <w:r>
              <w:rPr>
                <w:color w:val="auto"/>
              </w:rPr>
              <w:t>泄漏源。</w:t>
            </w:r>
          </w:p>
          <w:p>
            <w:pPr>
              <w:rPr>
                <w:color w:val="auto"/>
              </w:rPr>
            </w:pPr>
            <w:r>
              <w:rPr>
                <w:rFonts w:hint="eastAsia"/>
                <w:color w:val="auto"/>
              </w:rPr>
              <w:t>（6）油相物料发生火灾风险防范措施：油相材料发生燃烧事故时立即切断电源，启动消防系统备用电源。应迅速撤离人员至厂区安全区域，设置警戒线，严禁无关人员进入。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5000" w:type="pct"/>
            <w:gridSpan w:val="6"/>
          </w:tcPr>
          <w:p>
            <w:pPr>
              <w:rPr>
                <w:color w:val="auto"/>
                <w:szCs w:val="21"/>
              </w:rPr>
            </w:pPr>
            <w:r>
              <w:rPr>
                <w:color w:val="auto"/>
                <w:szCs w:val="21"/>
              </w:rPr>
              <w:t>填表说明（列出项目相关信息及评价说明）本项目具有潜在的事故风险，要从建设、生产、贮运等各方面积极采取防护措施，这是确保安全的根本。</w:t>
            </w:r>
          </w:p>
        </w:tc>
      </w:tr>
    </w:tbl>
    <w:p>
      <w:pPr>
        <w:pStyle w:val="22"/>
        <w:ind w:left="0" w:leftChars="0" w:firstLine="0" w:firstLineChars="0"/>
        <w:rPr>
          <w:color w:val="auto"/>
        </w:rPr>
      </w:pPr>
    </w:p>
    <w:sectPr>
      <w:footerReference r:id="rId8" w:type="default"/>
      <w:pgSz w:w="11906" w:h="16838"/>
      <w:pgMar w:top="1701" w:right="1531" w:bottom="1701" w:left="1531" w:header="851" w:footer="851" w:gutter="0"/>
      <w:cols w:space="720" w:num="1"/>
      <w:docGrid w:linePitch="312" w:charSpace="0"/>
    </w:sectPr>
  </w:body>
</w:document>
</file>

<file path=word/customizations.xml><?xml version="1.0" encoding="utf-8"?>
<wne:tcg xmlns:r="http://schemas.openxmlformats.org/officeDocument/2006/relationships" xmlns:wne="http://schemas.microsoft.com/office/word/2006/wordml">
  <wne:keymaps>
    <wne:keymap wne:kcmPrimary="0433">
      <wne:acd wne:acdName="acd0"/>
    </wne:keymap>
  </wne:keymaps>
  <wne:acds>
    <wne:acd wne:argValue="AQAAAAMA" wne:acdName="acd0"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801927A-7A64-4DA6-A423-B637B2351E2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3C163B07-2A02-4A2B-801C-B4BF3C8FA04E}"/>
  </w:font>
  <w:font w:name="仿宋">
    <w:panose1 w:val="02010609060101010101"/>
    <w:charset w:val="86"/>
    <w:family w:val="modern"/>
    <w:pitch w:val="default"/>
    <w:sig w:usb0="800002BF" w:usb1="38CF7CFA" w:usb2="00000016" w:usb3="00000000" w:csb0="00040001" w:csb1="00000000"/>
    <w:embedRegular r:id="rId3" w:fontKey="{20C89F26-2CB6-46FB-A57D-D14E0F5B0A1A}"/>
  </w:font>
  <w:font w:name="Arial Unicode MS">
    <w:panose1 w:val="020B0604020202020204"/>
    <w:charset w:val="86"/>
    <w:family w:val="swiss"/>
    <w:pitch w:val="default"/>
    <w:sig w:usb0="FFFFFFFF" w:usb1="E9FFFFFF" w:usb2="0000003F" w:usb3="00000000" w:csb0="603F01FF" w:csb1="FFFF0000"/>
  </w:font>
  <w:font w:name="楷体_GB2312">
    <w:panose1 w:val="02010609030101010101"/>
    <w:charset w:val="86"/>
    <w:family w:val="modern"/>
    <w:pitch w:val="default"/>
    <w:sig w:usb0="00000001" w:usb1="080E0000" w:usb2="00000000" w:usb3="00000000" w:csb0="00040000" w:csb1="00000000"/>
    <w:embedRegular r:id="rId4" w:fontKey="{28A3072B-9147-4E85-9C91-7A0A6B0312BF}"/>
  </w:font>
  <w:font w:name="方正仿宋简体">
    <w:altName w:val="黑体"/>
    <w:panose1 w:val="00000000000000000000"/>
    <w:charset w:val="86"/>
    <w:family w:val="auto"/>
    <w:pitch w:val="default"/>
    <w:sig w:usb0="00000000" w:usb1="00000000" w:usb2="00000000" w:usb3="00000000" w:csb0="00040000" w:csb1="00000000"/>
  </w:font>
  <w:font w:name="PMingLiU">
    <w:altName w:val="Microsoft JhengHei UI"/>
    <w:panose1 w:val="02010601000101010101"/>
    <w:charset w:val="88"/>
    <w:family w:val="roman"/>
    <w:pitch w:val="default"/>
    <w:sig w:usb0="00000000" w:usb1="00000000" w:usb2="00000016" w:usb3="00000000" w:csb0="00100001" w:csb1="00000000"/>
  </w:font>
  <w:font w:name="方正小标宋_GBK">
    <w:altName w:val="微软雅黑"/>
    <w:panose1 w:val="00000000000000000000"/>
    <w:charset w:val="86"/>
    <w:family w:val="script"/>
    <w:pitch w:val="default"/>
    <w:sig w:usb0="00000000" w:usb1="00000000" w:usb2="00000000" w:usb3="00000000" w:csb0="00040000" w:csb1="00000000"/>
    <w:embedRegular r:id="rId5" w:fontKey="{5B4C9359-27EA-47F9-B68E-58349B659C57}"/>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embedRegular r:id="rId6" w:fontKey="{D36218F0-44BE-4CE4-8A39-57B16FB8CB96}"/>
  </w:font>
  <w:font w:name="Wingdings 2">
    <w:panose1 w:val="05020102010507070707"/>
    <w:charset w:val="02"/>
    <w:family w:val="roman"/>
    <w:pitch w:val="default"/>
    <w:sig w:usb0="00000000" w:usb1="00000000" w:usb2="00000000" w:usb3="00000000" w:csb0="80000000" w:csb1="00000000"/>
    <w:embedRegular r:id="rId7" w:fontKey="{200BA7E7-92B7-4E09-BF0E-381BAA8FE1B1}"/>
  </w:font>
  <w:font w:name="新宋体">
    <w:panose1 w:val="02010609030101010101"/>
    <w:charset w:val="86"/>
    <w:family w:val="modern"/>
    <w:pitch w:val="default"/>
    <w:sig w:usb0="00000203" w:usb1="288F0000" w:usb2="00000006" w:usb3="00000000" w:csb0="00040001" w:csb1="00000000"/>
    <w:embedRegular r:id="rId8" w:fontKey="{CB24F791-9327-449E-824D-D7732BCD6A3C}"/>
  </w:font>
  <w:font w:name="sans-serif">
    <w:altName w:val="ESRI AMFM Electric"/>
    <w:panose1 w:val="00000000000000000000"/>
    <w:charset w:val="00"/>
    <w:family w:val="auto"/>
    <w:pitch w:val="default"/>
    <w:sig w:usb0="00000000" w:usb1="00000000" w:usb2="00000000" w:usb3="00000000" w:csb0="00000000" w:csb1="00000000"/>
    <w:embedRegular r:id="rId9" w:fontKey="{FBD29947-4C81-4F24-9492-65B760FA13AF}"/>
  </w:font>
  <w:font w:name="方正仿宋_GB2312">
    <w:panose1 w:val="02000000000000000000"/>
    <w:charset w:val="86"/>
    <w:family w:val="auto"/>
    <w:pitch w:val="default"/>
    <w:sig w:usb0="A00002BF" w:usb1="184F6CFA" w:usb2="00000012" w:usb3="00000000" w:csb0="00040001" w:csb1="00000000"/>
    <w:embedRegular r:id="rId10" w:fontKey="{F73E5375-C2B2-412D-9842-391A5F84EFCB}"/>
  </w:font>
  <w:font w:name="微软雅黑">
    <w:panose1 w:val="020B0503020204020204"/>
    <w:charset w:val="86"/>
    <w:family w:val="swiss"/>
    <w:pitch w:val="default"/>
    <w:sig w:usb0="80000287" w:usb1="2ACF3C50" w:usb2="00000016" w:usb3="00000000" w:csb0="0004001F" w:csb1="00000000"/>
    <w:embedRegular r:id="rId11" w:fontKey="{E3F49A2E-97A1-4EB1-AA64-3C2CE4803A20}"/>
  </w:font>
  <w:font w:name="Tahoma">
    <w:panose1 w:val="020B0604030504040204"/>
    <w:charset w:val="00"/>
    <w:family w:val="auto"/>
    <w:pitch w:val="default"/>
    <w:sig w:usb0="E1002EFF" w:usb1="C000605B" w:usb2="00000029" w:usb3="00000000" w:csb0="200101FF" w:csb1="20280000"/>
  </w:font>
  <w:font w:name="ESRI AMFM Electric">
    <w:panose1 w:val="02000400000000000000"/>
    <w:charset w:val="00"/>
    <w:family w:val="auto"/>
    <w:pitch w:val="default"/>
    <w:sig w:usb0="00000003" w:usb1="00000000" w:usb2="00000000" w:usb3="00000000" w:csb0="00000001"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1"/>
      </w:rPr>
    </w:pPr>
    <w:r>
      <w:fldChar w:fldCharType="begin"/>
    </w:r>
    <w:r>
      <w:rPr>
        <w:rStyle w:val="31"/>
      </w:rPr>
      <w:instrText xml:space="preserve">PAGE  </w:instrText>
    </w:r>
    <w:r>
      <w:fldChar w:fldCharType="end"/>
    </w:r>
  </w:p>
  <w:p>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both"/>
    </w:pPr>
    <w:r>
      <mc:AlternateContent>
        <mc:Choice Requires="wps">
          <w:drawing>
            <wp:anchor distT="0" distB="0" distL="114300" distR="114300" simplePos="0" relativeHeight="251662336" behindDoc="0" locked="0" layoutInCell="1" allowOverlap="1">
              <wp:simplePos x="0" y="0"/>
              <wp:positionH relativeFrom="margin">
                <wp:posOffset>2767330</wp:posOffset>
              </wp:positionH>
              <wp:positionV relativeFrom="paragraph">
                <wp:posOffset>8255</wp:posOffset>
              </wp:positionV>
              <wp:extent cx="442595" cy="327025"/>
              <wp:effectExtent l="0" t="0" r="0" b="0"/>
              <wp:wrapNone/>
              <wp:docPr id="1" name="文本框 1"/>
              <wp:cNvGraphicFramePr/>
              <a:graphic xmlns:a="http://schemas.openxmlformats.org/drawingml/2006/main">
                <a:graphicData uri="http://schemas.microsoft.com/office/word/2010/wordprocessingShape">
                  <wps:wsp>
                    <wps:cNvSpPr txBox="1"/>
                    <wps:spPr>
                      <a:xfrm>
                        <a:off x="0" y="0"/>
                        <a:ext cx="442595" cy="327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17.9pt;margin-top:0.65pt;height:25.75pt;width:34.85pt;mso-position-horizontal-relative:margin;z-index:251662336;mso-width-relative:page;mso-height-relative:page;" filled="f" stroked="f" coordsize="21600,21600" o:gfxdata="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C7PpM1gAAAAgBAAAPAAAAAAAAAAEAIAAAACIAAABkcnMvZG93bnJldi54bWxQ&#10;SwECFAAUAAAACACHTuJAjES8DzICAABVBAAADgAAAAAAAAABACAAAAAlAQAAZHJzL2Uyb0RvYy54&#10;bWxQSwUGAAAAAAYABgBZAQAAyQUAAAAA&#10;">
              <v:fill on="f" focussize="0,0"/>
              <v:stroke on="f" weight="0.5pt"/>
              <v:imagedata o:title=""/>
              <o:lock v:ext="edit" aspectratio="f"/>
              <v:textbox inset="0mm,0mm,0mm,0mm">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1fQYkxAgAAZ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X0GJMQIAAGcEAAAOAAAAAAAAAAEAIAAAAB8BAABkcnMvZTJvRG9jLnhtbFBLBQYA&#10;AAAABgAGAFkBAADC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40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774BF2"/>
    <w:multiLevelType w:val="singleLevel"/>
    <w:tmpl w:val="89774BF2"/>
    <w:lvl w:ilvl="0" w:tentative="0">
      <w:start w:val="1"/>
      <w:numFmt w:val="decimal"/>
      <w:suff w:val="nothing"/>
      <w:lvlText w:val="（%1）"/>
      <w:lvlJc w:val="left"/>
    </w:lvl>
  </w:abstractNum>
  <w:abstractNum w:abstractNumId="1">
    <w:nsid w:val="8B3049A6"/>
    <w:multiLevelType w:val="singleLevel"/>
    <w:tmpl w:val="8B3049A6"/>
    <w:lvl w:ilvl="0" w:tentative="0">
      <w:start w:val="1"/>
      <w:numFmt w:val="decimal"/>
      <w:suff w:val="nothing"/>
      <w:lvlText w:val="（%1）"/>
      <w:lvlJc w:val="left"/>
    </w:lvl>
  </w:abstractNum>
  <w:abstractNum w:abstractNumId="2">
    <w:nsid w:val="A08E0653"/>
    <w:multiLevelType w:val="singleLevel"/>
    <w:tmpl w:val="A08E0653"/>
    <w:lvl w:ilvl="0" w:tentative="0">
      <w:start w:val="1"/>
      <w:numFmt w:val="decimal"/>
      <w:suff w:val="nothing"/>
      <w:lvlText w:val="%1、"/>
      <w:lvlJc w:val="left"/>
    </w:lvl>
  </w:abstractNum>
  <w:abstractNum w:abstractNumId="3">
    <w:nsid w:val="A35FE8C9"/>
    <w:multiLevelType w:val="singleLevel"/>
    <w:tmpl w:val="A35FE8C9"/>
    <w:lvl w:ilvl="0" w:tentative="0">
      <w:start w:val="1"/>
      <w:numFmt w:val="decimal"/>
      <w:suff w:val="nothing"/>
      <w:lvlText w:val="%1、"/>
      <w:lvlJc w:val="left"/>
    </w:lvl>
  </w:abstractNum>
  <w:abstractNum w:abstractNumId="4">
    <w:nsid w:val="C349C0C6"/>
    <w:multiLevelType w:val="singleLevel"/>
    <w:tmpl w:val="C349C0C6"/>
    <w:lvl w:ilvl="0" w:tentative="0">
      <w:start w:val="4"/>
      <w:numFmt w:val="decimal"/>
      <w:suff w:val="nothing"/>
      <w:lvlText w:val="%1、"/>
      <w:lvlJc w:val="left"/>
    </w:lvl>
  </w:abstractNum>
  <w:abstractNum w:abstractNumId="5">
    <w:nsid w:val="C65F44A5"/>
    <w:multiLevelType w:val="singleLevel"/>
    <w:tmpl w:val="C65F44A5"/>
    <w:lvl w:ilvl="0" w:tentative="0">
      <w:start w:val="7"/>
      <w:numFmt w:val="decimal"/>
      <w:suff w:val="nothing"/>
      <w:lvlText w:val="%1、"/>
      <w:lvlJc w:val="left"/>
    </w:lvl>
  </w:abstractNum>
  <w:abstractNum w:abstractNumId="6">
    <w:nsid w:val="D8CC4DE5"/>
    <w:multiLevelType w:val="singleLevel"/>
    <w:tmpl w:val="D8CC4DE5"/>
    <w:lvl w:ilvl="0" w:tentative="0">
      <w:start w:val="1"/>
      <w:numFmt w:val="decimal"/>
      <w:suff w:val="nothing"/>
      <w:lvlText w:val="%1、"/>
      <w:lvlJc w:val="left"/>
    </w:lvl>
  </w:abstractNum>
  <w:abstractNum w:abstractNumId="7">
    <w:nsid w:val="DFC209F7"/>
    <w:multiLevelType w:val="singleLevel"/>
    <w:tmpl w:val="DFC209F7"/>
    <w:lvl w:ilvl="0" w:tentative="0">
      <w:start w:val="1"/>
      <w:numFmt w:val="decimal"/>
      <w:suff w:val="nothing"/>
      <w:lvlText w:val="（%1）"/>
      <w:lvlJc w:val="left"/>
    </w:lvl>
  </w:abstractNum>
  <w:abstractNum w:abstractNumId="8">
    <w:nsid w:val="F89A68F2"/>
    <w:multiLevelType w:val="singleLevel"/>
    <w:tmpl w:val="F89A68F2"/>
    <w:lvl w:ilvl="0" w:tentative="0">
      <w:start w:val="4"/>
      <w:numFmt w:val="decimal"/>
      <w:suff w:val="nothing"/>
      <w:lvlText w:val="%1、"/>
      <w:lvlJc w:val="left"/>
    </w:lvl>
  </w:abstractNum>
  <w:abstractNum w:abstractNumId="9">
    <w:nsid w:val="10242E44"/>
    <w:multiLevelType w:val="singleLevel"/>
    <w:tmpl w:val="10242E44"/>
    <w:lvl w:ilvl="0" w:tentative="0">
      <w:start w:val="8"/>
      <w:numFmt w:val="decimal"/>
      <w:suff w:val="nothing"/>
      <w:lvlText w:val="%1、"/>
      <w:lvlJc w:val="left"/>
    </w:lvl>
  </w:abstractNum>
  <w:abstractNum w:abstractNumId="10">
    <w:nsid w:val="1247C6F8"/>
    <w:multiLevelType w:val="singleLevel"/>
    <w:tmpl w:val="1247C6F8"/>
    <w:lvl w:ilvl="0" w:tentative="0">
      <w:start w:val="1"/>
      <w:numFmt w:val="decimal"/>
      <w:suff w:val="nothing"/>
      <w:lvlText w:val="%1、"/>
      <w:lvlJc w:val="left"/>
    </w:lvl>
  </w:abstractNum>
  <w:abstractNum w:abstractNumId="11">
    <w:nsid w:val="1A01BA1A"/>
    <w:multiLevelType w:val="singleLevel"/>
    <w:tmpl w:val="1A01BA1A"/>
    <w:lvl w:ilvl="0" w:tentative="0">
      <w:start w:val="1"/>
      <w:numFmt w:val="decimal"/>
      <w:suff w:val="nothing"/>
      <w:lvlText w:val="%1、"/>
      <w:lvlJc w:val="left"/>
      <w:pPr>
        <w:ind w:left="-60"/>
      </w:pPr>
    </w:lvl>
  </w:abstractNum>
  <w:abstractNum w:abstractNumId="12">
    <w:nsid w:val="226BCE92"/>
    <w:multiLevelType w:val="singleLevel"/>
    <w:tmpl w:val="226BCE92"/>
    <w:lvl w:ilvl="0" w:tentative="0">
      <w:start w:val="1"/>
      <w:numFmt w:val="decimal"/>
      <w:suff w:val="nothing"/>
      <w:lvlText w:val="%1、"/>
      <w:lvlJc w:val="left"/>
      <w:pPr>
        <w:ind w:left="-62"/>
      </w:pPr>
    </w:lvl>
  </w:abstractNum>
  <w:abstractNum w:abstractNumId="13">
    <w:nsid w:val="3BE247EA"/>
    <w:multiLevelType w:val="singleLevel"/>
    <w:tmpl w:val="3BE247EA"/>
    <w:lvl w:ilvl="0" w:tentative="0">
      <w:start w:val="1"/>
      <w:numFmt w:val="decimal"/>
      <w:suff w:val="nothing"/>
      <w:lvlText w:val="（%1）"/>
      <w:lvlJc w:val="left"/>
    </w:lvl>
  </w:abstractNum>
  <w:abstractNum w:abstractNumId="14">
    <w:nsid w:val="3F13DA6B"/>
    <w:multiLevelType w:val="singleLevel"/>
    <w:tmpl w:val="3F13DA6B"/>
    <w:lvl w:ilvl="0" w:tentative="0">
      <w:start w:val="1"/>
      <w:numFmt w:val="decimal"/>
      <w:suff w:val="nothing"/>
      <w:lvlText w:val="%1、"/>
      <w:lvlJc w:val="left"/>
      <w:pPr>
        <w:ind w:left="-62"/>
      </w:pPr>
    </w:lvl>
  </w:abstractNum>
  <w:abstractNum w:abstractNumId="15">
    <w:nsid w:val="576167E7"/>
    <w:multiLevelType w:val="multilevel"/>
    <w:tmpl w:val="576167E7"/>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pStyle w:val="7"/>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6">
    <w:nsid w:val="5FC032F5"/>
    <w:multiLevelType w:val="singleLevel"/>
    <w:tmpl w:val="5FC032F5"/>
    <w:lvl w:ilvl="0" w:tentative="0">
      <w:start w:val="1"/>
      <w:numFmt w:val="decimal"/>
      <w:suff w:val="nothing"/>
      <w:lvlText w:val="（%1）"/>
      <w:lvlJc w:val="left"/>
    </w:lvl>
  </w:abstractNum>
  <w:abstractNum w:abstractNumId="17">
    <w:nsid w:val="79802B3D"/>
    <w:multiLevelType w:val="singleLevel"/>
    <w:tmpl w:val="79802B3D"/>
    <w:lvl w:ilvl="0" w:tentative="0">
      <w:start w:val="1"/>
      <w:numFmt w:val="decimal"/>
      <w:suff w:val="nothing"/>
      <w:lvlText w:val="%1、"/>
      <w:lvlJc w:val="left"/>
    </w:lvl>
  </w:abstractNum>
  <w:abstractNum w:abstractNumId="18">
    <w:nsid w:val="7C46E264"/>
    <w:multiLevelType w:val="singleLevel"/>
    <w:tmpl w:val="7C46E264"/>
    <w:lvl w:ilvl="0" w:tentative="0">
      <w:start w:val="1"/>
      <w:numFmt w:val="decimal"/>
      <w:suff w:val="nothing"/>
      <w:lvlText w:val="（%1）"/>
      <w:lvlJc w:val="left"/>
    </w:lvl>
  </w:abstractNum>
  <w:num w:numId="1">
    <w:abstractNumId w:val="15"/>
  </w:num>
  <w:num w:numId="2">
    <w:abstractNumId w:val="2"/>
  </w:num>
  <w:num w:numId="3">
    <w:abstractNumId w:val="17"/>
  </w:num>
  <w:num w:numId="4">
    <w:abstractNumId w:val="3"/>
  </w:num>
  <w:num w:numId="5">
    <w:abstractNumId w:val="10"/>
  </w:num>
  <w:num w:numId="6">
    <w:abstractNumId w:val="6"/>
  </w:num>
  <w:num w:numId="7">
    <w:abstractNumId w:val="5"/>
  </w:num>
  <w:num w:numId="8">
    <w:abstractNumId w:val="9"/>
  </w:num>
  <w:num w:numId="9">
    <w:abstractNumId w:val="18"/>
  </w:num>
  <w:num w:numId="10">
    <w:abstractNumId w:val="16"/>
  </w:num>
  <w:num w:numId="11">
    <w:abstractNumId w:val="11"/>
  </w:num>
  <w:num w:numId="12">
    <w:abstractNumId w:val="13"/>
  </w:num>
  <w:num w:numId="13">
    <w:abstractNumId w:val="4"/>
  </w:num>
  <w:num w:numId="14">
    <w:abstractNumId w:val="7"/>
  </w:num>
  <w:num w:numId="15">
    <w:abstractNumId w:val="12"/>
  </w:num>
  <w:num w:numId="16">
    <w:abstractNumId w:val="8"/>
  </w:num>
  <w:num w:numId="17">
    <w:abstractNumId w:val="14"/>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ZmMDVmZDc0NTMwOTk0MmNjZDdhNzdiMGQxNjFjZDUifQ=="/>
  </w:docVars>
  <w:rsids>
    <w:rsidRoot w:val="00172A27"/>
    <w:rsid w:val="000060B3"/>
    <w:rsid w:val="00015393"/>
    <w:rsid w:val="00033D79"/>
    <w:rsid w:val="00037F47"/>
    <w:rsid w:val="00042886"/>
    <w:rsid w:val="0004364B"/>
    <w:rsid w:val="00061B1F"/>
    <w:rsid w:val="00062C9E"/>
    <w:rsid w:val="00065CB7"/>
    <w:rsid w:val="000733C4"/>
    <w:rsid w:val="00074783"/>
    <w:rsid w:val="00076791"/>
    <w:rsid w:val="0008070B"/>
    <w:rsid w:val="000810AC"/>
    <w:rsid w:val="00081A02"/>
    <w:rsid w:val="00082231"/>
    <w:rsid w:val="00092D38"/>
    <w:rsid w:val="0009377B"/>
    <w:rsid w:val="000A16B8"/>
    <w:rsid w:val="000A20C9"/>
    <w:rsid w:val="000B058F"/>
    <w:rsid w:val="000B3898"/>
    <w:rsid w:val="000B4467"/>
    <w:rsid w:val="000B4DB9"/>
    <w:rsid w:val="000C09AC"/>
    <w:rsid w:val="000C767F"/>
    <w:rsid w:val="000D5A44"/>
    <w:rsid w:val="000E320B"/>
    <w:rsid w:val="000E3ED2"/>
    <w:rsid w:val="00103EB9"/>
    <w:rsid w:val="00104980"/>
    <w:rsid w:val="001100D8"/>
    <w:rsid w:val="00131F42"/>
    <w:rsid w:val="001357F1"/>
    <w:rsid w:val="00140FA8"/>
    <w:rsid w:val="00142FEB"/>
    <w:rsid w:val="00143A2D"/>
    <w:rsid w:val="00145A41"/>
    <w:rsid w:val="00151675"/>
    <w:rsid w:val="00157435"/>
    <w:rsid w:val="00172A27"/>
    <w:rsid w:val="0017504D"/>
    <w:rsid w:val="0017671A"/>
    <w:rsid w:val="00177422"/>
    <w:rsid w:val="00184590"/>
    <w:rsid w:val="001870D1"/>
    <w:rsid w:val="0018781E"/>
    <w:rsid w:val="0019262D"/>
    <w:rsid w:val="001A1B35"/>
    <w:rsid w:val="001A2968"/>
    <w:rsid w:val="001A48A2"/>
    <w:rsid w:val="001A6F61"/>
    <w:rsid w:val="001B72B8"/>
    <w:rsid w:val="001C13B2"/>
    <w:rsid w:val="001C69B3"/>
    <w:rsid w:val="001C7821"/>
    <w:rsid w:val="001D5595"/>
    <w:rsid w:val="001D7874"/>
    <w:rsid w:val="001D7F22"/>
    <w:rsid w:val="001F0F17"/>
    <w:rsid w:val="001F3347"/>
    <w:rsid w:val="001F69E4"/>
    <w:rsid w:val="00200D72"/>
    <w:rsid w:val="002125B4"/>
    <w:rsid w:val="002155B8"/>
    <w:rsid w:val="002164EA"/>
    <w:rsid w:val="00217C1E"/>
    <w:rsid w:val="00224839"/>
    <w:rsid w:val="002249B2"/>
    <w:rsid w:val="00224A1A"/>
    <w:rsid w:val="00226574"/>
    <w:rsid w:val="002278EC"/>
    <w:rsid w:val="0023280E"/>
    <w:rsid w:val="002377D1"/>
    <w:rsid w:val="00242903"/>
    <w:rsid w:val="002506BC"/>
    <w:rsid w:val="0025231A"/>
    <w:rsid w:val="00254345"/>
    <w:rsid w:val="00264557"/>
    <w:rsid w:val="00270470"/>
    <w:rsid w:val="002805AB"/>
    <w:rsid w:val="00280A54"/>
    <w:rsid w:val="00284204"/>
    <w:rsid w:val="00290EF2"/>
    <w:rsid w:val="00291773"/>
    <w:rsid w:val="002A168C"/>
    <w:rsid w:val="002A1C8A"/>
    <w:rsid w:val="002A3DC7"/>
    <w:rsid w:val="002B49E2"/>
    <w:rsid w:val="002B5123"/>
    <w:rsid w:val="002B7B00"/>
    <w:rsid w:val="002B7C44"/>
    <w:rsid w:val="002C2B17"/>
    <w:rsid w:val="002C6B57"/>
    <w:rsid w:val="002D3DD0"/>
    <w:rsid w:val="002E1F3A"/>
    <w:rsid w:val="002E298A"/>
    <w:rsid w:val="002E484B"/>
    <w:rsid w:val="00301978"/>
    <w:rsid w:val="0030332C"/>
    <w:rsid w:val="00304E23"/>
    <w:rsid w:val="003051C2"/>
    <w:rsid w:val="00312296"/>
    <w:rsid w:val="00314F0E"/>
    <w:rsid w:val="00316131"/>
    <w:rsid w:val="00321D8E"/>
    <w:rsid w:val="00325928"/>
    <w:rsid w:val="00332863"/>
    <w:rsid w:val="00334994"/>
    <w:rsid w:val="0033684D"/>
    <w:rsid w:val="00336ABB"/>
    <w:rsid w:val="00337B42"/>
    <w:rsid w:val="00341B42"/>
    <w:rsid w:val="0034348F"/>
    <w:rsid w:val="00356653"/>
    <w:rsid w:val="0035743F"/>
    <w:rsid w:val="00357BE2"/>
    <w:rsid w:val="0036170C"/>
    <w:rsid w:val="003656DF"/>
    <w:rsid w:val="00366E0F"/>
    <w:rsid w:val="0037164D"/>
    <w:rsid w:val="003808F8"/>
    <w:rsid w:val="00381A72"/>
    <w:rsid w:val="00384676"/>
    <w:rsid w:val="00390857"/>
    <w:rsid w:val="003974E4"/>
    <w:rsid w:val="003A4BF3"/>
    <w:rsid w:val="003B420D"/>
    <w:rsid w:val="003C6C16"/>
    <w:rsid w:val="003D3FBC"/>
    <w:rsid w:val="003D794D"/>
    <w:rsid w:val="003E3058"/>
    <w:rsid w:val="003E76A9"/>
    <w:rsid w:val="003F0809"/>
    <w:rsid w:val="003F3A8E"/>
    <w:rsid w:val="003F6A8C"/>
    <w:rsid w:val="003F755C"/>
    <w:rsid w:val="00406F01"/>
    <w:rsid w:val="004106CC"/>
    <w:rsid w:val="00416D50"/>
    <w:rsid w:val="00416FD5"/>
    <w:rsid w:val="00417772"/>
    <w:rsid w:val="00420E6A"/>
    <w:rsid w:val="00425A9E"/>
    <w:rsid w:val="00426D6B"/>
    <w:rsid w:val="00431E6C"/>
    <w:rsid w:val="00433CE7"/>
    <w:rsid w:val="0045210B"/>
    <w:rsid w:val="00452738"/>
    <w:rsid w:val="00456091"/>
    <w:rsid w:val="00466321"/>
    <w:rsid w:val="004719CF"/>
    <w:rsid w:val="0047617A"/>
    <w:rsid w:val="00484B9B"/>
    <w:rsid w:val="004855F6"/>
    <w:rsid w:val="0048661E"/>
    <w:rsid w:val="00494670"/>
    <w:rsid w:val="004A3823"/>
    <w:rsid w:val="004D259A"/>
    <w:rsid w:val="004E13E4"/>
    <w:rsid w:val="004E6946"/>
    <w:rsid w:val="004F1AD8"/>
    <w:rsid w:val="004F4B06"/>
    <w:rsid w:val="005039CB"/>
    <w:rsid w:val="0050558F"/>
    <w:rsid w:val="00506286"/>
    <w:rsid w:val="00510813"/>
    <w:rsid w:val="00511990"/>
    <w:rsid w:val="00511DE0"/>
    <w:rsid w:val="00514870"/>
    <w:rsid w:val="00514B9B"/>
    <w:rsid w:val="00514E01"/>
    <w:rsid w:val="00517F02"/>
    <w:rsid w:val="00524303"/>
    <w:rsid w:val="005258A2"/>
    <w:rsid w:val="005366A0"/>
    <w:rsid w:val="00537F42"/>
    <w:rsid w:val="005401AE"/>
    <w:rsid w:val="00542E07"/>
    <w:rsid w:val="00545424"/>
    <w:rsid w:val="00553BE4"/>
    <w:rsid w:val="00554A7B"/>
    <w:rsid w:val="0055572C"/>
    <w:rsid w:val="0056106A"/>
    <w:rsid w:val="00564E42"/>
    <w:rsid w:val="005720AE"/>
    <w:rsid w:val="00573BE7"/>
    <w:rsid w:val="005800E0"/>
    <w:rsid w:val="00594D77"/>
    <w:rsid w:val="005969E4"/>
    <w:rsid w:val="00596BB0"/>
    <w:rsid w:val="005A06B7"/>
    <w:rsid w:val="005A1759"/>
    <w:rsid w:val="005A44BE"/>
    <w:rsid w:val="005A5FC4"/>
    <w:rsid w:val="005A68A7"/>
    <w:rsid w:val="005C178B"/>
    <w:rsid w:val="005C3EEB"/>
    <w:rsid w:val="005D36AB"/>
    <w:rsid w:val="005D5C0B"/>
    <w:rsid w:val="005D7F68"/>
    <w:rsid w:val="00610E11"/>
    <w:rsid w:val="00617CC3"/>
    <w:rsid w:val="006377A6"/>
    <w:rsid w:val="00637A3D"/>
    <w:rsid w:val="00637B0B"/>
    <w:rsid w:val="006411EF"/>
    <w:rsid w:val="00644627"/>
    <w:rsid w:val="00663447"/>
    <w:rsid w:val="006710E7"/>
    <w:rsid w:val="006748B8"/>
    <w:rsid w:val="006775C3"/>
    <w:rsid w:val="00691A6A"/>
    <w:rsid w:val="0069290A"/>
    <w:rsid w:val="006933D4"/>
    <w:rsid w:val="0069775A"/>
    <w:rsid w:val="00697813"/>
    <w:rsid w:val="006A3EE8"/>
    <w:rsid w:val="006A4CEA"/>
    <w:rsid w:val="006A57F8"/>
    <w:rsid w:val="006A72BF"/>
    <w:rsid w:val="006B03F2"/>
    <w:rsid w:val="006B37DC"/>
    <w:rsid w:val="006B4F68"/>
    <w:rsid w:val="006B6118"/>
    <w:rsid w:val="006B7335"/>
    <w:rsid w:val="006C0592"/>
    <w:rsid w:val="006C272E"/>
    <w:rsid w:val="006C5479"/>
    <w:rsid w:val="006D10B2"/>
    <w:rsid w:val="006D13B5"/>
    <w:rsid w:val="006E12FF"/>
    <w:rsid w:val="006E51EE"/>
    <w:rsid w:val="006E607E"/>
    <w:rsid w:val="00701B65"/>
    <w:rsid w:val="00706C5D"/>
    <w:rsid w:val="00732922"/>
    <w:rsid w:val="0073375A"/>
    <w:rsid w:val="00737F6F"/>
    <w:rsid w:val="0075162E"/>
    <w:rsid w:val="00754034"/>
    <w:rsid w:val="00756556"/>
    <w:rsid w:val="007618C4"/>
    <w:rsid w:val="0076467D"/>
    <w:rsid w:val="00767980"/>
    <w:rsid w:val="00770B19"/>
    <w:rsid w:val="0077463F"/>
    <w:rsid w:val="007776D0"/>
    <w:rsid w:val="007836EA"/>
    <w:rsid w:val="00784CDA"/>
    <w:rsid w:val="007906C4"/>
    <w:rsid w:val="007940EA"/>
    <w:rsid w:val="007967E8"/>
    <w:rsid w:val="007A2170"/>
    <w:rsid w:val="007A22BF"/>
    <w:rsid w:val="007A3323"/>
    <w:rsid w:val="007A4E85"/>
    <w:rsid w:val="007B2FEB"/>
    <w:rsid w:val="007B72B8"/>
    <w:rsid w:val="007B7A58"/>
    <w:rsid w:val="007C21B5"/>
    <w:rsid w:val="007D2A27"/>
    <w:rsid w:val="007D4500"/>
    <w:rsid w:val="007E4BD2"/>
    <w:rsid w:val="007F511B"/>
    <w:rsid w:val="007F7CC5"/>
    <w:rsid w:val="00801393"/>
    <w:rsid w:val="00802247"/>
    <w:rsid w:val="00802F88"/>
    <w:rsid w:val="0081293E"/>
    <w:rsid w:val="00815465"/>
    <w:rsid w:val="00817E9A"/>
    <w:rsid w:val="008306BD"/>
    <w:rsid w:val="00831A80"/>
    <w:rsid w:val="00833743"/>
    <w:rsid w:val="008340A4"/>
    <w:rsid w:val="0087135F"/>
    <w:rsid w:val="00872D94"/>
    <w:rsid w:val="008777F1"/>
    <w:rsid w:val="00880364"/>
    <w:rsid w:val="00891592"/>
    <w:rsid w:val="00891E9E"/>
    <w:rsid w:val="008A2F68"/>
    <w:rsid w:val="008B3353"/>
    <w:rsid w:val="008B4FA6"/>
    <w:rsid w:val="008B5282"/>
    <w:rsid w:val="008B7C17"/>
    <w:rsid w:val="008C20CF"/>
    <w:rsid w:val="008C2D01"/>
    <w:rsid w:val="008C40E6"/>
    <w:rsid w:val="008C5510"/>
    <w:rsid w:val="008C6919"/>
    <w:rsid w:val="008D0F7A"/>
    <w:rsid w:val="008D68E4"/>
    <w:rsid w:val="008E0506"/>
    <w:rsid w:val="008E0CFF"/>
    <w:rsid w:val="008E5D6B"/>
    <w:rsid w:val="008E76F0"/>
    <w:rsid w:val="008F08CD"/>
    <w:rsid w:val="008F15FE"/>
    <w:rsid w:val="008F2D29"/>
    <w:rsid w:val="008F5187"/>
    <w:rsid w:val="008F60D8"/>
    <w:rsid w:val="00902727"/>
    <w:rsid w:val="0090312B"/>
    <w:rsid w:val="0090318F"/>
    <w:rsid w:val="00903450"/>
    <w:rsid w:val="0091736D"/>
    <w:rsid w:val="009175AF"/>
    <w:rsid w:val="00921CC8"/>
    <w:rsid w:val="0093037A"/>
    <w:rsid w:val="0094154D"/>
    <w:rsid w:val="0094366A"/>
    <w:rsid w:val="0095155F"/>
    <w:rsid w:val="00954429"/>
    <w:rsid w:val="009563CE"/>
    <w:rsid w:val="00962555"/>
    <w:rsid w:val="00962C96"/>
    <w:rsid w:val="009702EE"/>
    <w:rsid w:val="009739FA"/>
    <w:rsid w:val="00976328"/>
    <w:rsid w:val="0097680D"/>
    <w:rsid w:val="009805B1"/>
    <w:rsid w:val="00982438"/>
    <w:rsid w:val="0098404C"/>
    <w:rsid w:val="00985283"/>
    <w:rsid w:val="00991522"/>
    <w:rsid w:val="00995296"/>
    <w:rsid w:val="009953DB"/>
    <w:rsid w:val="00995992"/>
    <w:rsid w:val="009A03E5"/>
    <w:rsid w:val="009A0F3B"/>
    <w:rsid w:val="009A1BB4"/>
    <w:rsid w:val="009A2628"/>
    <w:rsid w:val="009A3200"/>
    <w:rsid w:val="009B0897"/>
    <w:rsid w:val="009B7BD9"/>
    <w:rsid w:val="009C2418"/>
    <w:rsid w:val="009C7DD5"/>
    <w:rsid w:val="009D6BDF"/>
    <w:rsid w:val="009E227D"/>
    <w:rsid w:val="009E5019"/>
    <w:rsid w:val="00A02E4A"/>
    <w:rsid w:val="00A04F1B"/>
    <w:rsid w:val="00A0501B"/>
    <w:rsid w:val="00A13AE9"/>
    <w:rsid w:val="00A14947"/>
    <w:rsid w:val="00A31C68"/>
    <w:rsid w:val="00A32A83"/>
    <w:rsid w:val="00A368DB"/>
    <w:rsid w:val="00A423AA"/>
    <w:rsid w:val="00A51DD7"/>
    <w:rsid w:val="00A53EC6"/>
    <w:rsid w:val="00A55C0F"/>
    <w:rsid w:val="00A613B7"/>
    <w:rsid w:val="00A67B41"/>
    <w:rsid w:val="00A7118B"/>
    <w:rsid w:val="00A746FC"/>
    <w:rsid w:val="00A75EDD"/>
    <w:rsid w:val="00A7714A"/>
    <w:rsid w:val="00A8713F"/>
    <w:rsid w:val="00A90BA1"/>
    <w:rsid w:val="00A95590"/>
    <w:rsid w:val="00A97A9A"/>
    <w:rsid w:val="00AA0671"/>
    <w:rsid w:val="00AA2531"/>
    <w:rsid w:val="00AB1E09"/>
    <w:rsid w:val="00AB5330"/>
    <w:rsid w:val="00AB7747"/>
    <w:rsid w:val="00AC14CE"/>
    <w:rsid w:val="00AC2A56"/>
    <w:rsid w:val="00AD055E"/>
    <w:rsid w:val="00AD47A7"/>
    <w:rsid w:val="00AE5CFB"/>
    <w:rsid w:val="00AF0CBF"/>
    <w:rsid w:val="00AF257F"/>
    <w:rsid w:val="00AF33CF"/>
    <w:rsid w:val="00AF4D50"/>
    <w:rsid w:val="00AF6179"/>
    <w:rsid w:val="00AF7ED4"/>
    <w:rsid w:val="00B002BD"/>
    <w:rsid w:val="00B0222D"/>
    <w:rsid w:val="00B1083A"/>
    <w:rsid w:val="00B1295A"/>
    <w:rsid w:val="00B20A45"/>
    <w:rsid w:val="00B22C5C"/>
    <w:rsid w:val="00B24F30"/>
    <w:rsid w:val="00B301C1"/>
    <w:rsid w:val="00B31ABF"/>
    <w:rsid w:val="00B33BE3"/>
    <w:rsid w:val="00B53B5D"/>
    <w:rsid w:val="00B6055E"/>
    <w:rsid w:val="00B6317D"/>
    <w:rsid w:val="00B66D19"/>
    <w:rsid w:val="00B71D74"/>
    <w:rsid w:val="00B7723F"/>
    <w:rsid w:val="00B80534"/>
    <w:rsid w:val="00B8433C"/>
    <w:rsid w:val="00B87491"/>
    <w:rsid w:val="00B94253"/>
    <w:rsid w:val="00BA29E9"/>
    <w:rsid w:val="00BA3A13"/>
    <w:rsid w:val="00BA7142"/>
    <w:rsid w:val="00BB237C"/>
    <w:rsid w:val="00BB41A3"/>
    <w:rsid w:val="00BB6A1B"/>
    <w:rsid w:val="00BC292D"/>
    <w:rsid w:val="00BC32DC"/>
    <w:rsid w:val="00BC35B6"/>
    <w:rsid w:val="00BC6E95"/>
    <w:rsid w:val="00BD1B51"/>
    <w:rsid w:val="00BD4596"/>
    <w:rsid w:val="00BE1405"/>
    <w:rsid w:val="00BE312D"/>
    <w:rsid w:val="00BF1C20"/>
    <w:rsid w:val="00BF26F7"/>
    <w:rsid w:val="00C071F8"/>
    <w:rsid w:val="00C10578"/>
    <w:rsid w:val="00C135BC"/>
    <w:rsid w:val="00C15C95"/>
    <w:rsid w:val="00C2596A"/>
    <w:rsid w:val="00C27223"/>
    <w:rsid w:val="00C27537"/>
    <w:rsid w:val="00C328FE"/>
    <w:rsid w:val="00C33507"/>
    <w:rsid w:val="00C3751F"/>
    <w:rsid w:val="00C4409D"/>
    <w:rsid w:val="00C44E72"/>
    <w:rsid w:val="00C45A06"/>
    <w:rsid w:val="00C47E5B"/>
    <w:rsid w:val="00C50D79"/>
    <w:rsid w:val="00C61E4B"/>
    <w:rsid w:val="00C63150"/>
    <w:rsid w:val="00C64BFF"/>
    <w:rsid w:val="00C704E9"/>
    <w:rsid w:val="00C71910"/>
    <w:rsid w:val="00C75EB6"/>
    <w:rsid w:val="00C763C9"/>
    <w:rsid w:val="00C80057"/>
    <w:rsid w:val="00C82232"/>
    <w:rsid w:val="00C82913"/>
    <w:rsid w:val="00C94296"/>
    <w:rsid w:val="00C95273"/>
    <w:rsid w:val="00C972B1"/>
    <w:rsid w:val="00CA2CCE"/>
    <w:rsid w:val="00CA43FD"/>
    <w:rsid w:val="00CA7EF8"/>
    <w:rsid w:val="00CC199D"/>
    <w:rsid w:val="00CC489B"/>
    <w:rsid w:val="00CD2A97"/>
    <w:rsid w:val="00CD2BCD"/>
    <w:rsid w:val="00CD3A4C"/>
    <w:rsid w:val="00CE10E9"/>
    <w:rsid w:val="00CE2910"/>
    <w:rsid w:val="00CE5393"/>
    <w:rsid w:val="00CF36BE"/>
    <w:rsid w:val="00CF6000"/>
    <w:rsid w:val="00D003F3"/>
    <w:rsid w:val="00D0364F"/>
    <w:rsid w:val="00D05DF8"/>
    <w:rsid w:val="00D06834"/>
    <w:rsid w:val="00D16D25"/>
    <w:rsid w:val="00D23ACE"/>
    <w:rsid w:val="00D267A2"/>
    <w:rsid w:val="00D308ED"/>
    <w:rsid w:val="00D313CB"/>
    <w:rsid w:val="00D36D86"/>
    <w:rsid w:val="00D428AA"/>
    <w:rsid w:val="00D50A34"/>
    <w:rsid w:val="00D50A53"/>
    <w:rsid w:val="00D53EFA"/>
    <w:rsid w:val="00D54EB4"/>
    <w:rsid w:val="00D571FC"/>
    <w:rsid w:val="00D60BFA"/>
    <w:rsid w:val="00D64E37"/>
    <w:rsid w:val="00D6540A"/>
    <w:rsid w:val="00D94A7C"/>
    <w:rsid w:val="00D95896"/>
    <w:rsid w:val="00D95DAE"/>
    <w:rsid w:val="00DA0122"/>
    <w:rsid w:val="00DA7606"/>
    <w:rsid w:val="00DB2983"/>
    <w:rsid w:val="00DC1257"/>
    <w:rsid w:val="00DC3DC0"/>
    <w:rsid w:val="00DC56FA"/>
    <w:rsid w:val="00DC5B2B"/>
    <w:rsid w:val="00DC7623"/>
    <w:rsid w:val="00DD055B"/>
    <w:rsid w:val="00DD318D"/>
    <w:rsid w:val="00DF2E12"/>
    <w:rsid w:val="00DF514A"/>
    <w:rsid w:val="00DF6690"/>
    <w:rsid w:val="00DF6804"/>
    <w:rsid w:val="00E02489"/>
    <w:rsid w:val="00E0358D"/>
    <w:rsid w:val="00E04323"/>
    <w:rsid w:val="00E070A2"/>
    <w:rsid w:val="00E16683"/>
    <w:rsid w:val="00E2656A"/>
    <w:rsid w:val="00E412D0"/>
    <w:rsid w:val="00E458A0"/>
    <w:rsid w:val="00E56322"/>
    <w:rsid w:val="00E60982"/>
    <w:rsid w:val="00E62C62"/>
    <w:rsid w:val="00E63C30"/>
    <w:rsid w:val="00E654C1"/>
    <w:rsid w:val="00E65D97"/>
    <w:rsid w:val="00E72A5A"/>
    <w:rsid w:val="00E72A67"/>
    <w:rsid w:val="00E73354"/>
    <w:rsid w:val="00E74272"/>
    <w:rsid w:val="00E9242D"/>
    <w:rsid w:val="00E93108"/>
    <w:rsid w:val="00EA73B0"/>
    <w:rsid w:val="00EB5255"/>
    <w:rsid w:val="00EB5C47"/>
    <w:rsid w:val="00ED0639"/>
    <w:rsid w:val="00ED1E43"/>
    <w:rsid w:val="00EF4755"/>
    <w:rsid w:val="00EF7135"/>
    <w:rsid w:val="00F027DB"/>
    <w:rsid w:val="00F14A7A"/>
    <w:rsid w:val="00F1600F"/>
    <w:rsid w:val="00F22985"/>
    <w:rsid w:val="00F3383E"/>
    <w:rsid w:val="00F370A0"/>
    <w:rsid w:val="00F465A7"/>
    <w:rsid w:val="00F50B7C"/>
    <w:rsid w:val="00F5266A"/>
    <w:rsid w:val="00F550E6"/>
    <w:rsid w:val="00F55404"/>
    <w:rsid w:val="00F575B7"/>
    <w:rsid w:val="00F733CE"/>
    <w:rsid w:val="00F74345"/>
    <w:rsid w:val="00F80388"/>
    <w:rsid w:val="00F80A0A"/>
    <w:rsid w:val="00F81A9E"/>
    <w:rsid w:val="00F82B19"/>
    <w:rsid w:val="00F9212D"/>
    <w:rsid w:val="00F961F0"/>
    <w:rsid w:val="00F965DA"/>
    <w:rsid w:val="00FA2BDD"/>
    <w:rsid w:val="00FA406A"/>
    <w:rsid w:val="00FB2A54"/>
    <w:rsid w:val="00FB503A"/>
    <w:rsid w:val="00FB516C"/>
    <w:rsid w:val="00FB74ED"/>
    <w:rsid w:val="00FC1A7B"/>
    <w:rsid w:val="00FD0236"/>
    <w:rsid w:val="00FD1465"/>
    <w:rsid w:val="00FD18F4"/>
    <w:rsid w:val="00FD54DB"/>
    <w:rsid w:val="00FD593C"/>
    <w:rsid w:val="00FD619F"/>
    <w:rsid w:val="00FF0676"/>
    <w:rsid w:val="0114437B"/>
    <w:rsid w:val="01290F7E"/>
    <w:rsid w:val="015D1E09"/>
    <w:rsid w:val="017E29E3"/>
    <w:rsid w:val="01BD1C60"/>
    <w:rsid w:val="021D05F0"/>
    <w:rsid w:val="02625B13"/>
    <w:rsid w:val="02697903"/>
    <w:rsid w:val="02D21887"/>
    <w:rsid w:val="02F96569"/>
    <w:rsid w:val="030D1EF4"/>
    <w:rsid w:val="032338E1"/>
    <w:rsid w:val="032D7F7E"/>
    <w:rsid w:val="03406F77"/>
    <w:rsid w:val="039169E6"/>
    <w:rsid w:val="039E6600"/>
    <w:rsid w:val="03AB6C45"/>
    <w:rsid w:val="03EA7B21"/>
    <w:rsid w:val="041643E8"/>
    <w:rsid w:val="04173407"/>
    <w:rsid w:val="04470EA0"/>
    <w:rsid w:val="049C25A4"/>
    <w:rsid w:val="049D5915"/>
    <w:rsid w:val="04C47CFA"/>
    <w:rsid w:val="04D13FFB"/>
    <w:rsid w:val="05164FA1"/>
    <w:rsid w:val="054360DF"/>
    <w:rsid w:val="055379CE"/>
    <w:rsid w:val="05AB74DB"/>
    <w:rsid w:val="05B17A34"/>
    <w:rsid w:val="05F83EAE"/>
    <w:rsid w:val="06065B43"/>
    <w:rsid w:val="062B146F"/>
    <w:rsid w:val="063E7D85"/>
    <w:rsid w:val="064179DC"/>
    <w:rsid w:val="068F161B"/>
    <w:rsid w:val="06D04334"/>
    <w:rsid w:val="06F3796E"/>
    <w:rsid w:val="071720AB"/>
    <w:rsid w:val="07293586"/>
    <w:rsid w:val="07295285"/>
    <w:rsid w:val="07636392"/>
    <w:rsid w:val="077613F0"/>
    <w:rsid w:val="07770C56"/>
    <w:rsid w:val="077A480B"/>
    <w:rsid w:val="07A546B7"/>
    <w:rsid w:val="07B7700B"/>
    <w:rsid w:val="089274F8"/>
    <w:rsid w:val="089A0371"/>
    <w:rsid w:val="08CD62B5"/>
    <w:rsid w:val="08D13CB5"/>
    <w:rsid w:val="08D55C6A"/>
    <w:rsid w:val="092217DD"/>
    <w:rsid w:val="092F342B"/>
    <w:rsid w:val="093A7294"/>
    <w:rsid w:val="0A263993"/>
    <w:rsid w:val="0A2D3AC2"/>
    <w:rsid w:val="0A352AEB"/>
    <w:rsid w:val="0AA755DF"/>
    <w:rsid w:val="0B0E4E77"/>
    <w:rsid w:val="0B120D44"/>
    <w:rsid w:val="0B37555E"/>
    <w:rsid w:val="0B3D2C95"/>
    <w:rsid w:val="0B5A4478"/>
    <w:rsid w:val="0B927856"/>
    <w:rsid w:val="0BBB392A"/>
    <w:rsid w:val="0BBF69EB"/>
    <w:rsid w:val="0BD27BF6"/>
    <w:rsid w:val="0BF72C57"/>
    <w:rsid w:val="0BFC48DE"/>
    <w:rsid w:val="0BFF4A12"/>
    <w:rsid w:val="0C271BB9"/>
    <w:rsid w:val="0C3B3C7D"/>
    <w:rsid w:val="0C5B0F6A"/>
    <w:rsid w:val="0CAB2EAE"/>
    <w:rsid w:val="0CDE3C35"/>
    <w:rsid w:val="0D1050BD"/>
    <w:rsid w:val="0D1474F7"/>
    <w:rsid w:val="0D191390"/>
    <w:rsid w:val="0D5716BB"/>
    <w:rsid w:val="0D621C7D"/>
    <w:rsid w:val="0D8566FB"/>
    <w:rsid w:val="0DBE36AD"/>
    <w:rsid w:val="0DE04142"/>
    <w:rsid w:val="0DEA461B"/>
    <w:rsid w:val="0E124F97"/>
    <w:rsid w:val="0E262E7C"/>
    <w:rsid w:val="0E4E794E"/>
    <w:rsid w:val="0E73034D"/>
    <w:rsid w:val="0E874C8E"/>
    <w:rsid w:val="0E8C06C8"/>
    <w:rsid w:val="0E8E7E3A"/>
    <w:rsid w:val="0ECA527C"/>
    <w:rsid w:val="0F13775A"/>
    <w:rsid w:val="0F5F45FE"/>
    <w:rsid w:val="0F655F3A"/>
    <w:rsid w:val="0F782584"/>
    <w:rsid w:val="0F9A112B"/>
    <w:rsid w:val="0FA94CB0"/>
    <w:rsid w:val="0FAE066B"/>
    <w:rsid w:val="0FB44F9A"/>
    <w:rsid w:val="0FC66870"/>
    <w:rsid w:val="0FC80860"/>
    <w:rsid w:val="0FE36B3D"/>
    <w:rsid w:val="10090044"/>
    <w:rsid w:val="106D2F64"/>
    <w:rsid w:val="10B63710"/>
    <w:rsid w:val="10F10820"/>
    <w:rsid w:val="10F21D8E"/>
    <w:rsid w:val="111C2F7A"/>
    <w:rsid w:val="11523BCF"/>
    <w:rsid w:val="11665CA1"/>
    <w:rsid w:val="11BD440D"/>
    <w:rsid w:val="11CB736B"/>
    <w:rsid w:val="1224314F"/>
    <w:rsid w:val="12661A3D"/>
    <w:rsid w:val="12886951"/>
    <w:rsid w:val="130166A0"/>
    <w:rsid w:val="131645CE"/>
    <w:rsid w:val="1387341A"/>
    <w:rsid w:val="13951726"/>
    <w:rsid w:val="13A465FF"/>
    <w:rsid w:val="13B46E79"/>
    <w:rsid w:val="13D57A27"/>
    <w:rsid w:val="140642D1"/>
    <w:rsid w:val="14396509"/>
    <w:rsid w:val="149D47D4"/>
    <w:rsid w:val="14B303D8"/>
    <w:rsid w:val="14B47066"/>
    <w:rsid w:val="14DD2C3C"/>
    <w:rsid w:val="15020A8B"/>
    <w:rsid w:val="154C297A"/>
    <w:rsid w:val="156D734F"/>
    <w:rsid w:val="15A829C6"/>
    <w:rsid w:val="15E76625"/>
    <w:rsid w:val="16032440"/>
    <w:rsid w:val="16087E1D"/>
    <w:rsid w:val="16394285"/>
    <w:rsid w:val="166511F2"/>
    <w:rsid w:val="16B47306"/>
    <w:rsid w:val="17701D14"/>
    <w:rsid w:val="17735226"/>
    <w:rsid w:val="1787048B"/>
    <w:rsid w:val="17C57205"/>
    <w:rsid w:val="17CE5DF8"/>
    <w:rsid w:val="18250183"/>
    <w:rsid w:val="189F624C"/>
    <w:rsid w:val="18AD19FF"/>
    <w:rsid w:val="19010775"/>
    <w:rsid w:val="19166457"/>
    <w:rsid w:val="193B083D"/>
    <w:rsid w:val="197C5DB6"/>
    <w:rsid w:val="199D1E47"/>
    <w:rsid w:val="19AE4A49"/>
    <w:rsid w:val="19D46B7B"/>
    <w:rsid w:val="1A077661"/>
    <w:rsid w:val="1A1320D9"/>
    <w:rsid w:val="1A1C66C0"/>
    <w:rsid w:val="1A42393B"/>
    <w:rsid w:val="1A562397"/>
    <w:rsid w:val="1A610695"/>
    <w:rsid w:val="1AAD45DE"/>
    <w:rsid w:val="1AAE2A21"/>
    <w:rsid w:val="1ACE7C24"/>
    <w:rsid w:val="1B046F80"/>
    <w:rsid w:val="1B3267B5"/>
    <w:rsid w:val="1B40161D"/>
    <w:rsid w:val="1B441859"/>
    <w:rsid w:val="1B6606B1"/>
    <w:rsid w:val="1B8F6ADC"/>
    <w:rsid w:val="1BA906BE"/>
    <w:rsid w:val="1BD47A17"/>
    <w:rsid w:val="1BEE1BDA"/>
    <w:rsid w:val="1C5E7925"/>
    <w:rsid w:val="1C8247D4"/>
    <w:rsid w:val="1CB17D58"/>
    <w:rsid w:val="1CD004C6"/>
    <w:rsid w:val="1CFA2902"/>
    <w:rsid w:val="1CFD070F"/>
    <w:rsid w:val="1CFD248C"/>
    <w:rsid w:val="1D2D73DF"/>
    <w:rsid w:val="1D5F6196"/>
    <w:rsid w:val="1D6132A5"/>
    <w:rsid w:val="1D6D7C88"/>
    <w:rsid w:val="1D8E56D5"/>
    <w:rsid w:val="1DB66C15"/>
    <w:rsid w:val="1DBD0D20"/>
    <w:rsid w:val="1E1F1EBF"/>
    <w:rsid w:val="1E5E1F75"/>
    <w:rsid w:val="1E7A43DA"/>
    <w:rsid w:val="1EAC053D"/>
    <w:rsid w:val="1F112AB0"/>
    <w:rsid w:val="1F360FDF"/>
    <w:rsid w:val="1FB66CE4"/>
    <w:rsid w:val="1FCA2C8C"/>
    <w:rsid w:val="1FE7539E"/>
    <w:rsid w:val="2014397B"/>
    <w:rsid w:val="202D3B9A"/>
    <w:rsid w:val="20323241"/>
    <w:rsid w:val="20362704"/>
    <w:rsid w:val="20626BA7"/>
    <w:rsid w:val="20671BE0"/>
    <w:rsid w:val="20963CB8"/>
    <w:rsid w:val="20A81A1B"/>
    <w:rsid w:val="20B07FB6"/>
    <w:rsid w:val="20B646FB"/>
    <w:rsid w:val="210F1978"/>
    <w:rsid w:val="21144B99"/>
    <w:rsid w:val="211B5C0F"/>
    <w:rsid w:val="211F4A18"/>
    <w:rsid w:val="213B74B1"/>
    <w:rsid w:val="215A2310"/>
    <w:rsid w:val="216D2097"/>
    <w:rsid w:val="2178649D"/>
    <w:rsid w:val="21816D1D"/>
    <w:rsid w:val="218331DE"/>
    <w:rsid w:val="218A1FBD"/>
    <w:rsid w:val="21DE318A"/>
    <w:rsid w:val="21EF11BC"/>
    <w:rsid w:val="21EF5B80"/>
    <w:rsid w:val="22576990"/>
    <w:rsid w:val="22F068FF"/>
    <w:rsid w:val="22F47480"/>
    <w:rsid w:val="231E6B3F"/>
    <w:rsid w:val="234E45A3"/>
    <w:rsid w:val="23975E06"/>
    <w:rsid w:val="23BD0BE6"/>
    <w:rsid w:val="23C50A9A"/>
    <w:rsid w:val="23CB443D"/>
    <w:rsid w:val="23DE1C48"/>
    <w:rsid w:val="23FA2E32"/>
    <w:rsid w:val="240210CD"/>
    <w:rsid w:val="240512E3"/>
    <w:rsid w:val="24520C26"/>
    <w:rsid w:val="246A3D6E"/>
    <w:rsid w:val="246E3188"/>
    <w:rsid w:val="24BF09F7"/>
    <w:rsid w:val="252D53FE"/>
    <w:rsid w:val="25432914"/>
    <w:rsid w:val="25EC2D81"/>
    <w:rsid w:val="262D7D0C"/>
    <w:rsid w:val="264F7DF4"/>
    <w:rsid w:val="266B0F78"/>
    <w:rsid w:val="267E2BB7"/>
    <w:rsid w:val="26832E31"/>
    <w:rsid w:val="268A7650"/>
    <w:rsid w:val="271A054F"/>
    <w:rsid w:val="27390962"/>
    <w:rsid w:val="277057A2"/>
    <w:rsid w:val="277D081C"/>
    <w:rsid w:val="279F6E2D"/>
    <w:rsid w:val="27D40308"/>
    <w:rsid w:val="2825696F"/>
    <w:rsid w:val="28551074"/>
    <w:rsid w:val="286B7B67"/>
    <w:rsid w:val="28D024BA"/>
    <w:rsid w:val="28D35A40"/>
    <w:rsid w:val="28F76BEE"/>
    <w:rsid w:val="29206EB8"/>
    <w:rsid w:val="29595666"/>
    <w:rsid w:val="29725C52"/>
    <w:rsid w:val="298622B3"/>
    <w:rsid w:val="29874881"/>
    <w:rsid w:val="2989499E"/>
    <w:rsid w:val="29BB09F4"/>
    <w:rsid w:val="29E325E0"/>
    <w:rsid w:val="2A054440"/>
    <w:rsid w:val="2A184BF9"/>
    <w:rsid w:val="2A452503"/>
    <w:rsid w:val="2A874568"/>
    <w:rsid w:val="2A9B632F"/>
    <w:rsid w:val="2AE80DE9"/>
    <w:rsid w:val="2B047E3D"/>
    <w:rsid w:val="2B123A72"/>
    <w:rsid w:val="2B276594"/>
    <w:rsid w:val="2B6103AA"/>
    <w:rsid w:val="2BA936A8"/>
    <w:rsid w:val="2C2551A4"/>
    <w:rsid w:val="2C2F7A68"/>
    <w:rsid w:val="2C315A5A"/>
    <w:rsid w:val="2C4B1C25"/>
    <w:rsid w:val="2CD32744"/>
    <w:rsid w:val="2CEF1CD0"/>
    <w:rsid w:val="2D261DC5"/>
    <w:rsid w:val="2D875F2A"/>
    <w:rsid w:val="2D9E56F5"/>
    <w:rsid w:val="2E1C4D8F"/>
    <w:rsid w:val="2E484B05"/>
    <w:rsid w:val="2E5C766E"/>
    <w:rsid w:val="2E667F96"/>
    <w:rsid w:val="2E8226AB"/>
    <w:rsid w:val="2F50215D"/>
    <w:rsid w:val="2F63571D"/>
    <w:rsid w:val="2F6427FC"/>
    <w:rsid w:val="2F697261"/>
    <w:rsid w:val="2F724D86"/>
    <w:rsid w:val="2F8507F2"/>
    <w:rsid w:val="2FD065E6"/>
    <w:rsid w:val="2FD96870"/>
    <w:rsid w:val="2FE71B25"/>
    <w:rsid w:val="303B2090"/>
    <w:rsid w:val="30580BC9"/>
    <w:rsid w:val="30640F12"/>
    <w:rsid w:val="30A320F0"/>
    <w:rsid w:val="30AE2769"/>
    <w:rsid w:val="30D75B88"/>
    <w:rsid w:val="30DF1C17"/>
    <w:rsid w:val="311E2ED7"/>
    <w:rsid w:val="315619EE"/>
    <w:rsid w:val="315C449C"/>
    <w:rsid w:val="31925640"/>
    <w:rsid w:val="31B04DD9"/>
    <w:rsid w:val="31B82709"/>
    <w:rsid w:val="31C0089E"/>
    <w:rsid w:val="31D05482"/>
    <w:rsid w:val="3200064D"/>
    <w:rsid w:val="320F65D3"/>
    <w:rsid w:val="32400B34"/>
    <w:rsid w:val="329E6876"/>
    <w:rsid w:val="32E97F01"/>
    <w:rsid w:val="333015F2"/>
    <w:rsid w:val="334B6320"/>
    <w:rsid w:val="33D934D4"/>
    <w:rsid w:val="33E96E93"/>
    <w:rsid w:val="33FE2F6A"/>
    <w:rsid w:val="340E07E5"/>
    <w:rsid w:val="34235BF7"/>
    <w:rsid w:val="344D2E75"/>
    <w:rsid w:val="34512C96"/>
    <w:rsid w:val="34BF328F"/>
    <w:rsid w:val="34CE54F3"/>
    <w:rsid w:val="35840C31"/>
    <w:rsid w:val="358C5FA8"/>
    <w:rsid w:val="359A1669"/>
    <w:rsid w:val="35C15DF1"/>
    <w:rsid w:val="35F6632E"/>
    <w:rsid w:val="36074A7F"/>
    <w:rsid w:val="361C17F5"/>
    <w:rsid w:val="3635097F"/>
    <w:rsid w:val="36631C6B"/>
    <w:rsid w:val="36653004"/>
    <w:rsid w:val="36923549"/>
    <w:rsid w:val="369938DF"/>
    <w:rsid w:val="36B01757"/>
    <w:rsid w:val="36B75FBF"/>
    <w:rsid w:val="36BD0C45"/>
    <w:rsid w:val="36DD3D62"/>
    <w:rsid w:val="36E76ECC"/>
    <w:rsid w:val="373C7F89"/>
    <w:rsid w:val="37465555"/>
    <w:rsid w:val="374A2726"/>
    <w:rsid w:val="37670378"/>
    <w:rsid w:val="37B431D7"/>
    <w:rsid w:val="37E00298"/>
    <w:rsid w:val="38082925"/>
    <w:rsid w:val="38886FB1"/>
    <w:rsid w:val="38B302F9"/>
    <w:rsid w:val="38F12CD3"/>
    <w:rsid w:val="38F94775"/>
    <w:rsid w:val="3903243C"/>
    <w:rsid w:val="39074B30"/>
    <w:rsid w:val="392971ED"/>
    <w:rsid w:val="39325651"/>
    <w:rsid w:val="39412EA6"/>
    <w:rsid w:val="396A5315"/>
    <w:rsid w:val="39A11D24"/>
    <w:rsid w:val="39AC3A04"/>
    <w:rsid w:val="39D802D2"/>
    <w:rsid w:val="39F65BCF"/>
    <w:rsid w:val="39FD547E"/>
    <w:rsid w:val="3A48361D"/>
    <w:rsid w:val="3A601E5C"/>
    <w:rsid w:val="3A7E2A66"/>
    <w:rsid w:val="3A872856"/>
    <w:rsid w:val="3AB26431"/>
    <w:rsid w:val="3AF12CBA"/>
    <w:rsid w:val="3B036941"/>
    <w:rsid w:val="3B3763D1"/>
    <w:rsid w:val="3B694F97"/>
    <w:rsid w:val="3B6B4B17"/>
    <w:rsid w:val="3BD048CD"/>
    <w:rsid w:val="3BDD7DCA"/>
    <w:rsid w:val="3C2F6E1E"/>
    <w:rsid w:val="3C4B2DBB"/>
    <w:rsid w:val="3C4F64BA"/>
    <w:rsid w:val="3CDA245A"/>
    <w:rsid w:val="3D053F47"/>
    <w:rsid w:val="3D1E06B7"/>
    <w:rsid w:val="3D960B78"/>
    <w:rsid w:val="3DA77731"/>
    <w:rsid w:val="3DA805D9"/>
    <w:rsid w:val="3DCE23EC"/>
    <w:rsid w:val="3E0C3AEC"/>
    <w:rsid w:val="3E177B58"/>
    <w:rsid w:val="3E2919ED"/>
    <w:rsid w:val="3E527CEA"/>
    <w:rsid w:val="3EDA0523"/>
    <w:rsid w:val="3F0B5584"/>
    <w:rsid w:val="3F244998"/>
    <w:rsid w:val="3F5327C1"/>
    <w:rsid w:val="3F6156D4"/>
    <w:rsid w:val="3F676329"/>
    <w:rsid w:val="3F8276A8"/>
    <w:rsid w:val="3FB518EF"/>
    <w:rsid w:val="3FB9235A"/>
    <w:rsid w:val="40077295"/>
    <w:rsid w:val="407A6407"/>
    <w:rsid w:val="40811BCE"/>
    <w:rsid w:val="40A610D2"/>
    <w:rsid w:val="40B32BE1"/>
    <w:rsid w:val="40EB6256"/>
    <w:rsid w:val="41177613"/>
    <w:rsid w:val="411F29E6"/>
    <w:rsid w:val="415B3ACB"/>
    <w:rsid w:val="418538D4"/>
    <w:rsid w:val="418E0D47"/>
    <w:rsid w:val="41B63597"/>
    <w:rsid w:val="41D340AC"/>
    <w:rsid w:val="4200449D"/>
    <w:rsid w:val="423A3BCC"/>
    <w:rsid w:val="424E57D2"/>
    <w:rsid w:val="42916243"/>
    <w:rsid w:val="429E7E3B"/>
    <w:rsid w:val="42B26C49"/>
    <w:rsid w:val="42B62B53"/>
    <w:rsid w:val="42D706F5"/>
    <w:rsid w:val="433A6FE6"/>
    <w:rsid w:val="43480868"/>
    <w:rsid w:val="4350713C"/>
    <w:rsid w:val="436653E0"/>
    <w:rsid w:val="437411B0"/>
    <w:rsid w:val="43862595"/>
    <w:rsid w:val="439039A1"/>
    <w:rsid w:val="43B0699F"/>
    <w:rsid w:val="43C4431A"/>
    <w:rsid w:val="444638B3"/>
    <w:rsid w:val="44904C10"/>
    <w:rsid w:val="44B951CC"/>
    <w:rsid w:val="44BF5774"/>
    <w:rsid w:val="44CD14E0"/>
    <w:rsid w:val="44F20B0B"/>
    <w:rsid w:val="44F4604E"/>
    <w:rsid w:val="452E5F4C"/>
    <w:rsid w:val="454E1EA7"/>
    <w:rsid w:val="454F2D8C"/>
    <w:rsid w:val="45511B82"/>
    <w:rsid w:val="45612018"/>
    <w:rsid w:val="457370C4"/>
    <w:rsid w:val="458946E9"/>
    <w:rsid w:val="459C7C00"/>
    <w:rsid w:val="45A47C0E"/>
    <w:rsid w:val="45A735A4"/>
    <w:rsid w:val="46577FD6"/>
    <w:rsid w:val="46D955A7"/>
    <w:rsid w:val="47133957"/>
    <w:rsid w:val="47226A4C"/>
    <w:rsid w:val="475F4596"/>
    <w:rsid w:val="479F25ED"/>
    <w:rsid w:val="47A07E0C"/>
    <w:rsid w:val="48040509"/>
    <w:rsid w:val="48196CC0"/>
    <w:rsid w:val="481C238B"/>
    <w:rsid w:val="48314BCF"/>
    <w:rsid w:val="48315A08"/>
    <w:rsid w:val="4870272E"/>
    <w:rsid w:val="48DF33D4"/>
    <w:rsid w:val="491507D7"/>
    <w:rsid w:val="494D1F25"/>
    <w:rsid w:val="4962080E"/>
    <w:rsid w:val="499350CA"/>
    <w:rsid w:val="49DC7715"/>
    <w:rsid w:val="49F92273"/>
    <w:rsid w:val="4A023139"/>
    <w:rsid w:val="4A392FB7"/>
    <w:rsid w:val="4A7B576F"/>
    <w:rsid w:val="4AF561A9"/>
    <w:rsid w:val="4B107BAF"/>
    <w:rsid w:val="4B332719"/>
    <w:rsid w:val="4B5C6349"/>
    <w:rsid w:val="4B6539DB"/>
    <w:rsid w:val="4B6C07D8"/>
    <w:rsid w:val="4BE80AB8"/>
    <w:rsid w:val="4C1E62B8"/>
    <w:rsid w:val="4C4A0649"/>
    <w:rsid w:val="4C7E5ECA"/>
    <w:rsid w:val="4C876AA5"/>
    <w:rsid w:val="4C913633"/>
    <w:rsid w:val="4CAA0491"/>
    <w:rsid w:val="4CC052CA"/>
    <w:rsid w:val="4D0E00FB"/>
    <w:rsid w:val="4D10423C"/>
    <w:rsid w:val="4D11539B"/>
    <w:rsid w:val="4D176606"/>
    <w:rsid w:val="4D3F4946"/>
    <w:rsid w:val="4D434A81"/>
    <w:rsid w:val="4D4A209F"/>
    <w:rsid w:val="4D787FE2"/>
    <w:rsid w:val="4DD31794"/>
    <w:rsid w:val="4DEA7385"/>
    <w:rsid w:val="4DEC4FB0"/>
    <w:rsid w:val="4DEF3DD5"/>
    <w:rsid w:val="4E075D8A"/>
    <w:rsid w:val="4E0D05CE"/>
    <w:rsid w:val="4E0F74CD"/>
    <w:rsid w:val="4E1A0BC2"/>
    <w:rsid w:val="4E2A327F"/>
    <w:rsid w:val="4E3E0B9C"/>
    <w:rsid w:val="4E664843"/>
    <w:rsid w:val="4EA002DD"/>
    <w:rsid w:val="4EA100BB"/>
    <w:rsid w:val="4EC00FAD"/>
    <w:rsid w:val="4ED656D0"/>
    <w:rsid w:val="4EFA609A"/>
    <w:rsid w:val="4EFB6741"/>
    <w:rsid w:val="4F081382"/>
    <w:rsid w:val="4F0A4F22"/>
    <w:rsid w:val="4F2752A4"/>
    <w:rsid w:val="4F2F2F84"/>
    <w:rsid w:val="4F9843DC"/>
    <w:rsid w:val="4FC62A8C"/>
    <w:rsid w:val="4FD95020"/>
    <w:rsid w:val="4FDF262A"/>
    <w:rsid w:val="4FE20F0D"/>
    <w:rsid w:val="4FE51552"/>
    <w:rsid w:val="500A0850"/>
    <w:rsid w:val="500A5217"/>
    <w:rsid w:val="504D192E"/>
    <w:rsid w:val="50504C4B"/>
    <w:rsid w:val="506A725F"/>
    <w:rsid w:val="509C6E7C"/>
    <w:rsid w:val="50C23A0B"/>
    <w:rsid w:val="50DA064A"/>
    <w:rsid w:val="50DC0CC1"/>
    <w:rsid w:val="50FB1869"/>
    <w:rsid w:val="50FF5A91"/>
    <w:rsid w:val="51251F4C"/>
    <w:rsid w:val="51525CD6"/>
    <w:rsid w:val="5162104E"/>
    <w:rsid w:val="516A5528"/>
    <w:rsid w:val="51C72625"/>
    <w:rsid w:val="51E6296C"/>
    <w:rsid w:val="524D5760"/>
    <w:rsid w:val="52925E9B"/>
    <w:rsid w:val="52DC616C"/>
    <w:rsid w:val="52E15CED"/>
    <w:rsid w:val="53700B96"/>
    <w:rsid w:val="53A039CC"/>
    <w:rsid w:val="53A1505A"/>
    <w:rsid w:val="53B042ED"/>
    <w:rsid w:val="53CE5F74"/>
    <w:rsid w:val="53E5165E"/>
    <w:rsid w:val="54063E08"/>
    <w:rsid w:val="54145162"/>
    <w:rsid w:val="541F52A9"/>
    <w:rsid w:val="543437E8"/>
    <w:rsid w:val="54CF69F2"/>
    <w:rsid w:val="54F33119"/>
    <w:rsid w:val="54F73313"/>
    <w:rsid w:val="54F80955"/>
    <w:rsid w:val="55027606"/>
    <w:rsid w:val="555170A7"/>
    <w:rsid w:val="5563094D"/>
    <w:rsid w:val="558666F5"/>
    <w:rsid w:val="5587536D"/>
    <w:rsid w:val="55995F0D"/>
    <w:rsid w:val="559B174B"/>
    <w:rsid w:val="55A578E9"/>
    <w:rsid w:val="55CE0CF4"/>
    <w:rsid w:val="565546E4"/>
    <w:rsid w:val="568630E0"/>
    <w:rsid w:val="56987076"/>
    <w:rsid w:val="56B22A9C"/>
    <w:rsid w:val="57346908"/>
    <w:rsid w:val="578245A0"/>
    <w:rsid w:val="57B72A76"/>
    <w:rsid w:val="57C20A71"/>
    <w:rsid w:val="57C20DC6"/>
    <w:rsid w:val="57C3426C"/>
    <w:rsid w:val="57CE1F93"/>
    <w:rsid w:val="57DB12F8"/>
    <w:rsid w:val="58396DBF"/>
    <w:rsid w:val="584850D4"/>
    <w:rsid w:val="585A5680"/>
    <w:rsid w:val="585F09F2"/>
    <w:rsid w:val="588039A3"/>
    <w:rsid w:val="588743D1"/>
    <w:rsid w:val="5887701A"/>
    <w:rsid w:val="58AF31E4"/>
    <w:rsid w:val="58DE6061"/>
    <w:rsid w:val="58E5269C"/>
    <w:rsid w:val="594F3C5E"/>
    <w:rsid w:val="59673A73"/>
    <w:rsid w:val="597419F7"/>
    <w:rsid w:val="597D6EA0"/>
    <w:rsid w:val="59A457F7"/>
    <w:rsid w:val="59C0439F"/>
    <w:rsid w:val="5A267D85"/>
    <w:rsid w:val="5A3966BC"/>
    <w:rsid w:val="5A470E31"/>
    <w:rsid w:val="5A8A0566"/>
    <w:rsid w:val="5AA1673B"/>
    <w:rsid w:val="5ABE2233"/>
    <w:rsid w:val="5AC121C6"/>
    <w:rsid w:val="5ACC25A2"/>
    <w:rsid w:val="5ADC2D46"/>
    <w:rsid w:val="5AF30F60"/>
    <w:rsid w:val="5AFD4646"/>
    <w:rsid w:val="5B0B3FD4"/>
    <w:rsid w:val="5B116CD5"/>
    <w:rsid w:val="5B30041F"/>
    <w:rsid w:val="5B772740"/>
    <w:rsid w:val="5B83354B"/>
    <w:rsid w:val="5B8E736C"/>
    <w:rsid w:val="5B8F2FEE"/>
    <w:rsid w:val="5B9C6F02"/>
    <w:rsid w:val="5BAF4667"/>
    <w:rsid w:val="5BDF5D95"/>
    <w:rsid w:val="5BFE7528"/>
    <w:rsid w:val="5C0470DE"/>
    <w:rsid w:val="5C0610FE"/>
    <w:rsid w:val="5C323451"/>
    <w:rsid w:val="5CA32435"/>
    <w:rsid w:val="5D672DB1"/>
    <w:rsid w:val="5D8B2C0D"/>
    <w:rsid w:val="5D9604BA"/>
    <w:rsid w:val="5E2467F1"/>
    <w:rsid w:val="5E87578C"/>
    <w:rsid w:val="5E883CE7"/>
    <w:rsid w:val="5E8C75FF"/>
    <w:rsid w:val="5E966E5A"/>
    <w:rsid w:val="5EA05B0A"/>
    <w:rsid w:val="5EEB5BA7"/>
    <w:rsid w:val="5F011E9E"/>
    <w:rsid w:val="5F057D8C"/>
    <w:rsid w:val="5F1A2B43"/>
    <w:rsid w:val="5F3F1D4C"/>
    <w:rsid w:val="5F6C469D"/>
    <w:rsid w:val="5F703DCF"/>
    <w:rsid w:val="5F7449CE"/>
    <w:rsid w:val="5F8E025D"/>
    <w:rsid w:val="5FB837BB"/>
    <w:rsid w:val="5FC85466"/>
    <w:rsid w:val="5FE1142E"/>
    <w:rsid w:val="606F686D"/>
    <w:rsid w:val="60753300"/>
    <w:rsid w:val="60980FE6"/>
    <w:rsid w:val="60B10850"/>
    <w:rsid w:val="60CC405A"/>
    <w:rsid w:val="61043872"/>
    <w:rsid w:val="612C2B9B"/>
    <w:rsid w:val="619D7EB0"/>
    <w:rsid w:val="61E215D8"/>
    <w:rsid w:val="61F77588"/>
    <w:rsid w:val="61FB4F64"/>
    <w:rsid w:val="621230CA"/>
    <w:rsid w:val="621B3775"/>
    <w:rsid w:val="62364782"/>
    <w:rsid w:val="62C21830"/>
    <w:rsid w:val="62C864B7"/>
    <w:rsid w:val="632A3C77"/>
    <w:rsid w:val="634A7FCA"/>
    <w:rsid w:val="635167EE"/>
    <w:rsid w:val="637B74D7"/>
    <w:rsid w:val="6394356A"/>
    <w:rsid w:val="63A02065"/>
    <w:rsid w:val="63C61B2C"/>
    <w:rsid w:val="63CA192F"/>
    <w:rsid w:val="63D40BE9"/>
    <w:rsid w:val="63DE7303"/>
    <w:rsid w:val="64102431"/>
    <w:rsid w:val="647823F6"/>
    <w:rsid w:val="64905020"/>
    <w:rsid w:val="64960552"/>
    <w:rsid w:val="64A5243A"/>
    <w:rsid w:val="64BF35CF"/>
    <w:rsid w:val="64E71F16"/>
    <w:rsid w:val="64F06497"/>
    <w:rsid w:val="64F531DE"/>
    <w:rsid w:val="65373578"/>
    <w:rsid w:val="657B39D8"/>
    <w:rsid w:val="659C3AAB"/>
    <w:rsid w:val="65B0293F"/>
    <w:rsid w:val="65D21AA4"/>
    <w:rsid w:val="65E34672"/>
    <w:rsid w:val="65F046BB"/>
    <w:rsid w:val="6614554E"/>
    <w:rsid w:val="663476C9"/>
    <w:rsid w:val="665B0278"/>
    <w:rsid w:val="66BB0C85"/>
    <w:rsid w:val="66C816C9"/>
    <w:rsid w:val="671F124A"/>
    <w:rsid w:val="677A33C6"/>
    <w:rsid w:val="67867428"/>
    <w:rsid w:val="67A901F8"/>
    <w:rsid w:val="67EF567B"/>
    <w:rsid w:val="681F6961"/>
    <w:rsid w:val="68207BE4"/>
    <w:rsid w:val="682E4AD4"/>
    <w:rsid w:val="68366618"/>
    <w:rsid w:val="68534D10"/>
    <w:rsid w:val="68610A2F"/>
    <w:rsid w:val="686908DB"/>
    <w:rsid w:val="68805514"/>
    <w:rsid w:val="69274428"/>
    <w:rsid w:val="69316E2F"/>
    <w:rsid w:val="69330731"/>
    <w:rsid w:val="694D7761"/>
    <w:rsid w:val="694E2071"/>
    <w:rsid w:val="695970D3"/>
    <w:rsid w:val="69766163"/>
    <w:rsid w:val="697A3B33"/>
    <w:rsid w:val="697C4644"/>
    <w:rsid w:val="69BC0DBC"/>
    <w:rsid w:val="69D44760"/>
    <w:rsid w:val="69F14347"/>
    <w:rsid w:val="6A520EC7"/>
    <w:rsid w:val="6A5922F3"/>
    <w:rsid w:val="6A7F1D30"/>
    <w:rsid w:val="6A905FCC"/>
    <w:rsid w:val="6AC56333"/>
    <w:rsid w:val="6AE849F9"/>
    <w:rsid w:val="6AF87E20"/>
    <w:rsid w:val="6B2E2554"/>
    <w:rsid w:val="6B322639"/>
    <w:rsid w:val="6B414F08"/>
    <w:rsid w:val="6B6317EA"/>
    <w:rsid w:val="6B854113"/>
    <w:rsid w:val="6BDD0A71"/>
    <w:rsid w:val="6C0A175E"/>
    <w:rsid w:val="6C331B63"/>
    <w:rsid w:val="6C4D6159"/>
    <w:rsid w:val="6C636C38"/>
    <w:rsid w:val="6C7F00F2"/>
    <w:rsid w:val="6D0112BB"/>
    <w:rsid w:val="6D027D50"/>
    <w:rsid w:val="6DB34098"/>
    <w:rsid w:val="6DB545B6"/>
    <w:rsid w:val="6DE02FB4"/>
    <w:rsid w:val="6E141F28"/>
    <w:rsid w:val="6E334D51"/>
    <w:rsid w:val="6E514CED"/>
    <w:rsid w:val="6E7D0421"/>
    <w:rsid w:val="6EB563D5"/>
    <w:rsid w:val="6ED92677"/>
    <w:rsid w:val="6EF0545E"/>
    <w:rsid w:val="6F1E054F"/>
    <w:rsid w:val="6F225983"/>
    <w:rsid w:val="6F230905"/>
    <w:rsid w:val="6F2D7E5A"/>
    <w:rsid w:val="6F6A779F"/>
    <w:rsid w:val="6FAF3250"/>
    <w:rsid w:val="6FBD52AA"/>
    <w:rsid w:val="6FD14456"/>
    <w:rsid w:val="6FE22F68"/>
    <w:rsid w:val="6FFC5590"/>
    <w:rsid w:val="70223A22"/>
    <w:rsid w:val="703E5C75"/>
    <w:rsid w:val="705139A0"/>
    <w:rsid w:val="706D1DD0"/>
    <w:rsid w:val="70746064"/>
    <w:rsid w:val="70856B87"/>
    <w:rsid w:val="708E71D5"/>
    <w:rsid w:val="70B50924"/>
    <w:rsid w:val="70D45FB5"/>
    <w:rsid w:val="70D527EE"/>
    <w:rsid w:val="70E74D79"/>
    <w:rsid w:val="70F46395"/>
    <w:rsid w:val="710B6EA4"/>
    <w:rsid w:val="7130216F"/>
    <w:rsid w:val="714D316B"/>
    <w:rsid w:val="71512241"/>
    <w:rsid w:val="715B5300"/>
    <w:rsid w:val="715F08B5"/>
    <w:rsid w:val="71C31235"/>
    <w:rsid w:val="71D27F8A"/>
    <w:rsid w:val="71D83F1E"/>
    <w:rsid w:val="7205184D"/>
    <w:rsid w:val="7213679F"/>
    <w:rsid w:val="722579F9"/>
    <w:rsid w:val="72356194"/>
    <w:rsid w:val="723F49EB"/>
    <w:rsid w:val="72553024"/>
    <w:rsid w:val="727A2530"/>
    <w:rsid w:val="73072AA1"/>
    <w:rsid w:val="730F71A9"/>
    <w:rsid w:val="73122968"/>
    <w:rsid w:val="731D5D8A"/>
    <w:rsid w:val="731F5D5E"/>
    <w:rsid w:val="73247AB1"/>
    <w:rsid w:val="734C2E72"/>
    <w:rsid w:val="739300FC"/>
    <w:rsid w:val="73C51AD5"/>
    <w:rsid w:val="741E793C"/>
    <w:rsid w:val="7424577E"/>
    <w:rsid w:val="74325F80"/>
    <w:rsid w:val="745C147E"/>
    <w:rsid w:val="745E3944"/>
    <w:rsid w:val="74685B67"/>
    <w:rsid w:val="7499234F"/>
    <w:rsid w:val="74A40DCE"/>
    <w:rsid w:val="74C33581"/>
    <w:rsid w:val="751434AC"/>
    <w:rsid w:val="753D7BD6"/>
    <w:rsid w:val="75412BF2"/>
    <w:rsid w:val="755558D6"/>
    <w:rsid w:val="757C5005"/>
    <w:rsid w:val="758A10F5"/>
    <w:rsid w:val="75904F22"/>
    <w:rsid w:val="75B8753B"/>
    <w:rsid w:val="75F76454"/>
    <w:rsid w:val="75FC7CE5"/>
    <w:rsid w:val="7626186D"/>
    <w:rsid w:val="762D38DA"/>
    <w:rsid w:val="7635099D"/>
    <w:rsid w:val="764F3C8B"/>
    <w:rsid w:val="768A4D4D"/>
    <w:rsid w:val="76A43102"/>
    <w:rsid w:val="76B746DA"/>
    <w:rsid w:val="76C814F7"/>
    <w:rsid w:val="76E5284D"/>
    <w:rsid w:val="76ED62F7"/>
    <w:rsid w:val="770C3CAE"/>
    <w:rsid w:val="77443163"/>
    <w:rsid w:val="774B6BCA"/>
    <w:rsid w:val="776D264F"/>
    <w:rsid w:val="77762421"/>
    <w:rsid w:val="778D6AB5"/>
    <w:rsid w:val="77947980"/>
    <w:rsid w:val="77B56B1F"/>
    <w:rsid w:val="77CD39F6"/>
    <w:rsid w:val="77F33220"/>
    <w:rsid w:val="780805DD"/>
    <w:rsid w:val="780F09F4"/>
    <w:rsid w:val="78282B14"/>
    <w:rsid w:val="785E4134"/>
    <w:rsid w:val="786673C2"/>
    <w:rsid w:val="78A90480"/>
    <w:rsid w:val="78AE573C"/>
    <w:rsid w:val="7A364017"/>
    <w:rsid w:val="7A396B72"/>
    <w:rsid w:val="7A7E64E3"/>
    <w:rsid w:val="7A8265E1"/>
    <w:rsid w:val="7A996FD7"/>
    <w:rsid w:val="7AAD1ECF"/>
    <w:rsid w:val="7AC57DCC"/>
    <w:rsid w:val="7AEC7106"/>
    <w:rsid w:val="7B4D37E3"/>
    <w:rsid w:val="7B686D42"/>
    <w:rsid w:val="7B841746"/>
    <w:rsid w:val="7BB45EFA"/>
    <w:rsid w:val="7BCA02BD"/>
    <w:rsid w:val="7C25586B"/>
    <w:rsid w:val="7C6C5AC7"/>
    <w:rsid w:val="7CC6544B"/>
    <w:rsid w:val="7D0239FF"/>
    <w:rsid w:val="7D5E40CD"/>
    <w:rsid w:val="7D866A0E"/>
    <w:rsid w:val="7D9D0B8C"/>
    <w:rsid w:val="7DAF0E8F"/>
    <w:rsid w:val="7DC8525D"/>
    <w:rsid w:val="7DCD56F2"/>
    <w:rsid w:val="7E4F65AB"/>
    <w:rsid w:val="7E567682"/>
    <w:rsid w:val="7E9B1105"/>
    <w:rsid w:val="7ED64E3F"/>
    <w:rsid w:val="7F001CE7"/>
    <w:rsid w:val="7F122209"/>
    <w:rsid w:val="7FB70B0F"/>
    <w:rsid w:val="7FC3206F"/>
    <w:rsid w:val="7FE47E50"/>
    <w:rsid w:val="7FFC74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FFFFFF"/>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qFormat="1" w:uiPriority="99"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0" w:name="toc 2" w:locked="1"/>
    <w:lsdException w:unhideWhenUsed="0" w:uiPriority="0" w:semiHidden="0" w:name="toc 3" w:locked="1"/>
    <w:lsdException w:unhideWhenUsed="0" w:uiPriority="0" w:semiHidden="0" w:name="toc 4" w:locked="1"/>
    <w:lsdException w:qFormat="1"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qFormat="1"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qFormat/>
    <w:locked/>
    <w:uiPriority w:val="0"/>
    <w:pPr>
      <w:keepNext/>
      <w:keepLines/>
      <w:spacing w:before="260" w:after="260" w:line="415" w:lineRule="auto"/>
      <w:outlineLvl w:val="1"/>
    </w:pPr>
    <w:rPr>
      <w:rFonts w:ascii="Arial" w:hAnsi="Arial" w:eastAsia="黑体"/>
      <w:b/>
      <w:bCs/>
      <w:sz w:val="32"/>
      <w:szCs w:val="32"/>
    </w:rPr>
  </w:style>
  <w:style w:type="paragraph" w:styleId="6">
    <w:name w:val="heading 3"/>
    <w:basedOn w:val="1"/>
    <w:next w:val="1"/>
    <w:qFormat/>
    <w:locked/>
    <w:uiPriority w:val="0"/>
    <w:pPr>
      <w:keepNext/>
      <w:keepLines/>
      <w:spacing w:line="360" w:lineRule="auto"/>
      <w:outlineLvl w:val="2"/>
    </w:pPr>
    <w:rPr>
      <w:b/>
      <w:bCs/>
      <w:sz w:val="32"/>
      <w:szCs w:val="32"/>
    </w:rPr>
  </w:style>
  <w:style w:type="paragraph" w:styleId="7">
    <w:name w:val="heading 4"/>
    <w:basedOn w:val="1"/>
    <w:next w:val="1"/>
    <w:qFormat/>
    <w:locked/>
    <w:uiPriority w:val="0"/>
    <w:pPr>
      <w:keepNext/>
      <w:keepLines/>
      <w:numPr>
        <w:ilvl w:val="3"/>
        <w:numId w:val="1"/>
      </w:numPr>
      <w:ind w:left="0" w:firstLine="643" w:firstLineChars="200"/>
      <w:outlineLvl w:val="3"/>
    </w:pPr>
  </w:style>
  <w:style w:type="paragraph" w:styleId="8">
    <w:name w:val="heading 5"/>
    <w:basedOn w:val="1"/>
    <w:next w:val="1"/>
    <w:qFormat/>
    <w:locked/>
    <w:uiPriority w:val="0"/>
    <w:pPr>
      <w:widowControl w:val="0"/>
      <w:spacing w:line="560" w:lineRule="exact"/>
      <w:ind w:firstLine="560" w:firstLineChars="200"/>
      <w:jc w:val="both"/>
      <w:outlineLvl w:val="4"/>
    </w:pPr>
    <w:rPr>
      <w:rFonts w:ascii="Times New Roman" w:hAnsi="Times New Roman"/>
      <w:szCs w:val="1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9"/>
    <w:qFormat/>
    <w:uiPriority w:val="0"/>
    <w:pPr>
      <w:widowControl/>
      <w:snapToGrid w:val="0"/>
      <w:spacing w:before="60" w:after="160" w:line="259" w:lineRule="auto"/>
      <w:ind w:right="113"/>
    </w:pPr>
    <w:rPr>
      <w:kern w:val="0"/>
      <w:sz w:val="18"/>
      <w:szCs w:val="20"/>
    </w:rPr>
  </w:style>
  <w:style w:type="paragraph" w:styleId="3">
    <w:name w:val="toc 5"/>
    <w:basedOn w:val="1"/>
    <w:next w:val="1"/>
    <w:qFormat/>
    <w:locked/>
    <w:uiPriority w:val="0"/>
    <w:pPr>
      <w:ind w:left="840"/>
      <w:jc w:val="left"/>
      <w:outlineLvl w:val="9"/>
    </w:pPr>
    <w:rPr>
      <w:rFonts w:ascii="Times New Roman" w:eastAsia="宋体"/>
      <w:kern w:val="2"/>
      <w:sz w:val="18"/>
      <w:szCs w:val="18"/>
    </w:rPr>
  </w:style>
  <w:style w:type="paragraph" w:styleId="9">
    <w:name w:val="List 3"/>
    <w:basedOn w:val="1"/>
    <w:next w:val="1"/>
    <w:qFormat/>
    <w:locked/>
    <w:uiPriority w:val="0"/>
    <w:pPr>
      <w:autoSpaceDE w:val="0"/>
      <w:autoSpaceDN w:val="0"/>
      <w:adjustRightInd w:val="0"/>
      <w:spacing w:line="288" w:lineRule="auto"/>
      <w:ind w:left="1260" w:hanging="420"/>
      <w:jc w:val="left"/>
      <w:textAlignment w:val="baseline"/>
    </w:pPr>
    <w:rPr>
      <w:kern w:val="0"/>
      <w:sz w:val="20"/>
      <w:szCs w:val="20"/>
    </w:rPr>
  </w:style>
  <w:style w:type="paragraph" w:styleId="10">
    <w:name w:val="Normal Indent"/>
    <w:basedOn w:val="1"/>
    <w:next w:val="7"/>
    <w:qFormat/>
    <w:locked/>
    <w:uiPriority w:val="0"/>
    <w:pPr>
      <w:ind w:firstLine="602"/>
    </w:pPr>
    <w:rPr>
      <w:rFonts w:eastAsia="仿宋_GB2312"/>
      <w:sz w:val="28"/>
      <w:szCs w:val="20"/>
    </w:rPr>
  </w:style>
  <w:style w:type="paragraph" w:styleId="11">
    <w:name w:val="caption"/>
    <w:basedOn w:val="1"/>
    <w:next w:val="1"/>
    <w:qFormat/>
    <w:locked/>
    <w:uiPriority w:val="0"/>
    <w:pPr>
      <w:jc w:val="right"/>
    </w:pPr>
    <w:rPr>
      <w:rFonts w:eastAsia="黑体"/>
      <w:sz w:val="20"/>
    </w:rPr>
  </w:style>
  <w:style w:type="paragraph" w:styleId="12">
    <w:name w:val="index 5"/>
    <w:basedOn w:val="1"/>
    <w:next w:val="1"/>
    <w:unhideWhenUsed/>
    <w:qFormat/>
    <w:locked/>
    <w:uiPriority w:val="99"/>
    <w:pPr>
      <w:ind w:left="1680"/>
    </w:pPr>
  </w:style>
  <w:style w:type="paragraph" w:styleId="13">
    <w:name w:val="annotation text"/>
    <w:basedOn w:val="1"/>
    <w:link w:val="48"/>
    <w:semiHidden/>
    <w:qFormat/>
    <w:uiPriority w:val="0"/>
    <w:pPr>
      <w:jc w:val="left"/>
    </w:pPr>
    <w:rPr>
      <w:kern w:val="0"/>
      <w:sz w:val="24"/>
      <w:szCs w:val="20"/>
    </w:rPr>
  </w:style>
  <w:style w:type="paragraph" w:styleId="14">
    <w:name w:val="Body Text Indent"/>
    <w:basedOn w:val="1"/>
    <w:next w:val="15"/>
    <w:link w:val="50"/>
    <w:qFormat/>
    <w:uiPriority w:val="0"/>
    <w:pPr>
      <w:spacing w:after="120"/>
      <w:ind w:left="420" w:leftChars="200"/>
    </w:pPr>
    <w:rPr>
      <w:kern w:val="0"/>
      <w:sz w:val="24"/>
      <w:szCs w:val="20"/>
    </w:rPr>
  </w:style>
  <w:style w:type="paragraph" w:styleId="15">
    <w:name w:val="header"/>
    <w:basedOn w:val="1"/>
    <w:next w:val="1"/>
    <w:link w:val="51"/>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Plain Text"/>
    <w:basedOn w:val="1"/>
    <w:link w:val="88"/>
    <w:qFormat/>
    <w:locked/>
    <w:uiPriority w:val="99"/>
    <w:rPr>
      <w:rFonts w:ascii="宋体" w:hAnsi="Courier New"/>
    </w:rPr>
  </w:style>
  <w:style w:type="paragraph" w:styleId="17">
    <w:name w:val="Date"/>
    <w:basedOn w:val="1"/>
    <w:next w:val="1"/>
    <w:link w:val="52"/>
    <w:qFormat/>
    <w:uiPriority w:val="0"/>
    <w:pPr>
      <w:ind w:left="100" w:leftChars="2500"/>
    </w:pPr>
    <w:rPr>
      <w:kern w:val="0"/>
      <w:sz w:val="24"/>
      <w:szCs w:val="20"/>
    </w:rPr>
  </w:style>
  <w:style w:type="paragraph" w:styleId="18">
    <w:name w:val="Balloon Text"/>
    <w:basedOn w:val="1"/>
    <w:link w:val="53"/>
    <w:semiHidden/>
    <w:qFormat/>
    <w:uiPriority w:val="0"/>
    <w:rPr>
      <w:kern w:val="0"/>
      <w:sz w:val="18"/>
      <w:szCs w:val="20"/>
    </w:rPr>
  </w:style>
  <w:style w:type="paragraph" w:styleId="19">
    <w:name w:val="footer"/>
    <w:basedOn w:val="1"/>
    <w:link w:val="54"/>
    <w:qFormat/>
    <w:uiPriority w:val="99"/>
    <w:pPr>
      <w:tabs>
        <w:tab w:val="center" w:pos="4153"/>
        <w:tab w:val="right" w:pos="8306"/>
      </w:tabs>
      <w:snapToGrid w:val="0"/>
      <w:jc w:val="left"/>
    </w:pPr>
    <w:rPr>
      <w:kern w:val="0"/>
      <w:sz w:val="18"/>
      <w:szCs w:val="20"/>
    </w:rPr>
  </w:style>
  <w:style w:type="paragraph" w:styleId="20">
    <w:name w:val="List"/>
    <w:basedOn w:val="1"/>
    <w:next w:val="1"/>
    <w:qFormat/>
    <w:locked/>
    <w:uiPriority w:val="0"/>
    <w:pPr>
      <w:ind w:left="200" w:hanging="200" w:hangingChars="200"/>
    </w:pPr>
  </w:style>
  <w:style w:type="paragraph" w:styleId="21">
    <w:name w:val="footnote text"/>
    <w:basedOn w:val="1"/>
    <w:next w:val="12"/>
    <w:qFormat/>
    <w:locked/>
    <w:uiPriority w:val="0"/>
    <w:pPr>
      <w:snapToGrid w:val="0"/>
    </w:pPr>
    <w:rPr>
      <w:sz w:val="18"/>
    </w:rPr>
  </w:style>
  <w:style w:type="paragraph" w:styleId="22">
    <w:name w:val="toc 2"/>
    <w:basedOn w:val="1"/>
    <w:next w:val="1"/>
    <w:semiHidden/>
    <w:qFormat/>
    <w:locked/>
    <w:uiPriority w:val="0"/>
    <w:pPr>
      <w:ind w:left="420" w:leftChars="200"/>
    </w:pPr>
  </w:style>
  <w:style w:type="paragraph" w:styleId="23">
    <w:name w:val="Body Text 2"/>
    <w:basedOn w:val="1"/>
    <w:qFormat/>
    <w:locked/>
    <w:uiPriority w:val="0"/>
    <w:pPr>
      <w:spacing w:before="240" w:after="240"/>
    </w:pPr>
    <w:rPr>
      <w:sz w:val="28"/>
      <w:szCs w:val="20"/>
    </w:rPr>
  </w:style>
  <w:style w:type="paragraph" w:styleId="24">
    <w:name w:val="Normal (Web)"/>
    <w:basedOn w:val="1"/>
    <w:link w:val="55"/>
    <w:qFormat/>
    <w:uiPriority w:val="0"/>
    <w:pPr>
      <w:widowControl/>
      <w:spacing w:before="100" w:beforeAutospacing="1" w:after="100" w:afterAutospacing="1"/>
      <w:jc w:val="left"/>
    </w:pPr>
    <w:rPr>
      <w:rFonts w:ascii="宋体" w:hAnsi="宋体"/>
      <w:kern w:val="0"/>
      <w:sz w:val="24"/>
      <w:szCs w:val="20"/>
    </w:rPr>
  </w:style>
  <w:style w:type="paragraph" w:styleId="25">
    <w:name w:val="index 1"/>
    <w:basedOn w:val="1"/>
    <w:next w:val="1"/>
    <w:qFormat/>
    <w:locked/>
    <w:uiPriority w:val="0"/>
    <w:pPr>
      <w:tabs>
        <w:tab w:val="left" w:pos="5580"/>
      </w:tabs>
      <w:spacing w:line="280" w:lineRule="exact"/>
    </w:pPr>
    <w:rPr>
      <w:rFonts w:ascii="宋体" w:hAnsi="宋体"/>
      <w:spacing w:val="10"/>
    </w:rPr>
  </w:style>
  <w:style w:type="paragraph" w:styleId="26">
    <w:name w:val="annotation subject"/>
    <w:basedOn w:val="13"/>
    <w:next w:val="13"/>
    <w:link w:val="56"/>
    <w:semiHidden/>
    <w:qFormat/>
    <w:uiPriority w:val="0"/>
    <w:rPr>
      <w:b/>
    </w:rPr>
  </w:style>
  <w:style w:type="paragraph" w:styleId="27">
    <w:name w:val="Body Text First Indent 2"/>
    <w:basedOn w:val="14"/>
    <w:next w:val="1"/>
    <w:qFormat/>
    <w:locked/>
    <w:uiPriority w:val="0"/>
    <w:pPr>
      <w:spacing w:line="520" w:lineRule="exact"/>
      <w:ind w:firstLine="420" w:firstLineChars="200"/>
    </w:pPr>
    <w:rPr>
      <w:szCs w:val="24"/>
    </w:r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basedOn w:val="30"/>
    <w:qFormat/>
    <w:locked/>
    <w:uiPriority w:val="0"/>
  </w:style>
  <w:style w:type="character" w:styleId="32">
    <w:name w:val="FollowedHyperlink"/>
    <w:basedOn w:val="30"/>
    <w:qFormat/>
    <w:locked/>
    <w:uiPriority w:val="0"/>
    <w:rPr>
      <w:color w:val="800080" w:themeColor="followedHyperlink"/>
      <w:u w:val="single"/>
      <w14:textFill>
        <w14:solidFill>
          <w14:schemeClr w14:val="folHlink"/>
        </w14:solidFill>
      </w14:textFill>
    </w:rPr>
  </w:style>
  <w:style w:type="character" w:styleId="33">
    <w:name w:val="Hyperlink"/>
    <w:basedOn w:val="30"/>
    <w:qFormat/>
    <w:locked/>
    <w:uiPriority w:val="0"/>
    <w:rPr>
      <w:color w:val="0000FF" w:themeColor="hyperlink"/>
      <w:u w:val="single"/>
      <w14:textFill>
        <w14:solidFill>
          <w14:schemeClr w14:val="hlink"/>
        </w14:solidFill>
      </w14:textFill>
    </w:rPr>
  </w:style>
  <w:style w:type="character" w:styleId="34">
    <w:name w:val="annotation reference"/>
    <w:qFormat/>
    <w:uiPriority w:val="0"/>
    <w:rPr>
      <w:sz w:val="21"/>
    </w:rPr>
  </w:style>
  <w:style w:type="paragraph" w:customStyle="1" w:styleId="35">
    <w:name w:val="表中文字"/>
    <w:basedOn w:val="1"/>
    <w:qFormat/>
    <w:uiPriority w:val="0"/>
    <w:pPr>
      <w:jc w:val="center"/>
    </w:pPr>
    <w:rPr>
      <w:szCs w:val="21"/>
    </w:rPr>
  </w:style>
  <w:style w:type="paragraph" w:customStyle="1" w:styleId="36">
    <w:name w:val="表图头"/>
    <w:basedOn w:val="1"/>
    <w:autoRedefine/>
    <w:qFormat/>
    <w:uiPriority w:val="0"/>
    <w:pPr>
      <w:widowControl/>
      <w:snapToGrid w:val="0"/>
      <w:jc w:val="center"/>
    </w:pPr>
    <w:rPr>
      <w:b/>
      <w:bCs/>
      <w:kern w:val="0"/>
      <w:sz w:val="24"/>
    </w:rPr>
  </w:style>
  <w:style w:type="paragraph" w:customStyle="1" w:styleId="37">
    <w:name w:val="Default"/>
    <w:basedOn w:val="38"/>
    <w:next w:val="20"/>
    <w:qFormat/>
    <w:uiPriority w:val="0"/>
    <w:pPr>
      <w:autoSpaceDE w:val="0"/>
      <w:autoSpaceDN w:val="0"/>
      <w:adjustRightInd w:val="0"/>
    </w:pPr>
    <w:rPr>
      <w:rFonts w:hAnsi="Times New Roman"/>
      <w:color w:val="000000"/>
      <w:sz w:val="24"/>
    </w:rPr>
  </w:style>
  <w:style w:type="paragraph" w:customStyle="1" w:styleId="38">
    <w:name w:val="纯文本1"/>
    <w:basedOn w:val="1"/>
    <w:qFormat/>
    <w:uiPriority w:val="0"/>
    <w:rPr>
      <w:rFonts w:ascii="宋体" w:hAnsi="Courier New"/>
    </w:rPr>
  </w:style>
  <w:style w:type="paragraph" w:customStyle="1" w:styleId="39">
    <w:name w:val="Date1"/>
    <w:basedOn w:val="1"/>
    <w:next w:val="1"/>
    <w:qFormat/>
    <w:uiPriority w:val="0"/>
    <w:pPr>
      <w:adjustRightInd w:val="0"/>
      <w:jc w:val="left"/>
      <w:textAlignment w:val="baseline"/>
    </w:pPr>
    <w:rPr>
      <w:rFonts w:ascii="宋体" w:hAnsi="宋体"/>
      <w:sz w:val="28"/>
      <w:szCs w:val="20"/>
    </w:rPr>
  </w:style>
  <w:style w:type="paragraph" w:customStyle="1" w:styleId="40">
    <w:name w:val="样式5"/>
    <w:basedOn w:val="41"/>
    <w:qFormat/>
    <w:uiPriority w:val="0"/>
    <w:pPr>
      <w:spacing w:line="360" w:lineRule="auto"/>
    </w:pPr>
    <w:rPr>
      <w:rFonts w:ascii="Times New Roman" w:hAnsi="Times New Roman"/>
      <w:sz w:val="24"/>
      <w:szCs w:val="22"/>
    </w:rPr>
  </w:style>
  <w:style w:type="paragraph" w:customStyle="1" w:styleId="41">
    <w:name w:val="正文1"/>
    <w:basedOn w:val="42"/>
    <w:next w:val="1"/>
    <w:qFormat/>
    <w:uiPriority w:val="0"/>
    <w:rPr>
      <w:rFonts w:ascii="宋体" w:hAnsi="宋体"/>
      <w:sz w:val="32"/>
      <w:szCs w:val="32"/>
    </w:rPr>
  </w:style>
  <w:style w:type="paragraph" w:customStyle="1" w:styleId="42">
    <w:name w:val="列出段落11"/>
    <w:basedOn w:val="1"/>
    <w:qFormat/>
    <w:uiPriority w:val="34"/>
    <w:pPr>
      <w:ind w:firstLine="420"/>
    </w:pPr>
  </w:style>
  <w:style w:type="paragraph" w:customStyle="1" w:styleId="43">
    <w:name w:val="表格标题"/>
    <w:basedOn w:val="11"/>
    <w:next w:val="1"/>
    <w:link w:val="94"/>
    <w:qFormat/>
    <w:uiPriority w:val="0"/>
    <w:pPr>
      <w:spacing w:before="50" w:beforeLines="50"/>
      <w:jc w:val="center"/>
    </w:pPr>
  </w:style>
  <w:style w:type="paragraph" w:customStyle="1" w:styleId="44">
    <w:name w:val="Table Paragraph"/>
    <w:basedOn w:val="1"/>
    <w:qFormat/>
    <w:uiPriority w:val="1"/>
    <w:rPr>
      <w:rFonts w:ascii="仿宋" w:hAnsi="仿宋" w:eastAsia="仿宋" w:cs="仿宋"/>
      <w:lang w:val="zh-CN" w:bidi="zh-CN"/>
    </w:rPr>
  </w:style>
  <w:style w:type="paragraph" w:customStyle="1" w:styleId="45">
    <w:name w:val="1 表头"/>
    <w:basedOn w:val="1"/>
    <w:qFormat/>
    <w:uiPriority w:val="0"/>
    <w:pPr>
      <w:adjustRightInd w:val="0"/>
      <w:snapToGrid w:val="0"/>
      <w:jc w:val="center"/>
    </w:pPr>
    <w:rPr>
      <w:b/>
      <w:color w:val="000000"/>
      <w:szCs w:val="21"/>
    </w:rPr>
  </w:style>
  <w:style w:type="paragraph" w:customStyle="1" w:styleId="46">
    <w:name w:val="@正文缩进"/>
    <w:basedOn w:val="1"/>
    <w:qFormat/>
    <w:uiPriority w:val="0"/>
    <w:pPr>
      <w:ind w:firstLine="200" w:firstLineChars="200"/>
      <w:jc w:val="left"/>
    </w:pPr>
    <w:rPr>
      <w:kern w:val="0"/>
    </w:rPr>
  </w:style>
  <w:style w:type="paragraph" w:customStyle="1" w:styleId="47">
    <w:name w:val="表格内"/>
    <w:basedOn w:val="1"/>
    <w:qFormat/>
    <w:uiPriority w:val="0"/>
    <w:pPr>
      <w:spacing w:line="360" w:lineRule="exact"/>
      <w:jc w:val="center"/>
    </w:pPr>
    <w:rPr>
      <w:rFonts w:ascii="Calibri" w:hAnsi="Calibri"/>
      <w:snapToGrid w:val="0"/>
      <w:szCs w:val="21"/>
    </w:rPr>
  </w:style>
  <w:style w:type="character" w:customStyle="1" w:styleId="48">
    <w:name w:val="批注文字 字符"/>
    <w:link w:val="13"/>
    <w:qFormat/>
    <w:locked/>
    <w:uiPriority w:val="0"/>
    <w:rPr>
      <w:rFonts w:ascii="Times New Roman" w:hAnsi="Times New Roman" w:eastAsia="宋体"/>
      <w:sz w:val="24"/>
    </w:rPr>
  </w:style>
  <w:style w:type="character" w:customStyle="1" w:styleId="49">
    <w:name w:val="正文文本 字符"/>
    <w:link w:val="2"/>
    <w:qFormat/>
    <w:locked/>
    <w:uiPriority w:val="0"/>
    <w:rPr>
      <w:sz w:val="18"/>
    </w:rPr>
  </w:style>
  <w:style w:type="character" w:customStyle="1" w:styleId="50">
    <w:name w:val="正文文本缩进 字符"/>
    <w:link w:val="14"/>
    <w:semiHidden/>
    <w:qFormat/>
    <w:locked/>
    <w:uiPriority w:val="0"/>
    <w:rPr>
      <w:rFonts w:ascii="Times New Roman" w:hAnsi="Times New Roman" w:eastAsia="宋体"/>
      <w:sz w:val="24"/>
    </w:rPr>
  </w:style>
  <w:style w:type="character" w:customStyle="1" w:styleId="51">
    <w:name w:val="页眉 字符"/>
    <w:link w:val="15"/>
    <w:qFormat/>
    <w:locked/>
    <w:uiPriority w:val="0"/>
    <w:rPr>
      <w:sz w:val="18"/>
    </w:rPr>
  </w:style>
  <w:style w:type="character" w:customStyle="1" w:styleId="52">
    <w:name w:val="日期 字符1"/>
    <w:link w:val="17"/>
    <w:qFormat/>
    <w:locked/>
    <w:uiPriority w:val="0"/>
    <w:rPr>
      <w:rFonts w:ascii="Times New Roman" w:hAnsi="Times New Roman" w:eastAsia="宋体"/>
      <w:sz w:val="24"/>
    </w:rPr>
  </w:style>
  <w:style w:type="character" w:customStyle="1" w:styleId="53">
    <w:name w:val="批注框文本 字符"/>
    <w:link w:val="18"/>
    <w:semiHidden/>
    <w:qFormat/>
    <w:locked/>
    <w:uiPriority w:val="0"/>
    <w:rPr>
      <w:rFonts w:ascii="Times New Roman" w:hAnsi="Times New Roman" w:eastAsia="宋体"/>
      <w:sz w:val="18"/>
    </w:rPr>
  </w:style>
  <w:style w:type="character" w:customStyle="1" w:styleId="54">
    <w:name w:val="页脚 字符1"/>
    <w:link w:val="19"/>
    <w:qFormat/>
    <w:locked/>
    <w:uiPriority w:val="99"/>
    <w:rPr>
      <w:sz w:val="18"/>
    </w:rPr>
  </w:style>
  <w:style w:type="character" w:customStyle="1" w:styleId="55">
    <w:name w:val="普通(网站) 字符"/>
    <w:link w:val="24"/>
    <w:qFormat/>
    <w:locked/>
    <w:uiPriority w:val="0"/>
    <w:rPr>
      <w:rFonts w:ascii="宋体" w:hAnsi="宋体" w:eastAsia="宋体"/>
      <w:sz w:val="24"/>
    </w:rPr>
  </w:style>
  <w:style w:type="character" w:customStyle="1" w:styleId="56">
    <w:name w:val="批注主题 字符"/>
    <w:link w:val="26"/>
    <w:semiHidden/>
    <w:qFormat/>
    <w:locked/>
    <w:uiPriority w:val="0"/>
    <w:rPr>
      <w:rFonts w:ascii="Times New Roman" w:hAnsi="Times New Roman" w:eastAsia="宋体"/>
      <w:b/>
      <w:kern w:val="2"/>
      <w:sz w:val="24"/>
    </w:rPr>
  </w:style>
  <w:style w:type="character" w:customStyle="1" w:styleId="57">
    <w:name w:val="正文文本 字符1"/>
    <w:semiHidden/>
    <w:qFormat/>
    <w:uiPriority w:val="0"/>
    <w:rPr>
      <w:rFonts w:ascii="Times New Roman" w:hAnsi="Times New Roman" w:eastAsia="宋体"/>
      <w:sz w:val="24"/>
    </w:rPr>
  </w:style>
  <w:style w:type="character" w:customStyle="1" w:styleId="58">
    <w:name w:val="日期 字符"/>
    <w:semiHidden/>
    <w:qFormat/>
    <w:uiPriority w:val="0"/>
    <w:rPr>
      <w:rFonts w:ascii="Times New Roman" w:hAnsi="Times New Roman" w:eastAsia="宋体"/>
      <w:sz w:val="24"/>
    </w:rPr>
  </w:style>
  <w:style w:type="character" w:customStyle="1" w:styleId="59">
    <w:name w:val="页脚 字符"/>
    <w:qFormat/>
    <w:uiPriority w:val="99"/>
  </w:style>
  <w:style w:type="character" w:customStyle="1" w:styleId="60">
    <w:name w:val="表格 Char"/>
    <w:link w:val="61"/>
    <w:qFormat/>
    <w:locked/>
    <w:uiPriority w:val="0"/>
    <w:rPr>
      <w:rFonts w:ascii="宋体"/>
      <w:sz w:val="21"/>
    </w:rPr>
  </w:style>
  <w:style w:type="paragraph" w:customStyle="1" w:styleId="61">
    <w:name w:val="表格"/>
    <w:basedOn w:val="1"/>
    <w:next w:val="1"/>
    <w:link w:val="60"/>
    <w:qFormat/>
    <w:uiPriority w:val="0"/>
    <w:pPr>
      <w:adjustRightInd w:val="0"/>
      <w:snapToGrid w:val="0"/>
      <w:spacing w:beforeLines="10" w:afterLines="10" w:line="259" w:lineRule="auto"/>
      <w:jc w:val="center"/>
    </w:pPr>
    <w:rPr>
      <w:rFonts w:ascii="宋体"/>
      <w:kern w:val="0"/>
      <w:szCs w:val="20"/>
    </w:rPr>
  </w:style>
  <w:style w:type="character" w:customStyle="1" w:styleId="62">
    <w:name w:val="批注文字 字符1"/>
    <w:semiHidden/>
    <w:qFormat/>
    <w:uiPriority w:val="0"/>
    <w:rPr>
      <w:rFonts w:ascii="Times New Roman" w:hAnsi="Times New Roman" w:eastAsia="宋体"/>
      <w:sz w:val="24"/>
    </w:rPr>
  </w:style>
  <w:style w:type="paragraph" w:customStyle="1" w:styleId="6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4">
    <w:name w:val="xl26"/>
    <w:basedOn w:val="1"/>
    <w:qFormat/>
    <w:uiPriority w:val="0"/>
    <w:pPr>
      <w:widowControl/>
      <w:pBdr>
        <w:left w:val="single" w:color="auto" w:sz="12" w:space="0"/>
      </w:pBdr>
      <w:spacing w:before="100" w:beforeAutospacing="1" w:after="100" w:afterAutospacing="1"/>
      <w:jc w:val="left"/>
    </w:pPr>
    <w:rPr>
      <w:rFonts w:ascii="Arial Unicode MS" w:hAnsi="Arial Unicode MS" w:cs="宋体"/>
      <w:kern w:val="0"/>
      <w:sz w:val="24"/>
      <w:lang w:val="en-AU" w:eastAsia="en-US"/>
    </w:rPr>
  </w:style>
  <w:style w:type="paragraph" w:customStyle="1" w:styleId="65">
    <w:name w:val="表格内容"/>
    <w:basedOn w:val="1"/>
    <w:qFormat/>
    <w:uiPriority w:val="0"/>
    <w:pPr>
      <w:jc w:val="center"/>
    </w:pPr>
    <w:rPr>
      <w:szCs w:val="21"/>
    </w:rPr>
  </w:style>
  <w:style w:type="paragraph" w:customStyle="1" w:styleId="66">
    <w:name w:val="正文A"/>
    <w:basedOn w:val="1"/>
    <w:qFormat/>
    <w:uiPriority w:val="0"/>
    <w:pPr>
      <w:spacing w:line="500" w:lineRule="exact"/>
      <w:ind w:firstLine="200" w:firstLineChars="200"/>
    </w:pPr>
    <w:rPr>
      <w:sz w:val="24"/>
    </w:rPr>
  </w:style>
  <w:style w:type="paragraph" w:customStyle="1" w:styleId="67">
    <w:name w:val="正文(首行缩进)"/>
    <w:basedOn w:val="1"/>
    <w:link w:val="93"/>
    <w:qFormat/>
    <w:uiPriority w:val="0"/>
    <w:pPr>
      <w:adjustRightInd w:val="0"/>
      <w:snapToGrid w:val="0"/>
      <w:spacing w:line="360" w:lineRule="auto"/>
      <w:ind w:firstLine="482" w:firstLineChars="200"/>
    </w:pPr>
    <w:rPr>
      <w:rFonts w:hAnsi="宋体"/>
      <w:b/>
      <w:bCs/>
      <w:color w:val="000000"/>
      <w:sz w:val="24"/>
      <w:szCs w:val="28"/>
    </w:rPr>
  </w:style>
  <w:style w:type="paragraph" w:customStyle="1" w:styleId="6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69">
    <w:name w:val="fontstyle21"/>
    <w:qFormat/>
    <w:uiPriority w:val="0"/>
    <w:rPr>
      <w:rFonts w:hint="eastAsia" w:ascii="宋体" w:hAnsi="宋体" w:eastAsia="宋体"/>
      <w:color w:val="000000"/>
      <w:sz w:val="24"/>
      <w:szCs w:val="24"/>
    </w:rPr>
  </w:style>
  <w:style w:type="paragraph" w:customStyle="1" w:styleId="70">
    <w:name w:val="正文26-5.21"/>
    <w:basedOn w:val="1"/>
    <w:link w:val="71"/>
    <w:qFormat/>
    <w:uiPriority w:val="0"/>
    <w:pPr>
      <w:adjustRightInd w:val="0"/>
      <w:snapToGrid w:val="0"/>
      <w:spacing w:line="520" w:lineRule="exact"/>
      <w:ind w:firstLine="480" w:firstLineChars="200"/>
      <w:textAlignment w:val="baseline"/>
    </w:pPr>
    <w:rPr>
      <w:rFonts w:cs="宋体"/>
      <w:snapToGrid w:val="0"/>
      <w:sz w:val="24"/>
    </w:rPr>
  </w:style>
  <w:style w:type="character" w:customStyle="1" w:styleId="71">
    <w:name w:val="正文26-5.21 字符"/>
    <w:link w:val="70"/>
    <w:qFormat/>
    <w:uiPriority w:val="0"/>
    <w:rPr>
      <w:rFonts w:cs="宋体"/>
      <w:snapToGrid/>
      <w:kern w:val="2"/>
      <w:sz w:val="24"/>
      <w:szCs w:val="24"/>
    </w:rPr>
  </w:style>
  <w:style w:type="paragraph" w:customStyle="1" w:styleId="72">
    <w:name w:val="正文邓"/>
    <w:basedOn w:val="1"/>
    <w:qFormat/>
    <w:uiPriority w:val="0"/>
    <w:pPr>
      <w:adjustRightInd w:val="0"/>
      <w:snapToGrid w:val="0"/>
      <w:spacing w:line="360" w:lineRule="auto"/>
      <w:ind w:firstLine="480" w:firstLineChars="200"/>
      <w:jc w:val="left"/>
    </w:pPr>
    <w:rPr>
      <w:bCs/>
      <w:snapToGrid w:val="0"/>
      <w:kern w:val="0"/>
      <w:sz w:val="24"/>
    </w:rPr>
  </w:style>
  <w:style w:type="paragraph" w:customStyle="1" w:styleId="73">
    <w:name w:val="邓表头标题"/>
    <w:basedOn w:val="1"/>
    <w:qFormat/>
    <w:uiPriority w:val="0"/>
    <w:pPr>
      <w:snapToGrid w:val="0"/>
      <w:jc w:val="center"/>
    </w:pPr>
    <w:rPr>
      <w:rFonts w:ascii="黑体" w:hAnsi="黑体" w:eastAsia="黑体"/>
      <w:b/>
      <w:bCs/>
      <w:lang w:eastAsia="en-US"/>
    </w:rPr>
  </w:style>
  <w:style w:type="paragraph" w:customStyle="1" w:styleId="74">
    <w:name w:val="邓表格文字"/>
    <w:basedOn w:val="1"/>
    <w:qFormat/>
    <w:uiPriority w:val="0"/>
    <w:pPr>
      <w:widowControl/>
      <w:snapToGrid w:val="0"/>
      <w:spacing w:line="240" w:lineRule="exact"/>
      <w:jc w:val="center"/>
    </w:pPr>
    <w:rPr>
      <w:rFonts w:ascii="宋体" w:hAnsi="宋体"/>
    </w:rPr>
  </w:style>
  <w:style w:type="paragraph" w:customStyle="1" w:styleId="75">
    <w:name w:val="表头A"/>
    <w:basedOn w:val="76"/>
    <w:qFormat/>
    <w:uiPriority w:val="0"/>
    <w:pPr>
      <w:widowControl/>
      <w:spacing w:beforeLines="0" w:line="500" w:lineRule="exact"/>
      <w:ind w:firstLine="0" w:firstLineChars="0"/>
      <w:jc w:val="center"/>
    </w:pPr>
    <w:rPr>
      <w:rFonts w:eastAsia="宋体"/>
      <w:b/>
      <w:sz w:val="24"/>
    </w:rPr>
  </w:style>
  <w:style w:type="paragraph" w:customStyle="1" w:styleId="76">
    <w:name w:val="表头"/>
    <w:basedOn w:val="41"/>
    <w:next w:val="1"/>
    <w:qFormat/>
    <w:uiPriority w:val="0"/>
    <w:pPr>
      <w:spacing w:beforeLines="50" w:line="400" w:lineRule="exact"/>
      <w:ind w:firstLine="200" w:firstLineChars="200"/>
    </w:pPr>
    <w:rPr>
      <w:rFonts w:eastAsia="黑体"/>
    </w:rPr>
  </w:style>
  <w:style w:type="paragraph" w:customStyle="1" w:styleId="77">
    <w:name w:val="表格标题1"/>
    <w:basedOn w:val="78"/>
    <w:qFormat/>
    <w:uiPriority w:val="0"/>
    <w:pPr>
      <w:spacing w:line="240" w:lineRule="auto"/>
      <w:ind w:firstLine="0" w:firstLineChars="0"/>
      <w:jc w:val="center"/>
    </w:pPr>
    <w:rPr>
      <w:rFonts w:ascii="黑体" w:hAnsi="黑体" w:eastAsia="黑体"/>
      <w:kern w:val="0"/>
    </w:rPr>
  </w:style>
  <w:style w:type="paragraph" w:customStyle="1" w:styleId="78">
    <w:name w:val="正文26"/>
    <w:basedOn w:val="79"/>
    <w:qFormat/>
    <w:uiPriority w:val="0"/>
    <w:pPr>
      <w:snapToGrid w:val="0"/>
      <w:spacing w:line="520" w:lineRule="exact"/>
      <w:ind w:firstLine="480" w:firstLineChars="200"/>
      <w:jc w:val="both"/>
    </w:pPr>
    <w:rPr>
      <w:snapToGrid w:val="0"/>
      <w:kern w:val="2"/>
    </w:rPr>
  </w:style>
  <w:style w:type="paragraph" w:customStyle="1" w:styleId="79">
    <w:name w:val="样式2"/>
    <w:basedOn w:val="1"/>
    <w:qFormat/>
    <w:uiPriority w:val="0"/>
    <w:pPr>
      <w:adjustRightInd w:val="0"/>
      <w:spacing w:line="300" w:lineRule="atLeast"/>
      <w:jc w:val="center"/>
      <w:textAlignment w:val="baseline"/>
    </w:pPr>
    <w:rPr>
      <w:rFonts w:eastAsia="楷体_GB2312"/>
      <w:kern w:val="28"/>
      <w:szCs w:val="20"/>
    </w:rPr>
  </w:style>
  <w:style w:type="table" w:customStyle="1" w:styleId="80">
    <w:name w:val="Table Normal"/>
    <w:qFormat/>
    <w:uiPriority w:val="2"/>
    <w:pPr>
      <w:widowControl w:val="0"/>
      <w:autoSpaceDE w:val="0"/>
      <w:autoSpaceDN w:val="0"/>
    </w:pPr>
    <w:rPr>
      <w:rFonts w:ascii="Calibri" w:hAnsi="Calibri" w:cs="宋体"/>
      <w:sz w:val="22"/>
      <w:szCs w:val="22"/>
      <w:lang w:eastAsia="en-US"/>
    </w:rPr>
    <w:tblPr>
      <w:tblCellMar>
        <w:top w:w="0" w:type="dxa"/>
        <w:left w:w="0" w:type="dxa"/>
        <w:bottom w:w="0" w:type="dxa"/>
        <w:right w:w="0" w:type="dxa"/>
      </w:tblCellMar>
    </w:tblPr>
  </w:style>
  <w:style w:type="paragraph" w:customStyle="1" w:styleId="81">
    <w:name w:val="表格内文字"/>
    <w:basedOn w:val="1"/>
    <w:qFormat/>
    <w:uiPriority w:val="0"/>
    <w:pPr>
      <w:tabs>
        <w:tab w:val="left" w:pos="0"/>
      </w:tabs>
      <w:adjustRightInd w:val="0"/>
      <w:snapToGrid w:val="0"/>
      <w:jc w:val="center"/>
    </w:pPr>
    <w:rPr>
      <w:szCs w:val="21"/>
    </w:rPr>
  </w:style>
  <w:style w:type="paragraph" w:customStyle="1" w:styleId="82">
    <w:name w:val="表内容"/>
    <w:basedOn w:val="1"/>
    <w:next w:val="1"/>
    <w:qFormat/>
    <w:uiPriority w:val="0"/>
    <w:pPr>
      <w:jc w:val="center"/>
    </w:pPr>
    <w:rPr>
      <w:szCs w:val="21"/>
    </w:rPr>
  </w:style>
  <w:style w:type="character" w:customStyle="1" w:styleId="83">
    <w:name w:val="font01"/>
    <w:basedOn w:val="30"/>
    <w:qFormat/>
    <w:uiPriority w:val="0"/>
    <w:rPr>
      <w:rFonts w:hint="eastAsia" w:ascii="宋体" w:hAnsi="宋体" w:eastAsia="宋体" w:cs="宋体"/>
      <w:color w:val="000000"/>
      <w:sz w:val="21"/>
      <w:szCs w:val="21"/>
      <w:u w:val="none"/>
    </w:rPr>
  </w:style>
  <w:style w:type="paragraph" w:customStyle="1" w:styleId="84">
    <w:name w:val="正文首行缩进 21"/>
    <w:basedOn w:val="1"/>
    <w:link w:val="85"/>
    <w:qFormat/>
    <w:uiPriority w:val="0"/>
    <w:pPr>
      <w:spacing w:line="540" w:lineRule="exact"/>
      <w:ind w:firstLine="420" w:firstLineChars="200"/>
    </w:pPr>
    <w:rPr>
      <w:rFonts w:eastAsia="方正仿宋简体"/>
      <w:sz w:val="28"/>
      <w:szCs w:val="20"/>
    </w:rPr>
  </w:style>
  <w:style w:type="character" w:customStyle="1" w:styleId="85">
    <w:name w:val="正文首行缩进 2 Char"/>
    <w:link w:val="84"/>
    <w:qFormat/>
    <w:uiPriority w:val="0"/>
    <w:rPr>
      <w:rFonts w:eastAsia="方正仿宋简体"/>
      <w:kern w:val="2"/>
      <w:sz w:val="28"/>
    </w:rPr>
  </w:style>
  <w:style w:type="paragraph" w:customStyle="1" w:styleId="86">
    <w:name w:val="表格标题5.21"/>
    <w:basedOn w:val="1"/>
    <w:link w:val="87"/>
    <w:qFormat/>
    <w:uiPriority w:val="0"/>
    <w:pPr>
      <w:adjustRightInd w:val="0"/>
      <w:snapToGrid w:val="0"/>
      <w:spacing w:line="520" w:lineRule="exact"/>
      <w:jc w:val="center"/>
      <w:textAlignment w:val="baseline"/>
    </w:pPr>
    <w:rPr>
      <w:rFonts w:ascii="黑体" w:hAnsi="黑体" w:eastAsia="黑体" w:cs="宋体"/>
      <w:snapToGrid w:val="0"/>
      <w:kern w:val="0"/>
      <w:sz w:val="24"/>
    </w:rPr>
  </w:style>
  <w:style w:type="character" w:customStyle="1" w:styleId="87">
    <w:name w:val="表格标题5.21 字符"/>
    <w:link w:val="86"/>
    <w:qFormat/>
    <w:uiPriority w:val="0"/>
    <w:rPr>
      <w:rFonts w:ascii="黑体" w:hAnsi="黑体" w:eastAsia="黑体" w:cs="宋体"/>
      <w:snapToGrid w:val="0"/>
      <w:sz w:val="24"/>
      <w:szCs w:val="24"/>
    </w:rPr>
  </w:style>
  <w:style w:type="character" w:customStyle="1" w:styleId="88">
    <w:name w:val="纯文本 字符"/>
    <w:link w:val="16"/>
    <w:qFormat/>
    <w:uiPriority w:val="99"/>
    <w:rPr>
      <w:rFonts w:ascii="宋体" w:hAnsi="Courier New"/>
      <w:kern w:val="2"/>
      <w:sz w:val="21"/>
      <w:szCs w:val="24"/>
    </w:rPr>
  </w:style>
  <w:style w:type="character" w:customStyle="1" w:styleId="89">
    <w:name w:val="未处理的提及1"/>
    <w:basedOn w:val="30"/>
    <w:semiHidden/>
    <w:unhideWhenUsed/>
    <w:qFormat/>
    <w:uiPriority w:val="99"/>
    <w:rPr>
      <w:color w:val="605E5C"/>
      <w:shd w:val="clear" w:color="auto" w:fill="E1DFDD"/>
    </w:rPr>
  </w:style>
  <w:style w:type="character" w:customStyle="1" w:styleId="90">
    <w:name w:val="正文首行缩进 Char"/>
    <w:link w:val="91"/>
    <w:qFormat/>
    <w:uiPriority w:val="0"/>
    <w:rPr>
      <w:kern w:val="2"/>
      <w:sz w:val="21"/>
    </w:rPr>
  </w:style>
  <w:style w:type="paragraph" w:customStyle="1" w:styleId="91">
    <w:name w:val="正文首行缩进1"/>
    <w:basedOn w:val="2"/>
    <w:link w:val="90"/>
    <w:qFormat/>
    <w:uiPriority w:val="0"/>
    <w:pPr>
      <w:widowControl w:val="0"/>
      <w:snapToGrid/>
      <w:spacing w:before="0" w:after="120" w:line="240" w:lineRule="auto"/>
      <w:ind w:right="0" w:firstLine="420" w:firstLineChars="100"/>
    </w:pPr>
    <w:rPr>
      <w:kern w:val="2"/>
      <w:sz w:val="21"/>
    </w:rPr>
  </w:style>
  <w:style w:type="paragraph" w:customStyle="1" w:styleId="92">
    <w:name w:val="1正文"/>
    <w:basedOn w:val="1"/>
    <w:qFormat/>
    <w:uiPriority w:val="0"/>
    <w:pPr>
      <w:widowControl/>
      <w:spacing w:line="360" w:lineRule="auto"/>
      <w:ind w:firstLine="200" w:firstLineChars="200"/>
    </w:pPr>
    <w:rPr>
      <w:kern w:val="0"/>
      <w:sz w:val="24"/>
      <w:szCs w:val="20"/>
      <w:lang w:val="en-GB"/>
    </w:rPr>
  </w:style>
  <w:style w:type="character" w:customStyle="1" w:styleId="93">
    <w:name w:val="正文(首行缩进) Char"/>
    <w:link w:val="67"/>
    <w:qFormat/>
    <w:locked/>
    <w:uiPriority w:val="0"/>
    <w:rPr>
      <w:rFonts w:hAnsi="宋体"/>
      <w:b/>
      <w:bCs/>
      <w:color w:val="000000"/>
      <w:kern w:val="2"/>
      <w:sz w:val="24"/>
      <w:szCs w:val="28"/>
    </w:rPr>
  </w:style>
  <w:style w:type="character" w:customStyle="1" w:styleId="94">
    <w:name w:val="表格标题 Char Char"/>
    <w:link w:val="43"/>
    <w:qFormat/>
    <w:uiPriority w:val="0"/>
    <w:rPr>
      <w:rFonts w:eastAsia="黑体"/>
      <w:sz w:val="21"/>
      <w:szCs w:val="24"/>
    </w:rPr>
  </w:style>
  <w:style w:type="character" w:customStyle="1" w:styleId="95">
    <w:name w:val="15"/>
    <w:qFormat/>
    <w:uiPriority w:val="0"/>
    <w:rPr>
      <w:rFonts w:hint="eastAsia" w:ascii="PMingLiU" w:eastAsia="PMingLiU"/>
      <w:color w:val="000000"/>
      <w:spacing w:val="20"/>
      <w:sz w:val="24"/>
      <w:szCs w:val="24"/>
    </w:rPr>
  </w:style>
  <w:style w:type="paragraph" w:customStyle="1" w:styleId="96">
    <w:name w:val="正文小四"/>
    <w:qFormat/>
    <w:uiPriority w:val="0"/>
    <w:pPr>
      <w:spacing w:line="360" w:lineRule="auto"/>
      <w:ind w:firstLine="200" w:firstLineChars="200"/>
    </w:pPr>
    <w:rPr>
      <w:rFonts w:ascii="Calibri" w:hAnsi="Calibri" w:eastAsia="宋体" w:cs="Times New Roman"/>
      <w:color w:val="000000"/>
      <w:sz w:val="24"/>
      <w:szCs w:val="24"/>
      <w:lang w:val="en-US" w:eastAsia="zh-CN" w:bidi="ar-SA"/>
    </w:rPr>
  </w:style>
  <w:style w:type="paragraph" w:customStyle="1" w:styleId="97">
    <w:name w:val="YJ正文*"/>
    <w:basedOn w:val="1"/>
    <w:qFormat/>
    <w:uiPriority w:val="0"/>
    <w:pPr>
      <w:spacing w:line="520" w:lineRule="exact"/>
      <w:ind w:firstLine="480" w:firstLineChars="200"/>
    </w:pPr>
    <w:rPr>
      <w:rFonts w:ascii="宋体" w:hAnsi="宋体"/>
      <w:sz w:val="24"/>
    </w:rPr>
  </w:style>
  <w:style w:type="paragraph" w:customStyle="1" w:styleId="98">
    <w:name w:val="无间隔1"/>
    <w:qFormat/>
    <w:uiPriority w:val="0"/>
    <w:pPr>
      <w:widowControl w:val="0"/>
      <w:jc w:val="center"/>
    </w:pPr>
    <w:rPr>
      <w:rFonts w:ascii="宋体" w:hAnsi="Times New Roman" w:eastAsia="宋体" w:cs="Times New Roman"/>
      <w:kern w:val="2"/>
      <w:sz w:val="24"/>
      <w:lang w:val="en-US" w:eastAsia="zh-CN" w:bidi="ar-SA"/>
    </w:rPr>
  </w:style>
  <w:style w:type="paragraph" w:customStyle="1" w:styleId="99">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100">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101">
    <w:name w:val="_Style 4"/>
    <w:basedOn w:val="1"/>
    <w:qFormat/>
    <w:uiPriority w:val="0"/>
  </w:style>
  <w:style w:type="paragraph" w:customStyle="1" w:styleId="102">
    <w:name w:val="Body text|21"/>
    <w:basedOn w:val="1"/>
    <w:qFormat/>
    <w:uiPriority w:val="0"/>
    <w:pPr>
      <w:shd w:val="clear" w:color="auto" w:fill="FFFFFF"/>
      <w:spacing w:line="1280" w:lineRule="exact"/>
    </w:pPr>
    <w:rPr>
      <w:rFonts w:ascii="PMingLiU" w:hAnsi="PMingLiU" w:eastAsia="PMingLiU" w:cs="PMingLiU"/>
      <w:spacing w:val="30"/>
      <w:sz w:val="44"/>
      <w:szCs w:val="44"/>
    </w:rPr>
  </w:style>
  <w:style w:type="paragraph" w:customStyle="1" w:styleId="103">
    <w:name w:val="_Style 2"/>
    <w:basedOn w:val="1"/>
    <w:qFormat/>
    <w:uiPriority w:val="99"/>
    <w:pPr>
      <w:ind w:firstLine="420"/>
    </w:pPr>
    <w:rPr>
      <w:rFonts w:ascii="Calibri" w:hAnsi="Calibri"/>
    </w:rPr>
  </w:style>
  <w:style w:type="paragraph" w:customStyle="1" w:styleId="104">
    <w:name w:val="新表头"/>
    <w:basedOn w:val="1"/>
    <w:qFormat/>
    <w:uiPriority w:val="0"/>
    <w:pPr>
      <w:jc w:val="center"/>
    </w:pPr>
    <w:rPr>
      <w:b/>
    </w:rPr>
  </w:style>
  <w:style w:type="paragraph" w:customStyle="1" w:styleId="105">
    <w:name w:val="xl27"/>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106">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07">
    <w:name w:val="表格文字"/>
    <w:basedOn w:val="2"/>
    <w:next w:val="1"/>
    <w:qFormat/>
    <w:uiPriority w:val="0"/>
    <w:pPr>
      <w:spacing w:line="320" w:lineRule="exact"/>
      <w:jc w:val="center"/>
    </w:pPr>
    <w:rPr>
      <w:sz w:val="21"/>
    </w:rPr>
  </w:style>
  <w:style w:type="paragraph" w:customStyle="1" w:styleId="108">
    <w:name w:val="正文格式"/>
    <w:basedOn w:val="23"/>
    <w:next w:val="2"/>
    <w:autoRedefine/>
    <w:qFormat/>
    <w:uiPriority w:val="0"/>
    <w:pPr>
      <w:spacing w:before="25" w:beforeLines="25" w:after="25" w:afterLines="25"/>
      <w:ind w:firstLine="40"/>
      <w:jc w:val="left"/>
    </w:pPr>
    <w:rPr>
      <w:kern w:val="0"/>
    </w:rPr>
  </w:style>
  <w:style w:type="paragraph" w:customStyle="1" w:styleId="109">
    <w:name w:val="表格内容1"/>
    <w:basedOn w:val="1"/>
    <w:qFormat/>
    <w:uiPriority w:val="0"/>
    <w:pPr>
      <w:widowControl/>
      <w:spacing w:line="300" w:lineRule="exact"/>
      <w:jc w:val="center"/>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1" Type="http://schemas.openxmlformats.org/officeDocument/2006/relationships/fontTable" Target="fontTable.xml"/><Relationship Id="rId50" Type="http://schemas.microsoft.com/office/2006/relationships/keyMapCustomizations" Target="customizations.xml"/><Relationship Id="rId5" Type="http://schemas.openxmlformats.org/officeDocument/2006/relationships/footer" Target="footer3.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3.wmf"/><Relationship Id="rId45" Type="http://schemas.openxmlformats.org/officeDocument/2006/relationships/image" Target="media/image32.wmf"/><Relationship Id="rId44" Type="http://schemas.openxmlformats.org/officeDocument/2006/relationships/image" Target="media/image31.wmf"/><Relationship Id="rId43" Type="http://schemas.openxmlformats.org/officeDocument/2006/relationships/image" Target="media/image30.wmf"/><Relationship Id="rId42" Type="http://schemas.openxmlformats.org/officeDocument/2006/relationships/image" Target="media/image29.wmf"/><Relationship Id="rId41" Type="http://schemas.openxmlformats.org/officeDocument/2006/relationships/image" Target="media/image28.wmf"/><Relationship Id="rId40" Type="http://schemas.openxmlformats.org/officeDocument/2006/relationships/image" Target="media/image27.wmf"/><Relationship Id="rId4" Type="http://schemas.openxmlformats.org/officeDocument/2006/relationships/footer" Target="footer2.xml"/><Relationship Id="rId39" Type="http://schemas.openxmlformats.org/officeDocument/2006/relationships/image" Target="media/image26.wmf"/><Relationship Id="rId38" Type="http://schemas.openxmlformats.org/officeDocument/2006/relationships/oleObject" Target="embeddings/oleObject4.bin"/><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wmf"/><Relationship Id="rId30" Type="http://schemas.openxmlformats.org/officeDocument/2006/relationships/image" Target="media/image18.emf"/><Relationship Id="rId3" Type="http://schemas.openxmlformats.org/officeDocument/2006/relationships/footer" Target="footer1.xml"/><Relationship Id="rId29" Type="http://schemas.openxmlformats.org/officeDocument/2006/relationships/oleObject" Target="embeddings/oleObject3.bin"/><Relationship Id="rId28" Type="http://schemas.openxmlformats.org/officeDocument/2006/relationships/image" Target="media/image17.emf"/><Relationship Id="rId27" Type="http://schemas.openxmlformats.org/officeDocument/2006/relationships/oleObject" Target="embeddings/oleObject2.bin"/><Relationship Id="rId26" Type="http://schemas.openxmlformats.org/officeDocument/2006/relationships/image" Target="media/image16.emf"/><Relationship Id="rId25" Type="http://schemas.openxmlformats.org/officeDocument/2006/relationships/oleObject" Target="embeddings/oleObject1.bin"/><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EBA72F-05F2-4365-936A-A55D7DE9940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77</Pages>
  <Words>41669</Words>
  <Characters>46936</Characters>
  <Lines>325</Lines>
  <Paragraphs>91</Paragraphs>
  <TotalTime>4</TotalTime>
  <ScaleCrop>false</ScaleCrop>
  <LinksUpToDate>false</LinksUpToDate>
  <CharactersWithSpaces>47299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2022-03-27T15:05:00Z</dcterms:created>
  <dc:creator>lhj</dc:creator>
  <cp:lastModifiedBy>尕毛毛</cp:lastModifiedBy>
  <cp:lastPrinted>2022-04-06T07:58:00Z</cp:lastPrinted>
  <dcterms:modified xsi:type="dcterms:W3CDTF">2024-06-25T03:14:32Z</dcterms:modified>
  <dc:title>附件2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FF6A0044A4A74247BA2ECB6C2871911A</vt:lpwstr>
  </property>
</Properties>
</file>