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hint="eastAsia"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bidi w:val="0"/>
        <w:rPr>
          <w:color w:val="000000" w:themeColor="text1"/>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firstLine="360" w:firstLineChars="100"/>
        <w:jc w:val="both"/>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新疆双杰新能源高端装备研发制造基地</w:t>
      </w:r>
    </w:p>
    <w:p>
      <w:pPr>
        <w:adjustRightInd w:val="0"/>
        <w:snapToGrid w:val="0"/>
        <w:spacing w:line="288" w:lineRule="auto"/>
        <w:jc w:val="center"/>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u w:val="single"/>
          <w14:textFill>
            <w14:solidFill>
              <w14:schemeClr w14:val="tx1"/>
            </w14:solidFill>
          </w14:textFill>
        </w:rPr>
        <w:t>项目(一期)</w:t>
      </w:r>
    </w:p>
    <w:p>
      <w:pPr>
        <w:adjustRightInd w:val="0"/>
        <w:snapToGrid w:val="0"/>
        <w:spacing w:line="288" w:lineRule="auto"/>
        <w:ind w:firstLine="360" w:firstLineChars="100"/>
        <w:jc w:val="both"/>
        <w:rPr>
          <w:rFonts w:hint="eastAsia"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14:textFill>
            <w14:solidFill>
              <w14:schemeClr w14:val="tx1"/>
            </w14:solidFill>
          </w14:textFill>
        </w:rPr>
        <w:t>新疆双杰新能源有限公司</w:t>
      </w:r>
    </w:p>
    <w:p>
      <w:pPr>
        <w:adjustRightInd w:val="0"/>
        <w:snapToGrid w:val="0"/>
        <w:spacing w:line="288" w:lineRule="auto"/>
        <w:ind w:firstLine="360" w:firstLineChars="100"/>
        <w:jc w:val="both"/>
        <w:rPr>
          <w:rFonts w:hint="default" w:ascii="仿宋_GB2312" w:eastAsia="仿宋_GB2312"/>
          <w:color w:val="000000" w:themeColor="text1"/>
          <w:sz w:val="36"/>
          <w:szCs w:val="36"/>
          <w:u w:val="single"/>
          <w:lang w:val="en-US"/>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lang w:val="en-US" w:eastAsia="zh-CN"/>
          <w14:textFill>
            <w14:solidFill>
              <w14:schemeClr w14:val="tx1"/>
            </w14:solidFill>
          </w14:textFill>
        </w:rPr>
        <w:t xml:space="preserve">     二〇二四年五月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color w:val="000000" w:themeColor="text1"/>
          <w:sz w:val="36"/>
          <w:szCs w:val="36"/>
          <w14:textFill>
            <w14:solidFill>
              <w14:schemeClr w14:val="tx1"/>
            </w14:solidFill>
          </w14:textFill>
        </w:rPr>
        <w:t>中华人民共和国生态环境部制</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5"/>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01290" cy="2339975"/>
                  <wp:effectExtent l="0" t="0" r="3810" b="3175"/>
                  <wp:docPr id="46" name="图片 46" descr="eb432be7e7439ce4bad16e8a5227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b432be7e7439ce4bad16e8a5227f46"/>
                          <pic:cNvPicPr>
                            <a:picLocks noChangeAspect="1"/>
                          </pic:cNvPicPr>
                        </pic:nvPicPr>
                        <pic:blipFill>
                          <a:blip r:embed="rId8"/>
                          <a:stretch>
                            <a:fillRect/>
                          </a:stretch>
                        </pic:blipFill>
                        <pic:spPr>
                          <a:xfrm>
                            <a:off x="0" y="0"/>
                            <a:ext cx="2701290" cy="2339975"/>
                          </a:xfrm>
                          <a:prstGeom prst="rect">
                            <a:avLst/>
                          </a:prstGeom>
                        </pic:spPr>
                      </pic:pic>
                    </a:graphicData>
                  </a:graphic>
                </wp:inline>
              </w:drawing>
            </w:r>
          </w:p>
        </w:tc>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692400" cy="2339975"/>
                  <wp:effectExtent l="0" t="0" r="12700" b="3175"/>
                  <wp:docPr id="47" name="图片 47" descr="21ebbf33813dc251999084392fbdf20"/>
                  <wp:cNvGraphicFramePr/>
                  <a:graphic xmlns:a="http://schemas.openxmlformats.org/drawingml/2006/main">
                    <a:graphicData uri="http://schemas.openxmlformats.org/drawingml/2006/picture">
                      <pic:pic xmlns:pic="http://schemas.openxmlformats.org/drawingml/2006/picture">
                        <pic:nvPicPr>
                          <pic:cNvPr id="47" name="图片 47" descr="21ebbf33813dc251999084392fbdf20"/>
                          <pic:cNvPicPr/>
                        </pic:nvPicPr>
                        <pic:blipFill>
                          <a:blip r:embed="rId9"/>
                          <a:stretch>
                            <a:fillRect/>
                          </a:stretch>
                        </pic:blipFill>
                        <pic:spPr>
                          <a:xfrm>
                            <a:off x="0" y="0"/>
                            <a:ext cx="2692400"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460"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项目区南侧</w:t>
            </w:r>
          </w:p>
        </w:tc>
        <w:tc>
          <w:tcPr>
            <w:tcW w:w="4460"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29865" cy="2339975"/>
                  <wp:effectExtent l="0" t="0" r="13335" b="3175"/>
                  <wp:docPr id="48" name="图片 48" descr="ea556e1a05141bbc9092a2512791256"/>
                  <wp:cNvGraphicFramePr/>
                  <a:graphic xmlns:a="http://schemas.openxmlformats.org/drawingml/2006/main">
                    <a:graphicData uri="http://schemas.openxmlformats.org/drawingml/2006/picture">
                      <pic:pic xmlns:pic="http://schemas.openxmlformats.org/drawingml/2006/picture">
                        <pic:nvPicPr>
                          <pic:cNvPr id="48" name="图片 48" descr="ea556e1a05141bbc9092a2512791256"/>
                          <pic:cNvPicPr/>
                        </pic:nvPicPr>
                        <pic:blipFill>
                          <a:blip r:embed="rId10"/>
                          <a:stretch>
                            <a:fillRect/>
                          </a:stretch>
                        </pic:blipFill>
                        <pic:spPr>
                          <a:xfrm>
                            <a:off x="0" y="0"/>
                            <a:ext cx="2729865" cy="2339975"/>
                          </a:xfrm>
                          <a:prstGeom prst="rect">
                            <a:avLst/>
                          </a:prstGeom>
                        </pic:spPr>
                      </pic:pic>
                    </a:graphicData>
                  </a:graphic>
                </wp:inline>
              </w:drawing>
            </w:r>
          </w:p>
        </w:tc>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49550" cy="2339975"/>
                  <wp:effectExtent l="0" t="0" r="12700" b="3175"/>
                  <wp:docPr id="49" name="图片 49" descr="51f44065087a066e09c1b5552b51bb8"/>
                  <wp:cNvGraphicFramePr/>
                  <a:graphic xmlns:a="http://schemas.openxmlformats.org/drawingml/2006/main">
                    <a:graphicData uri="http://schemas.openxmlformats.org/drawingml/2006/picture">
                      <pic:pic xmlns:pic="http://schemas.openxmlformats.org/drawingml/2006/picture">
                        <pic:nvPicPr>
                          <pic:cNvPr id="49" name="图片 49" descr="51f44065087a066e09c1b5552b51bb8"/>
                          <pic:cNvPicPr/>
                        </pic:nvPicPr>
                        <pic:blipFill>
                          <a:blip r:embed="rId11"/>
                          <a:stretch>
                            <a:fillRect/>
                          </a:stretch>
                        </pic:blipFill>
                        <pic:spPr>
                          <a:xfrm>
                            <a:off x="0" y="0"/>
                            <a:ext cx="2749550"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460"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项目区北侧</w:t>
            </w:r>
          </w:p>
        </w:tc>
        <w:tc>
          <w:tcPr>
            <w:tcW w:w="4460" w:type="dxa"/>
          </w:tcPr>
          <w:p>
            <w:pPr>
              <w:pStyle w:val="20"/>
              <w:spacing w:line="240" w:lineRule="auto"/>
              <w:jc w:val="center"/>
              <w:outlineLvl w:val="0"/>
              <w:rPr>
                <w:rFonts w:hint="default"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trPr>
        <w:tc>
          <w:tcPr>
            <w:tcW w:w="4460" w:type="dxa"/>
            <w:vAlign w:val="top"/>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09545" cy="2339975"/>
                  <wp:effectExtent l="0" t="0" r="14605" b="3175"/>
                  <wp:docPr id="52" name="图片 52" descr="8f18dc5c765e2b31b74ae26975ee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f18dc5c765e2b31b74ae26975ee5f4"/>
                          <pic:cNvPicPr>
                            <a:picLocks noChangeAspect="1"/>
                          </pic:cNvPicPr>
                        </pic:nvPicPr>
                        <pic:blipFill>
                          <a:blip r:embed="rId12"/>
                          <a:stretch>
                            <a:fillRect/>
                          </a:stretch>
                        </pic:blipFill>
                        <pic:spPr>
                          <a:xfrm>
                            <a:off x="0" y="0"/>
                            <a:ext cx="2709545" cy="2339975"/>
                          </a:xfrm>
                          <a:prstGeom prst="rect">
                            <a:avLst/>
                          </a:prstGeom>
                        </pic:spPr>
                      </pic:pic>
                    </a:graphicData>
                  </a:graphic>
                </wp:inline>
              </w:drawing>
            </w:r>
          </w:p>
        </w:tc>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drawing>
                <wp:inline distT="0" distB="0" distL="114300" distR="114300">
                  <wp:extent cx="2729865" cy="2339975"/>
                  <wp:effectExtent l="0" t="0" r="13335" b="3175"/>
                  <wp:docPr id="53" name="图片 53" descr="2b627c1b646889a090213065eadd9e7"/>
                  <wp:cNvGraphicFramePr/>
                  <a:graphic xmlns:a="http://schemas.openxmlformats.org/drawingml/2006/main">
                    <a:graphicData uri="http://schemas.openxmlformats.org/drawingml/2006/picture">
                      <pic:pic xmlns:pic="http://schemas.openxmlformats.org/drawingml/2006/picture">
                        <pic:nvPicPr>
                          <pic:cNvPr id="53" name="图片 53" descr="2b627c1b646889a090213065eadd9e7"/>
                          <pic:cNvPicPr/>
                        </pic:nvPicPr>
                        <pic:blipFill>
                          <a:blip r:embed="rId13"/>
                          <a:stretch>
                            <a:fillRect/>
                          </a:stretch>
                        </pic:blipFill>
                        <pic:spPr>
                          <a:xfrm>
                            <a:off x="0" y="0"/>
                            <a:ext cx="2729865" cy="2339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460" w:type="dxa"/>
            <w:vAlign w:val="top"/>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项目区东侧</w:t>
            </w:r>
          </w:p>
        </w:tc>
        <w:tc>
          <w:tcPr>
            <w:tcW w:w="4460" w:type="dxa"/>
          </w:tcPr>
          <w:p>
            <w:pPr>
              <w:pStyle w:val="20"/>
              <w:spacing w:line="240" w:lineRule="auto"/>
              <w:jc w:val="center"/>
              <w:outlineLvl w:val="0"/>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u w:val="none"/>
                <w:lang w:val="en-US" w:eastAsia="zh-CN" w:bidi="ar-SA"/>
                <w14:textFill>
                  <w14:solidFill>
                    <w14:schemeClr w14:val="tx1"/>
                  </w14:solidFill>
                </w14:textFill>
              </w:rPr>
              <w:t>项目区</w:t>
            </w:r>
          </w:p>
        </w:tc>
      </w:tr>
    </w:tbl>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现场踏勘图</w:t>
      </w:r>
    </w:p>
    <w:p>
      <w:pPr>
        <w:pStyle w:val="20"/>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2196"/>
        <w:gridCol w:w="1653"/>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建设项目名称</w:t>
            </w:r>
          </w:p>
        </w:tc>
        <w:tc>
          <w:tcPr>
            <w:tcW w:w="6488" w:type="dxa"/>
            <w:gridSpan w:val="3"/>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新疆双杰新能源高端装备研发制造基地项目(一期)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项目代码</w:t>
            </w:r>
          </w:p>
        </w:tc>
        <w:tc>
          <w:tcPr>
            <w:tcW w:w="6488" w:type="dxa"/>
            <w:gridSpan w:val="3"/>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2303-652328-04-01-977784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建设单位联系人</w:t>
            </w:r>
          </w:p>
        </w:tc>
        <w:tc>
          <w:tcPr>
            <w:tcW w:w="2196"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王鹏</w:t>
            </w:r>
          </w:p>
        </w:tc>
        <w:tc>
          <w:tcPr>
            <w:tcW w:w="1653" w:type="dxa"/>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639" w:type="dxa"/>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XXX</w:t>
            </w:r>
            <w:bookmarkStart w:id="9" w:name="_GoBack"/>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建设地点</w:t>
            </w:r>
          </w:p>
        </w:tc>
        <w:tc>
          <w:tcPr>
            <w:tcW w:w="6488" w:type="dxa"/>
            <w:gridSpan w:val="3"/>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u w:val="none"/>
                <w:lang w:val="en-US" w:eastAsia="zh-CN"/>
                <w14:textFill>
                  <w14:solidFill>
                    <w14:schemeClr w14:val="tx1"/>
                  </w14:solidFill>
                </w14:textFill>
              </w:rPr>
              <w:t>新疆维吾尔自治区昌吉回族自治州木垒哈萨克自治县民生工业园区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地理坐标</w:t>
            </w:r>
          </w:p>
        </w:tc>
        <w:tc>
          <w:tcPr>
            <w:tcW w:w="6488" w:type="dxa"/>
            <w:gridSpan w:val="3"/>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90</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21</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27.285</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43</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57</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13.839</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国民经济</w:t>
            </w:r>
          </w:p>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行业类别</w:t>
            </w:r>
          </w:p>
        </w:tc>
        <w:tc>
          <w:tcPr>
            <w:tcW w:w="2196" w:type="dxa"/>
            <w:vAlign w:val="center"/>
          </w:tcPr>
          <w:p>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C制造业</w:t>
            </w:r>
            <w:r>
              <w:rPr>
                <w:rFonts w:hint="default" w:ascii="Times New Roman" w:hAnsi="Times New Roman" w:cs="Times New Roman"/>
                <w:color w:val="000000" w:themeColor="text1"/>
                <w:szCs w:val="21"/>
                <w:highlight w:val="none"/>
                <w:lang w:val="en-US" w:eastAsia="zh-CN"/>
                <w14:textFill>
                  <w14:solidFill>
                    <w14:schemeClr w14:val="tx1"/>
                  </w14:solidFill>
                </w14:textFill>
              </w:rPr>
              <w:t xml:space="preserve">  38电气机械和器材制造业  382输配电及控制设备制造  3825光伏设备及元器件制造  </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bookmarkStart w:id="1" w:name="_Hlk49843745"/>
            <w:r>
              <w:rPr>
                <w:rFonts w:hint="default" w:ascii="Times New Roman" w:hAnsi="Times New Roman" w:cs="Times New Roman"/>
                <w:color w:val="000000" w:themeColor="text1"/>
                <w:szCs w:val="21"/>
                <w:highlight w:val="none"/>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行业类别</w:t>
            </w:r>
            <w:bookmarkEnd w:id="1"/>
          </w:p>
        </w:tc>
        <w:tc>
          <w:tcPr>
            <w:tcW w:w="2639" w:type="dxa"/>
            <w:vAlign w:val="center"/>
          </w:tcPr>
          <w:p>
            <w:pPr>
              <w:adjustRightInd w:val="0"/>
              <w:snapToGrid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zCs w:val="21"/>
                <w:highlight w:val="none"/>
                <w:lang w:val="en-US" w:eastAsia="zh-CN"/>
                <w14:textFill>
                  <w14:solidFill>
                    <w14:schemeClr w14:val="tx1"/>
                  </w14:solidFill>
                </w14:textFill>
              </w:rPr>
              <w:t>VOCs</w:t>
            </w:r>
            <w:r>
              <w:rPr>
                <w:rFonts w:hint="default" w:ascii="Times New Roman" w:hAnsi="Times New Roman" w:cs="Times New Roman"/>
                <w:color w:val="000000" w:themeColor="text1"/>
                <w:szCs w:val="21"/>
                <w:highlight w:val="none"/>
                <w:lang w:val="en-US" w:eastAsia="zh-CN"/>
                <w14:textFill>
                  <w14:solidFill>
                    <w14:schemeClr w14:val="tx1"/>
                  </w14:solidFill>
                </w14:textFill>
              </w:rPr>
              <w:t>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建设性质</w:t>
            </w:r>
          </w:p>
        </w:tc>
        <w:tc>
          <w:tcPr>
            <w:tcW w:w="2196" w:type="dxa"/>
            <w:vAlign w:val="center"/>
          </w:tcPr>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新建（迁建）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改建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扩建</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技术改造</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申报情形</w:t>
            </w:r>
          </w:p>
        </w:tc>
        <w:tc>
          <w:tcPr>
            <w:tcW w:w="2639" w:type="dxa"/>
            <w:vAlign w:val="center"/>
          </w:tcPr>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 xml:space="preserve">首次申报项目             </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□不予批准后再次申报项目</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 xml:space="preserve">超五年重新审核项目     </w:t>
            </w:r>
          </w:p>
          <w:p>
            <w:pPr>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项目审批（核准</w:t>
            </w:r>
            <w:r>
              <w:rPr>
                <w:rFonts w:ascii="宋体" w:hAnsi="宋体" w:cs="宋体"/>
                <w:color w:val="000000" w:themeColor="text1"/>
                <w:szCs w:val="21"/>
                <w:highlight w:val="none"/>
                <w14:textFill>
                  <w14:solidFill>
                    <w14:schemeClr w14:val="tx1"/>
                  </w14:solidFill>
                </w14:textFill>
              </w:rPr>
              <w:t>/</w:t>
            </w:r>
          </w:p>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备案）部门（选填）</w:t>
            </w:r>
          </w:p>
        </w:tc>
        <w:tc>
          <w:tcPr>
            <w:tcW w:w="2196"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木垒县发展和改革委员会</w:t>
            </w:r>
          </w:p>
        </w:tc>
        <w:tc>
          <w:tcPr>
            <w:tcW w:w="1653"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备案）文号（选填）</w:t>
            </w:r>
          </w:p>
        </w:tc>
        <w:tc>
          <w:tcPr>
            <w:tcW w:w="2639" w:type="dxa"/>
            <w:vAlign w:val="center"/>
          </w:tcPr>
          <w:p>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木发改备案</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2023</w:t>
            </w:r>
            <w:r>
              <w:rPr>
                <w:rFonts w:hint="eastAsia" w:ascii="宋体" w:hAnsi="宋体" w:eastAsia="宋体" w:cs="宋体"/>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总投资（万元）</w:t>
            </w:r>
          </w:p>
        </w:tc>
        <w:tc>
          <w:tcPr>
            <w:tcW w:w="2196"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t>40000</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环保投资（万元）</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环保投资占比（</w:t>
            </w:r>
            <w:r>
              <w:rPr>
                <w:rFonts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p>
        </w:tc>
        <w:tc>
          <w:tcPr>
            <w:tcW w:w="2196"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0.875</w:t>
            </w:r>
            <w: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t>%</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施工工期</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2382" w:type="dxa"/>
            <w:tcMar>
              <w:top w:w="16" w:type="dxa"/>
              <w:left w:w="16" w:type="dxa"/>
              <w:right w:w="16" w:type="dxa"/>
            </w:tcMar>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是否开工建设</w:t>
            </w:r>
          </w:p>
        </w:tc>
        <w:tc>
          <w:tcPr>
            <w:tcW w:w="2196" w:type="dxa"/>
            <w:vAlign w:val="center"/>
          </w:tcPr>
          <w:p>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否</w:t>
            </w:r>
          </w:p>
          <w:p>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52"/>
            </w:r>
            <w:r>
              <w:rPr>
                <w:rFonts w:hint="default" w:ascii="Times New Roman" w:hAnsi="Times New Roman" w:cs="Times New Roman"/>
                <w:color w:val="000000" w:themeColor="text1"/>
                <w:szCs w:val="21"/>
                <w:highlight w:val="none"/>
                <w14:textFill>
                  <w14:solidFill>
                    <w14:schemeClr w14:val="tx1"/>
                  </w14:solidFill>
                </w14:textFill>
              </w:rPr>
              <w:t>是：</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2023年3月15日，新疆双杰新能源有限公司完成了“新疆双杰新能源高端装备研发制造基地项目(一期)”项目网上备案登记。2023年3月24日，该项目环境影响登记表已经完成备案，备案号：202365232800000016。</w:t>
            </w:r>
            <w:r>
              <w:rPr>
                <w:rFonts w:hint="eastAsia" w:cs="Times New Roman"/>
                <w:color w:val="000000" w:themeColor="text1"/>
                <w:spacing w:val="-6"/>
                <w:szCs w:val="21"/>
                <w:highlight w:val="none"/>
                <w:u w:val="single"/>
                <w:lang w:val="en-US" w:eastAsia="zh-CN"/>
                <w14:textFill>
                  <w14:solidFill>
                    <w14:schemeClr w14:val="tx1"/>
                  </w14:solidFill>
                </w14:textFill>
              </w:rPr>
              <w:t>目前项目厂区已完成场地平整，已建成厂房、生产车间钢架结构安装、综合楼，已建内容均属原备案表内容。</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考虑市场的需要，建设单位在建设过程中，增加了喷漆与喷砂工序，且年使用低</w:t>
            </w:r>
            <w:r>
              <w:rPr>
                <w:rFonts w:hint="eastAsia" w:cs="Times New Roman"/>
                <w:color w:val="000000" w:themeColor="text1"/>
                <w:spacing w:val="-6"/>
                <w:szCs w:val="21"/>
                <w:highlight w:val="none"/>
                <w:u w:val="single"/>
                <w:lang w:val="en-US" w:eastAsia="zh-CN"/>
                <w14:textFill>
                  <w14:solidFill>
                    <w14:schemeClr w14:val="tx1"/>
                  </w14:solidFill>
                </w14:textFill>
              </w:rPr>
              <w:t>VOCs</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的水性漆20吨，油性漆6吨，</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根据</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szCs w:val="21"/>
                <w:highlight w:val="none"/>
                <w:u w:val="single"/>
                <w:lang w:val="en-US" w:eastAsia="zh-CN"/>
                <w14:textFill>
                  <w14:solidFill>
                    <w14:schemeClr w14:val="tx1"/>
                  </w14:solidFill>
                </w14:textFill>
              </w:rPr>
              <w:t>VOCs</w:t>
            </w:r>
            <w:r>
              <w:rPr>
                <w:rFonts w:hint="default"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含量涂料10吨以下的除外)</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，应该编制环境影响报告表</w:t>
            </w:r>
            <w:r>
              <w:rPr>
                <w:rFonts w:hint="eastAsia" w:cs="Times New Roman"/>
                <w:color w:val="000000" w:themeColor="text1"/>
                <w:spacing w:val="-6"/>
                <w:szCs w:val="21"/>
                <w:highlight w:val="none"/>
                <w:u w:val="single"/>
                <w:lang w:val="en-US" w:eastAsia="zh-CN"/>
                <w14:textFill>
                  <w14:solidFill>
                    <w14:schemeClr w14:val="tx1"/>
                  </w14:solidFill>
                </w14:textFill>
              </w:rPr>
              <w:t>。</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该项目目前正处于</w:t>
            </w:r>
            <w:r>
              <w:rPr>
                <w:rFonts w:hint="eastAsia" w:cs="Times New Roman"/>
                <w:color w:val="000000" w:themeColor="text1"/>
                <w:spacing w:val="-6"/>
                <w:szCs w:val="21"/>
                <w:highlight w:val="none"/>
                <w:u w:val="single"/>
                <w:lang w:val="en-US" w:eastAsia="zh-CN"/>
                <w14:textFill>
                  <w14:solidFill>
                    <w14:schemeClr w14:val="tx1"/>
                  </w14:solidFill>
                </w14:textFill>
              </w:rPr>
              <w:t>停</w:t>
            </w:r>
            <w:r>
              <w:rPr>
                <w:rFonts w:hint="eastAsia" w:ascii="Times New Roman" w:hAnsi="Times New Roman" w:eastAsia="宋体" w:cs="Times New Roman"/>
                <w:color w:val="000000" w:themeColor="text1"/>
                <w:spacing w:val="-6"/>
                <w:szCs w:val="21"/>
                <w:highlight w:val="none"/>
                <w:u w:val="single"/>
                <w:lang w:val="en-US" w:eastAsia="zh-CN"/>
                <w14:textFill>
                  <w14:solidFill>
                    <w14:schemeClr w14:val="tx1"/>
                  </w14:solidFill>
                </w14:textFill>
              </w:rPr>
              <w:t>工状态，</w:t>
            </w:r>
            <w:r>
              <w:rPr>
                <w:rFonts w:hint="eastAsia" w:cs="Times New Roman"/>
                <w:color w:val="000000" w:themeColor="text1"/>
                <w:spacing w:val="-6"/>
                <w:szCs w:val="21"/>
                <w:highlight w:val="none"/>
                <w:u w:val="single"/>
                <w:lang w:val="en-US" w:eastAsia="zh-CN"/>
                <w14:textFill>
                  <w14:solidFill>
                    <w14:schemeClr w14:val="tx1"/>
                  </w14:solidFill>
                </w14:textFill>
              </w:rPr>
              <w:t>待本项目环评批复拿到后再开工。</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p>
        </w:tc>
        <w:tc>
          <w:tcPr>
            <w:tcW w:w="1653"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default" w:ascii="Times New Roman" w:hAnsi="Times New Roman" w:eastAsia="宋体" w:cs="Times New Roman"/>
                <w:color w:val="000000" w:themeColor="text1"/>
                <w:spacing w:val="-6"/>
                <w:szCs w:val="21"/>
                <w:highlight w:val="none"/>
                <w14:textFill>
                  <w14:solidFill>
                    <w14:schemeClr w14:val="tx1"/>
                  </w14:solidFill>
                </w14:textFill>
              </w:rPr>
              <w:t>面积（m</w:t>
            </w:r>
            <w:r>
              <w:rPr>
                <w:rFonts w:hint="default" w:ascii="Times New Roman" w:hAnsi="Times New Roman" w:eastAsia="宋体"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Cs w:val="21"/>
                <w:highlight w:val="none"/>
                <w14:textFill>
                  <w14:solidFill>
                    <w14:schemeClr w14:val="tx1"/>
                  </w14:solidFill>
                </w14:textFill>
              </w:rPr>
              <w:t>）</w:t>
            </w:r>
          </w:p>
        </w:tc>
        <w:tc>
          <w:tcPr>
            <w:tcW w:w="2639" w:type="dxa"/>
            <w:vAlign w:val="center"/>
          </w:tcPr>
          <w:p>
            <w:pPr>
              <w:adjustRightInd w:val="0"/>
              <w:snapToGrid w:val="0"/>
              <w:jc w:val="center"/>
              <w:rPr>
                <w:rFonts w:hint="default" w:ascii="Times New Roman" w:hAnsi="Times New Roman" w:eastAsia="宋体" w:cs="Times New Roman"/>
                <w:color w:val="000000" w:themeColor="text1"/>
                <w:spacing w:val="-6"/>
                <w:szCs w:val="21"/>
                <w:highlight w:val="none"/>
                <w14:textFill>
                  <w14:solidFill>
                    <w14:schemeClr w14:val="tx1"/>
                  </w14:solidFill>
                </w14:textFill>
              </w:rPr>
            </w:pPr>
            <w:r>
              <w:rPr>
                <w:rFonts w:hint="eastAsia" w:ascii="Times New Roman" w:hAnsi="Times New Roman" w:eastAsia="宋体" w:cs="Times New Roman"/>
                <w:color w:val="000000" w:themeColor="text1"/>
                <w:spacing w:val="-6"/>
                <w:szCs w:val="21"/>
                <w:highlight w:val="none"/>
                <w:lang w:val="en-US" w:eastAsia="zh-CN"/>
                <w14:textFill>
                  <w14:solidFill>
                    <w14:schemeClr w14:val="tx1"/>
                  </w14:solidFill>
                </w14:textFill>
              </w:rPr>
              <w:t>109285.44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专项评价设置情况</w:t>
            </w:r>
          </w:p>
        </w:tc>
        <w:tc>
          <w:tcPr>
            <w:tcW w:w="6488" w:type="dxa"/>
            <w:gridSpan w:val="3"/>
            <w:vAlign w:val="center"/>
          </w:tcPr>
          <w:p>
            <w:pPr>
              <w:autoSpaceDE w:val="0"/>
              <w:autoSpaceDN w:val="0"/>
              <w:adjustRightInd w:val="0"/>
              <w:snapToGrid w:val="0"/>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规划情况</w:t>
            </w:r>
          </w:p>
        </w:tc>
        <w:tc>
          <w:tcPr>
            <w:tcW w:w="6488"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规划文件：</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《木垒县民生工业园区总体规划(2014-2030年)》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r>
              <w:rPr>
                <w:rFonts w:hint="default" w:ascii="Times New Roman" w:hAnsi="Times New Roman" w:cs="Times New Roman"/>
                <w:b/>
                <w:bCs/>
                <w:color w:val="000000" w:themeColor="text1"/>
                <w:kern w:val="0"/>
                <w:sz w:val="24"/>
                <w:highlight w:val="none"/>
                <w:lang w:val="en-US"/>
                <w14:textFill>
                  <w14:solidFill>
                    <w14:schemeClr w14:val="tx1"/>
                  </w14:solidFill>
                </w14:textFill>
              </w:rPr>
              <w:t>规划审批情况及审批单位：</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昌吉回族自治州城乡规划委员会办公室</w:t>
            </w:r>
          </w:p>
          <w:p>
            <w:pPr>
              <w:keepNext w:val="0"/>
              <w:keepLines w:val="0"/>
              <w:pageBreakBefore w:val="0"/>
              <w:widowControl w:val="0"/>
              <w:kinsoku/>
              <w:wordWrap/>
              <w:overflowPunct/>
              <w:topLinePunct w:val="0"/>
              <w:autoSpaceDE w:val="0"/>
              <w:autoSpaceDN w:val="0"/>
              <w:bidi w:val="0"/>
              <w:adjustRightInd/>
              <w:snapToGrid/>
              <w:spacing w:line="360" w:lineRule="auto"/>
              <w:ind w:firstLine="458" w:firstLineChars="200"/>
              <w:jc w:val="left"/>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4"/>
                <w:highlight w:val="none"/>
                <w:lang w:val="en-US"/>
                <w14:textFill>
                  <w14:solidFill>
                    <w14:schemeClr w14:val="tx1"/>
                  </w14:solidFill>
                </w14:textFill>
              </w:rPr>
              <w:t>审查文件名称及文号：</w:t>
            </w:r>
            <w:r>
              <w:rPr>
                <w:rFonts w:hint="default" w:ascii="Times New Roman" w:hAnsi="Times New Roman" w:eastAsia="宋体" w:cs="Times New Roman"/>
                <w:color w:val="000000" w:themeColor="text1"/>
                <w:spacing w:val="-6"/>
                <w:kern w:val="0"/>
                <w:sz w:val="24"/>
                <w:highlight w:val="none"/>
                <w:lang w:val="en-US"/>
                <w14:textFill>
                  <w14:solidFill>
                    <w14:schemeClr w14:val="tx1"/>
                  </w14:solidFill>
                </w14:textFill>
              </w:rPr>
              <w:t>《昌吉回族自治州城乡规划委员会2015年第八次会议纪要》（昌州规</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委</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2015</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规划环境影响</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评价情况</w:t>
            </w:r>
          </w:p>
        </w:tc>
        <w:tc>
          <w:tcPr>
            <w:tcW w:w="6488"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规划环境影响评价名称：</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14:textFill>
                  <w14:solidFill>
                    <w14:schemeClr w14:val="tx1"/>
                  </w14:solidFill>
                </w14:textFill>
              </w:rPr>
              <w:t>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w:t>
            </w:r>
            <w:r>
              <w:rPr>
                <w:rFonts w:hint="default" w:ascii="Times New Roman" w:hAnsi="Times New Roman" w:cs="Times New Roman"/>
                <w:b w:val="0"/>
                <w:bCs w:val="0"/>
                <w:color w:val="000000" w:themeColor="text1"/>
                <w:kern w:val="0"/>
                <w:sz w:val="24"/>
                <w:highlight w:val="none"/>
                <w:lang w:val="en-US"/>
                <w14:textFill>
                  <w14:solidFill>
                    <w14:schemeClr w14:val="tx1"/>
                  </w14:solidFill>
                </w14:textFill>
              </w:rPr>
              <w:t>划(2014-2030年)</w:t>
            </w:r>
            <w:r>
              <w:rPr>
                <w:rFonts w:hint="default" w:ascii="Times New Roman" w:hAnsi="Times New Roman" w:eastAsia="宋体" w:cs="Times New Roman"/>
                <w:b w:val="0"/>
                <w:bCs w:val="0"/>
                <w:color w:val="000000" w:themeColor="text1"/>
                <w:kern w:val="0"/>
                <w:sz w:val="24"/>
                <w:highlight w:val="none"/>
                <w:lang w:val="en-US"/>
                <w14:textFill>
                  <w14:solidFill>
                    <w14:schemeClr w14:val="tx1"/>
                  </w14:solidFill>
                </w14:textFill>
              </w:rPr>
              <w:t>环境影响</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报告书</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cs="Times New Roman"/>
                <w:color w:val="000000" w:themeColor="text1"/>
                <w:kern w:val="0"/>
                <w:sz w:val="24"/>
                <w:highlight w:val="none"/>
                <w:lang w:val="en-US"/>
                <w14:textFill>
                  <w14:solidFill>
                    <w14:schemeClr w14:val="tx1"/>
                  </w14:solidFill>
                </w14:textFill>
              </w:rPr>
            </w:pPr>
            <w:r>
              <w:rPr>
                <w:rFonts w:hint="default" w:ascii="Times New Roman" w:hAnsi="Times New Roman" w:cs="Times New Roman"/>
                <w:b/>
                <w:bCs/>
                <w:color w:val="000000" w:themeColor="text1"/>
                <w:kern w:val="0"/>
                <w:sz w:val="24"/>
                <w:highlight w:val="none"/>
                <w:lang w:val="en-US"/>
                <w14:textFill>
                  <w14:solidFill>
                    <w14:schemeClr w14:val="tx1"/>
                  </w14:solidFill>
                </w14:textFill>
              </w:rPr>
              <w:t>规划</w:t>
            </w:r>
            <w:r>
              <w:rPr>
                <w:rFonts w:hint="default" w:ascii="Times New Roman" w:hAnsi="Times New Roman" w:eastAsia="宋体" w:cs="Times New Roman"/>
                <w:b/>
                <w:bCs/>
                <w:color w:val="000000" w:themeColor="text1"/>
                <w:kern w:val="0"/>
                <w:sz w:val="24"/>
                <w:highlight w:val="none"/>
                <w:lang w:val="en-US"/>
                <w14:textFill>
                  <w14:solidFill>
                    <w14:schemeClr w14:val="tx1"/>
                  </w14:solidFill>
                </w14:textFill>
              </w:rPr>
              <w:t>环评</w:t>
            </w:r>
            <w:r>
              <w:rPr>
                <w:rFonts w:hint="default" w:ascii="Times New Roman" w:hAnsi="Times New Roman" w:cs="Times New Roman"/>
                <w:b/>
                <w:bCs/>
                <w:color w:val="000000" w:themeColor="text1"/>
                <w:kern w:val="0"/>
                <w:sz w:val="24"/>
                <w:highlight w:val="none"/>
                <w:lang w:val="en-US"/>
                <w14:textFill>
                  <w14:solidFill>
                    <w14:schemeClr w14:val="tx1"/>
                  </w14:solidFill>
                </w14:textFill>
              </w:rPr>
              <w:t>审批情况及审批单位：</w:t>
            </w:r>
            <w:r>
              <w:rPr>
                <w:rFonts w:hint="default" w:ascii="Times New Roman" w:hAnsi="Times New Roman" w:cs="Times New Roman"/>
                <w:color w:val="000000" w:themeColor="text1"/>
                <w:kern w:val="0"/>
                <w:sz w:val="24"/>
                <w:highlight w:val="none"/>
                <w:lang w:val="en-US"/>
                <w14:textFill>
                  <w14:solidFill>
                    <w14:schemeClr w14:val="tx1"/>
                  </w14:solidFill>
                </w14:textFill>
              </w:rPr>
              <w:t>新疆维吾尔自治区</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环境保护厅</w:t>
            </w:r>
            <w:r>
              <w:rPr>
                <w:rFonts w:hint="default" w:ascii="Times New Roman" w:hAnsi="Times New Roman" w:cs="Times New Roman"/>
                <w:color w:val="000000" w:themeColor="text1"/>
                <w:kern w:val="0"/>
                <w:sz w:val="24"/>
                <w:highlight w:val="none"/>
                <w:lang w:val="en-US"/>
                <w14:textFill>
                  <w14:solidFill>
                    <w14:schemeClr w14:val="tx1"/>
                  </w14:solidFill>
                </w14:textFill>
              </w:rPr>
              <w:t>于</w:t>
            </w:r>
            <w:r>
              <w:rPr>
                <w:rFonts w:hint="default" w:ascii="Times New Roman" w:hAnsi="Times New Roman" w:cs="Times New Roman"/>
                <w:color w:val="000000" w:themeColor="text1"/>
                <w:spacing w:val="-11"/>
                <w:kern w:val="0"/>
                <w:sz w:val="24"/>
                <w:highlight w:val="none"/>
                <w:lang w:val="en-US"/>
                <w14:textFill>
                  <w14:solidFill>
                    <w14:schemeClr w14:val="tx1"/>
                  </w14:solidFill>
                </w14:textFill>
              </w:rPr>
              <w:t>201</w:t>
            </w:r>
            <w:r>
              <w:rPr>
                <w:rFonts w:hint="eastAsia" w:ascii="Times New Roman" w:hAnsi="Times New Roman" w:cs="Times New Roman"/>
                <w:color w:val="000000" w:themeColor="text1"/>
                <w:spacing w:val="-11"/>
                <w:kern w:val="0"/>
                <w:sz w:val="24"/>
                <w:highlight w:val="none"/>
                <w:lang w:val="en-US" w:eastAsia="zh-CN"/>
                <w14:textFill>
                  <w14:solidFill>
                    <w14:schemeClr w14:val="tx1"/>
                  </w14:solidFill>
                </w14:textFill>
              </w:rPr>
              <w:t>7</w:t>
            </w:r>
            <w:r>
              <w:rPr>
                <w:rFonts w:hint="default" w:ascii="Times New Roman" w:hAnsi="Times New Roman" w:cs="Times New Roman"/>
                <w:color w:val="000000" w:themeColor="text1"/>
                <w:spacing w:val="-11"/>
                <w:kern w:val="0"/>
                <w:sz w:val="24"/>
                <w:highlight w:val="none"/>
                <w:lang w:val="en-US"/>
                <w14:textFill>
                  <w14:solidFill>
                    <w14:schemeClr w14:val="tx1"/>
                  </w14:solidFill>
                </w14:textFill>
              </w:rPr>
              <w:t>年7月批准了</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14:textFill>
                  <w14:solidFill>
                    <w14:schemeClr w14:val="tx1"/>
                  </w14:solidFill>
                </w14:textFill>
              </w:rPr>
              <w:t>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w:t>
            </w:r>
            <w:r>
              <w:rPr>
                <w:rFonts w:hint="default" w:ascii="Times New Roman" w:hAnsi="Times New Roman" w:cs="Times New Roman"/>
                <w:b w:val="0"/>
                <w:bCs w:val="0"/>
                <w:color w:val="000000" w:themeColor="text1"/>
                <w:kern w:val="0"/>
                <w:sz w:val="24"/>
                <w:highlight w:val="none"/>
                <w:lang w:val="en-US"/>
                <w14:textFill>
                  <w14:solidFill>
                    <w14:schemeClr w14:val="tx1"/>
                  </w14:solidFill>
                </w14:textFill>
              </w:rPr>
              <w:t>划(2014-2030年)</w:t>
            </w:r>
            <w:r>
              <w:rPr>
                <w:rFonts w:hint="default" w:ascii="Times New Roman" w:hAnsi="Times New Roman" w:eastAsia="宋体" w:cs="Times New Roman"/>
                <w:b w:val="0"/>
                <w:bCs w:val="0"/>
                <w:color w:val="000000" w:themeColor="text1"/>
                <w:kern w:val="0"/>
                <w:sz w:val="24"/>
                <w:highlight w:val="none"/>
                <w:lang w:val="en-US"/>
                <w14:textFill>
                  <w14:solidFill>
                    <w14:schemeClr w14:val="tx1"/>
                  </w14:solidFill>
                </w14:textFill>
              </w:rPr>
              <w:t>环境影响</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报告书</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8" w:firstLineChars="200"/>
              <w:textAlignment w:val="auto"/>
              <w:rPr>
                <w:rFonts w:ascii="宋体" w:hAnsi="宋体" w:cs="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4"/>
                <w:highlight w:val="none"/>
                <w:lang w:val="en-US"/>
                <w14:textFill>
                  <w14:solidFill>
                    <w14:schemeClr w14:val="tx1"/>
                  </w14:solidFill>
                </w14:textFill>
              </w:rPr>
              <w:t>审查文件名称及文号：</w:t>
            </w:r>
            <w:r>
              <w:rPr>
                <w:rFonts w:hint="default" w:ascii="Times New Roman" w:hAnsi="Times New Roman" w:cs="Times New Roman"/>
                <w:color w:val="000000" w:themeColor="text1"/>
                <w:kern w:val="0"/>
                <w:sz w:val="24"/>
                <w:highlight w:val="none"/>
                <w:lang w:val="en-US"/>
                <w14:textFill>
                  <w14:solidFill>
                    <w14:schemeClr w14:val="tx1"/>
                  </w14:solidFill>
                </w14:textFill>
              </w:rPr>
              <w:t>关于新疆木垒民生工业</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园</w:t>
            </w:r>
            <w:r>
              <w:rPr>
                <w:rFonts w:hint="default" w:ascii="Times New Roman" w:hAnsi="Times New Roman" w:cs="Times New Roman"/>
                <w:color w:val="000000" w:themeColor="text1"/>
                <w:kern w:val="0"/>
                <w:sz w:val="24"/>
                <w:highlight w:val="none"/>
                <w:lang w:val="en-US"/>
                <w14:textFill>
                  <w14:solidFill>
                    <w14:schemeClr w14:val="tx1"/>
                  </w14:solidFill>
                </w14:textFill>
              </w:rPr>
              <w:t>区总体规划(2014-2030年)环境影响报告书的审查意见</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（新环函</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2017</w:t>
            </w:r>
            <w:r>
              <w:rPr>
                <w:rFonts w:hint="eastAsia" w:ascii="Times New Roman" w:hAnsi="Times New Roman" w:eastAsia="宋体" w:cs="Times New Roman"/>
                <w:color w:val="000000" w:themeColor="text1"/>
                <w:kern w:val="0"/>
                <w:sz w:val="24"/>
                <w:highlight w:val="none"/>
                <w:lang w:val="en-US"/>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1169号）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规划及规划环境</w:t>
            </w:r>
          </w:p>
          <w:p>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影响评价符合性分析</w:t>
            </w:r>
          </w:p>
        </w:tc>
        <w:tc>
          <w:tcPr>
            <w:tcW w:w="6488" w:type="dxa"/>
            <w:gridSpan w:val="3"/>
            <w:vAlign w:val="center"/>
          </w:tcPr>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jc w:val="both"/>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1、与</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《木垒县民生工业园区总体规划(2014-2030年)》及审查意见</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的</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（1）规划的符合性分析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《木垒县民生工业园区总体规划(2014-2030年)》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，木垒民生工业园区(四区)新能源装备制造区位于县城北侧，南邻奇木高速，X192两侧。规划建设用地面积约为458.40公顷，规划控制用地范围472.64公顷。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规</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结构与功</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能</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布局规划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四区结合现状地形与项目用地分布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情</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况，合理利用资源，将四区确定为</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一轴</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一组团</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一轴为主要空间联系轴。X192作为园区的主要对外道</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。产业用地沿道</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两侧展开布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一心</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为公共服务配套中心。规划在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192西侧布</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置，</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组团</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为专用设备制造、机械制造产业组团。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主要以风电、光伏等特种设备制造、机械产品加工制造为主。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，厂址位于发展备用地；不违背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布局规划。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本项目厂址用地性质属于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位于木垒县民生工业园区规划的二类工业用地，符合木垒县民生工业园区的用地规划。项目在园区规划中的位置见附图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（2）规划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0"/>
                <w:sz w:val="24"/>
                <w:highlight w:val="none"/>
                <w:lang w:val="en-US"/>
                <w14:textFill>
                  <w14:solidFill>
                    <w14:schemeClr w14:val="tx1"/>
                  </w14:solidFill>
                </w14:textFill>
              </w:rPr>
              <w:t>《昌吉回族自治州城乡规划委员会2015年第八次会议纪要》</w:t>
            </w:r>
            <w:r>
              <w:rPr>
                <w:rFonts w:hint="eastAsia" w:ascii="Times New Roman" w:hAnsi="Times New Roman" w:eastAsia="宋体" w:cs="Times New Roman"/>
                <w:color w:val="000000" w:themeColor="text1"/>
                <w:spacing w:val="-6"/>
                <w:kern w:val="0"/>
                <w:sz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木垒县民生工业园区总体规划(2014-2030年)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应结合资源优势，谋划工业园区建设，切实发挥改善民生作用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园区布局尽可能集中紧凑，减少基础设施投入和运营成本</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园区规划二区应深入考虑产业节水</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，供暖、供水、供电由园区供应，污水排入园区污水处理站处理，充分使用了园区的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基础设施</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，与规划</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相符。</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2、与</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《新疆木垒民生工业</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园</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区总体规划(2014-2030年)环境影响</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报告书</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》及审查意见</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的</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（1）规划环评的符合性分析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新疆木垒民生工业园区位于新疆木垒县，共分为四个区，分别为农副产品加工及民族特色旅游产业区、农畜产品及食品加工区、矿产资源综合利用加工及物流园区、新型产业及轻工业区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新型产业及轻工业区属于县城边缘型工业园，以风光电清洁能源制造业及轻工业制造为主导，具有一定污染性。空间模式为纯产业区模式，在用地结构上考虑产业用地比例为主。生活服务用地为辅，并且可共享城镇的公共服务设施和基础设施，与主城区的空间交易成本较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(4)新型产业及轻工业区可以利用木垒及周边地区的光伏、风电项目，建设开发装备制造</w:t>
            </w:r>
            <w:r>
              <w:rPr>
                <w:rFonts w:hint="eastAsia" w:cs="Times New Roman"/>
                <w:color w:val="000000" w:themeColor="text1"/>
                <w:kern w:val="0"/>
                <w:sz w:val="24"/>
                <w:highlight w:val="none"/>
                <w:lang w:val="en-US" w:eastAsia="zh-CN"/>
                <w14:textFill>
                  <w14:solidFill>
                    <w14:schemeClr w14:val="tx1"/>
                  </w14:solidFill>
                </w14:textFill>
              </w:rPr>
              <w:t>加工</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业及轻工业产品加工制造。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，符合园区定位，与规划环评相符。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（2）规划环评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审查意见</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修编后的《新疆木垒民生工业园区总体规划(2014-2030年)》(以下简称《园区总规》)规划区建设用地总面积调整为9.6144平方公里。园区包括四个区，分别为农副产品加工及民族特色旅游产业区、农畜产品及食品加工区、矿产资源综合利用加工及物流园区、新型产业及轻工业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(4)新型产业及轻工业区，位于木垒县城北侧约10公里处，南邻奇木高速、县道X192线两侧区域，规划建设用地面积为3.5171平方公里，主要发展装备制造和轻工业。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二)严守生态保护红线，优化园区产业结构、空间布局，促进园区产业集约与绿色发展。结合区域发展方向、人口分布及环境保护等要求，按照《报告书》提出的空间管控距离控制园区和木垒县城规划边界，农副产品加工及民族特色旅游产业区西侧边界与木垒县城规划边界已基本相接，须根据居民点等环境保护目标分布情况合理控制企业布局，农副产品加工及民族特色旅游产业区内不宜布局环境空气污染严重或与其产业定位不符的企业，以减少园区内企业大气污染对县城区域环境空气的影响。合理确定坎儿井、古城遗迹、细石器遗址、沙河子驿站遗址、大浪沙河、白杨河、公路、输油(气)管道、输水管道及光缆通讯电力设施防护廊道禁止建设区域范围。加强《园区总规》与木垒县城总体规划、土地利用总体规划的协调和衔接</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《园区总规》建设用地范围、布局和结构应根据城市总体规划、土地利用总体规划等进行优化调整。制定并落实园区内现有不符合园区规划功能布局的企业搬迁、关停计划。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，不涉及生态红线，根据附件1木垒哈萨克自治县自然资源局的规划条件通知书，用地使用性质为工业用地，符合</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木垒县城总体规划</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坚守环境质量底线，严格污染物总量管控。根据规划区域及周边环境质量现状和目标，确定区域污染物排放总量上限。落实园区煤炭及其他颗粒状物料储运全封闭防尘措施，采取有效措施减少二氧化硫、氮氧化物、挥发性有机物、臭气、颗粒物、化学需氧量、氨氮等污染物的排放量，确保实现区域环境质量改善目标，各类大气污染物排放须满足国家和自治区现行污染物排放标准要求</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本项目污水排入园区污水处理站处理，切割、焊接颗粒物经</w:t>
            </w:r>
            <w:r>
              <w:rPr>
                <w:rFonts w:hint="eastAsia" w:cs="Times New Roman"/>
                <w:color w:val="000000" w:themeColor="text1"/>
                <w:kern w:val="0"/>
                <w:sz w:val="24"/>
                <w:highlight w:val="none"/>
                <w:lang w:val="en-US" w:eastAsia="zh-CN"/>
                <w14:textFill>
                  <w14:solidFill>
                    <w14:schemeClr w14:val="tx1"/>
                  </w14:solidFill>
                </w14:textFill>
              </w:rPr>
              <w:t>移动式焊接烟尘净化器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处理后</w:t>
            </w:r>
            <w:r>
              <w:rPr>
                <w:rFonts w:hint="eastAsia"/>
                <w:color w:val="000000" w:themeColor="text1"/>
                <w:sz w:val="24"/>
                <w:szCs w:val="24"/>
                <w:highlight w:val="none"/>
                <w:lang w:val="en-US" w:eastAsia="zh-CN"/>
                <w14:textFill>
                  <w14:solidFill>
                    <w14:schemeClr w14:val="tx1"/>
                  </w14:solidFill>
                </w14:textFill>
              </w:rPr>
              <w:t>由排气扇排至厂房外无组织排放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，抛丸除锈粉尘经封闭负压状态收集后经引风机引至沉降除尘器+滤筒除尘器处理，处理后废气经20m高排气(DA00</w:t>
            </w:r>
            <w:r>
              <w:rPr>
                <w:rFonts w:hint="eastAsia" w:cs="Times New Roman"/>
                <w:color w:val="000000" w:themeColor="text1"/>
                <w:kern w:val="0"/>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喷漆、烘干产生的废气</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经封闭负压状态收集后使用80K型活性炭吸附+脱附+催化燃烧处理设备（在线）处理，处理效率为90%以上，处理后废气经20m高排气(DA00</w:t>
            </w:r>
            <w:r>
              <w:rPr>
                <w:rFonts w:hint="eastAsia" w:cs="Times New Roman"/>
                <w:color w:val="000000" w:themeColor="text1"/>
                <w:kern w:val="0"/>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漆雾经封闭负压状态收集后使用DPA纸箱过滤器过滤后经20m高排气(DA002）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排放。食堂油烟废气经过油烟机净化处理后通过烟道经</w:t>
            </w:r>
            <w:r>
              <w:rPr>
                <w:rFonts w:hint="eastAsia" w:cs="Times New Roman"/>
                <w:color w:val="000000" w:themeColor="text1"/>
                <w:kern w:val="0"/>
                <w:sz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m</w:t>
            </w:r>
            <w:r>
              <w:rPr>
                <w:rFonts w:hint="eastAsia" w:cs="Times New Roman"/>
                <w:color w:val="000000" w:themeColor="text1"/>
                <w:kern w:val="0"/>
                <w:sz w:val="24"/>
                <w:highlight w:val="none"/>
                <w:lang w:val="en-US" w:eastAsia="zh-CN"/>
                <w14:textFill>
                  <w14:solidFill>
                    <w14:schemeClr w14:val="tx1"/>
                  </w14:solidFill>
                </w14:textFill>
              </w:rPr>
              <w:t>高</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排气筒(DA00</w:t>
            </w:r>
            <w:r>
              <w:rPr>
                <w:rFonts w:hint="eastAsia" w:cs="Times New Roman"/>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)排放，</w:t>
            </w:r>
            <w:r>
              <w:rPr>
                <w:rFonts w:hint="eastAsia" w:cs="Times New Roman"/>
                <w:color w:val="000000" w:themeColor="text1"/>
                <w:kern w:val="0"/>
                <w:sz w:val="24"/>
                <w:highlight w:val="none"/>
                <w:lang w:val="en-US" w:eastAsia="zh-CN"/>
                <w14:textFill>
                  <w14:solidFill>
                    <w14:schemeClr w14:val="tx1"/>
                  </w14:solidFill>
                </w14:textFill>
              </w:rPr>
              <w:t>丝印废气</w:t>
            </w:r>
            <w:r>
              <w:rPr>
                <w:rFonts w:hint="eastAsia"/>
                <w:color w:val="000000" w:themeColor="text1"/>
                <w:sz w:val="24"/>
                <w:szCs w:val="24"/>
                <w:highlight w:val="none"/>
                <w:lang w:val="en-US" w:eastAsia="zh-CN"/>
                <w14:textFill>
                  <w14:solidFill>
                    <w14:schemeClr w14:val="tx1"/>
                  </w14:solidFill>
                </w14:textFill>
              </w:rPr>
              <w:t>由排气扇排至厂房外无组织排放，</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满足国家和自治区现行污染物排放标准要求</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四)结合区域资源消耗上线，落实环境准入负面清单管理要求。结合区域发展定位、开发布局、生态环境保护目标，以及供给侧结构性改革“去产能、去库存、去杠杆、降成本、补短板”等相关要求，制定规划园区鼓励发展的产业准入清单和禁止或限制准入清单(包括重要的生产工序和产品)，并在园区规划实施中推进落实。坚持实行入园企业环保准入审核制度，不符合产业政策、行业准入条件、自治区环境准入条件的项目以及与园区产业功能定位不符的“三高”项目一律不得入驻园区。对于入园的建设项目必须开展环境影响评价，严格执行建设项目“三同时”环境管理制度。严格控制用水总量、提高用水效率、合理控制排污</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严守水资源“三条红线”，依据水资源论证报告结论，以水定产、以水定量，优化调整园区的产业结构和规模。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新型产业及轻工业区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光伏等特种设备制造、机械产品加工制造</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，符合园区定位，</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符合产业政策、行业准入条件</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自治区环境准入条件</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，本项目用水仅为生活用水，污水排入园区污水处理站，对水资源的影响不大。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(五)完善园区污水处理、固废集中处置(理)、集中供热等环境基础设施。按照“雨污分流</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清污分流</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污污分治”原则规划、设计和建设园区排水系统、废(污)水处理系统和中水回用系统，逐步建成完整的排水和中水回用系统。加快集中供热设施建设，依法淘汰取缔不符合环保准入条件的小型燃煤锅炉制定切实可行的一般固体废弃物综合利用方案，配套建设工业固废处置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严格按照国家有关规定进行危险废物贮存、处置和处理。园区污水处理、固废集中处置(理)、集中供热站等环境基础设施须在企业入园前建设完成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bCs/>
                <w:i w:val="0"/>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本项目污水排入园区污水处理站，供暖、供水、供电由园区供应，园区建设有完善的排水系统。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其他符合性分析</w:t>
            </w:r>
          </w:p>
        </w:tc>
        <w:tc>
          <w:tcPr>
            <w:tcW w:w="6488" w:type="dxa"/>
            <w:gridSpan w:val="3"/>
            <w:vAlign w:val="center"/>
          </w:tcPr>
          <w:p>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outlineLvl w:val="0"/>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产业政策相符性分析</w:t>
            </w:r>
          </w:p>
          <w:p>
            <w:pPr>
              <w:pStyle w:val="39"/>
              <w:wordWrap w:val="0"/>
              <w:autoSpaceDE/>
              <w:autoSpaceDN/>
              <w:adjustRightInd/>
              <w:snapToGrid/>
              <w:spacing w:line="360" w:lineRule="auto"/>
              <w:ind w:firstLine="456" w:firstLineChars="200"/>
              <w:jc w:val="both"/>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根据《产业结构调整指导目录(20</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24</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年本)》</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本项目属于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第一类 鼓励类</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二十八、信息产业</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  7、</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电子元器件生产专用设备：半导体照明设备，太阳能光伏设备，片式元器件设备，新型动力电池设备，表面贴装设备（含钢网印刷机、自动贴片机、无铅回流焊、光电自动检查仪）等</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ascii="Times New Roman" w:eastAsia="宋体"/>
                <w:b w:val="0"/>
                <w:bCs w:val="0"/>
                <w:color w:val="000000" w:themeColor="text1"/>
                <w:szCs w:val="24"/>
                <w:highlight w:val="none"/>
                <w14:textFill>
                  <w14:solidFill>
                    <w14:schemeClr w14:val="tx1"/>
                  </w14:solidFill>
                </w14:textFill>
              </w:rPr>
              <w:t>符合国家当前的产业政策要求</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选址合理性分析</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firstLine="510"/>
              <w:jc w:val="both"/>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本项目位于新疆昌吉州</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木垒民生工业园区(四区)新能源装备制造区</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属于新建项目。项目所在地目前环境质量基本满足功能区划要求，厂址周围无自然保护区、名胜古迹、生活饮用水源地、生态脆弱敏感区和其他需要特殊保护的敏感目标。项目厂址外环境关系较为简单，无特殊环境敏感点。周边具备供水及供电接入条件。即项目区域基础设施较完善，供水、供电、通信等均能满足项目生产及员工生活要求。同时，项目不位于生态保护红线内；不占用林地和基本农田，项目选址符合“三线一单”空间布局约束要求，项目在采取本报告提出的污染防治措施后，污染物均能达标排放，对周围环境污染影响小，符合区域环境功能要求。本项目所在地不在《新疆维吾尔自治区主体功能区规划》中划定的重点开发区域、限制开发区域和禁止开发区域内，从环境保护角度分析，项目选址合理可行。</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与《新疆维吾尔自治区“三线一单”生态环境分区管控方案》新政发[2021]18号的符合性分析</w:t>
            </w:r>
          </w:p>
          <w:p>
            <w:pPr>
              <w:wordWrap w:val="0"/>
              <w:spacing w:line="360" w:lineRule="auto"/>
              <w:ind w:firstLine="456" w:firstLineChars="200"/>
              <w:jc w:val="left"/>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以下简称“三线一单”)，现就实施“三线一单”生态环境分区管控。根据新疆维吾尔自治区人民政府办公厅新</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政发[2021]18号《关于印发《新疆维吾尔自</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治区“三线一单”生</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态环境分区管控方案》的通知》要求，项目与新政发[2021]18号文符合性分析见表</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widowControl/>
              <w:jc w:val="cente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表1-1</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项目与新疆维吾尔自治区“三线一单”生态环境分区管控方案符合性分析一览表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1"/>
              <w:gridCol w:w="2019"/>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670" w:type="pct"/>
                  <w:vAlign w:val="center"/>
                </w:tcPr>
                <w:p>
                  <w:pPr>
                    <w:wordWrap w:val="0"/>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“三线一单”要求</w:t>
                  </w:r>
                </w:p>
              </w:tc>
              <w:tc>
                <w:tcPr>
                  <w:tcW w:w="1613" w:type="pct"/>
                  <w:vAlign w:val="center"/>
                </w:tcPr>
                <w:p>
                  <w:pPr>
                    <w:wordWrap w:val="0"/>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项目情况</w:t>
                  </w:r>
                </w:p>
              </w:tc>
              <w:tc>
                <w:tcPr>
                  <w:tcW w:w="716" w:type="pct"/>
                  <w:vAlign w:val="center"/>
                </w:tcPr>
                <w:p>
                  <w:pPr>
                    <w:wordWrap w:val="0"/>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2670"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生态保护红线：按照“生态功能不降低、面积不减少、性质不改变”的基本要求，对划定的生态保护红线实施严格管控，保障和维护国家生态安全的底线和生命线。</w:t>
                  </w:r>
                </w:p>
              </w:tc>
              <w:tc>
                <w:tcPr>
                  <w:tcW w:w="1613" w:type="pct"/>
                  <w:vAlign w:val="center"/>
                </w:tcPr>
                <w:p>
                  <w:pPr>
                    <w:widowControl/>
                    <w:jc w:val="left"/>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本项目不涉及自然保护区、饮用水源地保护区等生态保护目标，符合生态保护红线要求。</w:t>
                  </w:r>
                </w:p>
              </w:tc>
              <w:tc>
                <w:tcPr>
                  <w:tcW w:w="716" w:type="pct"/>
                  <w:vAlign w:val="center"/>
                </w:tcPr>
                <w:p>
                  <w:pPr>
                    <w:wordWrap w:val="0"/>
                    <w:jc w:val="cente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670"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613" w:type="pct"/>
                  <w:vAlign w:val="center"/>
                </w:tcPr>
                <w:p>
                  <w:pPr>
                    <w:widowControl/>
                    <w:jc w:val="left"/>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项目所在区域环境空气质量属于二类功能区，声环境属于3</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类功能区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。本项目运营期产生的废气、废水均可达标排放；固废可得到妥善处理，本项目满足环境质量底线要求。</w:t>
                  </w:r>
                </w:p>
              </w:tc>
              <w:tc>
                <w:tcPr>
                  <w:tcW w:w="716"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2670"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资源利用上线：强化节约集约利用，持续提升资源能源利用效率，水资源、土地资源、能源消耗等达到国家、自治区下达的总量和强度控制目标。加快区域低碳发展，积极推动乌鲁木齐市、昌吉市、伊宁市、和田市等</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个国家级低碳试点城市发挥低碳试点示范和引领作用</w:t>
                  </w:r>
                </w:p>
              </w:tc>
              <w:tc>
                <w:tcPr>
                  <w:tcW w:w="1613"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本项目水、电均依托</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现有基础设施，资源消耗量相对区域资源利用总量较小，符合资源利用上线要求。</w:t>
                  </w:r>
                </w:p>
              </w:tc>
              <w:tc>
                <w:tcPr>
                  <w:tcW w:w="716"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2670"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1613"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本项目未列入《新疆重点生态功能区产业准入负面清单》中限制类和禁止类。</w:t>
                  </w:r>
                </w:p>
              </w:tc>
              <w:tc>
                <w:tcPr>
                  <w:tcW w:w="716" w:type="pct"/>
                  <w:vAlign w:val="center"/>
                </w:tcPr>
                <w:p>
                  <w:pPr>
                    <w:wordWrap w:val="0"/>
                    <w:jc w:val="cente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pStyle w:val="8"/>
              <w:keepNext w:val="0"/>
              <w:keepLines w:val="0"/>
              <w:pageBreakBefore w:val="0"/>
              <w:kinsoku/>
              <w:wordWrap/>
              <w:overflowPunct/>
              <w:topLinePunct w:val="0"/>
              <w:bidi w:val="0"/>
              <w:snapToGrid/>
              <w:spacing w:before="0" w:after="0" w:line="360" w:lineRule="auto"/>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与昌吉回族自治州“三线一单”生态环境分区管控方案及生态环境准入清单符合性分析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根据《关于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昌吉回族自治州“三线一单”生态环境分区管控方案及生态环境准入清单</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的公告》（昌州政办发[2021]41号）文件，其主要目标如下：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——到2025年，全州生态环境质量总体改善，环境风险得到有效管控。建立较为完善的生态环境分区管控体系与数据信息应用机制和共享系统，生态环境治理体系和治理能力现代化取得显著进展。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态保护红线。按照“生态功能不降低、面积不减少、性质不改变”的基本要求，生态空间得到优化和保护，生态保护红线得到严格管控。生态功能保持稳定，生物多样性水平稳步提升，生态空间保护体系基本建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到2035年，全州生态环境质量实现根本好转，节约资源和保护生态环境的空间格局、产业结构、生产方式、生活方式总体形成，生态系统健康和人群健康得到充分保障，环境经济实现良性循环。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根据《昌吉回族自治州“三线一单”生态环境分区管控方案》，本项目属于重点管控单元</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color w:val="000000" w:themeColor="text1"/>
                <w:spacing w:val="-6"/>
                <w:sz w:val="24"/>
                <w:szCs w:val="24"/>
                <w:highlight w:val="none"/>
                <w14:textFill>
                  <w14:solidFill>
                    <w14:schemeClr w14:val="tx1"/>
                  </w14:solidFill>
                </w14:textFill>
              </w:rPr>
              <w:t>ZH65232820002</w:t>
            </w:r>
            <w:r>
              <w:rPr>
                <w:color w:val="000000" w:themeColor="text1"/>
                <w:spacing w:val="-4"/>
                <w:sz w:val="24"/>
                <w:szCs w:val="24"/>
                <w:highlight w:val="none"/>
                <w14:textFill>
                  <w14:solidFill>
                    <w14:schemeClr w14:val="tx1"/>
                  </w14:solidFill>
                </w14:textFill>
              </w:rPr>
              <w:t>木垒县民生工业园区</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。本项目与《昌吉回族自治州“三线一单”生态环境分区管控方案》相符性分析</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见表1-2。项目在昌吉回族自治州环境管控单元中的位置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见附图</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Lines w:val="0"/>
              <w:pageBreakBefore w:val="0"/>
              <w:kinsoku/>
              <w:wordWrap/>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表1-2  本项目与“昌吉回族自治州“三线一单”生态环境分区管控方案及生态环境准入清单”符合性分析一览表</w:t>
            </w:r>
          </w:p>
          <w:tbl>
            <w:tblPr>
              <w:tblStyle w:val="23"/>
              <w:tblW w:w="63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4"/>
              <w:gridCol w:w="512"/>
              <w:gridCol w:w="2542"/>
              <w:gridCol w:w="2269"/>
              <w:gridCol w:w="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管控单元名称</w:t>
                  </w:r>
                </w:p>
              </w:tc>
              <w:tc>
                <w:tcPr>
                  <w:tcW w:w="2418" w:type="pct"/>
                  <w:gridSpan w:val="2"/>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管控要求</w:t>
                  </w:r>
                </w:p>
              </w:tc>
              <w:tc>
                <w:tcPr>
                  <w:tcW w:w="1796"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项目情况</w:t>
                  </w:r>
                </w:p>
              </w:tc>
              <w:tc>
                <w:tcPr>
                  <w:tcW w:w="353"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restart"/>
                  <w:tcBorders>
                    <w:tl2br w:val="nil"/>
                    <w:tr2bl w:val="nil"/>
                  </w:tcBorders>
                  <w:vAlign w:val="center"/>
                </w:tcPr>
                <w:p>
                  <w:pPr>
                    <w:keepLines w:val="0"/>
                    <w:pageBreakBefore w:val="0"/>
                    <w:kinsoku/>
                    <w:wordWrap/>
                    <w:topLinePunct w:val="0"/>
                    <w:autoSpaceDE/>
                    <w:autoSpaceDN/>
                    <w:bidi w:val="0"/>
                    <w:spacing w:line="240" w:lineRule="auto"/>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木垒县民生工业园区</w:t>
                  </w:r>
                </w:p>
                <w:p>
                  <w:pPr>
                    <w:keepLines w:val="0"/>
                    <w:pageBreakBefore w:val="0"/>
                    <w:kinsoku/>
                    <w:wordWrap/>
                    <w:topLinePunct w:val="0"/>
                    <w:autoSpaceDE/>
                    <w:autoSpaceDN/>
                    <w:bidi w:val="0"/>
                    <w:spacing w:line="240" w:lineRule="auto"/>
                    <w:jc w:val="both"/>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ZH65232820002</w:t>
                  </w:r>
                </w:p>
              </w:tc>
              <w:tc>
                <w:tcPr>
                  <w:tcW w:w="405"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空间布局约束</w:t>
                  </w:r>
                </w:p>
              </w:tc>
              <w:tc>
                <w:tcPr>
                  <w:tcW w:w="2012"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1、执行自治区总体准入要求中关于重点管控单元空间布 局约束的准入要求(表2-3A6</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2、入园企业需符合园区产业发展定位。农副产品加工及</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民族特色旅游产业区发展的主要产业为：农副产品精</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深加工、民族刺绣文化、民族工艺品、旅游文化产品等农畜产品及食品加工区主要发展农畜产品和食品加工业；矿产资源综合利用加工及物流园区主要发展石材、石灰石加工产业、仓储物流业；新型产业及轻工业区主要发展装备制造产业和轻工业。</w:t>
                  </w:r>
                </w:p>
              </w:tc>
              <w:tc>
                <w:tcPr>
                  <w:tcW w:w="179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1、本项目不属于表2-3 A6.1中重点管控单元空间布局约束的内容之列。</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本项目厂址位于木垒民生工业园区(四区)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新型产业及轻工业区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属于</w:t>
                  </w:r>
                  <w:r>
                    <w:rPr>
                      <w:rFonts w:hint="default"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特种设备制造、机械产品加工制造</w:t>
                  </w:r>
                  <w:r>
                    <w:rPr>
                      <w:rFonts w:hint="eastAsia" w:ascii="Times New Roman" w:hAnsi="Times New Roman" w:eastAsia="宋体" w:cs="Times New Roman"/>
                      <w:color w:val="000000" w:themeColor="text1"/>
                      <w:spacing w:val="-6"/>
                      <w:kern w:val="0"/>
                      <w:sz w:val="21"/>
                      <w:szCs w:val="21"/>
                      <w:highlight w:val="none"/>
                      <w:shd w:val="clear"/>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符合园区发展定位。</w:t>
                  </w:r>
                </w:p>
              </w:tc>
              <w:tc>
                <w:tcPr>
                  <w:tcW w:w="353"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污染物排放管控</w:t>
                  </w:r>
                </w:p>
              </w:tc>
              <w:tc>
                <w:tcPr>
                  <w:tcW w:w="2012"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1、执行自治区总体准入要求中关于重点管控单元污染物 排放管控的准入要求(表2-3 A6.2)。</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2、对开发区、工业园区、高新区等进行集中整治，限期 进行达标改造，减少工业集聚区污染。</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3、完善园区集中供热设施，积极推广集中供热。</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4、PM</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年平均不达标县市(园区)</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禁止新(改、扩)建未落实SO₂、NO₂、烟粉尘、挥发性有机物(</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)等四项大气污染物总量指标昌吉州区域内倍量替代的项目。</w:t>
                  </w:r>
                </w:p>
              </w:tc>
              <w:tc>
                <w:tcPr>
                  <w:tcW w:w="179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本项目用水仅为生活用水，污水排入园区污水处理站，供暖、供水、供电由园区供应，园区建设有完善的排水系统。</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厂区内非甲烷总烃无组织排放执行</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《挥发性有机物无组织排放控制标准》（GB37822-2019）中附录A表A.1特别排放限值（1h平均浓度以非甲烷总烃计&lt;6mg/m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；任意一次浓度以非甲烷总烃计&lt;20mg/m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353"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环境风险防控</w:t>
                  </w:r>
                </w:p>
              </w:tc>
              <w:tc>
                <w:tcPr>
                  <w:tcW w:w="2012"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1、执行自治区总体准入要求中关于重点管控单元环境风险防控的准入要求(表2-3 A6.3)。</w:t>
                  </w:r>
                </w:p>
              </w:tc>
              <w:tc>
                <w:tcPr>
                  <w:tcW w:w="179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待本项目建成后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完成环境风险应急预案编制，成立应急组织机构，配备必要的应急设施和应急物资，定期</w:t>
                  </w:r>
                  <w:r>
                    <w:rPr>
                      <w:rFonts w:hint="default"/>
                      <w:color w:val="000000" w:themeColor="text1"/>
                      <w:sz w:val="21"/>
                      <w:szCs w:val="21"/>
                      <w:highlight w:val="none"/>
                      <w:lang w:val="en-US" w:eastAsia="zh-CN"/>
                      <w14:textFill>
                        <w14:solidFill>
                          <w14:schemeClr w14:val="tx1"/>
                        </w14:solidFill>
                      </w14:textFill>
                    </w:rPr>
                    <w:t>开展环境风险应急演练</w:t>
                  </w:r>
                  <w:r>
                    <w:rPr>
                      <w:rFonts w:hint="eastAsia"/>
                      <w:color w:val="000000" w:themeColor="text1"/>
                      <w:sz w:val="21"/>
                      <w:szCs w:val="21"/>
                      <w:highlight w:val="none"/>
                      <w:lang w:val="en-US" w:eastAsia="zh-CN"/>
                      <w14:textFill>
                        <w14:solidFill>
                          <w14:schemeClr w14:val="tx1"/>
                        </w14:solidFill>
                      </w14:textFill>
                    </w:rPr>
                    <w:t>。</w:t>
                  </w:r>
                </w:p>
              </w:tc>
              <w:tc>
                <w:tcPr>
                  <w:tcW w:w="353"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Merge w:val="continue"/>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405"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资源利用效率</w:t>
                  </w:r>
                </w:p>
              </w:tc>
              <w:tc>
                <w:tcPr>
                  <w:tcW w:w="2012"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1、执行自治区总体准入要求中关于重点管控单元资源利 用效率的准入要求(表2-3 A6.4)。</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2、入园企业单位工业增加值综合能耗≤0.5t标煤/万元，单位工业增加值新鲜水耗≤8m³/万元，工业用水重复利用率≥75%。</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3、采用清洁能源，实施建筑节能和推广采暖供热系统节能措施，鼓励入园单位采用节能工艺，增加可利用资源的回收量，降低消耗。</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4、园区水资源开发总量、土地投资强度、能耗消费增量</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等指标应达到水利、国土、能源等部门相应要求。</w:t>
                  </w:r>
                </w:p>
              </w:tc>
              <w:tc>
                <w:tcPr>
                  <w:tcW w:w="179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本项目用水仅为生活用水，污水排入园区污水处理站，供暖、供水、供电由园区供应，园区建设有完善的排水系统。</w:t>
                  </w:r>
                </w:p>
              </w:tc>
              <w:tc>
                <w:tcPr>
                  <w:tcW w:w="353" w:type="pct"/>
                  <w:tcBorders>
                    <w:tl2br w:val="nil"/>
                    <w:tr2bl w:val="nil"/>
                  </w:tcBorders>
                  <w:vAlign w:val="center"/>
                </w:tcPr>
                <w:p>
                  <w:pPr>
                    <w:keepLines w:val="0"/>
                    <w:pageBreakBefore w:val="0"/>
                    <w:kinsoku/>
                    <w:wordWrap/>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pStyle w:val="8"/>
              <w:keepNext w:val="0"/>
              <w:keepLines w:val="0"/>
              <w:pageBreakBefore w:val="0"/>
              <w:kinsoku/>
              <w:wordWrap/>
              <w:overflowPunct/>
              <w:topLinePunct w:val="0"/>
              <w:bidi w:val="0"/>
              <w:snapToGrid/>
              <w:spacing w:before="0" w:after="0" w:line="480" w:lineRule="exact"/>
              <w:ind w:right="0"/>
              <w:jc w:val="both"/>
              <w:textAlignment w:val="auto"/>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与《新疆维吾尔自治区大气污染防治条例》的符合性分析</w:t>
            </w:r>
          </w:p>
          <w:p>
            <w:pPr>
              <w:autoSpaceDE w:val="0"/>
              <w:autoSpaceDN w:val="0"/>
              <w:adjustRightInd w:val="0"/>
              <w:snapToGrid w:val="0"/>
              <w:spacing w:line="480" w:lineRule="exact"/>
              <w:ind w:firstLine="456" w:firstLineChars="200"/>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本项目与《新疆维吾尔自治区大气污染防治条例》的符合性分析，见表1-3。</w:t>
            </w:r>
          </w:p>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表1-3  本项目与《新疆维吾尔自治区大气污染防治条例》符合性分析</w:t>
            </w:r>
          </w:p>
          <w:tbl>
            <w:tblPr>
              <w:tblStyle w:val="2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3"/>
              <w:gridCol w:w="165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条例要求</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本项目实际</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自治区对大气污染物实行排污许可管理制度</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要求企业环评手续完成后，按规定填报排污登记表</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向大气排放污染物的企业事业单位和其他生产经营者，应当按照国家有关规定和监测规范，自行或者委托有资质的监测机构监测大气污染物排放情况，并保存原始监测数据记录</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要求企业按规定进行废气监测</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实行煤炭消费总量控制制度，采取有利于煤炭消费总量削减的经济、技术政策和措施，鼓励和支持</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instrText xml:space="preserve"> HYPERLINK "http://www.chndaqi.com/news/field?fid=34" \t "_blank" \o "清洁能源" </w:instrTex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清洁能源</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的开发利用，引导企业开展清洁能源替代，减少煤炭生产、使用、转化过程中的大气污染物排放</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企业不涉及燃煤工艺</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推进城市建成区、工业园区实行集中供热，使用清洁燃料</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本项目集中供热</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在禁燃区内，禁止销售、燃用高污染燃料</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禁止新建、扩建燃用高污染燃料的设施。已建成的，应当在规定期限内改用清洁能源</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不</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使用燃料</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本项目不属于高污染(排放)、高能(水)耗、高环境风险的工业项目</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禁止新建、</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改造</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、扩建列入淘汰类目录的高污染工业项目。禁止使用列入淘汰类目录的工艺、设备、产品</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本项目不属于高污染工业项目，不使用列入淘汰类目录的工艺、设备、产品</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鼓励产业集聚发展，按照主体功能区划合理规划工业园区的布局，引导工业企业入驻工业园区</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本项目位于昌吉州木垒哈萨克自治县民生工业园区新型产业及轻工</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业园</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区，位于园区工业范围内</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产生含挥发性有机物废气的生产和服务活动，应当按照国家规定在密闭空间或者设备中进行，并安装、使用污染防治设施</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无法密闭的，应当采取措施减少废气排放</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喷漆、烘干过程中产生的</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经</w:t>
                  </w:r>
                  <w:r>
                    <w:rPr>
                      <w:rFonts w:hint="eastAsia" w:cs="Times New Roman"/>
                      <w:color w:val="000000" w:themeColor="text1"/>
                      <w:spacing w:val="-6"/>
                      <w:kern w:val="0"/>
                      <w:sz w:val="21"/>
                      <w:szCs w:val="21"/>
                      <w:highlight w:val="none"/>
                      <w:lang w:val="en-US" w:eastAsia="zh-CN" w:bidi="ar-SA"/>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处理后排放，</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新建储油库、储气库、加油加气站以及新登记油罐车、气罐车，应当按照国家有关规定安装油气回收装置并正常使用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已建储油库、储气库、加油加气站以及在用油罐车、气罐车，不符合国家有关规定的，应当限期完成回收治理</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本项目不建设</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储油库、储气库</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等</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向大气排放恶臭气体的排污单位、垃圾处置场、</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instrText xml:space="preserve"> HYPERLINK "http://www.h2o-china.com/news/search?stype=title&amp;schv=%E6%B1%A1%E6%B0%B4%E5%A4%84%E7%90%86" \t "_blank" \o "污水处理" </w:instrTex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污水处理</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厂，应当设置合理的防护距离，安装净化装置或者采取其他措施，防止恶臭气体排放</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项目不产生臭气</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贮存易产生扬尘的煤炭、煤矸石、煤渣、煤灰、水泥、石灰、石膏、砂土等物料的堆场应当密闭</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露天装卸物料应当采取密闭或者喷淋等抑尘措施</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输送的物料应当在装料、卸料处配备吸尘、喷淋等防尘设施</w:t>
                  </w:r>
                </w:p>
              </w:tc>
              <w:tc>
                <w:tcPr>
                  <w:tcW w:w="1317"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项目不属于上述工艺</w:t>
                  </w:r>
                </w:p>
              </w:tc>
              <w:tc>
                <w:tcPr>
                  <w:tcW w:w="526" w:type="pct"/>
                  <w:tcBorders>
                    <w:tl2br w:val="nil"/>
                    <w:tr2bl w:val="nil"/>
                  </w:tcBorders>
                  <w:vAlign w:val="center"/>
                </w:tcPr>
                <w:p>
                  <w:pPr>
                    <w:keepLines w:val="0"/>
                    <w:pageBreakBefore w:val="0"/>
                    <w:widowControl w:val="0"/>
                    <w:kinsoku/>
                    <w:wordWrap/>
                    <w:topLinePunct w:val="0"/>
                    <w:autoSpaceDE/>
                    <w:autoSpaceDN/>
                    <w:bidi w:val="0"/>
                    <w:adjustRightInd/>
                    <w:spacing w:line="240" w:lineRule="auto"/>
                    <w:ind w:left="0" w:firstLine="0"/>
                    <w:jc w:val="both"/>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符合</w:t>
                  </w:r>
                </w:p>
              </w:tc>
            </w:tr>
          </w:tbl>
          <w:p>
            <w:pPr>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6、与《挥发性有机物无组织排放控制标准》的符合性分析</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《挥发性有机物无组织排放控制标准》中</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物料储存无组织排放基本要求为：</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（1）</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物料应储存于密闭的容器、包装袋、储罐、储库、料仓中。</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（2）盛装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物料的容器或包装袋应存放于室内，或存放于设置有雨棚、遮阳和防渗设施的专用场地。盛装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物料的容器或包装袋在非取用状态时应加盖、封口，保持密闭。</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无组织排放废气收集处理系统基本要求：</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废气收集处理系统应与生产工艺设备同步运行。</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废气收集处理系统发生故障或检修时，对应的生产工艺设备应停止运行，待检修完毕后同步投入使用；生产工艺设备不能停止运行或不能及时停止运行的，应设置废气应急处理设施或采取其他替代措施。</w:t>
            </w:r>
          </w:p>
          <w:p>
            <w:pPr>
              <w:keepNext w:val="0"/>
              <w:keepLines w:val="0"/>
              <w:pageBreakBefore w:val="0"/>
              <w:widowControl/>
              <w:kinsoku/>
              <w:wordWrap/>
              <w:overflowPunct/>
              <w:topLinePunct w:val="0"/>
              <w:autoSpaceDE/>
              <w:autoSpaceDN/>
              <w:bidi w:val="0"/>
              <w:adjustRightInd w:val="0"/>
              <w:snapToGrid w:val="0"/>
              <w:spacing w:line="480" w:lineRule="exact"/>
              <w:ind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物料储存于密闭的容器，仓库位于室内，喷漆、烘干过程中产生的</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经</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处理后排放，若装置发生故障或检修时，喷漆、烘干设备会停止运行，待检修完毕后同步投入使用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符合《挥发性有机物无组织排放控制标准》相关要求。</w:t>
            </w:r>
          </w:p>
        </w:tc>
      </w:tr>
    </w:tbl>
    <w:p>
      <w:pPr>
        <w:spacing w:line="360" w:lineRule="auto"/>
        <w:outlineLvl w:val="0"/>
        <w:rPr>
          <w:rFonts w:eastAsia="黑体"/>
          <w:color w:val="000000" w:themeColor="text1"/>
          <w:sz w:val="30"/>
          <w:highlight w:val="none"/>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vAlign w:val="center"/>
          </w:tcPr>
          <w:p>
            <w:pPr>
              <w:pStyle w:val="2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建设内容</w:t>
            </w:r>
          </w:p>
        </w:tc>
        <w:tc>
          <w:tcPr>
            <w:tcW w:w="8161" w:type="dxa"/>
          </w:tcPr>
          <w:p>
            <w:pPr>
              <w:autoSpaceDE w:val="0"/>
              <w:autoSpaceDN w:val="0"/>
              <w:adjustRightInd w:val="0"/>
              <w:snapToGrid w:val="0"/>
              <w:spacing w:line="480" w:lineRule="exact"/>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1、项目背景</w:t>
            </w:r>
          </w:p>
          <w:p>
            <w:pPr>
              <w:autoSpaceDE w:val="0"/>
              <w:autoSpaceDN w:val="0"/>
              <w:adjustRightInd w:val="0"/>
              <w:snapToGrid w:val="0"/>
              <w:spacing w:line="480" w:lineRule="exact"/>
              <w:ind w:firstLine="456" w:firstLineChars="200"/>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我国已经全面确立了2030年前碳达峰、2060年前碳中和的“双碳”目标。落实“双碳”目标，电力行业任务重、责任大，发展以新能源为主的新型电力系统已成为电力行业的时代使命。</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以新能源为主体的新型电力系统将是未来能源系统的核心组成部分，当前世界经济和社会发展遇到的核心问题是能源紧张、环境污染严重，这两方面都与能源直接相关，21世纪初开始的第四次工业革命中能源革命是核心。坚强智慧能源电网的一个重要使命，就是最大限度的消纳新能源、分布式能源，保证能源的可持续供应，推动低碳经济发展。</w:t>
            </w:r>
          </w:p>
          <w:p>
            <w:pPr>
              <w:autoSpaceDE w:val="0"/>
              <w:autoSpaceDN w:val="0"/>
              <w:adjustRightInd w:val="0"/>
              <w:snapToGrid w:val="0"/>
              <w:spacing w:line="480" w:lineRule="exact"/>
              <w:ind w:firstLine="456" w:firstLineChars="200"/>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本项目生产的智能逆变</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升压</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 xml:space="preserve">一体机、汇流箱、光伏箱变、逆变器、储能设备等智慧能源电力设备，是未来智慧能源电网建设必备设备，对于我国智慧能源电网的建设有积极推动作用，有利于智慧能源电网的发展。 </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2023年3月15日，新疆双杰新能源有限公司完成了“新疆双杰新能源高端装备研发制造基地项目(一期)”项目网上备案登记。建设内容及规模如下</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总建筑面积6.39万平方米，包括厂房、综合楼、仓库、宿舍等，场地硬化、围墙、管网等配套附属工程，购置检测自动生产线、生产组装流水线等设备，总投资40000万元。</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2023年3月24日，该项目环境影响登记表已经完成备案，备案号：202365232800000016。</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目前项目厂区已完成场地平整，已建成厂房、生产车间钢架结构安装、综合楼，已建内容均属原备案表内容。</w:t>
            </w:r>
          </w:p>
          <w:p>
            <w:pPr>
              <w:autoSpaceDE w:val="0"/>
              <w:autoSpaceDN w:val="0"/>
              <w:adjustRightInd w:val="0"/>
              <w:snapToGrid w:val="0"/>
              <w:spacing w:line="480" w:lineRule="exact"/>
              <w:ind w:firstLine="456" w:firstLineChars="200"/>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考虑市场的需要，建设单位在建设过程中，增加了喷漆与喷砂工序，且年使用低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的水性漆20吨，油性漆6吨，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含量涂料10吨以下的除外)</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，应该编制环境影响报告表。</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根据《中华人民共和国环境影响评价法》和《建设项目环境保护管理条例》有关规定，建设单位委托</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乌鲁木齐市清泽蓝天</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环保科技有限公司承担该项目的环境影响评价工作。接受委托后，</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乌鲁木齐市清泽蓝天</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环保科技有限公司认真的研究了项目的有关资料，对项目所在地进行了现场踏勘，结合建设单位提供的资料，针对建设项目特点及周围环境功能等情况进行了深入分析，按照相关法律法规及导则要求编制了本项目环境影响报告</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autoSpaceDE w:val="0"/>
              <w:autoSpaceDN w:val="0"/>
              <w:adjustRightInd w:val="0"/>
              <w:snapToGrid w:val="0"/>
              <w:spacing w:line="480" w:lineRule="exact"/>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2、建设地点</w:t>
            </w:r>
          </w:p>
          <w:p>
            <w:pPr>
              <w:autoSpaceDE w:val="0"/>
              <w:autoSpaceDN w:val="0"/>
              <w:adjustRightInd w:val="0"/>
              <w:snapToGrid w:val="0"/>
              <w:spacing w:line="480" w:lineRule="exact"/>
              <w:ind w:firstLine="456" w:firstLineChars="200"/>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项目建设拟地点位于新疆木垒哈萨克自治县，项目区中心坐标点为：90°21′27.285″</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43°57′13.839″。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项目区西侧210m为大南沟乌兹别克乡大南沟村，南侧为新疆东方风电新能源有限公司，东侧为木垒县嘉晟能源科技有限公司和空地，北侧为新疆双杰新能源高端装备研发制造基地项目二期预留用地。</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项目地理位置图见附图3，项目区平面布置图见附图4。</w:t>
            </w:r>
          </w:p>
          <w:p>
            <w:pPr>
              <w:autoSpaceDE w:val="0"/>
              <w:autoSpaceDN w:val="0"/>
              <w:adjustRightInd w:val="0"/>
              <w:snapToGrid w:val="0"/>
              <w:spacing w:line="480" w:lineRule="exact"/>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3、建设内容</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本项目主要作为双杰新能智慧能源高端装备研发制造基地使用，组建从智慧能源高端装备研发、生产及产业链上下游融合发展的总部基地，引领拟投建木垒哈萨克自治县乃至新疆智慧能源设备装配产业发展。</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w:t>
            </w:r>
          </w:p>
          <w:p>
            <w:pPr>
              <w:pStyle w:val="8"/>
              <w:keepNext w:val="0"/>
              <w:keepLines w:val="0"/>
              <w:pageBreakBefore w:val="0"/>
              <w:kinsoku/>
              <w:wordWrap/>
              <w:overflowPunct/>
              <w:topLinePunct w:val="0"/>
              <w:autoSpaceDE/>
              <w:autoSpaceDN/>
              <w:bidi w:val="0"/>
              <w:adjustRightInd/>
              <w:spacing w:before="0" w:after="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1"/>
                <w:sz w:val="21"/>
                <w:szCs w:val="21"/>
                <w:highlight w:val="none"/>
                <w:lang w:val="en-US" w:eastAsia="zh-CN"/>
                <w14:textFill>
                  <w14:solidFill>
                    <w14:schemeClr w14:val="tx1"/>
                  </w14:solidFill>
                </w14:textFill>
              </w:rPr>
              <w:t>2-1</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 xml:space="preserve">  主要建设内容一览表</w:t>
            </w:r>
          </w:p>
          <w:tbl>
            <w:tblPr>
              <w:tblStyle w:val="67"/>
              <w:tblW w:w="78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446"/>
              <w:gridCol w:w="4919"/>
              <w:gridCol w:w="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项目组成</w:t>
                  </w: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项目名称</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项目情况</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tcBorders>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主体工程</w:t>
                  </w: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厂房</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、生产线</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1#厂房，1层，建筑面积13000平方米</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2#厂房，1层，建筑面积13000平方米</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3#厂房，1层，建筑面积13000平方米</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，购置检测自动生产线、生产组装流水线等</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tcBorders>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辅助工程</w:t>
                  </w: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综合楼</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5层，建筑面积13200平方米</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消防水池</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消防水池</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200m</w:t>
                  </w:r>
                  <w:r>
                    <w:rPr>
                      <w:rFonts w:hint="eastAsia" w:ascii="Times New Roman" w:hAnsi="Times New Roman" w:eastAsia="宋体" w:cs="Times New Roman"/>
                      <w:color w:val="000000" w:themeColor="text1"/>
                      <w:spacing w:val="-6"/>
                      <w:kern w:val="0"/>
                      <w:sz w:val="21"/>
                      <w:szCs w:val="21"/>
                      <w:highlight w:val="none"/>
                      <w:vertAlign w:val="superscript"/>
                      <w:lang w:val="en-US" w:eastAsia="zh-CN" w:bidi="ar-SA"/>
                      <w14:textFill>
                        <w14:solidFill>
                          <w14:schemeClr w14:val="tx1"/>
                        </w14:solidFill>
                      </w14:textFill>
                    </w:rPr>
                    <w:t>3</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tcBorders>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公用工程</w:t>
                  </w: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供电</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园区供电管网</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供水</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园区供水管网</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排水</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园区下水管网</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tcBorders>
                    <w:top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供热</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园区综合供暖</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restart"/>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环保</w:t>
                  </w:r>
                </w:p>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工程</w:t>
                  </w: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废气治理</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切割、焊接颗粒物经</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移动式焊接烟尘净化器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处理后由</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排气扇</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排至厂房外无组织排放，抛丸除锈粉尘经封闭负压状态收集后经引风机引至沉降除尘器+滤筒除尘器处理，处理后废气经20m高排气(DA001）排放。喷漆、烘干产生的废气经封闭负压状态收集后使用80K型活性炭吸附+脱附+催化燃烧处理设备（在线）处理，处理后废气经20m高排气(DA002）排放，</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漆雾经封闭负压状态收集后使用DPA纸箱过滤器过滤后经20m高排气(DA002）排放</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。食堂油烟废气经过油烟机净化处理后通过烟道经8m高排气筒(DA003)排放，丝印废气由</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排气</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扇排至厂房外无组织排放，</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废水治理</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食堂废水经隔油池处理后和生活污水一并进入排入园区污水处理厂处理</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噪声治理</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设备消声、减振，主体建筑门窗封闭：高噪声设备置于单独的设备间内。</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2" w:type="dxa"/>
                  <w:vMerge w:val="continue"/>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1446"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固废治理</w:t>
                  </w:r>
                </w:p>
              </w:tc>
              <w:tc>
                <w:tcPr>
                  <w:tcW w:w="491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活垃圾统一交由环卫部门处置。除尘器收集粉尘、包装废料、移动式焊接烟尘净化器产生的废滤芯分类回收后综合利用或交由环卫部门处置。边角废料、废钢丸、废焊料焊渣回收后外售综合利用。喷漆、丝印过程产生的废漆、废漆桶、废油墨桶、废DPA纸箱、</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废空压机油、废机油</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、废活性炭</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废催化剂和</w:t>
                  </w:r>
                  <w:r>
                    <w:rPr>
                      <w:rFonts w:hint="eastAsia" w:ascii="Times New Roman" w:hAnsi="Times New Roman" w:cs="Times New Roman"/>
                      <w:color w:val="000000" w:themeColor="text1"/>
                      <w:spacing w:val="-6"/>
                      <w:kern w:val="0"/>
                      <w:sz w:val="21"/>
                      <w:szCs w:val="21"/>
                      <w:highlight w:val="none"/>
                      <w:lang w:val="en-US" w:eastAsia="zh-CN" w:bidi="ar-SA"/>
                      <w14:textFill>
                        <w14:solidFill>
                          <w14:schemeClr w14:val="tx1"/>
                        </w14:solidFill>
                      </w14:textFill>
                    </w:rPr>
                    <w:t>废油墨</w:t>
                  </w: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经收集后暂存于危险废物暂存间，最终交由具有相应资质类别的危险废物处置单位处置。</w:t>
                  </w:r>
                </w:p>
              </w:tc>
              <w:tc>
                <w:tcPr>
                  <w:tcW w:w="72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default"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w:t>
                  </w:r>
                </w:p>
              </w:tc>
            </w:tr>
          </w:tbl>
          <w:p>
            <w:pPr>
              <w:autoSpaceDE w:val="0"/>
              <w:autoSpaceDN w:val="0"/>
              <w:adjustRightInd w:val="0"/>
              <w:snapToGrid w:val="0"/>
              <w:spacing w:line="480" w:lineRule="exact"/>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4、产品方案</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本项目建成投产后，主要从事智慧能源电网高端装备研发、制造及销售，项目产品方案如下：</w:t>
            </w:r>
          </w:p>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表2-2  项目产品一览表</w:t>
            </w:r>
          </w:p>
          <w:tbl>
            <w:tblPr>
              <w:tblStyle w:val="67"/>
              <w:tblW w:w="78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681"/>
              <w:gridCol w:w="2411"/>
              <w:gridCol w:w="1689"/>
              <w:gridCol w:w="1313"/>
              <w:gridCol w:w="13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restart"/>
                  <w:tcBorders>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生产厂房</w:t>
                  </w: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序号</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产品名称</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型号/规格</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年产量</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1</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光伏汇流箱</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光伏逆变升压一体机</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3</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新能源光伏/风电箱变</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电动汽车充换电站</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200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bottom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5</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储能变流升压一体机</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71" w:type="dxa"/>
                  <w:vMerge w:val="continue"/>
                  <w:tcBorders>
                    <w:top w:val="nil"/>
                  </w:tcBorders>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p>
              </w:tc>
              <w:tc>
                <w:tcPr>
                  <w:tcW w:w="68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6</w:t>
                  </w:r>
                </w:p>
              </w:tc>
              <w:tc>
                <w:tcPr>
                  <w:tcW w:w="2411"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储能集装箱系统</w:t>
                  </w:r>
                </w:p>
              </w:tc>
              <w:tc>
                <w:tcPr>
                  <w:tcW w:w="1689"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小件，定制</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400</w:t>
                  </w:r>
                </w:p>
              </w:tc>
              <w:tc>
                <w:tcPr>
                  <w:tcW w:w="1313" w:type="dxa"/>
                  <w:vAlign w:val="center"/>
                </w:tcPr>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1"/>
                      <w:szCs w:val="21"/>
                      <w:highlight w:val="none"/>
                      <w:lang w:val="en-US" w:eastAsia="zh-CN" w:bidi="ar-SA"/>
                      <w14:textFill>
                        <w14:solidFill>
                          <w14:schemeClr w14:val="tx1"/>
                        </w14:solidFill>
                      </w14:textFill>
                    </w:rPr>
                    <w:t>套</w:t>
                  </w:r>
                </w:p>
              </w:tc>
            </w:tr>
          </w:tbl>
          <w:p>
            <w:pPr>
              <w:autoSpaceDE w:val="0"/>
              <w:autoSpaceDN w:val="0"/>
              <w:adjustRightInd w:val="0"/>
              <w:snapToGrid w:val="0"/>
              <w:spacing w:line="480" w:lineRule="exact"/>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5、原辅料供应情况</w:t>
            </w:r>
          </w:p>
          <w:p>
            <w:pPr>
              <w:autoSpaceDE w:val="0"/>
              <w:autoSpaceDN w:val="0"/>
              <w:adjustRightInd w:val="0"/>
              <w:snapToGrid w:val="0"/>
              <w:spacing w:line="480" w:lineRule="exact"/>
              <w:ind w:firstLine="456" w:firstLineChars="20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本项目所需辅料消耗情况见表2-3。</w:t>
            </w:r>
          </w:p>
          <w:p>
            <w:pPr>
              <w:pStyle w:val="66"/>
              <w:keepNext w:val="0"/>
              <w:keepLines w:val="0"/>
              <w:pageBreakBefore w:val="0"/>
              <w:kinsoku/>
              <w:wordWrap/>
              <w:overflowPunct/>
              <w:topLinePunct w:val="0"/>
              <w:autoSpaceDE/>
              <w:autoSpaceDN/>
              <w:bidi w:val="0"/>
              <w:adjustRightInd/>
              <w:spacing w:line="240" w:lineRule="auto"/>
              <w:ind w:left="0" w:right="0" w:firstLine="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表2-3  原辅材料用量</w:t>
            </w:r>
          </w:p>
          <w:tbl>
            <w:tblPr>
              <w:tblStyle w:val="23"/>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05"/>
              <w:gridCol w:w="1254"/>
              <w:gridCol w:w="996"/>
              <w:gridCol w:w="1732"/>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405"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99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年耗量</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最大暂存量</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1</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钢材</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2000</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2</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电池PICK</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个</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100000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3</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油性漆</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ascii="Times New Roman"/>
                      <w:b w:val="0"/>
                      <w:bCs/>
                      <w:color w:val="000000" w:themeColor="text1"/>
                      <w:sz w:val="21"/>
                      <w:szCs w:val="21"/>
                      <w:highlight w:val="none"/>
                      <w:vertAlign w:val="baseline"/>
                      <w:lang w:val="en-US" w:eastAsia="zh-CN"/>
                      <w14:textFill>
                        <w14:solidFill>
                          <w14:schemeClr w14:val="tx1"/>
                        </w14:solidFill>
                      </w14:textFill>
                    </w:rPr>
                    <w:t>4</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水性漆</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低VOCs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5</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油性油墨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6</w:t>
                  </w:r>
                </w:p>
              </w:tc>
              <w:tc>
                <w:tcPr>
                  <w:tcW w:w="14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水性油墨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吨</w:t>
                  </w:r>
                </w:p>
              </w:tc>
              <w:tc>
                <w:tcPr>
                  <w:tcW w:w="9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w:t>
                  </w:r>
                </w:p>
              </w:tc>
              <w:tc>
                <w:tcPr>
                  <w:tcW w:w="1732"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低VOCs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7</w:t>
                  </w:r>
                </w:p>
              </w:tc>
              <w:tc>
                <w:tcPr>
                  <w:tcW w:w="1405"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电子元器件</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批</w:t>
                  </w:r>
                </w:p>
              </w:tc>
              <w:tc>
                <w:tcPr>
                  <w:tcW w:w="996"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1732" w:type="dxa"/>
                  <w:vAlign w:val="center"/>
                </w:tcPr>
                <w:p>
                  <w:pPr>
                    <w:pStyle w:val="6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526" w:type="dxa"/>
                  <w:vAlign w:val="center"/>
                </w:tcPr>
                <w:p>
                  <w:pPr>
                    <w:pStyle w:val="6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8</w:t>
                  </w:r>
                </w:p>
              </w:tc>
              <w:tc>
                <w:tcPr>
                  <w:tcW w:w="1405"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变压器</w:t>
                  </w:r>
                </w:p>
              </w:tc>
              <w:tc>
                <w:tcPr>
                  <w:tcW w:w="1254" w:type="dxa"/>
                  <w:vAlign w:val="center"/>
                </w:tcPr>
                <w:p>
                  <w:pPr>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996"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732"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w:t>
                  </w:r>
                </w:p>
              </w:tc>
              <w:tc>
                <w:tcPr>
                  <w:tcW w:w="1526"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9</w:t>
                  </w:r>
                </w:p>
              </w:tc>
              <w:tc>
                <w:tcPr>
                  <w:tcW w:w="1405" w:type="dxa"/>
                  <w:vAlign w:val="center"/>
                </w:tcPr>
                <w:p>
                  <w:pPr>
                    <w:ind w:left="0" w:leftChars="0"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水</w:t>
                  </w:r>
                </w:p>
              </w:tc>
              <w:tc>
                <w:tcPr>
                  <w:tcW w:w="1254" w:type="dxa"/>
                  <w:vAlign w:val="center"/>
                </w:tcPr>
                <w:p>
                  <w:pPr>
                    <w:pStyle w:val="68"/>
                    <w:snapToGrid w:val="0"/>
                    <w:spacing w:line="320" w:lineRule="exact"/>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t/</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a</w:t>
                  </w:r>
                </w:p>
              </w:tc>
              <w:tc>
                <w:tcPr>
                  <w:tcW w:w="996"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15744.3</w:t>
                  </w:r>
                </w:p>
              </w:tc>
              <w:tc>
                <w:tcPr>
                  <w:tcW w:w="1732"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26" w:type="dxa"/>
                  <w:vAlign w:val="center"/>
                </w:tcPr>
                <w:p>
                  <w:pPr>
                    <w:pStyle w:val="68"/>
                    <w:snapToGrid w:val="0"/>
                    <w:spacing w:line="320" w:lineRule="exact"/>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b w:val="0"/>
                      <w:bCs/>
                      <w:color w:val="000000" w:themeColor="text1"/>
                      <w:sz w:val="21"/>
                      <w:szCs w:val="21"/>
                      <w:highlight w:val="none"/>
                      <w:vertAlign w:val="baseline"/>
                      <w:lang w:val="en-US" w:eastAsia="zh-CN"/>
                      <w14:textFill>
                        <w14:solidFill>
                          <w14:schemeClr w14:val="tx1"/>
                        </w14:solidFill>
                      </w14:textFill>
                    </w:rPr>
                  </w:pPr>
                  <w:r>
                    <w:rPr>
                      <w:rFonts w:hint="eastAsia"/>
                      <w:b w:val="0"/>
                      <w:bCs/>
                      <w:color w:val="000000" w:themeColor="text1"/>
                      <w:sz w:val="21"/>
                      <w:szCs w:val="21"/>
                      <w:highlight w:val="none"/>
                      <w:vertAlign w:val="baseline"/>
                      <w:lang w:val="en-US" w:eastAsia="zh-CN"/>
                      <w14:textFill>
                        <w14:solidFill>
                          <w14:schemeClr w14:val="tx1"/>
                        </w14:solidFill>
                      </w14:textFill>
                    </w:rPr>
                    <w:t>10</w:t>
                  </w:r>
                </w:p>
              </w:tc>
              <w:tc>
                <w:tcPr>
                  <w:tcW w:w="1405" w:type="dxa"/>
                  <w:vAlign w:val="center"/>
                </w:tcPr>
                <w:p>
                  <w:pPr>
                    <w:ind w:left="0" w:leftChars="0" w:firstLine="0" w:firstLineChars="0"/>
                    <w:jc w:val="center"/>
                    <w:rPr>
                      <w:rFonts w:hint="eastAsia" w:cs="Times New Roman"/>
                      <w:color w:val="000000" w:themeColor="text1"/>
                      <w:sz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w:t>
                  </w:r>
                </w:p>
              </w:tc>
              <w:tc>
                <w:tcPr>
                  <w:tcW w:w="1254" w:type="dxa"/>
                  <w:vAlign w:val="center"/>
                </w:tcPr>
                <w:p>
                  <w:pPr>
                    <w:pStyle w:val="68"/>
                    <w:snapToGrid w:val="0"/>
                    <w:spacing w:line="320" w:lineRule="exact"/>
                    <w:ind w:firstLine="0" w:firstLineChars="0"/>
                    <w:jc w:val="center"/>
                    <w:rPr>
                      <w:rFonts w:hint="eastAsia" w:cs="Times New Roman"/>
                      <w:color w:val="000000" w:themeColor="text1"/>
                      <w:spacing w:val="4"/>
                      <w:sz w:val="21"/>
                      <w:szCs w:val="21"/>
                      <w:highlight w:val="none"/>
                      <w14:textFill>
                        <w14:solidFill>
                          <w14:schemeClr w14:val="tx1"/>
                        </w14:solidFill>
                      </w14:textFill>
                    </w:rPr>
                  </w:pPr>
                  <w:r>
                    <w:rPr>
                      <w:rFonts w:ascii="Times New Roman" w:hAnsi="宋体"/>
                      <w:bCs/>
                      <w:color w:val="000000" w:themeColor="text1"/>
                      <w:kern w:val="2"/>
                      <w:sz w:val="21"/>
                      <w:szCs w:val="21"/>
                      <w:highlight w:val="none"/>
                      <w14:textFill>
                        <w14:solidFill>
                          <w14:schemeClr w14:val="tx1"/>
                        </w14:solidFill>
                      </w14:textFill>
                    </w:rPr>
                    <w:t>万度</w:t>
                  </w:r>
                  <w:r>
                    <w:rPr>
                      <w:rFonts w:ascii="Times New Roman"/>
                      <w:bCs/>
                      <w:color w:val="000000" w:themeColor="text1"/>
                      <w:kern w:val="2"/>
                      <w:sz w:val="21"/>
                      <w:szCs w:val="21"/>
                      <w:highlight w:val="none"/>
                      <w14:textFill>
                        <w14:solidFill>
                          <w14:schemeClr w14:val="tx1"/>
                        </w14:solidFill>
                      </w14:textFill>
                    </w:rPr>
                    <w:t>/</w:t>
                  </w:r>
                  <w:r>
                    <w:rPr>
                      <w:rFonts w:ascii="Times New Roman" w:hAnsi="宋体"/>
                      <w:bCs/>
                      <w:color w:val="000000" w:themeColor="text1"/>
                      <w:kern w:val="2"/>
                      <w:sz w:val="21"/>
                      <w:szCs w:val="21"/>
                      <w:highlight w:val="none"/>
                      <w14:textFill>
                        <w14:solidFill>
                          <w14:schemeClr w14:val="tx1"/>
                        </w14:solidFill>
                      </w14:textFill>
                    </w:rPr>
                    <w:t>年</w:t>
                  </w:r>
                </w:p>
              </w:tc>
              <w:tc>
                <w:tcPr>
                  <w:tcW w:w="996" w:type="dxa"/>
                  <w:vAlign w:val="center"/>
                </w:tcPr>
                <w:p>
                  <w:pPr>
                    <w:pStyle w:val="63"/>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eastAsia="宋体" w:cs="Times New Roman"/>
                      <w:color w:val="000000" w:themeColor="text1"/>
                      <w:spacing w:val="4"/>
                      <w:sz w:val="21"/>
                      <w:szCs w:val="21"/>
                      <w:highlight w:val="none"/>
                      <w:lang w:val="en-US" w:eastAsia="zh-CN"/>
                      <w14:textFill>
                        <w14:solidFill>
                          <w14:schemeClr w14:val="tx1"/>
                        </w14:solidFill>
                      </w14:textFill>
                    </w:rPr>
                  </w:pPr>
                  <w:r>
                    <w:rPr>
                      <w:rFonts w:hint="eastAsia" w:ascii="Times New Roman"/>
                      <w:bCs/>
                      <w:color w:val="000000" w:themeColor="text1"/>
                      <w:kern w:val="2"/>
                      <w:sz w:val="21"/>
                      <w:szCs w:val="21"/>
                      <w:highlight w:val="none"/>
                      <w:lang w:val="en-US" w:eastAsia="zh-CN"/>
                      <w14:textFill>
                        <w14:solidFill>
                          <w14:schemeClr w14:val="tx1"/>
                        </w14:solidFill>
                      </w14:textFill>
                    </w:rPr>
                    <w:t>800</w:t>
                  </w:r>
                </w:p>
              </w:tc>
              <w:tc>
                <w:tcPr>
                  <w:tcW w:w="1732" w:type="dxa"/>
                  <w:vAlign w:val="center"/>
                </w:tcPr>
                <w:p>
                  <w:pPr>
                    <w:pStyle w:val="6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s="Times New Roman"/>
                      <w:color w:val="000000" w:themeColor="text1"/>
                      <w:spacing w:val="4"/>
                      <w:sz w:val="21"/>
                      <w:szCs w:val="21"/>
                      <w:highlight w:val="none"/>
                      <w:lang w:val="en-US" w:eastAsia="zh-CN"/>
                      <w14:textFill>
                        <w14:solidFill>
                          <w14:schemeClr w14:val="tx1"/>
                        </w14:solidFill>
                      </w14:textFill>
                    </w:rPr>
                  </w:pPr>
                  <w:r>
                    <w:rPr>
                      <w:rFonts w:hint="eastAsia" w:cs="Times New Roman"/>
                      <w:color w:val="000000" w:themeColor="text1"/>
                      <w:spacing w:val="4"/>
                      <w:sz w:val="21"/>
                      <w:szCs w:val="21"/>
                      <w:highlight w:val="none"/>
                      <w:lang w:val="en-US" w:eastAsia="zh-CN"/>
                      <w14:textFill>
                        <w14:solidFill>
                          <w14:schemeClr w14:val="tx1"/>
                        </w14:solidFill>
                      </w14:textFill>
                    </w:rPr>
                    <w:t>/</w:t>
                  </w:r>
                </w:p>
              </w:tc>
              <w:tc>
                <w:tcPr>
                  <w:tcW w:w="1526" w:type="dxa"/>
                  <w:vAlign w:val="center"/>
                </w:tcPr>
                <w:p>
                  <w:pPr>
                    <w:pStyle w:val="68"/>
                    <w:snapToGrid w:val="0"/>
                    <w:spacing w:line="320" w:lineRule="exact"/>
                    <w:ind w:firstLine="0" w:firstLineChars="0"/>
                    <w:jc w:val="center"/>
                    <w:rPr>
                      <w:rFonts w:hint="eastAsia" w:cs="Times New Roman"/>
                      <w:color w:val="000000" w:themeColor="text1"/>
                      <w:spacing w:val="4"/>
                      <w:sz w:val="21"/>
                      <w:szCs w:val="21"/>
                      <w:highlight w:val="none"/>
                      <w14:textFill>
                        <w14:solidFill>
                          <w14:schemeClr w14:val="tx1"/>
                        </w14:solidFill>
                      </w14:textFill>
                    </w:rPr>
                  </w:pPr>
                  <w:r>
                    <w:rPr>
                      <w:rFonts w:ascii="Times New Roman"/>
                      <w:bCs/>
                      <w:color w:val="000000" w:themeColor="text1"/>
                      <w:kern w:val="2"/>
                      <w:sz w:val="21"/>
                      <w:szCs w:val="21"/>
                      <w:highlight w:val="none"/>
                      <w14:textFill>
                        <w14:solidFill>
                          <w14:schemeClr w14:val="tx1"/>
                        </w14:solidFill>
                      </w14:textFill>
                    </w:rPr>
                    <w:t>380/220V</w:t>
                  </w:r>
                </w:p>
              </w:tc>
            </w:tr>
          </w:tbl>
          <w:p>
            <w:pPr>
              <w:autoSpaceDE w:val="0"/>
              <w:autoSpaceDN w:val="0"/>
              <w:adjustRightInd w:val="0"/>
              <w:snapToGrid w:val="0"/>
              <w:spacing w:line="480" w:lineRule="exact"/>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主要设备使用情况</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eastAsia" w:ascii="Times New Roman"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设备清单</w:t>
            </w:r>
          </w:p>
          <w:tbl>
            <w:tblPr>
              <w:tblStyle w:val="23"/>
              <w:tblW w:w="7878"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0"/>
              <w:gridCol w:w="2620"/>
              <w:gridCol w:w="2296"/>
              <w:gridCol w:w="1108"/>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型号</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10kv开关柜生产系统</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定制</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母线加工机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DGWMX-303E-3-S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母线加工机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电脑切管机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DW-160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粗线型电脑剥线机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DW-880A</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电脑剥线机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全自动电脑剥线折弯机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DW-880Z</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六方免换模伺服端子压接机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DW-六方</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气动压接机（小型）</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DW-10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机械手+自动上料装置</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6米*2米*2米高</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自动冲剪机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MX602K-7C</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数控母线倒角机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DGWMX-303E-3-S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NC-40Z-1200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自动冲剪机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Q35YL-90T</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数控母线倒角机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型号待确认</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HM1003（北京天田机床模具有限公司）</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型材成形线</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开卷机线体</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普冲</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JH21-100</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数控剪板机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CH0632-E21S</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HM1003</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数控折弯机</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金方圆</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激光切割机床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LCG3015AJ</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AMADA上下料</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AMADA上下料系统</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数控转塔冲床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AMADA EM2612</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V650L</w:t>
                  </w:r>
                </w:p>
              </w:tc>
              <w:tc>
                <w:tcPr>
                  <w:tcW w:w="11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26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VF-2</w:t>
                  </w:r>
                </w:p>
              </w:tc>
              <w:tc>
                <w:tcPr>
                  <w:tcW w:w="110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VF-2-V</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立式镗铣加工中心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MINIMILL</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立式加工中心</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LCA0855L</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GL20E</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操作机械手</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机器人</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HL6130F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普通车床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CA6140F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立式铣床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XA5032</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HL6130F</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26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垂直立体货柜</w:t>
                  </w:r>
                </w:p>
              </w:tc>
              <w:tc>
                <w:tcPr>
                  <w:tcW w:w="229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立体货柜</w:t>
                  </w:r>
                </w:p>
              </w:tc>
              <w:tc>
                <w:tcPr>
                  <w:tcW w:w="110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6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2620"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攻丝机</w:t>
                  </w:r>
                </w:p>
              </w:tc>
              <w:tc>
                <w:tcPr>
                  <w:tcW w:w="2296"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电动攻丝机</w:t>
                  </w:r>
                </w:p>
              </w:tc>
              <w:tc>
                <w:tcPr>
                  <w:tcW w:w="1108"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964" w:type="dxa"/>
                  <w:tcBorders>
                    <w:top w:val="nil"/>
                    <w:left w:val="single" w:color="000000" w:sz="8" w:space="0"/>
                    <w:bottom w:val="single" w:color="auto" w:sz="4"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2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操作机构生产线</w:t>
                  </w:r>
                </w:p>
              </w:tc>
              <w:tc>
                <w:tcPr>
                  <w:tcW w:w="22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装配线</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、主要产能及劳动定员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本项目劳动定员200人，年工作300天，每天8小时工作时间。施工期为2024年5月-2025年4月。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jc w:val="both"/>
              <w:textAlignment w:val="auto"/>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本项目生产、生活电源</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依托园区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电网。</w:t>
            </w:r>
          </w:p>
          <w:p>
            <w:pPr>
              <w:pStyle w:val="38"/>
              <w:numPr>
                <w:ilvl w:val="0"/>
                <w:numId w:val="0"/>
              </w:numPr>
              <w:ind w:right="113" w:rightChars="0" w:firstLine="480" w:firstLineChars="200"/>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本项目用水依托</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园区供水管网，用于厂区内生活用水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绿化用水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年用水量为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15744.3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①生活用水：运营期劳动定员</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人，按照《新疆维吾尔自治区生活用水定额》，员工生活用水以100L/人•天计，用水量约为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6000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绿化用水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根据《建筑给水排水设计标准》（GB 50015-2019）项目区绿化用水约为2L/m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d（绿化时间按180d计算），厂区规划绿化面积为27067.49m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，则用水量为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54.135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9744.3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（3）排水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本项目产生的废水主要为生活污水。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生活污水以生活用水量的80%计算，则生活污水排放量</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/a）。生活污水的主要污染物为CODcr、BOD5、氨氮、SS</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项目食堂废水经隔油池处理后和生活污水一并进入园区下水管网，废水执行《污水综合排放标准》(GB8978-1996)表4中三级标准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0"/>
              <w:adjustRightInd w:val="0"/>
              <w:snapToGrid w:val="0"/>
              <w:spacing w:before="0" w:beforeAutospacing="0" w:after="0" w:afterAutospacing="0"/>
              <w:jc w:val="center"/>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工艺流程和产排污环节</w:t>
            </w:r>
          </w:p>
        </w:tc>
        <w:tc>
          <w:tcPr>
            <w:tcW w:w="8161" w:type="dxa"/>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1、施工期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项目区地基及大楼已建设。施工期主要的污染为：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大气：汽车尾气、</w:t>
            </w:r>
            <w:r>
              <w:rPr>
                <w:rFonts w:hint="eastAsia"/>
                <w:b w:val="0"/>
                <w:bCs w:val="0"/>
                <w:color w:val="000000" w:themeColor="text1"/>
                <w:sz w:val="24"/>
                <w:szCs w:val="24"/>
                <w:highlight w:val="none"/>
                <w:lang w:val="en-US" w:eastAsia="zh-CN"/>
                <w14:textFill>
                  <w14:solidFill>
                    <w14:schemeClr w14:val="tx1"/>
                  </w14:solidFill>
                </w14:textFill>
              </w:rPr>
              <w:t>电焊烟尘、</w:t>
            </w:r>
            <w:r>
              <w:rPr>
                <w:rFonts w:hint="eastAsia"/>
                <w:color w:val="000000" w:themeColor="text1"/>
                <w:sz w:val="24"/>
                <w:szCs w:val="24"/>
                <w:highlight w:val="none"/>
                <w:lang w:val="en-US" w:eastAsia="zh-CN"/>
                <w14:textFill>
                  <w14:solidFill>
                    <w14:schemeClr w14:val="tx1"/>
                  </w14:solidFill>
                </w14:textFill>
              </w:rPr>
              <w:t>装修废气、装卸扬尘；</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噪声：施工机械及运输车辆噪声；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废水：施工人员生活废水；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固体废物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装修垃圾及装修人员产生的生活垃圾</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2、运营期工艺流程：</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000000" w:themeColor="text1"/>
                <w:kern w:val="15"/>
                <w:sz w:val="24"/>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15"/>
                <w:sz w:val="24"/>
                <w:szCs w:val="22"/>
                <w:highlight w:val="none"/>
                <w:lang w:val="en-US" w:eastAsia="zh-CN"/>
                <w14:textFill>
                  <w14:solidFill>
                    <w14:schemeClr w14:val="tx1"/>
                  </w14:solidFill>
                </w14:textFill>
              </w:rPr>
              <w:t>根据新能源生产提供的有关技术资料及工艺技术资料，各产线生产产品主要生产工艺如下：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2.1汇流箱生产工艺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3415665" cy="6171565"/>
                  <wp:effectExtent l="0" t="0" r="13335" b="635"/>
                  <wp:docPr id="3" name="F360BE8B-6686-4F3D-AEAF-501FE73E4058-1"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绘图3"/>
                          <pic:cNvPicPr>
                            <a:picLocks noChangeAspect="1"/>
                          </pic:cNvPicPr>
                        </pic:nvPicPr>
                        <pic:blipFill>
                          <a:blip r:embed="rId14"/>
                          <a:stretch>
                            <a:fillRect/>
                          </a:stretch>
                        </pic:blipFill>
                        <pic:spPr>
                          <a:xfrm>
                            <a:off x="0" y="0"/>
                            <a:ext cx="3415665" cy="617156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图2-1  汇流箱产品生产工艺流程图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首先进行备料，</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对钢材进行钣金加工（切割、焊接、压铆、折弯等），对汇流箱外壳进行表面处理（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领料按照《汇流箱控制明细清单》，填写领料单领料。元器件安装，过程中，检查产品型号、元器件型号、规格、数量等与图纸是否相符。检查元器件有无明显损坏。检查元器件相关参数设定。</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严格按照布置图从板前视，由左至右，由上至下安装元器件。同一型号产品应保证组装一致性。</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然后进行布线，二次线的连接（包括螺栓连接、插接、焊接等）均应牢固可靠，线束应横平竖直，配置坚牢，层次分明，整齐美观；导线布置在线槽内，不允许跨越电器元器件和端子；进行测试</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，最后包装入库</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2.2光伏升压逆变一体机生产工艺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4043045" cy="6205220"/>
                  <wp:effectExtent l="0" t="0" r="14605" b="5080"/>
                  <wp:docPr id="5" name="F360BE8B-6686-4F3D-AEAF-501FE73E4058-2" descr="绘图3_复制3_复制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绘图3_复制3_复制_3"/>
                          <pic:cNvPicPr>
                            <a:picLocks noChangeAspect="1"/>
                          </pic:cNvPicPr>
                        </pic:nvPicPr>
                        <pic:blipFill>
                          <a:blip r:embed="rId15"/>
                          <a:stretch>
                            <a:fillRect/>
                          </a:stretch>
                        </pic:blipFill>
                        <pic:spPr>
                          <a:xfrm>
                            <a:off x="0" y="0"/>
                            <a:ext cx="4043045" cy="620522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2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光伏升压逆变一体机产品生产工艺流程图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详细阅读产品图样和技术标准，了解主接线（方案）图的要求，按产品图样规定领出备品备件、逆变器、变压器、电器元件、通用构件、紧固件和标牌。核定所领物料是否符合产品电路图（或接线图）的要求，电气元件的性能及其附带件是否符合要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对钢材进行钣金加工（切割、焊接、压铆、折弯</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等），对光伏升压逆变一体机</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安装时需</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相邻的部件单元之间要留有一定的安装距离和安全的飞弧距离。比较重的电器元件如逆变器柜、变压器应安装在底托上，使整机重心较低，相对稳定。变压器等发热的元件要与一般元件留有一定距离，如果其本身重量较轻可以向上部安装。电器元件的安装，要考虑母线或主回路一次导线的安装，使母线或主回路导线的装配容易而且最为节省。</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安装、调试现场要保持清洁、整齐、安静。产品在安装、调试过程中，需要起立或移动柜体时，要注意安全，轻移、轻放，以免伤人或损坏产品。 必须穿戴好劳保用品，特别是通电试验（或做介电强度）时的分合闸操作，脚下必须垫有绝缘垫板，以防接线和操作错误，出现意外。</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调试合格者</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包装入库</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2.3</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光伏/风电/充换电专用箱式变电站生产工艺流程：</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drawing>
                <wp:inline distT="0" distB="0" distL="114300" distR="114300">
                  <wp:extent cx="4113530" cy="6015990"/>
                  <wp:effectExtent l="0" t="0" r="1270" b="3810"/>
                  <wp:docPr id="7" name="F360BE8B-6686-4F3D-AEAF-501FE73E4058-3" descr="绘图3_复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3" descr="绘图3_复制2"/>
                          <pic:cNvPicPr>
                            <a:picLocks noChangeAspect="1"/>
                          </pic:cNvPicPr>
                        </pic:nvPicPr>
                        <pic:blipFill>
                          <a:blip r:embed="rId16"/>
                          <a:stretch>
                            <a:fillRect/>
                          </a:stretch>
                        </pic:blipFill>
                        <pic:spPr>
                          <a:xfrm>
                            <a:off x="0" y="0"/>
                            <a:ext cx="4113530" cy="601599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3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光伏/风电/充换电专用箱式变电站生产工艺流程</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本项目生产产品箱式变电站</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时首先对钢材进行钣金加工（切割、焊接、压铆、折弯等），</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对光伏/风电/充换电专用箱式变电站进行表面处</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变电站箱变外壳由厂房加工好后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，设备内部电子元件等均外购成品，厂区直接使用即可。装配完成后由人工在实验室进行测试。</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测试合格的产品</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其中，实验室测试主要包括分3步进行：</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A</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设定参数：对实验室设备进行参数设定，设定电压及电流等。</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B</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测试：变电站在实验室设定的环境下开始运行。</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C</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收集参数：通过实验室设备完成在不同环境条件下对变电站性能参数的收集，从而判定其是否正常运行，符合标准。</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2.4</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储能变流升压一体机生产工艺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11650" cy="6616700"/>
                  <wp:effectExtent l="0" t="0" r="12700" b="12700"/>
                  <wp:docPr id="6" name="F360BE8B-6686-4F3D-AEAF-501FE73E4058-4" descr="绘图3_复制3_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4" descr="绘图3_复制3_复制"/>
                          <pic:cNvPicPr>
                            <a:picLocks noChangeAspect="1"/>
                          </pic:cNvPicPr>
                        </pic:nvPicPr>
                        <pic:blipFill>
                          <a:blip r:embed="rId17"/>
                          <a:stretch>
                            <a:fillRect/>
                          </a:stretch>
                        </pic:blipFill>
                        <pic:spPr>
                          <a:xfrm>
                            <a:off x="0" y="0"/>
                            <a:ext cx="4311650" cy="6616700"/>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cs="Times New Roman"/>
                <w:b/>
                <w:bCs/>
                <w:color w:val="000000" w:themeColor="text1"/>
                <w:spacing w:val="-6"/>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4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储能变流升压一体机产品生产工艺流程图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首先详细阅读产品图样和技术标准，了解主接线（方案）图的要求， 按产品图样规定领出备品备件、变流器、变压器、电器元件、通用构件、 紧固件和标牌。核定所领物料是否符合产品电路图的要求，电气元件的性能及其附带件是否符合要求。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对钢材进行钣金加工（切割、</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焊接、压铆、折弯等），对储能变流升压一体机</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外壳进行表面处理（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安装时需</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考虑相邻的部件单元之间要留有一定的安装距离和安全的飞弧距离。比较重的电器元件如变流器柜、变压器应安装在底托上，使整机重心较低，相对稳定。变压器等发热的元件要与一般元件留有一定距离，如果其本身重量较轻可以向上部安装。电器元件的安装，要考虑母线或主回路一次导线的安装，使母线或主回路导线的装配容易而且最为节省。</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安装、调试现场要保持清洁、整齐、安静。产品在安装、调试过程中，需要起立或移动柜体时，要注意安全，通电试验时防止误操作。</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测试合格者</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2.5</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储能集装箱生产工艺</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drawing>
                <wp:inline distT="0" distB="0" distL="114300" distR="114300">
                  <wp:extent cx="4288155" cy="6513195"/>
                  <wp:effectExtent l="0" t="0" r="17145" b="1905"/>
                  <wp:docPr id="8" name="F360BE8B-6686-4F3D-AEAF-501FE73E4058-5" descr="绘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60BE8B-6686-4F3D-AEAF-501FE73E4058-5" descr="绘图31"/>
                          <pic:cNvPicPr>
                            <a:picLocks noChangeAspect="1"/>
                          </pic:cNvPicPr>
                        </pic:nvPicPr>
                        <pic:blipFill>
                          <a:blip r:embed="rId18"/>
                          <a:stretch>
                            <a:fillRect/>
                          </a:stretch>
                        </pic:blipFill>
                        <pic:spPr>
                          <a:xfrm>
                            <a:off x="0" y="0"/>
                            <a:ext cx="4288155" cy="6513195"/>
                          </a:xfrm>
                          <a:prstGeom prst="rect">
                            <a:avLst/>
                          </a:prstGeom>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jc w:val="center"/>
              <w:textAlignment w:val="auto"/>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图</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储能集装箱产品生产工艺流程图</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生产工艺流程简述</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制造环节，根据储能集装箱系统的详细规划设计，将采购高质量的设备和材料进行生产制造，其流程同样遵循严苛的质量管理体系，以完美满足需求。</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cs="Times New Roman"/>
                <w:color w:val="000000" w:themeColor="text1"/>
                <w:spacing w:val="-6"/>
                <w:kern w:val="0"/>
                <w:sz w:val="24"/>
                <w:szCs w:val="24"/>
                <w:highlight w:val="none"/>
                <w:lang w:val="en-US" w:eastAsia="zh-CN" w:bidi="ar-SA"/>
                <w14:textFill>
                  <w14:solidFill>
                    <w14:schemeClr w14:val="tx1"/>
                  </w14:solidFill>
                </w14:textFill>
              </w:rPr>
              <w:t>接着对钢材进行钣金加工（切割、</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焊接、压铆、折弯等），对储能集装箱外</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壳进行表面处理（</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进入喷砂房进行喷砂打磨，再进入喷漆房和固化室，</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经过喷底漆、中漆、固化、喷面漆及固化后，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在壳体表面丝印公司标志）。</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组装环节，储能集装箱的箱体部分，包括钢结构、地板、顶板和墙体都在严格受控的工厂环境中进行预装配。包括钢框架的搭建、焊接和喷涂顶板、墙体和地板等部件的安装设备的机械安装。</w:t>
            </w:r>
          </w:p>
          <w:p>
            <w:pPr>
              <w:keepNext w:val="0"/>
              <w:keepLines w:val="0"/>
              <w:pageBreakBefore w:val="0"/>
              <w:kinsoku/>
              <w:wordWrap/>
              <w:overflowPunct/>
              <w:topLinePunct w:val="0"/>
              <w:autoSpaceDE w:val="0"/>
              <w:autoSpaceDN w:val="0"/>
              <w:bidi w:val="0"/>
              <w:adjustRightInd w:val="0"/>
              <w:snapToGrid w:val="0"/>
              <w:spacing w:line="360" w:lineRule="auto"/>
              <w:ind w:right="0" w:firstLine="456" w:firstLineChars="200"/>
              <w:jc w:val="both"/>
              <w:textAlignment w:val="auto"/>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电气安装环节，无论储能集装箱系统中的电气设备如何组成，都能确保其以最佳的集成方式呈现。包括电池系统、PCS/EMS 系统、电力设备、子系统与相关设备、内部电缆连接、预调试与测试通过完成基本的检查和测试，确保储能集装箱系统中电力设备和子系统正常运行并满足性能要求。进行安装预测试</w:t>
            </w:r>
            <w:r>
              <w:rPr>
                <w:rFonts w:hint="eastAsia" w:ascii="Times New Roman" w:hAnsi="Times New Roman" w:cs="Times New Roman"/>
                <w:color w:val="000000" w:themeColor="text1"/>
                <w:spacing w:val="-6"/>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测试合格者</w:t>
            </w:r>
            <w:r>
              <w:rPr>
                <w:rFonts w:hint="eastAsia"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包装入库</w:t>
            </w:r>
            <w:r>
              <w:rPr>
                <w:rFonts w:hint="default" w:ascii="Times New Roman" w:hAnsi="Times New Roman" w:eastAsia="宋体" w:cs="Times New Roman"/>
                <w:b w:val="0"/>
                <w:bCs w:val="0"/>
                <w:i w:val="0"/>
                <w:iCs w:val="0"/>
                <w:color w:val="000000" w:themeColor="text1"/>
                <w:spacing w:val="-6"/>
                <w:kern w:val="0"/>
                <w:sz w:val="24"/>
                <w:szCs w:val="24"/>
                <w:highlight w:val="none"/>
                <w:vertAlign w:val="baseline"/>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0" w:firstLineChars="0"/>
              <w:textAlignment w:val="auto"/>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pPr>
            <w:r>
              <w:rPr>
                <w:rFonts w:hint="eastAsia" w:cs="Times New Roman"/>
                <w:b/>
                <w:bCs/>
                <w:color w:val="000000" w:themeColor="text1"/>
                <w:spacing w:val="-6"/>
                <w:kern w:val="0"/>
                <w:sz w:val="24"/>
                <w:szCs w:val="24"/>
                <w:highlight w:val="none"/>
                <w:lang w:val="en-US" w:eastAsia="zh-CN" w:bidi="ar-SA"/>
                <w14:textFill>
                  <w14:solidFill>
                    <w14:schemeClr w14:val="tx1"/>
                  </w14:solidFill>
                </w14:textFill>
              </w:rPr>
              <w:t>2.6</w:t>
            </w:r>
            <w:r>
              <w:rPr>
                <w:rFonts w:hint="eastAsia" w:ascii="Times New Roman" w:hAnsi="Times New Roman" w:eastAsia="宋体" w:cs="Times New Roman"/>
                <w:b/>
                <w:bCs/>
                <w:color w:val="000000" w:themeColor="text1"/>
                <w:spacing w:val="-6"/>
                <w:kern w:val="0"/>
                <w:sz w:val="24"/>
                <w:szCs w:val="24"/>
                <w:highlight w:val="none"/>
                <w:lang w:val="en-US" w:eastAsia="zh-CN" w:bidi="ar-SA"/>
                <w14:textFill>
                  <w14:solidFill>
                    <w14:schemeClr w14:val="tx1"/>
                  </w14:solidFill>
                </w14:textFill>
              </w:rPr>
              <w:t>产污环节分析</w:t>
            </w:r>
          </w:p>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表2-5  产污环节一览表</w:t>
            </w:r>
          </w:p>
          <w:tbl>
            <w:tblPr>
              <w:tblStyle w:val="67"/>
              <w:tblW w:w="77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2228"/>
              <w:gridCol w:w="3547"/>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污染类别</w:t>
                  </w: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污染源</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污染物种类</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6"/>
                      <w:kern w:val="0"/>
                      <w:sz w:val="21"/>
                      <w:szCs w:val="21"/>
                      <w:highlight w:val="none"/>
                      <w:lang w:val="en-US" w:eastAsia="zh-CN" w:bidi="ar-SA"/>
                      <w14:textFill>
                        <w14:solidFill>
                          <w14:schemeClr w14:val="tx1"/>
                        </w14:solidFill>
                      </w14:textFill>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废气</w:t>
                  </w: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喷漆、烘干</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TSP（漆雾）</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丝印</w:t>
                  </w:r>
                </w:p>
              </w:tc>
              <w:tc>
                <w:tcPr>
                  <w:tcW w:w="3547" w:type="dxa"/>
                  <w:vAlign w:val="center"/>
                </w:tcPr>
                <w:p>
                  <w:pPr>
                    <w:autoSpaceDE w:val="0"/>
                    <w:autoSpaceDN w:val="0"/>
                    <w:adjustRightInd w:val="0"/>
                    <w:snapToGrid w:val="0"/>
                    <w:spacing w:line="240" w:lineRule="auto"/>
                    <w:jc w:val="cente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VOCs</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食堂油烟</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油烟</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废水</w:t>
                  </w: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生活废水</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COD、BOD5、SS、氨氮、动植物油等</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噪声</w:t>
                  </w: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生产设备</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设备噪声</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车辆</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运输噪声</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restart"/>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固体废物</w:t>
                  </w:r>
                </w:p>
              </w:tc>
              <w:tc>
                <w:tcPr>
                  <w:tcW w:w="2228" w:type="dxa"/>
                  <w:vAlign w:val="center"/>
                </w:tcPr>
                <w:p>
                  <w:pPr>
                    <w:autoSpaceDE w:val="0"/>
                    <w:autoSpaceDN w:val="0"/>
                    <w:adjustRightInd w:val="0"/>
                    <w:snapToGrid w:val="0"/>
                    <w:spacing w:line="240" w:lineRule="auto"/>
                    <w:jc w:val="center"/>
                    <w:rPr>
                      <w:rFonts w:hint="default"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员工</w:t>
                  </w:r>
                </w:p>
              </w:tc>
              <w:tc>
                <w:tcPr>
                  <w:tcW w:w="3547" w:type="dxa"/>
                  <w:vAlign w:val="center"/>
                </w:tcPr>
                <w:p>
                  <w:pPr>
                    <w:autoSpaceDE w:val="0"/>
                    <w:autoSpaceDN w:val="0"/>
                    <w:adjustRightInd w:val="0"/>
                    <w:snapToGrid w:val="0"/>
                    <w:spacing w:line="240" w:lineRule="auto"/>
                    <w:jc w:val="center"/>
                    <w:rPr>
                      <w:rFonts w:hint="default"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生活垃圾</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收集</w:t>
                  </w: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粉</w:t>
                  </w: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尘</w:t>
                  </w:r>
                  <w:r>
                    <w:rPr>
                      <w:rFonts w:hint="eastAsia" w:cs="Times New Roman"/>
                      <w:b w:val="0"/>
                      <w:bCs w:val="0"/>
                      <w:color w:val="000000" w:themeColor="text1"/>
                      <w:spacing w:val="-6"/>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废滤芯</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切割</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边角废料</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喷砂</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焊接</w:t>
                  </w:r>
                </w:p>
              </w:tc>
              <w:tc>
                <w:tcPr>
                  <w:tcW w:w="3547"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w:t>
                  </w:r>
                </w:p>
              </w:tc>
              <w:tc>
                <w:tcPr>
                  <w:tcW w:w="354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喷漆过程产生的废漆、废漆桶</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丝印</w:t>
                  </w:r>
                </w:p>
              </w:tc>
              <w:tc>
                <w:tcPr>
                  <w:tcW w:w="354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废油墨桶，废油墨</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354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04" w:type="dxa"/>
                  <w:vMerge w:val="continue"/>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p>
              </w:tc>
              <w:tc>
                <w:tcPr>
                  <w:tcW w:w="222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维修</w:t>
                  </w:r>
                </w:p>
              </w:tc>
              <w:tc>
                <w:tcPr>
                  <w:tcW w:w="354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废空压机油、废机油</w:t>
                  </w:r>
                </w:p>
              </w:tc>
              <w:tc>
                <w:tcPr>
                  <w:tcW w:w="959" w:type="dxa"/>
                  <w:vAlign w:val="center"/>
                </w:tcPr>
                <w:p>
                  <w:pPr>
                    <w:autoSpaceDE w:val="0"/>
                    <w:autoSpaceDN w:val="0"/>
                    <w:adjustRightInd w:val="0"/>
                    <w:snapToGrid w:val="0"/>
                    <w:spacing w:line="240" w:lineRule="auto"/>
                    <w:jc w:val="cente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6"/>
                      <w:kern w:val="0"/>
                      <w:sz w:val="21"/>
                      <w:szCs w:val="21"/>
                      <w:highlight w:val="none"/>
                      <w:lang w:val="en-US" w:eastAsia="zh-CN" w:bidi="ar-SA"/>
                      <w14:textFill>
                        <w14:solidFill>
                          <w14:schemeClr w14:val="tx1"/>
                        </w14:solidFill>
                      </w14:textFill>
                    </w:rPr>
                    <w:t>间歇</w:t>
                  </w:r>
                </w:p>
              </w:tc>
            </w:tr>
          </w:tbl>
          <w:p>
            <w:pPr>
              <w:adjustRightInd w:val="0"/>
              <w:snapToGrid w:val="0"/>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20"/>
              <w:adjustRightInd w:val="0"/>
              <w:snapToGrid w:val="0"/>
              <w:spacing w:before="0" w:beforeAutospacing="0" w:after="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与项目有关的原有环境污染问题</w:t>
            </w:r>
          </w:p>
        </w:tc>
        <w:tc>
          <w:tcPr>
            <w:tcW w:w="8161" w:type="dxa"/>
          </w:tcPr>
          <w:p>
            <w:pPr>
              <w:pStyle w:val="3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2023年3月15日，新疆双杰新能源有限公司完成了“新疆双杰新能源高端装备研发制造基地项目(一期)”项目网上备案登记。建设内容及规模如下</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总建筑面积6.39万平方米，包括厂房、综合楼、仓库、宿舍等，场地硬化、围墙、管网等配套附属工程，购置检测自动生产线、生产组装流水线等设备，总投资40000万元。</w:t>
            </w:r>
          </w:p>
          <w:p>
            <w:pPr>
              <w:pStyle w:val="3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2023年3月24日，该项目环境影响登记表已经完成备案，备案号：202365232800000016。</w:t>
            </w:r>
            <w:r>
              <w:rPr>
                <w:rFonts w:hint="eastAsia" w:cs="Times New Roman"/>
                <w:color w:val="000000" w:themeColor="text1"/>
                <w:kern w:val="2"/>
                <w:sz w:val="24"/>
                <w:szCs w:val="24"/>
                <w:highlight w:val="none"/>
                <w:lang w:val="en-US" w:eastAsia="zh-CN" w:bidi="ar-SA"/>
                <w14:textFill>
                  <w14:solidFill>
                    <w14:schemeClr w14:val="tx1"/>
                  </w14:solidFill>
                </w14:textFill>
              </w:rPr>
              <w:t>目前项目厂区已完成场地平整，已建成厂房、生产车间钢架结构安装、综合楼，已建内容均属原备案表内容。</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考虑市场的需要，建设单位在建设过程中，增加了喷漆与喷砂工序，且年使用低</w:t>
            </w:r>
            <w:r>
              <w:rPr>
                <w:rFonts w:hint="eastAsia" w:cs="Times New Roman"/>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的水性漆20吨，油性漆6吨，</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《建设项目环境影响评价分类管理名录（2021年版）》，更改后的项目涉及</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三十五、电气机械和器材制造业38  输配电及控制设备制造382  其他(仅分割、焊接、组装的除外；年用非溶剂型低</w:t>
            </w:r>
            <w:r>
              <w:rPr>
                <w:rFonts w:hint="eastAsia" w:cs="Times New Roman"/>
                <w:color w:val="000000" w:themeColor="text1"/>
                <w:spacing w:val="-6"/>
                <w:kern w:val="0"/>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含量涂料10吨以下的除外)</w:t>
            </w:r>
            <w:r>
              <w:rPr>
                <w:rFonts w:hint="eastAsia" w:ascii="Times New Roman" w:hAnsi="Times New Roman" w:eastAsia="宋体" w:cs="Times New Roman"/>
                <w:color w:val="000000" w:themeColor="text1"/>
                <w:spacing w:val="-6"/>
                <w:kern w:val="0"/>
                <w:sz w:val="24"/>
                <w:szCs w:val="24"/>
                <w:highlight w:val="none"/>
                <w:lang w:val="en-US" w:eastAsia="zh-CN" w:bidi="ar-SA"/>
                <w14:textFill>
                  <w14:solidFill>
                    <w14:schemeClr w14:val="tx1"/>
                  </w14:solidFill>
                </w14:textFill>
              </w:rPr>
              <w:t>，应该编制环境影响报告表。</w:t>
            </w:r>
          </w:p>
          <w:p>
            <w:pPr>
              <w:pStyle w:val="3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该项目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目前正处于停工状态，待本项目环评批复拿到后再开工。已建成厂房、生产车间钢架结构安装、综合楼，建设情况</w:t>
            </w:r>
            <w:r>
              <w:rPr>
                <w:rFonts w:hint="eastAsia" w:cs="Times New Roman"/>
                <w:color w:val="000000" w:themeColor="text1"/>
                <w:kern w:val="2"/>
                <w:sz w:val="24"/>
                <w:szCs w:val="24"/>
                <w:highlight w:val="none"/>
                <w:lang w:val="en-US" w:eastAsia="zh-CN" w:bidi="ar-SA"/>
                <w14:textFill>
                  <w14:solidFill>
                    <w14:schemeClr w14:val="tx1"/>
                  </w14:solidFill>
                </w14:textFill>
              </w:rPr>
              <w:t>如下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图所示：</w:t>
            </w:r>
          </w:p>
          <w:tbl>
            <w:tblPr>
              <w:tblStyle w:val="24"/>
              <w:tblW w:w="80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1"/>
              <w:gridCol w:w="39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8" w:hRule="atLeast"/>
                <w:jc w:val="center"/>
              </w:trPr>
              <w:tc>
                <w:tcPr>
                  <w:tcW w:w="4111" w:type="dxa"/>
                  <w:noWrap w:val="0"/>
                  <w:vAlign w:val="top"/>
                </w:tcPr>
                <w:p>
                  <w:pPr>
                    <w:pStyle w:val="38"/>
                    <w:keepNext w:val="0"/>
                    <w:keepLines w:val="0"/>
                    <w:pageBreakBefore w:val="0"/>
                    <w:kinsoku/>
                    <w:wordWrap/>
                    <w:overflowPunct/>
                    <w:topLinePunct w:val="0"/>
                    <w:autoSpaceDE/>
                    <w:autoSpaceDN/>
                    <w:bidi w:val="0"/>
                    <w:snapToGrid w:val="0"/>
                    <w:spacing w:before="0" w:after="0" w:line="360" w:lineRule="auto"/>
                    <w:ind w:left="0" w:leftChars="0" w:right="0" w:firstLine="0" w:firstLineChars="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114300" distR="114300">
                        <wp:extent cx="2524125" cy="2339975"/>
                        <wp:effectExtent l="0" t="0" r="9525" b="3175"/>
                        <wp:docPr id="54" name="图片 54" descr="01779e93d8f334098f17cfd6e690bef"/>
                        <wp:cNvGraphicFramePr/>
                        <a:graphic xmlns:a="http://schemas.openxmlformats.org/drawingml/2006/main">
                          <a:graphicData uri="http://schemas.openxmlformats.org/drawingml/2006/picture">
                            <pic:pic xmlns:pic="http://schemas.openxmlformats.org/drawingml/2006/picture">
                              <pic:nvPicPr>
                                <pic:cNvPr id="54" name="图片 54" descr="01779e93d8f334098f17cfd6e690bef"/>
                                <pic:cNvPicPr/>
                              </pic:nvPicPr>
                              <pic:blipFill>
                                <a:blip r:embed="rId19"/>
                                <a:stretch>
                                  <a:fillRect/>
                                </a:stretch>
                              </pic:blipFill>
                              <pic:spPr>
                                <a:xfrm>
                                  <a:off x="0" y="0"/>
                                  <a:ext cx="2524125" cy="2339975"/>
                                </a:xfrm>
                                <a:prstGeom prst="rect">
                                  <a:avLst/>
                                </a:prstGeom>
                              </pic:spPr>
                            </pic:pic>
                          </a:graphicData>
                        </a:graphic>
                      </wp:inline>
                    </w:drawing>
                  </w:r>
                </w:p>
              </w:tc>
              <w:tc>
                <w:tcPr>
                  <w:tcW w:w="3988" w:type="dxa"/>
                  <w:noWrap w:val="0"/>
                  <w:vAlign w:val="top"/>
                </w:tcPr>
                <w:p>
                  <w:pPr>
                    <w:pStyle w:val="38"/>
                    <w:keepNext w:val="0"/>
                    <w:keepLines w:val="0"/>
                    <w:pageBreakBefore w:val="0"/>
                    <w:kinsoku/>
                    <w:wordWrap/>
                    <w:overflowPunct/>
                    <w:topLinePunct w:val="0"/>
                    <w:autoSpaceDE/>
                    <w:autoSpaceDN/>
                    <w:bidi w:val="0"/>
                    <w:snapToGrid w:val="0"/>
                    <w:spacing w:before="0" w:after="0" w:line="360" w:lineRule="auto"/>
                    <w:ind w:left="0" w:leftChars="0" w:right="0" w:firstLine="0" w:firstLineChars="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114300" distR="114300">
                        <wp:extent cx="2520315" cy="2339975"/>
                        <wp:effectExtent l="0" t="0" r="13335" b="3175"/>
                        <wp:docPr id="55" name="图片 55" descr="cc648006218208a0c35f000d8cb82b6"/>
                        <wp:cNvGraphicFramePr/>
                        <a:graphic xmlns:a="http://schemas.openxmlformats.org/drawingml/2006/main">
                          <a:graphicData uri="http://schemas.openxmlformats.org/drawingml/2006/picture">
                            <pic:pic xmlns:pic="http://schemas.openxmlformats.org/drawingml/2006/picture">
                              <pic:nvPicPr>
                                <pic:cNvPr id="55" name="图片 55" descr="cc648006218208a0c35f000d8cb82b6"/>
                                <pic:cNvPicPr/>
                              </pic:nvPicPr>
                              <pic:blipFill>
                                <a:blip r:embed="rId20"/>
                                <a:stretch>
                                  <a:fillRect/>
                                </a:stretch>
                              </pic:blipFill>
                              <pic:spPr>
                                <a:xfrm>
                                  <a:off x="0" y="0"/>
                                  <a:ext cx="2520315" cy="2339975"/>
                                </a:xfrm>
                                <a:prstGeom prst="rect">
                                  <a:avLst/>
                                </a:prstGeom>
                              </pic:spPr>
                            </pic:pic>
                          </a:graphicData>
                        </a:graphic>
                      </wp:inline>
                    </w:drawing>
                  </w:r>
                </w:p>
              </w:tc>
            </w:tr>
          </w:tbl>
          <w:p>
            <w:pPr>
              <w:pStyle w:val="38"/>
              <w:keepNext w:val="0"/>
              <w:keepLines w:val="0"/>
              <w:pageBreakBefore w:val="0"/>
              <w:kinsoku/>
              <w:wordWrap/>
              <w:overflowPunct/>
              <w:topLinePunct w:val="0"/>
              <w:autoSpaceDE/>
              <w:autoSpaceDN/>
              <w:bidi w:val="0"/>
              <w:snapToGrid w:val="0"/>
              <w:spacing w:before="0" w:after="0" w:line="360" w:lineRule="auto"/>
              <w:ind w:left="0" w:leftChars="0" w:righ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图2-6  项目现状图</w:t>
            </w:r>
          </w:p>
          <w:p>
            <w:pPr>
              <w:pStyle w:val="3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项目建设过程中存在主要环境问题及整改措施是：</w:t>
            </w:r>
          </w:p>
          <w:p>
            <w:pPr>
              <w:pStyle w:val="3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1、厂区内杂物乱堆乱放，环评要求将施工期间产生的固废分类收集，能回收的交由废品回收站回收，不能回收的交由环卫部门处置。</w:t>
            </w:r>
          </w:p>
        </w:tc>
      </w:tr>
    </w:tbl>
    <w:p>
      <w:pPr>
        <w:pStyle w:val="20"/>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lang w:val="en-US" w:eastAsia="zh-CN"/>
          <w14:textFill>
            <w14:solidFill>
              <w14:schemeClr w14:val="tx1"/>
            </w14:solidFill>
          </w14:textFill>
        </w:rPr>
        <w:t>3</w:t>
      </w:r>
      <w:r>
        <w:rPr>
          <w:rFonts w:hint="eastAsia" w:ascii="黑体" w:hAnsi="黑体" w:eastAsia="黑体"/>
          <w:snapToGrid w:val="0"/>
          <w:color w:val="000000" w:themeColor="text1"/>
          <w:sz w:val="30"/>
          <w:szCs w:val="30"/>
          <w:highlight w:val="none"/>
          <w14:textFill>
            <w14:solidFill>
              <w14:schemeClr w14:val="tx1"/>
            </w14:solidFill>
          </w14:textFill>
        </w:rPr>
        <w:t>、区域环境质量现状、环境保护目标及评价标准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区域</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质量</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现状</w:t>
            </w:r>
          </w:p>
        </w:tc>
        <w:tc>
          <w:tcPr>
            <w:tcW w:w="8190" w:type="dxa"/>
            <w:vAlign w:val="center"/>
          </w:tcPr>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、大气环境现状调查及评价</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1.1基本污染物质量现状</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环境影响评价技术导则 大气环境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》（HJ2.2-2018）对环境质量现状数据的要求，选择中国环境影响评价网环境空气质量模型技术支持服务系统中昌吉州监测站2022年的监测数据，作为本项目环境空气现状评价基本污染物SO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、CO和O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的数据来源，数据从空间和时间上均符合《环境影响评价技术导则大气环境》（HJ2.2-2018）的要求。</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1.2评价标准</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2" w:name="_Toc11467"/>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基本污染物SO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、CO和O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执行《环境空气质量标准》（GB3095-2012）中的二级标准。评价标准见表3-1。</w:t>
            </w:r>
          </w:p>
          <w:p>
            <w:pPr>
              <w:bidi w:val="0"/>
              <w:spacing w:line="240" w:lineRule="auto"/>
              <w:jc w:val="center"/>
              <w:rPr>
                <w:b/>
                <w:bCs/>
                <w:color w:val="000000" w:themeColor="text1"/>
                <w:sz w:val="21"/>
                <w:szCs w:val="21"/>
                <w:highlight w:val="none"/>
                <w:vertAlign w:val="superscript"/>
                <w14:textFill>
                  <w14:solidFill>
                    <w14:schemeClr w14:val="tx1"/>
                  </w14:solidFill>
                </w14:textFill>
              </w:rPr>
            </w:pPr>
            <w:r>
              <w:rPr>
                <w:b/>
                <w:bCs/>
                <w:color w:val="000000" w:themeColor="text1"/>
                <w:sz w:val="21"/>
                <w:szCs w:val="21"/>
                <w:highlight w:val="none"/>
                <w14:textFill>
                  <w14:solidFill>
                    <w14:schemeClr w14:val="tx1"/>
                  </w14:solidFill>
                </w14:textFill>
              </w:rPr>
              <w:t>表3-1</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大气环境质量标准  单位：μg/m</w:t>
            </w:r>
            <w:r>
              <w:rPr>
                <w:b/>
                <w:bCs/>
                <w:color w:val="000000" w:themeColor="text1"/>
                <w:sz w:val="21"/>
                <w:szCs w:val="21"/>
                <w:highlight w:val="none"/>
                <w:vertAlign w:val="superscript"/>
                <w14:textFill>
                  <w14:solidFill>
                    <w14:schemeClr w14:val="tx1"/>
                  </w14:solidFill>
                </w14:textFill>
              </w:rPr>
              <w:t>3</w:t>
            </w:r>
          </w:p>
          <w:tbl>
            <w:tblPr>
              <w:tblStyle w:val="23"/>
              <w:tblW w:w="78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4"/>
              <w:gridCol w:w="1882"/>
              <w:gridCol w:w="1548"/>
              <w:gridCol w:w="1549"/>
              <w:gridCol w:w="16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vMerge w:val="restart"/>
                  <w:tcBorders>
                    <w:top w:val="single" w:color="auto" w:sz="4" w:space="0"/>
                    <w:left w:val="single" w:color="auto" w:sz="0"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882" w:type="dxa"/>
                  <w:vMerge w:val="restart"/>
                  <w:tcBorders>
                    <w:top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4782" w:type="dxa"/>
                  <w:gridSpan w:val="3"/>
                  <w:tcBorders>
                    <w:top w:val="single" w:color="auto" w:sz="4" w:space="0"/>
                    <w:right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取值时间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vMerge w:val="continue"/>
                  <w:tcBorders>
                    <w:left w:val="single" w:color="auto" w:sz="4" w:space="0"/>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882" w:type="dxa"/>
                  <w:vMerge w:val="continue"/>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1548" w:type="dxa"/>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年均值</w:t>
                  </w:r>
                </w:p>
              </w:tc>
              <w:tc>
                <w:tcPr>
                  <w:tcW w:w="1549" w:type="dxa"/>
                  <w:tcBorders>
                    <w:bottom w:val="single" w:color="auto" w:sz="12"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日均值</w:t>
                  </w:r>
                </w:p>
              </w:tc>
              <w:tc>
                <w:tcPr>
                  <w:tcW w:w="1685" w:type="dxa"/>
                  <w:tcBorders>
                    <w:bottom w:val="single" w:color="auto" w:sz="12" w:space="0"/>
                    <w:right w:val="single" w:color="auto" w:sz="4" w:space="0"/>
                  </w:tcBorders>
                  <w:vAlign w:val="center"/>
                </w:tcPr>
                <w:p>
                  <w:pPr>
                    <w:bidi w:val="0"/>
                    <w:spacing w:line="240" w:lineRule="auto"/>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小时均值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top w:val="single" w:color="auto" w:sz="12" w:space="0"/>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w:t>
                  </w:r>
                </w:p>
              </w:tc>
              <w:tc>
                <w:tcPr>
                  <w:tcW w:w="1882"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SO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48"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60</w:t>
                  </w:r>
                </w:p>
              </w:tc>
              <w:tc>
                <w:tcPr>
                  <w:tcW w:w="1549" w:type="dxa"/>
                  <w:tcBorders>
                    <w:top w:val="single" w:color="auto" w:sz="12"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150</w:t>
                  </w:r>
                </w:p>
              </w:tc>
              <w:tc>
                <w:tcPr>
                  <w:tcW w:w="1685" w:type="dxa"/>
                  <w:tcBorders>
                    <w:top w:val="single" w:color="auto" w:sz="12" w:space="0"/>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NO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80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10</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150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2.5</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35</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75</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1882"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一氧化碳（CO）</w:t>
                  </w:r>
                </w:p>
              </w:tc>
              <w:tc>
                <w:tcPr>
                  <w:tcW w:w="1548"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9"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4000</w:t>
                  </w:r>
                </w:p>
              </w:tc>
              <w:tc>
                <w:tcPr>
                  <w:tcW w:w="1685" w:type="dxa"/>
                  <w:tcBorders>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4" w:type="dxa"/>
                  <w:tcBorders>
                    <w:left w:val="single" w:color="auto" w:sz="4" w:space="0"/>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1882"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臭氧（O</w:t>
                  </w:r>
                  <w:r>
                    <w:rPr>
                      <w:rFonts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8"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1549"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160</w:t>
                  </w:r>
                </w:p>
              </w:tc>
              <w:tc>
                <w:tcPr>
                  <w:tcW w:w="1685" w:type="dxa"/>
                  <w:tcBorders>
                    <w:bottom w:val="single" w:color="auto" w:sz="4" w:space="0"/>
                    <w:right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200</w:t>
                  </w:r>
                </w:p>
              </w:tc>
            </w:tr>
            <w:bookmarkEnd w:id="2"/>
          </w:tbl>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1.3评价方法</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评价方法采用最大质量浓度占相应标准质量浓度限值的百分比，及超标率对监测结果进行评价分析。计算公式如下：</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Pi=Ci/Coi×100%</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式中：Pi—某种污染物的最大地面质量浓度占标率，%；</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Ci—某种污染物的实际监测浓度，mg/m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Coi—某种污染物的环境空气标准浓度，mg/m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1.4空气质量达标区判定</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昌吉州2022年空气质量达标区判定结果见表3-2。</w:t>
            </w:r>
          </w:p>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表3-2</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环境空气常规因子现状监测及评价结果</w:t>
            </w:r>
          </w:p>
          <w:tbl>
            <w:tblPr>
              <w:tblStyle w:val="23"/>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22"/>
              <w:gridCol w:w="3260"/>
              <w:gridCol w:w="1110"/>
              <w:gridCol w:w="1202"/>
              <w:gridCol w:w="1016"/>
              <w:gridCol w:w="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top w:val="single" w:color="auto" w:sz="4" w:space="0"/>
                    <w:left w:val="single" w:color="auto" w:sz="0"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3085"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平均时段</w:t>
                  </w:r>
                </w:p>
              </w:tc>
              <w:tc>
                <w:tcPr>
                  <w:tcW w:w="1050"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lang w:val="en-US"/>
                      <w14:textFill>
                        <w14:solidFill>
                          <w14:schemeClr w14:val="tx1"/>
                        </w14:solidFill>
                      </w14:textFill>
                    </w:rPr>
                  </w:pPr>
                  <w:r>
                    <w:rPr>
                      <w:b/>
                      <w:bCs/>
                      <w:color w:val="000000" w:themeColor="text1"/>
                      <w:sz w:val="21"/>
                      <w:szCs w:val="21"/>
                      <w:highlight w:val="none"/>
                      <w14:textFill>
                        <w14:solidFill>
                          <w14:schemeClr w14:val="tx1"/>
                        </w14:solidFill>
                      </w14:textFill>
                    </w:rPr>
                    <w:t>现状浓度µg/m</w:t>
                  </w:r>
                  <w:r>
                    <w:rPr>
                      <w:b/>
                      <w:bCs/>
                      <w:color w:val="000000" w:themeColor="text1"/>
                      <w:sz w:val="21"/>
                      <w:szCs w:val="21"/>
                      <w:highlight w:val="none"/>
                      <w:vertAlign w:val="superscript"/>
                      <w:lang w:val="en-US"/>
                      <w14:textFill>
                        <w14:solidFill>
                          <w14:schemeClr w14:val="tx1"/>
                        </w14:solidFill>
                      </w14:textFill>
                    </w:rPr>
                    <w:t>3</w:t>
                  </w:r>
                </w:p>
              </w:tc>
              <w:tc>
                <w:tcPr>
                  <w:tcW w:w="1137"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lang w:val="en-US"/>
                      <w14:textFill>
                        <w14:solidFill>
                          <w14:schemeClr w14:val="tx1"/>
                        </w14:solidFill>
                      </w14:textFill>
                    </w:rPr>
                  </w:pPr>
                  <w:r>
                    <w:rPr>
                      <w:b/>
                      <w:bCs/>
                      <w:color w:val="000000" w:themeColor="text1"/>
                      <w:sz w:val="21"/>
                      <w:szCs w:val="21"/>
                      <w:highlight w:val="none"/>
                      <w14:textFill>
                        <w14:solidFill>
                          <w14:schemeClr w14:val="tx1"/>
                        </w14:solidFill>
                      </w14:textFill>
                    </w:rPr>
                    <w:t>标准值µg/m</w:t>
                  </w:r>
                  <w:r>
                    <w:rPr>
                      <w:b/>
                      <w:bCs/>
                      <w:color w:val="000000" w:themeColor="text1"/>
                      <w:sz w:val="21"/>
                      <w:szCs w:val="21"/>
                      <w:highlight w:val="none"/>
                      <w:vertAlign w:val="superscript"/>
                      <w:lang w:val="en-US"/>
                      <w14:textFill>
                        <w14:solidFill>
                          <w14:schemeClr w14:val="tx1"/>
                        </w14:solidFill>
                      </w14:textFill>
                    </w:rPr>
                    <w:t>3</w:t>
                  </w:r>
                </w:p>
              </w:tc>
              <w:tc>
                <w:tcPr>
                  <w:tcW w:w="961" w:type="dxa"/>
                  <w:tcBorders>
                    <w:top w:val="single" w:color="auto" w:sz="4" w:space="0"/>
                    <w:left w:val="single" w:color="000000" w:sz="6" w:space="0"/>
                    <w:bottom w:val="single" w:color="000000" w:sz="12" w:space="0"/>
                    <w:right w:val="single" w:color="000000" w:sz="6"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942" w:type="dxa"/>
                  <w:tcBorders>
                    <w:top w:val="single" w:color="auto" w:sz="4" w:space="0"/>
                    <w:left w:val="single" w:color="000000" w:sz="6" w:space="0"/>
                    <w:bottom w:val="single" w:color="000000" w:sz="12" w:space="0"/>
                    <w:right w:val="single" w:color="auto" w:sz="4" w:space="0"/>
                  </w:tcBorders>
                  <w:vAlign w:val="center"/>
                </w:tcPr>
                <w:p>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top w:val="single" w:color="000000" w:sz="12" w:space="0"/>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SO</w:t>
                  </w:r>
                  <w:r>
                    <w:rPr>
                      <w:b w:val="0"/>
                      <w:bCs w:val="0"/>
                      <w:color w:val="000000" w:themeColor="text1"/>
                      <w:sz w:val="21"/>
                      <w:szCs w:val="21"/>
                      <w:highlight w:val="none"/>
                      <w:vertAlign w:val="subscript"/>
                      <w14:textFill>
                        <w14:solidFill>
                          <w14:schemeClr w14:val="tx1"/>
                        </w14:solidFill>
                      </w14:textFill>
                    </w:rPr>
                    <w:t>2</w:t>
                  </w:r>
                </w:p>
              </w:tc>
              <w:tc>
                <w:tcPr>
                  <w:tcW w:w="3085" w:type="dxa"/>
                  <w:tcBorders>
                    <w:top w:val="single" w:color="000000" w:sz="12"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top w:val="single" w:color="000000" w:sz="12" w:space="0"/>
                    <w:left w:val="single" w:color="auto" w:sz="4" w:space="0"/>
                  </w:tcBorders>
                  <w:vAlign w:val="center"/>
                </w:tcPr>
                <w:p>
                  <w:pPr>
                    <w:bidi w:val="0"/>
                    <w:spacing w:line="240" w:lineRule="auto"/>
                    <w:jc w:val="center"/>
                    <w:rPr>
                      <w:rFonts w:hint="eastAsia" w:eastAsia="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1137" w:type="dxa"/>
                  <w:tcBorders>
                    <w:top w:val="single" w:color="000000" w:sz="12"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60</w:t>
                  </w:r>
                </w:p>
              </w:tc>
              <w:tc>
                <w:tcPr>
                  <w:tcW w:w="961" w:type="dxa"/>
                  <w:tcBorders>
                    <w:top w:val="single" w:color="000000" w:sz="12"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11.67</w:t>
                  </w:r>
                </w:p>
              </w:tc>
              <w:tc>
                <w:tcPr>
                  <w:tcW w:w="942" w:type="dxa"/>
                  <w:tcBorders>
                    <w:top w:val="single" w:color="000000" w:sz="12" w:space="0"/>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NO</w:t>
                  </w:r>
                  <w:r>
                    <w:rPr>
                      <w:b w:val="0"/>
                      <w:bCs w:val="0"/>
                      <w:color w:val="000000" w:themeColor="text1"/>
                      <w:sz w:val="21"/>
                      <w:szCs w:val="21"/>
                      <w:highlight w:val="none"/>
                      <w:vertAlign w:val="subscript"/>
                      <w14:textFill>
                        <w14:solidFill>
                          <w14:schemeClr w14:val="tx1"/>
                        </w14:solidFill>
                      </w14:textFill>
                    </w:rPr>
                    <w:t>2</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32</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80</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PM</w:t>
                  </w:r>
                  <w:r>
                    <w:rPr>
                      <w:b w:val="0"/>
                      <w:bCs w:val="0"/>
                      <w:color w:val="000000" w:themeColor="text1"/>
                      <w:sz w:val="21"/>
                      <w:szCs w:val="21"/>
                      <w:highlight w:val="none"/>
                      <w:vertAlign w:val="baseline"/>
                      <w14:textFill>
                        <w14:solidFill>
                          <w14:schemeClr w14:val="tx1"/>
                        </w14:solidFill>
                      </w14:textFill>
                    </w:rPr>
                    <w:t>10</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81</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115.71</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不</w:t>
                  </w: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PM</w:t>
                  </w:r>
                  <w:r>
                    <w:rPr>
                      <w:b w:val="0"/>
                      <w:bCs w:val="0"/>
                      <w:color w:val="000000" w:themeColor="text1"/>
                      <w:sz w:val="21"/>
                      <w:szCs w:val="21"/>
                      <w:highlight w:val="none"/>
                      <w:vertAlign w:val="baseline"/>
                      <w14:textFill>
                        <w14:solidFill>
                          <w14:schemeClr w14:val="tx1"/>
                        </w14:solidFill>
                      </w14:textFill>
                    </w:rPr>
                    <w:t>2.5</w:t>
                  </w:r>
                </w:p>
              </w:tc>
              <w:tc>
                <w:tcPr>
                  <w:tcW w:w="3085" w:type="dxa"/>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年平均浓度</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50</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35</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142.86</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不</w:t>
                  </w: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lef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CO</w:t>
                  </w:r>
                </w:p>
              </w:tc>
              <w:tc>
                <w:tcPr>
                  <w:tcW w:w="3085" w:type="dxa"/>
                  <w:vAlign w:val="center"/>
                </w:tcPr>
                <w:p>
                  <w:pPr>
                    <w:bidi w:val="0"/>
                    <w:spacing w:line="240" w:lineRule="auto"/>
                    <w:jc w:val="center"/>
                    <w:rPr>
                      <w:b w:val="0"/>
                      <w:bCs w:val="0"/>
                      <w:color w:val="000000" w:themeColor="text1"/>
                      <w:sz w:val="21"/>
                      <w:szCs w:val="21"/>
                      <w:highlight w:val="none"/>
                      <w:lang w:val="en-US"/>
                      <w14:textFill>
                        <w14:solidFill>
                          <w14:schemeClr w14:val="tx1"/>
                        </w14:solidFill>
                      </w14:textFill>
                    </w:rPr>
                  </w:pPr>
                  <w:r>
                    <w:rPr>
                      <w:b w:val="0"/>
                      <w:bCs w:val="0"/>
                      <w:color w:val="000000" w:themeColor="text1"/>
                      <w:sz w:val="21"/>
                      <w:szCs w:val="21"/>
                      <w:highlight w:val="none"/>
                      <w:lang w:val="en-US"/>
                      <w14:textFill>
                        <w14:solidFill>
                          <w14:schemeClr w14:val="tx1"/>
                        </w14:solidFill>
                      </w14:textFill>
                    </w:rPr>
                    <w:t>24小时平均第95百分位数</w:t>
                  </w:r>
                </w:p>
              </w:tc>
              <w:tc>
                <w:tcPr>
                  <w:tcW w:w="1050" w:type="dxa"/>
                  <w:tcBorders>
                    <w:left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2300</w:t>
                  </w:r>
                </w:p>
              </w:tc>
              <w:tc>
                <w:tcPr>
                  <w:tcW w:w="1137" w:type="dxa"/>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4000</w:t>
                  </w:r>
                </w:p>
              </w:tc>
              <w:tc>
                <w:tcPr>
                  <w:tcW w:w="961" w:type="dxa"/>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57.5</w:t>
                  </w:r>
                </w:p>
              </w:tc>
              <w:tc>
                <w:tcPr>
                  <w:tcW w:w="942" w:type="dxa"/>
                  <w:tcBorders>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9" w:type="dxa"/>
                  <w:tcBorders>
                    <w:left w:val="single" w:color="auto" w:sz="4" w:space="0"/>
                    <w:bottom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O</w:t>
                  </w:r>
                  <w:r>
                    <w:rPr>
                      <w:b w:val="0"/>
                      <w:bCs w:val="0"/>
                      <w:color w:val="000000" w:themeColor="text1"/>
                      <w:sz w:val="21"/>
                      <w:szCs w:val="21"/>
                      <w:highlight w:val="none"/>
                      <w:vertAlign w:val="subscript"/>
                      <w14:textFill>
                        <w14:solidFill>
                          <w14:schemeClr w14:val="tx1"/>
                        </w14:solidFill>
                      </w14:textFill>
                    </w:rPr>
                    <w:t>3</w:t>
                  </w:r>
                </w:p>
              </w:tc>
              <w:tc>
                <w:tcPr>
                  <w:tcW w:w="3085" w:type="dxa"/>
                  <w:tcBorders>
                    <w:bottom w:val="single" w:color="auto" w:sz="4" w:space="0"/>
                  </w:tcBorders>
                  <w:vAlign w:val="center"/>
                </w:tcPr>
                <w:p>
                  <w:pPr>
                    <w:bidi w:val="0"/>
                    <w:spacing w:line="240" w:lineRule="auto"/>
                    <w:jc w:val="center"/>
                    <w:rPr>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日最大8小时平均第90百分位数</w:t>
                  </w:r>
                </w:p>
              </w:tc>
              <w:tc>
                <w:tcPr>
                  <w:tcW w:w="1050" w:type="dxa"/>
                  <w:tcBorders>
                    <w:left w:val="single" w:color="auto" w:sz="4" w:space="0"/>
                    <w:bottom w:val="single" w:color="auto" w:sz="4" w:space="0"/>
                  </w:tcBorders>
                  <w:vAlign w:val="center"/>
                </w:tcPr>
                <w:p>
                  <w:pPr>
                    <w:bidi w:val="0"/>
                    <w:spacing w:line="240" w:lineRule="auto"/>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eastAsia="宋体"/>
                      <w:b w:val="0"/>
                      <w:bCs w:val="0"/>
                      <w:color w:val="000000" w:themeColor="text1"/>
                      <w:sz w:val="21"/>
                      <w:szCs w:val="21"/>
                      <w:highlight w:val="none"/>
                      <w:lang w:val="en-US" w:eastAsia="zh-CN"/>
                      <w14:textFill>
                        <w14:solidFill>
                          <w14:schemeClr w14:val="tx1"/>
                        </w14:solidFill>
                      </w14:textFill>
                    </w:rPr>
                    <w:t>133</w:t>
                  </w:r>
                </w:p>
              </w:tc>
              <w:tc>
                <w:tcPr>
                  <w:tcW w:w="1137" w:type="dxa"/>
                  <w:tcBorders>
                    <w:bottom w:val="single" w:color="auto" w:sz="4" w:space="0"/>
                  </w:tcBorders>
                  <w:vAlign w:val="center"/>
                </w:tcPr>
                <w:p>
                  <w:pPr>
                    <w:bidi w:val="0"/>
                    <w:spacing w:line="240" w:lineRule="auto"/>
                    <w:jc w:val="cente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ascii="Times New Roman" w:hAnsi="Times New Roman" w:eastAsia="宋体" w:cs="Times New Roman"/>
                      <w:b w:val="0"/>
                      <w:bCs w:val="0"/>
                      <w:color w:val="000000" w:themeColor="text1"/>
                      <w:sz w:val="21"/>
                      <w:szCs w:val="21"/>
                      <w:highlight w:val="none"/>
                      <w:lang w:val="en-US"/>
                      <w14:textFill>
                        <w14:solidFill>
                          <w14:schemeClr w14:val="tx1"/>
                        </w14:solidFill>
                      </w14:textFill>
                    </w:rPr>
                    <w:t>160</w:t>
                  </w:r>
                </w:p>
              </w:tc>
              <w:tc>
                <w:tcPr>
                  <w:tcW w:w="961" w:type="dxa"/>
                  <w:tcBorders>
                    <w:bottom w:val="single" w:color="auto" w:sz="4" w:space="0"/>
                  </w:tcBorders>
                  <w:vAlign w:val="center"/>
                </w:tcPr>
                <w:p>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83.125</w:t>
                  </w:r>
                </w:p>
              </w:tc>
              <w:tc>
                <w:tcPr>
                  <w:tcW w:w="942" w:type="dxa"/>
                  <w:tcBorders>
                    <w:bottom w:val="single" w:color="auto" w:sz="4" w:space="0"/>
                    <w:right w:val="single" w:color="auto" w:sz="4" w:space="0"/>
                  </w:tcBorders>
                  <w:vAlign w:val="center"/>
                </w:tcPr>
                <w:p>
                  <w:pPr>
                    <w:bidi w:val="0"/>
                    <w:spacing w:line="240" w:lineRule="auto"/>
                    <w:jc w:val="center"/>
                    <w:rPr>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达标</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w:t>
            </w:r>
            <w:r>
              <w:rPr>
                <w:rFonts w:ascii="宋体" w:hAnsi="宋体" w:eastAsia="宋体" w:cs="宋体"/>
                <w:color w:val="000000" w:themeColor="text1"/>
                <w:sz w:val="24"/>
                <w:szCs w:val="24"/>
                <w:highlight w:val="none"/>
                <w14:textFill>
                  <w14:solidFill>
                    <w14:schemeClr w14:val="tx1"/>
                  </w14:solidFill>
                </w14:textFill>
              </w:rPr>
              <w:t>项目所在区域NO</w:t>
            </w:r>
            <w:r>
              <w:rPr>
                <w:rFonts w:ascii="宋体" w:hAnsi="宋体" w:eastAsia="宋体" w:cs="宋体"/>
                <w:color w:val="000000" w:themeColor="text1"/>
                <w:sz w:val="24"/>
                <w:szCs w:val="24"/>
                <w:highlight w:val="none"/>
                <w:vertAlign w:val="subscript"/>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、SO</w:t>
            </w:r>
            <w:r>
              <w:rPr>
                <w:rFonts w:ascii="宋体" w:hAnsi="宋体" w:eastAsia="宋体" w:cs="宋体"/>
                <w:color w:val="000000" w:themeColor="text1"/>
                <w:sz w:val="24"/>
                <w:szCs w:val="24"/>
                <w:highlight w:val="none"/>
                <w:vertAlign w:val="subscript"/>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年平均浓度、CO</w:t>
            </w:r>
            <w:r>
              <w:rPr>
                <w:rFonts w:ascii="宋体" w:hAnsi="宋体" w:eastAsia="宋体" w:cs="宋体"/>
                <w:color w:val="000000" w:themeColor="text1"/>
                <w:sz w:val="24"/>
                <w:szCs w:val="24"/>
                <w:highlight w:val="none"/>
                <w:lang w:val="en-US"/>
                <w14:textFill>
                  <w14:solidFill>
                    <w14:schemeClr w14:val="tx1"/>
                  </w14:solidFill>
                </w14:textFill>
              </w:rPr>
              <w:t>24小时平均第95百分位数</w:t>
            </w:r>
            <w:r>
              <w:rPr>
                <w:rFonts w:ascii="宋体" w:hAnsi="宋体" w:eastAsia="宋体" w:cs="宋体"/>
                <w:color w:val="000000" w:themeColor="text1"/>
                <w:sz w:val="24"/>
                <w:szCs w:val="24"/>
                <w:highlight w:val="none"/>
                <w14:textFill>
                  <w14:solidFill>
                    <w14:schemeClr w14:val="tx1"/>
                  </w14:solidFill>
                </w14:textFill>
              </w:rPr>
              <w:t>及O</w:t>
            </w:r>
            <w:r>
              <w:rPr>
                <w:rFonts w:ascii="宋体" w:hAnsi="宋体" w:eastAsia="宋体" w:cs="宋体"/>
                <w:color w:val="000000" w:themeColor="text1"/>
                <w:sz w:val="24"/>
                <w:szCs w:val="24"/>
                <w:highlight w:val="none"/>
                <w:vertAlign w:val="subscript"/>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日最大8小时平均第90百分位数均满足《环境空气质量标准》（GB3095-2012）及其修改单中的二级标准要求；PM</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2.5和</w:t>
            </w:r>
            <w:r>
              <w:rPr>
                <w:rFonts w:ascii="宋体" w:hAnsi="宋体" w:eastAsia="宋体" w:cs="宋体"/>
                <w:color w:val="000000" w:themeColor="text1"/>
                <w:sz w:val="24"/>
                <w:szCs w:val="24"/>
                <w:highlight w:val="none"/>
                <w14:textFill>
                  <w14:solidFill>
                    <w14:schemeClr w14:val="tx1"/>
                  </w14:solidFill>
                </w14:textFill>
              </w:rPr>
              <w:t>PM</w:t>
            </w:r>
            <w:r>
              <w:rPr>
                <w:rFonts w:ascii="宋体" w:hAnsi="宋体" w:eastAsia="宋体" w:cs="宋体"/>
                <w:color w:val="000000" w:themeColor="text1"/>
                <w:sz w:val="24"/>
                <w:szCs w:val="24"/>
                <w:highlight w:val="none"/>
                <w:vertAlign w:val="baseline"/>
                <w14:textFill>
                  <w14:solidFill>
                    <w14:schemeClr w14:val="tx1"/>
                  </w14:solidFill>
                </w14:textFill>
              </w:rPr>
              <w:t>10</w:t>
            </w:r>
            <w:r>
              <w:rPr>
                <w:rFonts w:ascii="宋体" w:hAnsi="宋体" w:eastAsia="宋体" w:cs="宋体"/>
                <w:color w:val="000000" w:themeColor="text1"/>
                <w:sz w:val="24"/>
                <w:szCs w:val="24"/>
                <w:highlight w:val="none"/>
                <w14:textFill>
                  <w14:solidFill>
                    <w14:schemeClr w14:val="tx1"/>
                  </w14:solidFill>
                </w14:textFill>
              </w:rPr>
              <w:t>的年平均浓度均超过《环境空气质量标准》（GB3095-2012）及其修改单中的二级标准要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求，因此区域为大气环境质量不达标区。</w:t>
            </w:r>
          </w:p>
          <w:p>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1.5特征污染物</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引用新疆博奇清新环境检测有限公司对东方电气(新疆)新能源高端装备制造基地项目污染物非甲烷总烃的现状监测，监测时间为2022年3月25日-3月31日，在项目场地四周布置2个监测点位，连续7天监测；具体监测布点见附图</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，监测点位在本项目</w:t>
            </w:r>
            <w:r>
              <w:rPr>
                <w:rFonts w:hint="eastAsia" w:cs="Times New Roman"/>
                <w:color w:val="000000" w:themeColor="text1"/>
                <w:sz w:val="24"/>
                <w:szCs w:val="24"/>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南侧约</w:t>
            </w:r>
            <w:r>
              <w:rPr>
                <w:rFonts w:hint="eastAsia" w:cs="Times New Roman"/>
                <w:color w:val="000000" w:themeColor="text1"/>
                <w:sz w:val="24"/>
                <w:szCs w:val="24"/>
                <w:highlight w:val="none"/>
                <w:lang w:val="en-US" w:eastAsia="zh-CN"/>
                <w14:textFill>
                  <w14:solidFill>
                    <w14:schemeClr w14:val="tx1"/>
                  </w14:solidFill>
                </w14:textFill>
              </w:rPr>
              <w:t>660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m处。监测方法：按国家《环境监测技术规范(大气部分)》的规定执行；分析方法按《空气和废气监测分析方法》的有关规定和要求执行</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GB" w:eastAsia="zh-CN" w:bidi="ar-SA"/>
                <w14:textFill>
                  <w14:solidFill>
                    <w14:schemeClr w14:val="tx1"/>
                  </w14:solidFill>
                </w14:textFill>
              </w:rPr>
              <w:t>监测结果统计表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见表3-</w:t>
            </w:r>
            <w:r>
              <w:rPr>
                <w:rFonts w:hint="eastAsia"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，监测报告见附件。</w:t>
            </w:r>
          </w:p>
          <w:p>
            <w:pPr>
              <w:bidi w:val="0"/>
              <w:spacing w:line="240" w:lineRule="auto"/>
              <w:jc w:val="cente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3-3</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环</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境空气</w:t>
            </w:r>
            <w:r>
              <w:rPr>
                <w:rFonts w:hint="eastAsia" w:cs="Times New Roman"/>
                <w:b/>
                <w:bCs/>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现状监测结果  单位：</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highlight w:val="none"/>
                <w:lang w:val="zh-CN" w:eastAsia="zh-CN"/>
                <w14:textFill>
                  <w14:solidFill>
                    <w14:schemeClr w14:val="tx1"/>
                  </w14:solidFill>
                </w14:textFill>
              </w:rPr>
              <w:t>g/m</w:t>
            </w:r>
            <w:r>
              <w:rPr>
                <w:rFonts w:hint="eastAsia" w:ascii="Times New Roman" w:hAnsi="Times New Roman" w:eastAsia="宋体" w:cs="Times New Roman"/>
                <w:b/>
                <w:bCs/>
                <w:color w:val="000000" w:themeColor="text1"/>
                <w:sz w:val="21"/>
                <w:szCs w:val="21"/>
                <w:highlight w:val="none"/>
                <w:vertAlign w:val="superscript"/>
                <w:lang w:val="zh-CN" w:eastAsia="zh-CN"/>
                <w14:textFill>
                  <w14:solidFill>
                    <w14:schemeClr w14:val="tx1"/>
                  </w14:solidFill>
                </w14:textFill>
              </w:rPr>
              <w:t>3</w:t>
            </w:r>
          </w:p>
          <w:tbl>
            <w:tblPr>
              <w:tblStyle w:val="6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57"/>
              <w:gridCol w:w="2562"/>
              <w:gridCol w:w="230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监测点位</w:t>
                  </w:r>
                </w:p>
              </w:tc>
              <w:tc>
                <w:tcPr>
                  <w:tcW w:w="158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监测时间</w:t>
                  </w:r>
                </w:p>
              </w:tc>
              <w:tc>
                <w:tcPr>
                  <w:tcW w:w="26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监测项目(mg/m³)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6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监测值</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1#（90°21'12.44"，43°56'59.81"）</w:t>
                  </w: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0.7425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0.8975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0.78</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0.945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1.825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 (90°21'59.48"，43°56'40.19")</w:t>
                  </w: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0.4325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0.4425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0.57</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0.4425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0.3775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0.5375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0.3925</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标准值</w:t>
                  </w:r>
                </w:p>
              </w:tc>
              <w:tc>
                <w:tcPr>
                  <w:tcW w:w="26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8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超标率</w:t>
                  </w:r>
                </w:p>
              </w:tc>
              <w:tc>
                <w:tcPr>
                  <w:tcW w:w="26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由上表可知，项目厂址</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24小时平</w:t>
            </w:r>
            <w:r>
              <w:rPr>
                <w:color w:val="000000" w:themeColor="text1"/>
                <w:sz w:val="24"/>
                <w:szCs w:val="24"/>
                <w:highlight w:val="none"/>
                <w14:textFill>
                  <w14:solidFill>
                    <w14:schemeClr w14:val="tx1"/>
                  </w14:solidFill>
                </w14:textFill>
              </w:rPr>
              <w:t>均浓度满足《环境空气质量标准》</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GB3095-2012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二级标准。</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jc w:val="both"/>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2、地表水环境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本项目产生的生活污水依托</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园区</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排水管网处理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项目无废水外排，与地表水体无水力联系。按照《环境影响评价技术导则 地表水环境》（HJ2.3-2018）中规定，地表水环境影响评价为三级B</w:t>
            </w:r>
            <w:r>
              <w:rPr>
                <w:rFonts w:hint="eastAsia"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，本项目不需要进行地表水评价</w:t>
            </w:r>
            <w:r>
              <w:rPr>
                <w:rFonts w:hint="default" w:ascii="Times New Roman" w:hAnsi="Times New Roman" w:cs="Times New Roman"/>
                <w:color w:val="000000" w:themeColor="text1"/>
                <w:kern w:val="0"/>
                <w:sz w:val="24"/>
                <w:szCs w:val="24"/>
                <w:highlight w:val="none"/>
                <w14:textFill>
                  <w14:solidFill>
                    <w14:schemeClr w14:val="tx1"/>
                  </w14:solidFill>
                </w14:textFill>
              </w:rPr>
              <w:t>。</w:t>
            </w:r>
          </w:p>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声环境现状调查及评价</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通过现场踏勘，项目区厂界外50</w:t>
            </w:r>
            <w:r>
              <w:rPr>
                <w:rFonts w:hint="eastAsia"/>
                <w:color w:val="000000" w:themeColor="text1"/>
                <w:sz w:val="24"/>
                <w:szCs w:val="24"/>
                <w:highlight w:val="none"/>
                <w:lang w:val="en-US" w:eastAsia="zh-CN"/>
                <w14:textFill>
                  <w14:solidFill>
                    <w14:schemeClr w14:val="tx1"/>
                  </w14:solidFill>
                </w14:textFill>
              </w:rPr>
              <w:t>m</w:t>
            </w:r>
            <w:r>
              <w:rPr>
                <w:color w:val="000000" w:themeColor="text1"/>
                <w:sz w:val="24"/>
                <w:szCs w:val="24"/>
                <w:highlight w:val="none"/>
                <w14:textFill>
                  <w14:solidFill>
                    <w14:schemeClr w14:val="tx1"/>
                  </w14:solidFill>
                </w14:textFill>
              </w:rPr>
              <w:t>范围内无学校、医院及住宅等声环境保护目标。项目区声环境能够满足《声环境质量标准》（GB3096-2008）中</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类区标准，声环境质量状况良好</w:t>
            </w:r>
            <w:r>
              <w:rPr>
                <w:rFonts w:hint="eastAsia"/>
                <w:color w:val="000000" w:themeColor="text1"/>
                <w:sz w:val="24"/>
                <w:szCs w:val="24"/>
                <w:highlight w:val="none"/>
                <w:lang w:eastAsia="zh-CN"/>
                <w14:textFill>
                  <w14:solidFill>
                    <w14:schemeClr w14:val="tx1"/>
                  </w14:solidFill>
                </w14:textFill>
              </w:rPr>
              <w:t>。</w:t>
            </w:r>
          </w:p>
          <w:p>
            <w:pPr>
              <w:pStyle w:val="4"/>
              <w:keepNext/>
              <w:keepLines/>
              <w:numPr>
                <w:ilvl w:val="0"/>
                <w:numId w:val="0"/>
              </w:numPr>
              <w:bidi w:val="0"/>
              <w:spacing w:before="0" w:after="0" w:line="360" w:lineRule="auto"/>
              <w:ind w:leftChars="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4、地下水及土壤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环境现状调查及评价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根据《建设项目环境影响报告表编制技术指南(污染影响类)(试行)》，“原则上不开展环境质量现状调查。建设项目存在土壤、地下水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本项目厂区已硬化，不存在土壤、地下水环境污染途径，因此本项目无需开展环境质量现状调查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保护</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目标</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根据现场踏勘，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项目区西侧210m为大南沟乌兹别克乡大南沟村，南侧为新疆东方风电新能源有限公司，东侧为木垒县嘉晟能源科技有限公司和空地，北侧为新疆双杰新能源高端装备研发制造基地项目二期预留用地。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本项目环境保护目标情况见表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项目区与周边关系图见附图6。</w:t>
            </w:r>
          </w:p>
          <w:p>
            <w:pPr>
              <w:pStyle w:val="59"/>
              <w:bidi w:val="0"/>
              <w:spacing w:line="240" w:lineRule="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3-4  </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环境保护目标</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分布一览表</w:t>
            </w:r>
          </w:p>
          <w:tbl>
            <w:tblPr>
              <w:tblStyle w:val="23"/>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0"/>
              <w:gridCol w:w="993"/>
              <w:gridCol w:w="659"/>
              <w:gridCol w:w="879"/>
              <w:gridCol w:w="3275"/>
              <w:gridCol w:w="925"/>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610" w:type="dxa"/>
                  <w:tcBorders>
                    <w:tl2br w:val="nil"/>
                    <w:tr2bl w:val="nil"/>
                  </w:tcBorders>
                  <w:vAlign w:val="center"/>
                </w:tcPr>
                <w:p>
                  <w:pPr>
                    <w:spacing w:line="240" w:lineRule="auto"/>
                    <w:jc w:val="center"/>
                    <w:rPr>
                      <w:rFonts w:hint="default"/>
                      <w:color w:val="000000" w:themeColor="text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环境要素</w:t>
                  </w:r>
                </w:p>
              </w:tc>
              <w:tc>
                <w:tcPr>
                  <w:tcW w:w="993" w:type="dxa"/>
                  <w:tcBorders>
                    <w:tl2br w:val="nil"/>
                    <w:tr2bl w:val="nil"/>
                  </w:tcBorders>
                  <w:vAlign w:val="center"/>
                </w:tcPr>
                <w:p>
                  <w:pPr>
                    <w:spacing w:line="240" w:lineRule="auto"/>
                    <w:jc w:val="center"/>
                    <w:rPr>
                      <w:rFonts w:hint="default"/>
                      <w:color w:val="000000" w:themeColor="text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环境保护对象名称</w:t>
                  </w:r>
                </w:p>
              </w:tc>
              <w:tc>
                <w:tcPr>
                  <w:tcW w:w="659" w:type="dxa"/>
                  <w:tcBorders>
                    <w:tl2br w:val="nil"/>
                    <w:tr2bl w:val="nil"/>
                  </w:tcBorders>
                  <w:vAlign w:val="center"/>
                </w:tcPr>
                <w:p>
                  <w:pPr>
                    <w:spacing w:line="240" w:lineRule="auto"/>
                    <w:jc w:val="center"/>
                    <w:rPr>
                      <w:rFonts w:hint="default"/>
                      <w:color w:val="000000" w:themeColor="text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保护对象</w:t>
                  </w:r>
                </w:p>
              </w:tc>
              <w:tc>
                <w:tcPr>
                  <w:tcW w:w="879" w:type="dxa"/>
                  <w:tcBorders>
                    <w:tl2br w:val="nil"/>
                    <w:tr2bl w:val="nil"/>
                  </w:tcBorders>
                  <w:vAlign w:val="center"/>
                </w:tcPr>
                <w:p>
                  <w:pPr>
                    <w:spacing w:line="240" w:lineRule="auto"/>
                    <w:jc w:val="center"/>
                    <w:rPr>
                      <w:rFonts w:hint="default"/>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保护规模</w:t>
                  </w:r>
                </w:p>
              </w:tc>
              <w:tc>
                <w:tcPr>
                  <w:tcW w:w="3275" w:type="dxa"/>
                  <w:tcBorders>
                    <w:tl2br w:val="nil"/>
                    <w:tr2bl w:val="nil"/>
                  </w:tcBorders>
                  <w:vAlign w:val="center"/>
                </w:tcPr>
                <w:p>
                  <w:pPr>
                    <w:spacing w:line="240" w:lineRule="auto"/>
                    <w:jc w:val="center"/>
                    <w:rPr>
                      <w:rFonts w:hint="eastAsia" w:eastAsia="宋体"/>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环境</w:t>
                  </w:r>
                  <w:r>
                    <w:rPr>
                      <w:rFonts w:hint="eastAsia"/>
                      <w:b/>
                      <w:bCs/>
                      <w:color w:val="000000" w:themeColor="text1"/>
                      <w:sz w:val="21"/>
                      <w:szCs w:val="21"/>
                      <w:highlight w:val="none"/>
                      <w:lang w:val="en-US" w:eastAsia="zh-CN"/>
                      <w14:textFill>
                        <w14:solidFill>
                          <w14:schemeClr w14:val="tx1"/>
                        </w14:solidFill>
                      </w14:textFill>
                    </w:rPr>
                    <w:t>标准</w:t>
                  </w:r>
                </w:p>
              </w:tc>
              <w:tc>
                <w:tcPr>
                  <w:tcW w:w="925" w:type="dxa"/>
                  <w:tcBorders>
                    <w:tl2br w:val="nil"/>
                    <w:tr2bl w:val="nil"/>
                  </w:tcBorders>
                  <w:vAlign w:val="center"/>
                </w:tcPr>
                <w:p>
                  <w:pPr>
                    <w:spacing w:line="240" w:lineRule="auto"/>
                    <w:jc w:val="center"/>
                    <w:rPr>
                      <w:rFonts w:hint="eastAsia"/>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相对厂界方位</w:t>
                  </w:r>
                </w:p>
              </w:tc>
              <w:tc>
                <w:tcPr>
                  <w:tcW w:w="754" w:type="dxa"/>
                  <w:tcBorders>
                    <w:tl2br w:val="nil"/>
                    <w:tr2bl w:val="nil"/>
                  </w:tcBorders>
                  <w:vAlign w:val="center"/>
                </w:tcPr>
                <w:p>
                  <w:pPr>
                    <w:spacing w:line="240" w:lineRule="auto"/>
                    <w:jc w:val="center"/>
                    <w:rPr>
                      <w:rFonts w:hint="default"/>
                      <w:color w:val="000000" w:themeColor="text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0" w:hRule="atLeast"/>
                <w:jc w:val="center"/>
              </w:trPr>
              <w:tc>
                <w:tcPr>
                  <w:tcW w:w="610" w:type="dxa"/>
                  <w:tcBorders>
                    <w:tl2br w:val="nil"/>
                    <w:tr2bl w:val="nil"/>
                  </w:tcBorders>
                  <w:vAlign w:val="center"/>
                </w:tcPr>
                <w:p>
                  <w:pPr>
                    <w:pStyle w:val="62"/>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大气环境</w:t>
                  </w:r>
                </w:p>
              </w:tc>
              <w:tc>
                <w:tcPr>
                  <w:tcW w:w="993" w:type="dxa"/>
                  <w:tcBorders>
                    <w:tl2br w:val="nil"/>
                    <w:tr2bl w:val="nil"/>
                  </w:tcBorders>
                  <w:vAlign w:val="center"/>
                </w:tcPr>
                <w:p>
                  <w:pPr>
                    <w:pStyle w:val="62"/>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大南沟乌兹别克乡大南沟村</w:t>
                  </w:r>
                </w:p>
              </w:tc>
              <w:tc>
                <w:tcPr>
                  <w:tcW w:w="659" w:type="dxa"/>
                  <w:tcBorders>
                    <w:tl2br w:val="nil"/>
                    <w:tr2bl w:val="nil"/>
                  </w:tcBorders>
                  <w:vAlign w:val="center"/>
                </w:tcPr>
                <w:p>
                  <w:pPr>
                    <w:pStyle w:val="62"/>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村庄</w:t>
                  </w:r>
                </w:p>
              </w:tc>
              <w:tc>
                <w:tcPr>
                  <w:tcW w:w="879" w:type="dxa"/>
                  <w:tcBorders>
                    <w:tl2br w:val="nil"/>
                    <w:tr2bl w:val="nil"/>
                  </w:tcBorders>
                  <w:vAlign w:val="center"/>
                </w:tcPr>
                <w:p>
                  <w:pPr>
                    <w:pStyle w:val="62"/>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800人</w:t>
                  </w:r>
                </w:p>
              </w:tc>
              <w:tc>
                <w:tcPr>
                  <w:tcW w:w="3275" w:type="dxa"/>
                  <w:tcBorders>
                    <w:tl2br w:val="nil"/>
                    <w:tr2bl w:val="nil"/>
                  </w:tcBorders>
                  <w:vAlign w:val="center"/>
                </w:tcPr>
                <w:p>
                  <w:pPr>
                    <w:pStyle w:val="62"/>
                    <w:bidi w:val="0"/>
                    <w:ind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《环境空气质量标准》（GB3095-2012）中二级标准</w:t>
                  </w:r>
                </w:p>
              </w:tc>
              <w:tc>
                <w:tcPr>
                  <w:tcW w:w="925" w:type="dxa"/>
                  <w:tcBorders>
                    <w:tl2br w:val="nil"/>
                    <w:tr2bl w:val="nil"/>
                  </w:tcBorders>
                  <w:vAlign w:val="center"/>
                </w:tcPr>
                <w:p>
                  <w:pPr>
                    <w:pStyle w:val="62"/>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西侧</w:t>
                  </w:r>
                </w:p>
              </w:tc>
              <w:tc>
                <w:tcPr>
                  <w:tcW w:w="754" w:type="dxa"/>
                  <w:tcBorders>
                    <w:tl2br w:val="nil"/>
                    <w:tr2bl w:val="nil"/>
                  </w:tcBorders>
                  <w:vAlign w:val="center"/>
                </w:tcPr>
                <w:p>
                  <w:pPr>
                    <w:pStyle w:val="62"/>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2" w:hRule="atLeast"/>
                <w:jc w:val="center"/>
              </w:trPr>
              <w:tc>
                <w:tcPr>
                  <w:tcW w:w="610" w:type="dxa"/>
                  <w:tcBorders>
                    <w:tl2br w:val="nil"/>
                    <w:tr2bl w:val="nil"/>
                  </w:tcBorders>
                  <w:vAlign w:val="center"/>
                </w:tcPr>
                <w:p>
                  <w:pPr>
                    <w:pStyle w:val="62"/>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声环境</w:t>
                  </w:r>
                </w:p>
              </w:tc>
              <w:tc>
                <w:tcPr>
                  <w:tcW w:w="2531" w:type="dxa"/>
                  <w:gridSpan w:val="3"/>
                  <w:tcBorders>
                    <w:tl2br w:val="nil"/>
                    <w:tr2bl w:val="nil"/>
                  </w:tcBorders>
                  <w:vAlign w:val="center"/>
                </w:tcPr>
                <w:p>
                  <w:pPr>
                    <w:pStyle w:val="62"/>
                    <w:bidi w:val="0"/>
                    <w:ind w:firstLine="0" w:firstLineChars="0"/>
                    <w:rPr>
                      <w:rFonts w:hint="eastAsia" w:eastAsia="宋体"/>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项目厂区及厂界外</w:t>
                  </w:r>
                  <w:r>
                    <w:rPr>
                      <w:rFonts w:hint="eastAsia"/>
                      <w:color w:val="000000" w:themeColor="text1"/>
                      <w:sz w:val="21"/>
                      <w:szCs w:val="21"/>
                      <w:highlight w:val="none"/>
                      <w:lang w:val="en-US" w:eastAsia="zh-CN"/>
                      <w14:textFill>
                        <w14:solidFill>
                          <w14:schemeClr w14:val="tx1"/>
                        </w14:solidFill>
                      </w14:textFill>
                    </w:rPr>
                    <w:t>50</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val="en-US" w:eastAsia="zh-CN"/>
                      <w14:textFill>
                        <w14:solidFill>
                          <w14:schemeClr w14:val="tx1"/>
                        </w14:solidFill>
                      </w14:textFill>
                    </w:rPr>
                    <w:t>范围</w:t>
                  </w:r>
                </w:p>
              </w:tc>
              <w:tc>
                <w:tcPr>
                  <w:tcW w:w="3275" w:type="dxa"/>
                  <w:tcBorders>
                    <w:tl2br w:val="nil"/>
                    <w:tr2bl w:val="nil"/>
                  </w:tcBorders>
                  <w:vAlign w:val="center"/>
                </w:tcPr>
                <w:p>
                  <w:pPr>
                    <w:pStyle w:val="62"/>
                    <w:bidi w:val="0"/>
                    <w:ind w:firstLine="0" w:firstLineChars="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《工业企业厂界环境噪声排放标准》（GB12348-2008）中的</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类标准</w:t>
                  </w:r>
                </w:p>
              </w:tc>
              <w:tc>
                <w:tcPr>
                  <w:tcW w:w="925" w:type="dxa"/>
                  <w:tcBorders>
                    <w:tl2br w:val="nil"/>
                    <w:tr2bl w:val="nil"/>
                  </w:tcBorders>
                  <w:vAlign w:val="center"/>
                </w:tcPr>
                <w:p>
                  <w:pPr>
                    <w:pStyle w:val="62"/>
                    <w:bidi w:val="0"/>
                    <w:ind w:firstLine="0" w:firstLineChars="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754" w:type="dxa"/>
                  <w:tcBorders>
                    <w:tl2br w:val="nil"/>
                    <w:tr2bl w:val="nil"/>
                  </w:tcBorders>
                  <w:vAlign w:val="center"/>
                </w:tcPr>
                <w:p>
                  <w:pPr>
                    <w:pStyle w:val="62"/>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2" w:hRule="atLeast"/>
                <w:jc w:val="center"/>
              </w:trPr>
              <w:tc>
                <w:tcPr>
                  <w:tcW w:w="610" w:type="dxa"/>
                  <w:tcBorders>
                    <w:tl2br w:val="nil"/>
                    <w:tr2bl w:val="nil"/>
                  </w:tcBorders>
                  <w:vAlign w:val="center"/>
                </w:tcPr>
                <w:p>
                  <w:pPr>
                    <w:pStyle w:val="62"/>
                    <w:bidi w:val="0"/>
                    <w:ind w:firstLine="0" w:firstLineChars="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土壤环境</w:t>
                  </w:r>
                </w:p>
              </w:tc>
              <w:tc>
                <w:tcPr>
                  <w:tcW w:w="2531" w:type="dxa"/>
                  <w:gridSpan w:val="3"/>
                  <w:tcBorders>
                    <w:tl2br w:val="nil"/>
                    <w:tr2bl w:val="nil"/>
                  </w:tcBorders>
                  <w:vAlign w:val="center"/>
                </w:tcPr>
                <w:p>
                  <w:pPr>
                    <w:pStyle w:val="62"/>
                    <w:bidi w:val="0"/>
                    <w:ind w:firstLine="0" w:firstLineChars="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项目区范围内及厂址周边</w:t>
                  </w:r>
                </w:p>
              </w:tc>
              <w:tc>
                <w:tcPr>
                  <w:tcW w:w="3275" w:type="dxa"/>
                  <w:tcBorders>
                    <w:tl2br w:val="nil"/>
                    <w:tr2bl w:val="nil"/>
                  </w:tcBorders>
                  <w:vAlign w:val="center"/>
                </w:tcPr>
                <w:p>
                  <w:pPr>
                    <w:pStyle w:val="62"/>
                    <w:bidi w:val="0"/>
                    <w:ind w:firstLine="0" w:firstLineChars="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925" w:type="dxa"/>
                  <w:tcBorders>
                    <w:tl2br w:val="nil"/>
                    <w:tr2bl w:val="nil"/>
                  </w:tcBorders>
                  <w:vAlign w:val="center"/>
                </w:tcPr>
                <w:p>
                  <w:pPr>
                    <w:bidi w:val="0"/>
                    <w:ind w:firstLine="0" w:firstLineChars="0"/>
                    <w:rPr>
                      <w:color w:val="000000" w:themeColor="text1"/>
                      <w:sz w:val="21"/>
                      <w:szCs w:val="2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754" w:type="dxa"/>
                  <w:tcBorders>
                    <w:tl2br w:val="nil"/>
                    <w:tr2bl w:val="nil"/>
                  </w:tcBorders>
                  <w:vAlign w:val="center"/>
                </w:tcPr>
                <w:p>
                  <w:pPr>
                    <w:bidi w:val="0"/>
                    <w:ind w:firstLine="0" w:firstLineChars="0"/>
                    <w:rPr>
                      <w:color w:val="000000" w:themeColor="text1"/>
                      <w:sz w:val="21"/>
                      <w:szCs w:val="2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7" w:hRule="atLeast"/>
                <w:jc w:val="center"/>
              </w:trPr>
              <w:tc>
                <w:tcPr>
                  <w:tcW w:w="610" w:type="dxa"/>
                  <w:tcBorders>
                    <w:tl2br w:val="nil"/>
                    <w:tr2bl w:val="nil"/>
                  </w:tcBorders>
                  <w:vAlign w:val="center"/>
                </w:tcPr>
                <w:p>
                  <w:pPr>
                    <w:pStyle w:val="62"/>
                    <w:bidi w:val="0"/>
                    <w:ind w:firstLine="0" w:firstLineChars="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地下水</w:t>
                  </w:r>
                  <w:r>
                    <w:rPr>
                      <w:rFonts w:hint="eastAsia" w:cs="Times New Roman"/>
                      <w:color w:val="000000" w:themeColor="text1"/>
                      <w:highlight w:val="none"/>
                      <w:lang w:val="en-US" w:eastAsia="zh-CN"/>
                      <w14:textFill>
                        <w14:solidFill>
                          <w14:schemeClr w14:val="tx1"/>
                        </w14:solidFill>
                      </w14:textFill>
                    </w:rPr>
                    <w:t>环境</w:t>
                  </w:r>
                </w:p>
              </w:tc>
              <w:tc>
                <w:tcPr>
                  <w:tcW w:w="2531" w:type="dxa"/>
                  <w:gridSpan w:val="3"/>
                  <w:tcBorders>
                    <w:tl2br w:val="nil"/>
                    <w:tr2bl w:val="nil"/>
                  </w:tcBorders>
                  <w:vAlign w:val="center"/>
                </w:tcPr>
                <w:p>
                  <w:pPr>
                    <w:spacing w:line="240" w:lineRule="auto"/>
                    <w:jc w:val="center"/>
                    <w:rPr>
                      <w:rFonts w:hint="eastAsia"/>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厂址区域内及周边地下水</w:t>
                  </w:r>
                </w:p>
              </w:tc>
              <w:tc>
                <w:tcPr>
                  <w:tcW w:w="3275" w:type="dxa"/>
                  <w:tcBorders>
                    <w:tl2br w:val="nil"/>
                    <w:tr2bl w:val="nil"/>
                  </w:tcBorders>
                  <w:vAlign w:val="center"/>
                </w:tcPr>
                <w:p>
                  <w:pPr>
                    <w:pStyle w:val="62"/>
                    <w:bidi w:val="0"/>
                    <w:ind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《地下水质量标准》（</w:t>
                  </w:r>
                  <w:r>
                    <w:rPr>
                      <w:rFonts w:hint="eastAsia"/>
                      <w:color w:val="000000" w:themeColor="text1"/>
                      <w:highlight w:val="none"/>
                      <w:lang w:val="en-US" w:eastAsia="zh-CN"/>
                      <w14:textFill>
                        <w14:solidFill>
                          <w14:schemeClr w14:val="tx1"/>
                        </w14:solidFill>
                      </w14:textFill>
                    </w:rPr>
                    <w:t>GB/T 14848-2</w:t>
                  </w:r>
                  <w:r>
                    <w:rPr>
                      <w:rFonts w:hint="default"/>
                      <w:color w:val="000000" w:themeColor="text1"/>
                      <w:highlight w:val="none"/>
                      <w:lang w:val="en-US" w:eastAsia="zh-CN"/>
                      <w14:textFill>
                        <w14:solidFill>
                          <w14:schemeClr w14:val="tx1"/>
                        </w14:solidFill>
                      </w14:textFill>
                    </w:rPr>
                    <w:t>017</w:t>
                  </w:r>
                  <w:r>
                    <w:rPr>
                      <w:rFonts w:hint="default"/>
                      <w:color w:val="000000" w:themeColor="text1"/>
                      <w:highlight w:val="none"/>
                      <w:lang w:eastAsia="zh-CN"/>
                      <w14:textFill>
                        <w14:solidFill>
                          <w14:schemeClr w14:val="tx1"/>
                        </w14:solidFill>
                      </w14:textFill>
                    </w:rPr>
                    <w:t>）Ⅲ</w:t>
                  </w:r>
                  <w:r>
                    <w:rPr>
                      <w:rFonts w:hint="default"/>
                      <w:color w:val="000000" w:themeColor="text1"/>
                      <w:highlight w:val="none"/>
                      <w:lang w:val="en-US" w:eastAsia="zh-CN"/>
                      <w14:textFill>
                        <w14:solidFill>
                          <w14:schemeClr w14:val="tx1"/>
                        </w14:solidFill>
                      </w14:textFill>
                    </w:rPr>
                    <w:t>类标准</w:t>
                  </w:r>
                </w:p>
              </w:tc>
              <w:tc>
                <w:tcPr>
                  <w:tcW w:w="925" w:type="dxa"/>
                  <w:tcBorders>
                    <w:tl2br w:val="nil"/>
                    <w:tr2bl w:val="nil"/>
                  </w:tcBorders>
                  <w:vAlign w:val="center"/>
                </w:tcPr>
                <w:p>
                  <w:pPr>
                    <w:pStyle w:val="62"/>
                    <w:bidi w:val="0"/>
                    <w:ind w:firstLine="0" w:firstLineChars="0"/>
                    <w:rPr>
                      <w:rFonts w:hint="eastAsia"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w:t>
                  </w:r>
                </w:p>
              </w:tc>
              <w:tc>
                <w:tcPr>
                  <w:tcW w:w="754" w:type="dxa"/>
                  <w:tcBorders>
                    <w:tl2br w:val="nil"/>
                    <w:tr2bl w:val="nil"/>
                  </w:tcBorders>
                  <w:vAlign w:val="center"/>
                </w:tcPr>
                <w:p>
                  <w:pPr>
                    <w:pStyle w:val="62"/>
                    <w:bidi w:val="0"/>
                    <w:ind w:firstLine="0" w:firstLineChars="0"/>
                    <w:rPr>
                      <w:rFonts w:hint="eastAsia"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w:t>
                  </w:r>
                </w:p>
              </w:tc>
            </w:tr>
          </w:tbl>
          <w:p>
            <w:pPr>
              <w:adjustRightInd w:val="0"/>
              <w:snapToGrid w:val="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污染</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物排</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放控</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制标</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准</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1、大气</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（1）施工期：《大气污染物综合排放标准》（GB</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16297-1996）表2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无组织排放监控浓度限值：周界外浓度最高点限值要求：1.0mg/m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（2）运营期：项目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（允许排放浓度值120mg/m³，20米排气筒最高允许排放速率5.9kg/h），无组织颗粒物执行《大气污染物综合排放标准》(GB16297-1996)表2新污染源大气污染物排放限值（厂界外浓度最高点1.0mg/m³）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允许排放浓度值120mg/m³，20米排气筒最高允许排放速率17kg/h</w:t>
            </w:r>
            <w:r>
              <w:rPr>
                <w:rFonts w:hint="eastAsia" w:cs="Times New Roman"/>
                <w:color w:val="000000" w:themeColor="text1"/>
                <w:sz w:val="24"/>
                <w:szCs w:val="24"/>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mg/m³，20米排气筒最高允许排放速率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，二</w:t>
            </w:r>
            <w:r>
              <w:rPr>
                <w:rFonts w:hint="eastAsia" w:cs="Times New Roman"/>
                <w:color w:val="000000" w:themeColor="text1"/>
                <w:sz w:val="24"/>
                <w:szCs w:val="24"/>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mg/m³，20米排气筒最高允许排放速率1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eastAsia="宋体"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浓度特别排放限值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（在厂房外监控点处任意一次浓度值20mg/m³）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表3-5废气有组织排放标准(单位：mg/m³)</w:t>
            </w:r>
          </w:p>
          <w:tbl>
            <w:tblPr>
              <w:tblStyle w:val="67"/>
              <w:tblW w:w="84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3"/>
              <w:gridCol w:w="1378"/>
              <w:gridCol w:w="1738"/>
              <w:gridCol w:w="2028"/>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工艺设施</w:t>
                  </w: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控制项目</w:t>
                  </w:r>
                </w:p>
              </w:tc>
              <w:tc>
                <w:tcPr>
                  <w:tcW w:w="17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允许排放浓度值 (mg/m³)</w:t>
                  </w:r>
                </w:p>
              </w:tc>
              <w:tc>
                <w:tcPr>
                  <w:tcW w:w="202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最高允许排放速率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(kg/h)</w:t>
                  </w:r>
                </w:p>
              </w:tc>
              <w:tc>
                <w:tcPr>
                  <w:tcW w:w="217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抛丸除锈</w:t>
                  </w:r>
                  <w:r>
                    <w:rPr>
                      <w:rFonts w:hint="eastAsia" w:cs="Times New Roman"/>
                      <w:color w:val="000000" w:themeColor="text1"/>
                      <w:sz w:val="21"/>
                      <w:szCs w:val="21"/>
                      <w:highlight w:val="none"/>
                      <w:vertAlign w:val="baseline"/>
                      <w:lang w:val="en-US" w:eastAsia="zh-CN"/>
                      <w14:textFill>
                        <w14:solidFill>
                          <w14:schemeClr w14:val="tx1"/>
                        </w14:solidFill>
                      </w14:textFill>
                    </w:rPr>
                    <w:t>等工序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粉尘</w:t>
                  </w: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173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202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5.9(20米排气筒)</w:t>
                  </w:r>
                </w:p>
              </w:tc>
              <w:tc>
                <w:tcPr>
                  <w:tcW w:w="21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标准》(GB16297-1996)</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表2新污染源大气污染物排放限值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食堂油烟</w:t>
                  </w: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油烟</w:t>
                  </w:r>
                </w:p>
              </w:tc>
              <w:tc>
                <w:tcPr>
                  <w:tcW w:w="173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2028"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21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《饮食业油烟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排放标准》(试行)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喷漆、烘干产生的VOCs、甲苯、二甲苯</w:t>
                  </w: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VOCs</w:t>
                  </w:r>
                </w:p>
              </w:tc>
              <w:tc>
                <w:tcPr>
                  <w:tcW w:w="173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2028"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17(20米排气筒)</w:t>
                  </w:r>
                </w:p>
              </w:tc>
              <w:tc>
                <w:tcPr>
                  <w:tcW w:w="217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标准》(GB16297-1996)</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表2新污染源大气污染物排放限值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甲苯</w:t>
                  </w:r>
                </w:p>
              </w:tc>
              <w:tc>
                <w:tcPr>
                  <w:tcW w:w="173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w:t>
                  </w:r>
                </w:p>
              </w:tc>
              <w:tc>
                <w:tcPr>
                  <w:tcW w:w="2028"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(20米排气筒)</w:t>
                  </w:r>
                </w:p>
              </w:tc>
              <w:tc>
                <w:tcPr>
                  <w:tcW w:w="21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83"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二甲苯</w:t>
                  </w:r>
                </w:p>
              </w:tc>
              <w:tc>
                <w:tcPr>
                  <w:tcW w:w="173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20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(20米排气筒)</w:t>
                  </w:r>
                </w:p>
              </w:tc>
              <w:tc>
                <w:tcPr>
                  <w:tcW w:w="217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表3-6  废气无组织排放标准(单位：mg/m³)</w:t>
            </w:r>
          </w:p>
          <w:tbl>
            <w:tblPr>
              <w:tblStyle w:val="67"/>
              <w:tblW w:w="849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14"/>
              <w:gridCol w:w="1148"/>
              <w:gridCol w:w="879"/>
              <w:gridCol w:w="1578"/>
              <w:gridCol w:w="1298"/>
              <w:gridCol w:w="2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11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控制项目</w:t>
                  </w:r>
                </w:p>
              </w:tc>
              <w:tc>
                <w:tcPr>
                  <w:tcW w:w="11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排放限值</w:t>
                  </w:r>
                </w:p>
              </w:tc>
              <w:tc>
                <w:tcPr>
                  <w:tcW w:w="87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特别排 放限值</w:t>
                  </w:r>
                </w:p>
              </w:tc>
              <w:tc>
                <w:tcPr>
                  <w:tcW w:w="15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限值意义</w:t>
                  </w:r>
                </w:p>
              </w:tc>
              <w:tc>
                <w:tcPr>
                  <w:tcW w:w="12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无组织排放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监控位置</w:t>
                  </w:r>
                </w:p>
              </w:tc>
              <w:tc>
                <w:tcPr>
                  <w:tcW w:w="248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14"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NMHC</w:t>
                  </w:r>
                </w:p>
              </w:tc>
              <w:tc>
                <w:tcPr>
                  <w:tcW w:w="11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87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5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监控点处1h平 均浓度值</w:t>
                  </w:r>
                </w:p>
              </w:tc>
              <w:tc>
                <w:tcPr>
                  <w:tcW w:w="1298"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在厂房外设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置监控点</w:t>
                  </w:r>
                </w:p>
              </w:tc>
              <w:tc>
                <w:tcPr>
                  <w:tcW w:w="2482"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《挥发性有机物无组织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排放控制标准》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(GB37822-2019)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1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c>
                <w:tcPr>
                  <w:tcW w:w="87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5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监控点处任意 一次浓度值</w:t>
                  </w:r>
                </w:p>
              </w:tc>
              <w:tc>
                <w:tcPr>
                  <w:tcW w:w="129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8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11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11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87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7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厂界外浓度 最高点</w:t>
                  </w:r>
                </w:p>
              </w:tc>
              <w:tc>
                <w:tcPr>
                  <w:tcW w:w="248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《大气污染物综合排放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标准》(GB16297-1996)</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表2新污染源大气污染物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排放限值</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食堂执行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饮食业油烟排放标准（试行）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》（GB18483-2001）最高允许排放浓度，具体排放限值见表3-</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63"/>
              <w:spacing w:line="240" w:lineRule="auto"/>
              <w:ind w:left="0" w:leftChars="0" w:firstLine="0" w:firstLineChars="0"/>
              <w:jc w:val="center"/>
              <w:rPr>
                <w:rFonts w:hint="default"/>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饮食业油烟排放标准（试行）</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》（GB18483-2001）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最高允许排放速率</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3"/>
              <w:gridCol w:w="5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污染物</w:t>
                  </w:r>
                </w:p>
              </w:tc>
              <w:tc>
                <w:tcPr>
                  <w:tcW w:w="5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限值（</w:t>
                  </w:r>
                  <w:r>
                    <w:rPr>
                      <w:rFonts w:hint="eastAsia"/>
                      <w:b/>
                      <w:bCs/>
                      <w:color w:val="000000" w:themeColor="text1"/>
                      <w:sz w:val="21"/>
                      <w:szCs w:val="21"/>
                      <w:highlight w:val="none"/>
                      <w14:textFill>
                        <w14:solidFill>
                          <w14:schemeClr w14:val="tx1"/>
                        </w14:solidFill>
                      </w14:textFill>
                    </w:rPr>
                    <w:t>mg/m</w:t>
                  </w:r>
                  <w:r>
                    <w:rPr>
                      <w:rFonts w:hint="eastAsia"/>
                      <w:b/>
                      <w:bCs/>
                      <w:color w:val="000000" w:themeColor="text1"/>
                      <w:sz w:val="21"/>
                      <w:szCs w:val="21"/>
                      <w:highlight w:val="none"/>
                      <w:vertAlign w:val="superscript"/>
                      <w14:textFill>
                        <w14:solidFill>
                          <w14:schemeClr w14:val="tx1"/>
                        </w14:solidFill>
                      </w14:textFill>
                    </w:rPr>
                    <w:t>3</w:t>
                  </w:r>
                  <w:r>
                    <w:rPr>
                      <w:rFonts w:hint="eastAsia"/>
                      <w:b/>
                      <w:bCs/>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油烟</w:t>
                  </w:r>
                </w:p>
              </w:tc>
              <w:tc>
                <w:tcPr>
                  <w:tcW w:w="5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2.0</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2、废水</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项目食堂废水经隔油池处理后和生活污水一并进入园区下水管网，废水执行 《污水综合排放标准》(GB8978-1996)表4中三级标准。项目排放标准</w:t>
            </w:r>
            <w:r>
              <w:rPr>
                <w:rFonts w:hint="eastAsia" w:cs="Times New Roman"/>
                <w:color w:val="000000" w:themeColor="text1"/>
                <w:sz w:val="24"/>
                <w:highlight w:val="none"/>
                <w:lang w:val="en-US" w:eastAsia="zh-CN"/>
                <w14:textFill>
                  <w14:solidFill>
                    <w14:schemeClr w14:val="tx1"/>
                  </w14:solidFill>
                </w14:textFill>
              </w:rPr>
              <w:t>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见表3-8。</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表3-8  废水排放标准</w:t>
            </w:r>
          </w:p>
          <w:tbl>
            <w:tblPr>
              <w:tblStyle w:val="67"/>
              <w:tblW w:w="8306" w:type="dxa"/>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819"/>
              <w:gridCol w:w="739"/>
              <w:gridCol w:w="842"/>
              <w:gridCol w:w="888"/>
              <w:gridCol w:w="4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8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指标</w:t>
                  </w:r>
                </w:p>
              </w:tc>
              <w:tc>
                <w:tcPr>
                  <w:tcW w:w="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pH</w:t>
                  </w:r>
                </w:p>
              </w:tc>
              <w:tc>
                <w:tcPr>
                  <w:tcW w:w="73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COD</w:t>
                  </w:r>
                </w:p>
              </w:tc>
              <w:tc>
                <w:tcPr>
                  <w:tcW w:w="84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BOD₃</w:t>
                  </w:r>
                </w:p>
              </w:tc>
              <w:tc>
                <w:tcPr>
                  <w:tcW w:w="8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SS</w:t>
                  </w:r>
                </w:p>
              </w:tc>
              <w:tc>
                <w:tcPr>
                  <w:tcW w:w="41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NH₃-N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5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综排三级标准</w:t>
                  </w:r>
                </w:p>
              </w:tc>
              <w:tc>
                <w:tcPr>
                  <w:tcW w:w="81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739"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≤500</w:t>
                  </w:r>
                </w:p>
              </w:tc>
              <w:tc>
                <w:tcPr>
                  <w:tcW w:w="842"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≤300</w:t>
                  </w:r>
                </w:p>
              </w:tc>
              <w:tc>
                <w:tcPr>
                  <w:tcW w:w="888"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≤400</w:t>
                  </w:r>
                </w:p>
              </w:tc>
              <w:tc>
                <w:tcPr>
                  <w:tcW w:w="4166"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氨氮参照《</w:t>
                  </w:r>
                  <w:r>
                    <w:rPr>
                      <w:rFonts w:hint="eastAsia" w:cs="Times New Roman"/>
                      <w:b w:val="0"/>
                      <w:bCs w:val="0"/>
                      <w:color w:val="000000" w:themeColor="text1"/>
                      <w:sz w:val="21"/>
                      <w:szCs w:val="21"/>
                      <w:highlight w:val="none"/>
                      <w:lang w:eastAsia="zh-CN"/>
                      <w14:textFill>
                        <w14:solidFill>
                          <w14:schemeClr w14:val="tx1"/>
                        </w14:solidFill>
                      </w14:textFill>
                    </w:rPr>
                    <w:t>污水排入城镇下水道水质标准</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cs="Times New Roman"/>
                      <w:b w:val="0"/>
                      <w:bCs w:val="0"/>
                      <w:color w:val="000000" w:themeColor="text1"/>
                      <w:sz w:val="21"/>
                      <w:szCs w:val="21"/>
                      <w:highlight w:val="none"/>
                      <w:lang w:eastAsia="zh-CN"/>
                      <w14:textFill>
                        <w14:solidFill>
                          <w14:schemeClr w14:val="tx1"/>
                        </w14:solidFill>
                      </w14:textFill>
                    </w:rPr>
                    <w:t>GB/T 31962-2015</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）中氨氮排放标准（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mg/L</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3、噪声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施工期</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执行《建筑施工场界环境噪声排放标准》（GB12523-2011）</w:t>
            </w:r>
            <w:r>
              <w:rPr>
                <w:rFonts w:hint="eastAsia"/>
                <w:color w:val="000000" w:themeColor="text1"/>
                <w:sz w:val="24"/>
                <w:highlight w:val="none"/>
                <w:lang w:eastAsia="zh-CN"/>
                <w14:textFill>
                  <w14:solidFill>
                    <w14:schemeClr w14:val="tx1"/>
                  </w14:solidFill>
                </w14:textFill>
              </w:rPr>
              <w:t>；</w:t>
            </w:r>
          </w:p>
          <w:p>
            <w:pPr>
              <w:spacing w:line="240" w:lineRule="auto"/>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9</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z w:val="21"/>
                <w:szCs w:val="21"/>
                <w:highlight w:val="none"/>
                <w14:textFill>
                  <w14:solidFill>
                    <w14:schemeClr w14:val="tx1"/>
                  </w14:solidFill>
                </w14:textFill>
              </w:rPr>
              <w:t xml:space="preserve"> 《建筑施工场界环境噪声排放标准》(GB12523-2011)</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节选</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3"/>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昼间dB（A）</w:t>
                  </w:r>
                </w:p>
              </w:tc>
              <w:tc>
                <w:tcPr>
                  <w:tcW w:w="3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70</w:t>
                  </w:r>
                </w:p>
              </w:tc>
              <w:tc>
                <w:tcPr>
                  <w:tcW w:w="39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55</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运营期：</w:t>
            </w:r>
            <w:r>
              <w:rPr>
                <w:color w:val="000000" w:themeColor="text1"/>
                <w:sz w:val="24"/>
                <w:highlight w:val="none"/>
                <w14:textFill>
                  <w14:solidFill>
                    <w14:schemeClr w14:val="tx1"/>
                  </w14:solidFill>
                </w14:textFill>
              </w:rPr>
              <w:t>执行《工业企业厂界环境噪声排放标准》（GB12348-2008）中的</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类标准</w:t>
            </w:r>
            <w:r>
              <w:rPr>
                <w:rFonts w:hint="eastAsia"/>
                <w:color w:val="000000" w:themeColor="text1"/>
                <w:sz w:val="24"/>
                <w:highlight w:val="none"/>
                <w:lang w:eastAsia="zh-CN"/>
                <w14:textFill>
                  <w14:solidFill>
                    <w14:schemeClr w14:val="tx1"/>
                  </w14:solidFill>
                </w14:textFill>
              </w:rPr>
              <w:t>；</w:t>
            </w:r>
          </w:p>
          <w:p>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表</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3-1</w:t>
            </w:r>
            <w:r>
              <w:rPr>
                <w:rFonts w:hint="eastAsia" w:cs="Times New Roman"/>
                <w:b/>
                <w:bCs/>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工业企业厂界环境噪声排放标准</w:t>
            </w:r>
            <w:r>
              <w:rPr>
                <w:rFonts w:hint="eastAsia"/>
                <w:b/>
                <w:bCs/>
                <w:color w:val="000000" w:themeColor="text1"/>
                <w:sz w:val="21"/>
                <w:szCs w:val="21"/>
                <w:highlight w:val="none"/>
                <w14:textFill>
                  <w14:solidFill>
                    <w14:schemeClr w14:val="tx1"/>
                  </w14:solidFill>
                </w14:textFill>
              </w:rPr>
              <w:t>》（</w:t>
            </w:r>
            <w:r>
              <w:rPr>
                <w:rFonts w:ascii="Times New Roman" w:hAnsi="Times New Roman" w:cs="Times New Roman"/>
                <w:b/>
                <w:bCs/>
                <w:color w:val="000000" w:themeColor="text1"/>
                <w:sz w:val="21"/>
                <w:szCs w:val="21"/>
                <w:highlight w:val="none"/>
                <w14:textFill>
                  <w14:solidFill>
                    <w14:schemeClr w14:val="tx1"/>
                  </w14:solidFill>
                </w14:textFill>
              </w:rPr>
              <w:t>GB12348-2008</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eastAsia="zh-CN"/>
                <w14:textFill>
                  <w14:solidFill>
                    <w14:schemeClr w14:val="tx1"/>
                  </w14:solidFill>
                </w14:textFill>
              </w:rPr>
              <w:t>节选</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2293"/>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62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厂界外声环境功能区类别</w:t>
                  </w:r>
                </w:p>
              </w:tc>
              <w:tc>
                <w:tcPr>
                  <w:tcW w:w="43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62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昼间</w:t>
                  </w:r>
                  <w:r>
                    <w:rPr>
                      <w:rFonts w:hint="eastAsia"/>
                      <w:b/>
                      <w:bCs/>
                      <w:color w:val="000000" w:themeColor="text1"/>
                      <w:sz w:val="21"/>
                      <w:szCs w:val="21"/>
                      <w:highlight w:val="none"/>
                      <w14:textFill>
                        <w14:solidFill>
                          <w14:schemeClr w14:val="tx1"/>
                        </w14:solidFill>
                      </w14:textFill>
                    </w:rPr>
                    <w:t>dB（A）</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夜间</w:t>
                  </w:r>
                  <w:r>
                    <w:rPr>
                      <w:rFonts w:hint="eastAsia"/>
                      <w:b/>
                      <w:bCs/>
                      <w:color w:val="000000" w:themeColor="text1"/>
                      <w:sz w:val="21"/>
                      <w:szCs w:val="21"/>
                      <w:highlight w:val="none"/>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ascii="Times New Roman" w:hAnsi="Times New Roman" w:cs="Times New Roman"/>
                      <w:color w:val="000000" w:themeColor="text1"/>
                      <w:sz w:val="21"/>
                      <w:szCs w:val="21"/>
                      <w:highlight w:val="none"/>
                      <w14:textFill>
                        <w14:solidFill>
                          <w14:schemeClr w14:val="tx1"/>
                        </w14:solidFill>
                      </w14:textFill>
                    </w:rPr>
                    <w:t>类</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val="en-US" w:eastAsia="zh-CN"/>
                      <w14:textFill>
                        <w14:solidFill>
                          <w14:schemeClr w14:val="tx1"/>
                        </w14:solidFill>
                      </w14:textFill>
                    </w:rPr>
                    <w:t>5</w:t>
                  </w:r>
                </w:p>
              </w:tc>
              <w:tc>
                <w:tcPr>
                  <w:tcW w:w="21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w:t>
                  </w:r>
                  <w:r>
                    <w:rPr>
                      <w:rFonts w:hint="eastAsia" w:cs="Times New Roman"/>
                      <w:color w:val="000000" w:themeColor="text1"/>
                      <w:sz w:val="21"/>
                      <w:szCs w:val="21"/>
                      <w:highlight w:val="none"/>
                      <w:lang w:val="en-US" w:eastAsia="zh-CN"/>
                      <w14:textFill>
                        <w14:solidFill>
                          <w14:schemeClr w14:val="tx1"/>
                        </w14:solidFill>
                      </w14:textFill>
                    </w:rPr>
                    <w:t>5</w:t>
                  </w:r>
                </w:p>
              </w:tc>
            </w:tr>
          </w:tbl>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Times New Roman" w:hAnsi="Times New Roman"/>
                <w:color w:val="000000" w:themeColor="text1"/>
                <w:sz w:val="24"/>
                <w:highlight w:val="none"/>
                <w:lang w:val="en-US" w:eastAsia="zh-CN"/>
                <w14:textFill>
                  <w14:solidFill>
                    <w14:schemeClr w14:val="tx1"/>
                  </w14:solidFill>
                </w14:textFill>
              </w:rPr>
            </w:pPr>
            <w:r>
              <w:rPr>
                <w:rFonts w:hint="eastAsia"/>
                <w:b/>
                <w:bCs/>
                <w:color w:val="000000" w:themeColor="text1"/>
                <w:sz w:val="28"/>
                <w:szCs w:val="28"/>
                <w:highlight w:val="none"/>
                <w:lang w:val="en-US" w:eastAsia="zh-CN"/>
                <w14:textFill>
                  <w14:solidFill>
                    <w14:schemeClr w14:val="tx1"/>
                  </w14:solidFill>
                </w14:textFill>
              </w:rPr>
              <w:t>4、固废</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hint="eastAsia" w:ascii="Times New Roman" w:hAnsi="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（1）《</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一般工业固体废物贮存和填埋污染控制标准</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》(GB18599-2020)。</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ascii="Times New Roman" w:hAnsi="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《危险废物贮存污染控制标准》（</w:t>
            </w:r>
            <w:r>
              <w:rPr>
                <w:rFonts w:hint="eastAsia" w:cs="Times New Roman"/>
                <w:color w:val="000000" w:themeColor="text1"/>
                <w:sz w:val="24"/>
                <w:szCs w:val="24"/>
                <w:highlight w:val="none"/>
                <w:lang w:eastAsia="zh-CN"/>
                <w14:textFill>
                  <w14:solidFill>
                    <w14:schemeClr w14:val="tx1"/>
                  </w14:solidFill>
                </w14:textFill>
              </w:rPr>
              <w:t>GB 18597-2023）</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jc w:val="left"/>
              <w:textAlignment w:val="auto"/>
              <w:rPr>
                <w:rFonts w:ascii="宋体" w:hAnsi="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《危险废物收集贮存运输技术规范》（HJ2025-2012）要求。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总量</w:t>
            </w:r>
          </w:p>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控制</w:t>
            </w:r>
          </w:p>
          <w:p>
            <w:pPr>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指标</w:t>
            </w:r>
          </w:p>
        </w:tc>
        <w:tc>
          <w:tcPr>
            <w:tcW w:w="8190" w:type="dxa"/>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firstLine="480" w:firstLineChars="200"/>
              <w:jc w:val="left"/>
              <w:textAlignment w:val="auto"/>
              <w:rPr>
                <w:rFonts w:hint="default"/>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根据本项目生产特点和污染物排放情况，建议此项目总量控制指标如下：</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0.886</w:t>
            </w:r>
            <w:r>
              <w:rPr>
                <w:rFonts w:hint="default"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，颗粒物</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2.678</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t/a。本工程需要区域替代总量为：</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1.772</w:t>
            </w:r>
            <w:r>
              <w:rPr>
                <w:rFonts w:hint="default"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，颗粒物</w:t>
            </w:r>
            <w:r>
              <w:rPr>
                <w:rFonts w:hint="eastAsia" w:cs="Times New Roman"/>
                <w:bCs/>
                <w:snapToGrid/>
                <w:color w:val="000000" w:themeColor="text1"/>
                <w:kern w:val="2"/>
                <w:sz w:val="24"/>
                <w:szCs w:val="24"/>
                <w:highlight w:val="none"/>
                <w:lang w:val="en-US" w:eastAsia="zh-CN" w:bidi="ar-SA"/>
                <w14:textFill>
                  <w14:solidFill>
                    <w14:schemeClr w14:val="tx1"/>
                  </w14:solidFill>
                </w14:textFill>
              </w:rPr>
              <w:t>5.356</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t/a。</w:t>
            </w:r>
          </w:p>
        </w:tc>
      </w:tr>
    </w:tbl>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746" w:type="dxa"/>
            <w:tcMar>
              <w:left w:w="28" w:type="dxa"/>
              <w:right w:w="28" w:type="dxa"/>
            </w:tcMar>
            <w:vAlign w:val="center"/>
          </w:tcPr>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施工</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期环</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境保</w:t>
            </w:r>
          </w:p>
          <w:p>
            <w:pPr>
              <w:pStyle w:val="20"/>
              <w:adjustRightInd w:val="0"/>
              <w:snapToGrid w:val="0"/>
              <w:spacing w:before="0" w:beforeAutospacing="0" w:after="0" w:afterAutospacing="0"/>
              <w:jc w:val="center"/>
              <w:rPr>
                <w:rFonts w:hint="eastAsia"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护措</w:t>
            </w:r>
          </w:p>
          <w:p>
            <w:pPr>
              <w:pStyle w:val="20"/>
              <w:adjustRightInd w:val="0"/>
              <w:snapToGrid w:val="0"/>
              <w:spacing w:before="0" w:beforeAutospacing="0" w:after="0" w:afterAutospacing="0"/>
              <w:jc w:val="center"/>
              <w:rPr>
                <w:rFonts w:hint="eastAsia" w:cs="宋体"/>
                <w:bCs/>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1、施工期大气环境影响分析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目前项目厂区已完成部分场地平整，已建成厂房、生产车间钢架结构安装、综合楼，已建内容均属原备案表内容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剩余部分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施工期主要的大气污染为：施工扬尘、运输车辆将产生汽车尾气，装修过程产生装修废气，给大气环境造成一定的影响。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1.1施工扬尘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建筑材料运输、装卸等均可能产生扬尘，要求建设单位施工期间应严格遵守《防治城市扬尘污染技术规范》(HJ/T393-2007) 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1.2汽车尾气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车辆运输排放的尾气，主要污染物为THC、TSP、CO、NOx，由于污染源较分散，且每天排放的量相对较少，影响范围有限。由于此污染物排放为暂时性非稳态的，因此建议建设公司管理人员合理安排车辆进出，车辆出入地点应尽量远离敏感点，车辆出入现场时应低速、禁鸣。在加强管理、采取措施后，可减轻污染程度，对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1.3电焊烟尘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本项目在建构筑物施工、工程安装过程会进行焊接工序，焊接过程中会产生一定量的电焊烟尘。其中电焊烟尘中有毒有害气体的成分主要为CO 、CO₂、O₃、NOx、CH₄等，其中以CO所占的比例最大。由于项目施工过程中所需焊接的量不大，因此电焊烟尘产生量及排放量也较小，在施工过程中，电焊烟尘主要为无组织排放。施工期结束后，不利影响将随之消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1.4装修废气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项目施工期向周围大气环境排放装修废气主要污染物为苯及苯系物，这些废气对人体健康的主要影响是嗅到异味、刺激眼和呼吸道黏膜、产生肝肺损伤等。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为了降低装修造成的污染影响，建议采取如下防治措施：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①采用符合国家质检总局颁布的《室内装修材料10项有害物质限量》规定的室内装饰和装修材料，优先选用不含或少含甲苯和二甲苯的亲水涂料或环保涂料，禁止使用国家明令淘汰的建筑装饰装修材料和设备。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②装修完毕后应充分开窗换气，要求符合《室内空气质量标准》(GB/T 18883-2022)后方可使用。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综上，建设单位应切实按本环评提出的要求做好废气防治措施，项目施工期废气对环境的影响将降到最小。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2、施工期声环境影响分析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bookmarkStart w:id="3" w:name="bookmark25"/>
            <w:bookmarkEnd w:id="3"/>
            <w:r>
              <w:rPr>
                <w:rFonts w:hint="eastAsia"/>
                <w:color w:val="000000" w:themeColor="text1"/>
                <w:sz w:val="24"/>
                <w:szCs w:val="24"/>
                <w:highlight w:val="none"/>
                <w:lang w:val="en-US" w:eastAsia="zh-CN"/>
                <w14:textFill>
                  <w14:solidFill>
                    <w14:schemeClr w14:val="tx1"/>
                  </w14:solidFill>
                </w14:textFill>
              </w:rPr>
              <w:t>工程施工机械及运输车辆产生噪声，将对工程附近地区(≤200m范围内)的环境带来一定的噪声影响。为减小施工过程中噪声污染对周边环境的影响，应采取一定的污染防治措施：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(1)合理选择施工机械、施工方法、施工场地、施工时间，尽量选用低噪 声设备，在施工过程中，应经常对施工设备进行维修保养，避免由于设备性能减退使噪声增大；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(2)合理安排施工时间，严禁敏感时段施工，最大限度减少建筑施工的高噪声设备产生的噪声对周边敏感点的生活、工作产生影响；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(3)建议在施工场地设围挡；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(4)加强对施工设备的维护保养，减少设备噪声；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(5)运输车辆尽可能的减少鸣笛。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施工期相对于运营期而言其影响是短暂的， 一旦施工活动结束，施工噪声影响也就随之结束。本项目施工期采取以上污染防治措施可有效控制施工过程中对周围附近区域带来的环境影响。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3、施工期地表水环境影响分析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本项目施工现场设施工营地。项目施工高峰期按施工人数50人计，生活用水定额50L/人·d 计取，生活污水按用水量的80%计，则施工期间产生的生活污水为Q=50人×50L/人·d×0.80=2m³/d，全部排入下水管网，最终进入园区污水处理厂处理。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施工期生产废水污染防治措施：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4、施工期固体废物影响分析</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本项目施工阶段产生的固体废物主要为装修垃圾及装修人员产生的生活垃圾。</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（1）装修垃圾主要为废木板、废钢丝、废包装袋等。废木板、废钢丝、废包装袋属于可回收利用的固体废物，施工结束后出售综合利用。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（2）本项目装修阶段装修人员产生的生活垃圾集中收集后由环卫部门统一清运处理。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6" w:hRule="atLeast"/>
          <w:jc w:val="center"/>
        </w:trPr>
        <w:tc>
          <w:tcPr>
            <w:tcW w:w="746" w:type="dxa"/>
            <w:tcMar>
              <w:left w:w="28" w:type="dxa"/>
              <w:right w:w="28" w:type="dxa"/>
            </w:tcMar>
            <w:vAlign w:val="center"/>
          </w:tcPr>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运营</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期环</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境影</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响和</w:t>
            </w:r>
          </w:p>
          <w:p>
            <w:pPr>
              <w:adjustRightInd w:val="0"/>
              <w:snapToGrid w:val="0"/>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保护</w:t>
            </w:r>
          </w:p>
          <w:p>
            <w:pPr>
              <w:adjustRightInd w:val="0"/>
              <w:snapToGrid w:val="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措施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1.1食堂油烟废气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设有员工食堂，为员工提供工作餐。根据业主提供的资料，食堂就餐人数按200人/天计，食堂食用平均耗油系数以20g/人计，因此每天耗油量为4kg/d。油的挥发量平均约占总耗油量的3%，则油烟的产生量为0.036t/a。油烟机净化器每天工作时间以6h计，本项目厨房设计4个灶头，每个灶头厨房油烟净化器设计风量2000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/h，则厨房油烟净化器总设计风量为8000m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/h。本项目厨房油烟废气均经过油烟机净化处理后排放，项目油烟去除效率为80%，则最终油烟排放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量为0.0072t/a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排放浓度为0.</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color w:val="000000" w:themeColor="text1"/>
                <w:sz w:val="24"/>
                <w:szCs w:val="24"/>
                <w:highlight w:val="none"/>
                <w:lang w:val="en-US" w:eastAsia="zh-CN"/>
                <w14:textFill>
                  <w14:solidFill>
                    <w14:schemeClr w14:val="tx1"/>
                  </w14:solidFill>
                </w14:textFill>
              </w:rPr>
              <w:t>g/m³，小于《饮食业油烟排放标准(试行)》(GB18483-2001)中2.0mg/m³的限值。本项目食堂油烟净化处理后通过烟道由8m排气筒(DA003)排放。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表4-1  食用油消耗和油烟废气产生情况</w:t>
            </w:r>
          </w:p>
          <w:tbl>
            <w:tblPr>
              <w:tblStyle w:val="67"/>
              <w:tblW w:w="7757"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1539"/>
              <w:gridCol w:w="1548"/>
              <w:gridCol w:w="1557"/>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56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油烟产生量(t/a)</w:t>
                  </w:r>
                </w:p>
              </w:tc>
              <w:tc>
                <w:tcPr>
                  <w:tcW w:w="153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油烟产生浓度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(mg/m³)</w:t>
                  </w:r>
                </w:p>
              </w:tc>
              <w:tc>
                <w:tcPr>
                  <w:tcW w:w="15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处理率(%)</w:t>
                  </w:r>
                </w:p>
              </w:tc>
              <w:tc>
                <w:tcPr>
                  <w:tcW w:w="155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油烟排放量(t/a)</w:t>
                  </w:r>
                </w:p>
              </w:tc>
              <w:tc>
                <w:tcPr>
                  <w:tcW w:w="155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排放浓度(mg/m³)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56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1539"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5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55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0.0072</w:t>
                  </w:r>
                </w:p>
              </w:tc>
              <w:tc>
                <w:tcPr>
                  <w:tcW w:w="155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1.2切割、焊接颗粒物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ascii="Calibri" w:hAnsi="Calibri" w:cs="Calibri"/>
                <w:color w:val="000000" w:themeColor="text1"/>
                <w:sz w:val="24"/>
                <w:szCs w:val="24"/>
                <w:highlight w:val="none"/>
                <w:lang w:val="en-US" w:eastAsia="zh-CN"/>
                <w14:textFill>
                  <w14:solidFill>
                    <w14:schemeClr w14:val="tx1"/>
                  </w14:solidFill>
                </w14:textFill>
              </w:rPr>
              <w:t>①</w:t>
            </w:r>
            <w:r>
              <w:rPr>
                <w:rFonts w:hint="eastAsia"/>
                <w:color w:val="000000" w:themeColor="text1"/>
                <w:sz w:val="24"/>
                <w:szCs w:val="24"/>
                <w:highlight w:val="none"/>
                <w:lang w:val="en-US" w:eastAsia="zh-CN"/>
                <w14:textFill>
                  <w14:solidFill>
                    <w14:schemeClr w14:val="tx1"/>
                  </w14:solidFill>
                </w14:textFill>
              </w:rPr>
              <w:t>切割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切割过程中会产生切割烟尘，根据《排放源统计调查产排污核算方法和系数手册》(2021年第24号)(33-37.431-434机械行业系数手册)的相关资料，并结合本项目工艺特点，切割烟尘产尘量为1.10千克/吨-原料，本项目钢材年耗量为20000吨，其中需要切割的为2000吨，则项目切割烟尘产生量为2.2t，年工作时间为2400h，则产生速率为1.8257kg/h。切割烟尘经移动式焊接烟尘净化器处理后由排气扇排至厂房外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ascii="Calibri" w:hAnsi="Calibri" w:cs="Calibri"/>
                <w:color w:val="000000" w:themeColor="text1"/>
                <w:sz w:val="24"/>
                <w:szCs w:val="24"/>
                <w:highlight w:val="none"/>
                <w:lang w:val="en-US" w:eastAsia="zh-CN"/>
                <w14:textFill>
                  <w14:solidFill>
                    <w14:schemeClr w14:val="tx1"/>
                  </w14:solidFill>
                </w14:textFill>
              </w:rPr>
              <w:t>②</w:t>
            </w:r>
            <w:r>
              <w:rPr>
                <w:rFonts w:hint="eastAsia"/>
                <w:color w:val="000000" w:themeColor="text1"/>
                <w:sz w:val="24"/>
                <w:szCs w:val="24"/>
                <w:highlight w:val="none"/>
                <w:lang w:val="en-US" w:eastAsia="zh-CN"/>
                <w14:textFill>
                  <w14:solidFill>
                    <w14:schemeClr w14:val="tx1"/>
                  </w14:solidFill>
                </w14:textFill>
              </w:rPr>
              <w:t>焊接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焊接会产生焊接烟尘，根据《排放源统计调查产排污核算方法和系数手册》(2021年第24号)(33-37.431-434机械行业系数手册)的相关资料，并结合本项目工艺特点，焊接工艺为二氧化碳气体保护焊或者氩弧焊。焊接烟尘产生量为9.19千克/吨-原料，根据企业提供材料，焊丝年耗量10吨，则焊接烟尘产生量为0.092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本项目焊接作业年工作时间为2400h，则焊接烟尘产生速率为0.038kg/h。焊接工位固定，焊接烟尘经过移动式焊接烟尘净化器处理后由排气扇排至厂房外无组织排放。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综上，项目切割与焊接烟尘产生总量为2.292t/a，产生速率为0.955kg/h，移动式焊接烟尘净化器集气罩收集效率不低于90%，建设单位所使用的移动式焊接烟尘净化器中除尘系统为脉冲净化器，对切割与焊接烟尘的处理效率不低于95%，则颗粒物无组织排放量为0.332t/a，排放速率为0.138kg/h，无组织颗粒物满足《大气污染物综合排放标准》(GB16297-1996)表2新污染源大气污染物排放限值（厂界外浓度最高点1.0mg/m³）后排放，对周围大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1.3抛丸除锈</w:t>
            </w:r>
            <w:r>
              <w:rPr>
                <w:rFonts w:hint="eastAsia" w:cs="Times New Roman"/>
                <w:b/>
                <w:bCs/>
                <w:color w:val="000000" w:themeColor="text1"/>
                <w:sz w:val="24"/>
                <w:szCs w:val="24"/>
                <w:highlight w:val="none"/>
                <w:lang w:val="en-US" w:eastAsia="zh-CN"/>
                <w14:textFill>
                  <w14:solidFill>
                    <w14:schemeClr w14:val="tx1"/>
                  </w14:solidFill>
                </w14:textFill>
              </w:rPr>
              <w:t>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抛丸操作位于一体化设备内，一体化设备内分离装置回收钢丸，操作过程室内为封闭负压状态。本项目车间在喷砂房布置2套抛丸机，根据《排放源统计调查产排污核算方法和系数手册》(2021年第24号)(33-37.431-4机械行业系数手册)的相关资料，抛丸粉尘产尘量为2.19千克/吨-原料，根企业提供材料，钢件年用量为20000t/a，年有效工作时间为1200h，则抛丸粉尘的产生量为43.8t/a，产生速率为</w:t>
            </w:r>
            <w:r>
              <w:rPr>
                <w:rFonts w:hint="eastAsia" w:cs="Times New Roman"/>
                <w:color w:val="000000" w:themeColor="text1"/>
                <w:sz w:val="24"/>
                <w:szCs w:val="24"/>
                <w:highlight w:val="none"/>
                <w:lang w:val="en-US" w:eastAsia="zh-CN"/>
                <w14:textFill>
                  <w14:solidFill>
                    <w14:schemeClr w14:val="tx1"/>
                  </w14:solidFill>
                </w14:textFill>
              </w:rPr>
              <w:t>36.5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kg/h。废气收集效率</w:t>
            </w:r>
            <w:r>
              <w:rPr>
                <w:rFonts w:hint="eastAsia" w:cs="Times New Roman"/>
                <w:color w:val="000000" w:themeColor="text1"/>
                <w:sz w:val="24"/>
                <w:szCs w:val="24"/>
                <w:highlight w:val="none"/>
                <w:lang w:val="en-US" w:eastAsia="zh-CN"/>
                <w14:textFill>
                  <w14:solidFill>
                    <w14:schemeClr w14:val="tx1"/>
                  </w14:solidFill>
                </w14:textFill>
              </w:rPr>
              <w:t>可达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%以上，废气经引风机引至沉降除尘器+滤筒除尘器处理，处理效率为99.</w:t>
            </w:r>
            <w:r>
              <w:rPr>
                <w:rFonts w:hint="eastAsia"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%以上，处理后废气经20m高排气(DA00</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）排放。风机风量为10000m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/h，则</w:t>
            </w:r>
            <w:r>
              <w:rPr>
                <w:rFonts w:hint="eastAsia"/>
                <w:color w:val="000000" w:themeColor="text1"/>
                <w:sz w:val="24"/>
                <w:szCs w:val="24"/>
                <w:highlight w:val="none"/>
                <w:lang w:val="en-US" w:eastAsia="zh-CN"/>
                <w14:textFill>
                  <w14:solidFill>
                    <w14:schemeClr w14:val="tx1"/>
                  </w14:solidFill>
                </w14:textFill>
              </w:rPr>
              <w:t>颗粒物有组织排放量为0.129t/a，排放速率为0.108kg/h，排放浓度为10.75mg/m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，无组织排放量为0.876t/a，排放速率为0.73kg/h。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eastAsia"/>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w:t>
            </w:r>
            <w:r>
              <w:rPr>
                <w:rFonts w:hint="eastAsia"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米排气筒最高允许排放速率3.5kg/h)</w:t>
            </w:r>
            <w:r>
              <w:rPr>
                <w:rFonts w:hint="eastAsia"/>
                <w:color w:val="000000" w:themeColor="text1"/>
                <w:sz w:val="24"/>
                <w:szCs w:val="24"/>
                <w:highlight w:val="none"/>
                <w:lang w:val="en-US" w:eastAsia="zh-CN"/>
                <w14:textFill>
                  <w14:solidFill>
                    <w14:schemeClr w14:val="tx1"/>
                  </w14:solidFill>
                </w14:textFill>
              </w:rPr>
              <w:t>后排放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无组织颗粒物满足《大气污染物综合排放标准》(GB16297-1996)表2新污染源大气污染物排放限值（厂界外浓度最高点1.0mg/m³）后排放，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对周围大气环境影响较小。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1.4</w:t>
            </w:r>
            <w:r>
              <w:rPr>
                <w:rFonts w:hint="eastAsia" w:cs="Times New Roman"/>
                <w:b/>
                <w:bCs/>
                <w:color w:val="000000" w:themeColor="text1"/>
                <w:sz w:val="24"/>
                <w:szCs w:val="24"/>
                <w:highlight w:val="none"/>
                <w:lang w:val="en-US" w:eastAsia="zh-CN"/>
                <w14:textFill>
                  <w14:solidFill>
                    <w14:schemeClr w14:val="tx1"/>
                  </w14:solidFill>
                </w14:textFill>
              </w:rPr>
              <w:t>喷漆、烘干产生的废气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本项目车间布置一套喷漆、烘干生产线，烘干室采用电加热，操作过程</w:t>
            </w:r>
            <w:r>
              <w:rPr>
                <w:rFonts w:hint="eastAsia" w:cs="Times New Roman"/>
                <w:color w:val="000000" w:themeColor="text1"/>
                <w:sz w:val="24"/>
                <w:szCs w:val="24"/>
                <w:highlight w:val="none"/>
                <w:lang w:val="en-US" w:eastAsia="zh-CN"/>
                <w14:textFill>
                  <w14:solidFill>
                    <w14:schemeClr w14:val="tx1"/>
                  </w14:solidFill>
                </w14:textFill>
              </w:rPr>
              <w:t>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内为封闭负压状态。根据建设单位提供资料，年使用20t水性漆与6t油性漆，根据“33金属制品业、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34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通用设备制造业、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35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专用设备制造业、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36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汽车制造业、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431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金属制品修理、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432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通用设备修理、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433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专用设备修理、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434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铁路、船舶、航空航天等运输设备修理（不包括电镀工艺）行业系数手册”表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1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机械行业产排污核算对应情况表中涂装中</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系数计算</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具体数值见下表</w:t>
            </w:r>
            <w:r>
              <w:rPr>
                <w:rFonts w:hint="eastAsia" w:ascii="Times New Roman" w:hAnsi="Times New Roman" w:eastAsia="宋体" w:cs="宋体"/>
                <w:b w:val="0"/>
                <w:bCs w:val="0"/>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宋体"/>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39"/>
              <w:adjustRightInd/>
              <w:spacing w:after="0" w:line="240" w:lineRule="auto"/>
              <w:ind w:firstLine="2951" w:firstLineChars="14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表4-2  产排污系数表</w:t>
            </w:r>
          </w:p>
          <w:tbl>
            <w:tblPr>
              <w:tblStyle w:val="23"/>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073"/>
              <w:gridCol w:w="1315"/>
              <w:gridCol w:w="1119"/>
              <w:gridCol w:w="1362"/>
              <w:gridCol w:w="681"/>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原料名称</w:t>
                  </w:r>
                </w:p>
              </w:tc>
              <w:tc>
                <w:tcPr>
                  <w:tcW w:w="1073"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产品名称</w:t>
                  </w:r>
                </w:p>
              </w:tc>
              <w:tc>
                <w:tcPr>
                  <w:tcW w:w="1315"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工艺名称</w:t>
                  </w:r>
                </w:p>
              </w:tc>
              <w:tc>
                <w:tcPr>
                  <w:tcW w:w="1119"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规模等级</w:t>
                  </w:r>
                </w:p>
              </w:tc>
              <w:tc>
                <w:tcPr>
                  <w:tcW w:w="136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污染物指标</w:t>
                  </w:r>
                </w:p>
              </w:tc>
              <w:tc>
                <w:tcPr>
                  <w:tcW w:w="681"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单位</w:t>
                  </w:r>
                </w:p>
              </w:tc>
              <w:tc>
                <w:tcPr>
                  <w:tcW w:w="118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restart"/>
                  <w:tcBorders>
                    <w:top w:val="single" w:color="auto" w:sz="4" w:space="0"/>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底漆、中涂漆、面漆、罩光漆、彩条漆、稀释剂</w:t>
                  </w:r>
                </w:p>
              </w:tc>
              <w:tc>
                <w:tcPr>
                  <w:tcW w:w="1073" w:type="dxa"/>
                  <w:vMerge w:val="restart"/>
                  <w:tcBorders>
                    <w:top w:val="single" w:color="auto" w:sz="4" w:space="0"/>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涂装 件</w:t>
                  </w:r>
                </w:p>
              </w:tc>
              <w:tc>
                <w:tcPr>
                  <w:tcW w:w="1315"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喷漆（水性漆）</w:t>
                  </w:r>
                </w:p>
              </w:tc>
              <w:tc>
                <w:tcPr>
                  <w:tcW w:w="1119" w:type="dxa"/>
                  <w:vMerge w:val="restart"/>
                  <w:tcBorders>
                    <w:top w:val="single" w:color="auto" w:sz="4" w:space="0"/>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所有规模</w:t>
                  </w:r>
                </w:p>
              </w:tc>
              <w:tc>
                <w:tcPr>
                  <w:tcW w:w="1362" w:type="dxa"/>
                  <w:vMerge w:val="restart"/>
                  <w:tcBorders>
                    <w:top w:val="single" w:color="auto" w:sz="4" w:space="0"/>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挥发性有机物</w:t>
                  </w:r>
                </w:p>
              </w:tc>
              <w:tc>
                <w:tcPr>
                  <w:tcW w:w="681" w:type="dxa"/>
                  <w:vMerge w:val="restart"/>
                  <w:tcBorders>
                    <w:top w:val="single" w:color="auto" w:sz="4" w:space="0"/>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千克/吨-原料</w:t>
                  </w:r>
                </w:p>
              </w:tc>
              <w:tc>
                <w:tcPr>
                  <w:tcW w:w="118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073"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15"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喷漆后烘干（水性漆）</w:t>
                  </w:r>
                </w:p>
              </w:tc>
              <w:tc>
                <w:tcPr>
                  <w:tcW w:w="1119"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62"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681"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18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073"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15"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喷漆（油性漆）</w:t>
                  </w:r>
                </w:p>
              </w:tc>
              <w:tc>
                <w:tcPr>
                  <w:tcW w:w="1119"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62"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681" w:type="dxa"/>
                  <w:vMerge w:val="continue"/>
                  <w:tcBorders>
                    <w:left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18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3" w:type="dxa"/>
                  <w:vMerge w:val="continue"/>
                  <w:tcBorders>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073" w:type="dxa"/>
                  <w:vMerge w:val="continue"/>
                  <w:tcBorders>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15"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喷漆后烘干（油性漆）</w:t>
                  </w:r>
                </w:p>
              </w:tc>
              <w:tc>
                <w:tcPr>
                  <w:tcW w:w="1119" w:type="dxa"/>
                  <w:vMerge w:val="continue"/>
                  <w:tcBorders>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362" w:type="dxa"/>
                  <w:vMerge w:val="continue"/>
                  <w:tcBorders>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681" w:type="dxa"/>
                  <w:vMerge w:val="continue"/>
                  <w:tcBorders>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1182" w:type="dxa"/>
                  <w:tcBorders>
                    <w:top w:val="single" w:color="auto" w:sz="4" w:space="0"/>
                    <w:left w:val="single" w:color="auto" w:sz="4" w:space="0"/>
                    <w:bottom w:val="single" w:color="auto" w:sz="4" w:space="0"/>
                    <w:right w:val="single" w:color="auto" w:sz="4" w:space="0"/>
                  </w:tcBorders>
                  <w:vAlign w:val="center"/>
                </w:tcPr>
                <w:p>
                  <w:pPr>
                    <w:pStyle w:val="59"/>
                    <w:bidi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121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则喷漆（水性漆）过程</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产生量为2.7t/a，喷漆后烘干（水性漆）</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的产生量为0.3t/a，喷漆（油性漆）</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产生量为2.916t/a，喷漆后烘干（油性漆）</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产生量为0.726t/a。</w:t>
            </w:r>
            <w:r>
              <w:rPr>
                <w:rFonts w:hint="eastAsia" w:cs="Times New Roman"/>
                <w:color w:val="000000" w:themeColor="text1"/>
                <w:sz w:val="24"/>
                <w:szCs w:val="24"/>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喷漆、烘干过程中水性漆产生的</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喷漆、烘干过程中</w:t>
            </w:r>
            <w:r>
              <w:rPr>
                <w:rFonts w:hint="eastAsia" w:cs="Times New Roman"/>
                <w:color w:val="000000" w:themeColor="text1"/>
                <w:sz w:val="24"/>
                <w:szCs w:val="24"/>
                <w:highlight w:val="none"/>
                <w:lang w:val="en-US" w:eastAsia="zh-CN"/>
                <w14:textFill>
                  <w14:solidFill>
                    <w14:schemeClr w14:val="tx1"/>
                  </w14:solidFill>
                </w14:textFill>
              </w:rPr>
              <w:t>油性漆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产生的</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.642t/a</w:t>
            </w:r>
            <w:r>
              <w:rPr>
                <w:rFonts w:hint="eastAsia"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油性漆</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中甲苯占比约0.5%</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二甲苯占比约5%</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其他均认定为非甲烷总烃占比94.5%。</w:t>
            </w:r>
            <w:r>
              <w:rPr>
                <w:rFonts w:hint="eastAsia" w:cs="Times New Roman"/>
                <w:color w:val="000000" w:themeColor="text1"/>
                <w:sz w:val="24"/>
                <w:szCs w:val="24"/>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喷漆、烘干过程中</w:t>
            </w:r>
            <w:r>
              <w:rPr>
                <w:rFonts w:hint="eastAsia" w:cs="Times New Roman"/>
                <w:color w:val="000000" w:themeColor="text1"/>
                <w:sz w:val="24"/>
                <w:szCs w:val="24"/>
                <w:highlight w:val="none"/>
                <w:lang w:val="en-US" w:eastAsia="zh-CN"/>
                <w14:textFill>
                  <w14:solidFill>
                    <w14:schemeClr w14:val="tx1"/>
                  </w14:solidFill>
                </w14:textFill>
              </w:rPr>
              <w:t>油性漆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产生的甲苯量为</w:t>
            </w:r>
            <w:r>
              <w:rPr>
                <w:rFonts w:hint="eastAsia" w:cs="Times New Roman"/>
                <w:color w:val="000000" w:themeColor="text1"/>
                <w:sz w:val="24"/>
                <w:szCs w:val="24"/>
                <w:highlight w:val="none"/>
                <w:lang w:val="en-US" w:eastAsia="zh-CN"/>
                <w14:textFill>
                  <w14:solidFill>
                    <w14:schemeClr w14:val="tx1"/>
                  </w14:solidFill>
                </w14:textFill>
              </w:rPr>
              <w:t>0.018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二甲苯</w:t>
            </w:r>
            <w:r>
              <w:rPr>
                <w:rFonts w:hint="eastAsia" w:cs="Times New Roman"/>
                <w:color w:val="000000" w:themeColor="text1"/>
                <w:sz w:val="24"/>
                <w:szCs w:val="24"/>
                <w:highlight w:val="none"/>
                <w:lang w:val="en-US" w:eastAsia="zh-CN"/>
                <w14:textFill>
                  <w14:solidFill>
                    <w14:schemeClr w14:val="tx1"/>
                  </w14:solidFill>
                </w14:textFill>
              </w:rPr>
              <w:t>的量为0.182t/a，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eastAsia" w:cs="Times New Roman"/>
                <w:color w:val="000000" w:themeColor="text1"/>
                <w:sz w:val="24"/>
                <w:szCs w:val="24"/>
                <w:highlight w:val="none"/>
                <w:lang w:val="en-US" w:eastAsia="zh-CN"/>
                <w14:textFill>
                  <w14:solidFill>
                    <w14:schemeClr w14:val="tx1"/>
                  </w14:solidFill>
                </w14:textFill>
              </w:rPr>
              <w:t>3.442t/a。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废气收集效率</w:t>
            </w:r>
            <w:r>
              <w:rPr>
                <w:rFonts w:hint="eastAsia" w:cs="Times New Roman"/>
                <w:color w:val="000000" w:themeColor="text1"/>
                <w:sz w:val="24"/>
                <w:szCs w:val="24"/>
                <w:highlight w:val="none"/>
                <w:lang w:val="en-US" w:eastAsia="zh-CN"/>
                <w14:textFill>
                  <w14:solidFill>
                    <w14:schemeClr w14:val="tx1"/>
                  </w14:solidFill>
                </w14:textFill>
              </w:rPr>
              <w:t>可达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%以上，废气经</w:t>
            </w:r>
            <w:r>
              <w:rPr>
                <w:rFonts w:hint="eastAsia" w:cs="Times New Roman"/>
                <w:color w:val="000000" w:themeColor="text1"/>
                <w:sz w:val="24"/>
                <w:szCs w:val="24"/>
                <w:highlight w:val="none"/>
                <w:lang w:val="en-US" w:eastAsia="zh-CN"/>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处理，处理效率为9</w:t>
            </w:r>
            <w:r>
              <w:rPr>
                <w:rFonts w:hint="eastAsia"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%以上，处理后废气经20m高排气(DA00</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）排放。风机风量为80000m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/h，喷漆、烘干工序年有效工作时间均为1200h</w:t>
            </w:r>
            <w:r>
              <w:rPr>
                <w:rFonts w:hint="eastAsia" w:cs="Times New Roman"/>
                <w:color w:val="000000" w:themeColor="text1"/>
                <w:sz w:val="24"/>
                <w:szCs w:val="24"/>
                <w:highlight w:val="none"/>
                <w:lang w:val="en-US" w:eastAsia="zh-CN"/>
                <w14:textFill>
                  <w14:solidFill>
                    <w14:schemeClr w14:val="tx1"/>
                  </w14:solidFill>
                </w14:textFill>
              </w:rPr>
              <w:t>。则喷漆、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烘干工序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污染物产排污情况统计表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如下：</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4-3喷漆、烘干</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污染物产排污情况统计表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37"/>
              <w:gridCol w:w="806"/>
              <w:gridCol w:w="785"/>
              <w:gridCol w:w="651"/>
              <w:gridCol w:w="849"/>
              <w:gridCol w:w="1377"/>
              <w:gridCol w:w="673"/>
              <w:gridCol w:w="884"/>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535" w:type="dxa"/>
                  <w:vMerge w:val="restart"/>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污染物种类</w:t>
                  </w:r>
                </w:p>
              </w:tc>
              <w:tc>
                <w:tcPr>
                  <w:tcW w:w="2328" w:type="dxa"/>
                  <w:gridSpan w:val="3"/>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污染物产生情况</w:t>
                  </w:r>
                </w:p>
              </w:tc>
              <w:tc>
                <w:tcPr>
                  <w:tcW w:w="651" w:type="dxa"/>
                  <w:vMerge w:val="restart"/>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排放形式</w:t>
                  </w:r>
                </w:p>
              </w:tc>
              <w:tc>
                <w:tcPr>
                  <w:tcW w:w="2226" w:type="dxa"/>
                  <w:gridSpan w:val="2"/>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主要治理措施</w:t>
                  </w:r>
                </w:p>
              </w:tc>
              <w:tc>
                <w:tcPr>
                  <w:tcW w:w="2460" w:type="dxa"/>
                  <w:gridSpan w:val="3"/>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37"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产生量t/a</w:t>
                  </w:r>
                </w:p>
              </w:tc>
              <w:tc>
                <w:tcPr>
                  <w:tcW w:w="806"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浓度</w:t>
                  </w:r>
                </w:p>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/m³</w:t>
                  </w:r>
                </w:p>
              </w:tc>
              <w:tc>
                <w:tcPr>
                  <w:tcW w:w="785"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产生速率kg/h</w:t>
                  </w:r>
                </w:p>
              </w:tc>
              <w:tc>
                <w:tcPr>
                  <w:tcW w:w="6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9"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措施</w:t>
                  </w:r>
                </w:p>
              </w:tc>
              <w:tc>
                <w:tcPr>
                  <w:tcW w:w="1377"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去除率%</w:t>
                  </w:r>
                </w:p>
              </w:tc>
              <w:tc>
                <w:tcPr>
                  <w:tcW w:w="673"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排放量t/a</w:t>
                  </w:r>
                </w:p>
              </w:tc>
              <w:tc>
                <w:tcPr>
                  <w:tcW w:w="884"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排放</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浓度mg/m</w:t>
                  </w:r>
                  <w: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p>
              </w:tc>
              <w:tc>
                <w:tcPr>
                  <w:tcW w:w="876" w:type="dxa"/>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6.442</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67.10</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5.37</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22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废气收集效率9</w:t>
                  </w:r>
                  <w:r>
                    <w:rPr>
                      <w:rFonts w:hint="eastAsia" w:cs="Times New Roman"/>
                      <w:color w:val="000000" w:themeColor="text1"/>
                      <w:kern w:val="2"/>
                      <w:sz w:val="21"/>
                      <w:szCs w:val="21"/>
                      <w:highlight w:val="none"/>
                      <w:lang w:val="en-US" w:eastAsia="zh-CN" w:bidi="ar-SA"/>
                      <w14:textFill>
                        <w14:solidFill>
                          <w14:schemeClr w14:val="tx1"/>
                        </w14:solidFill>
                      </w14:textFill>
                    </w:rPr>
                    <w:t>8</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%，80K型活性炭吸附+脱附+催化燃烧处理设备（在线），处理效率90%</w:t>
                  </w: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0.631</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6.573</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22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0.129</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0.018</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0.188</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0.015</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22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0.0018</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0.019</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22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0.00036</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二甲苯</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0.182</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1.896</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0.151</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22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0.019</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0.198</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7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22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7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0.00364</w:t>
                  </w:r>
                </w:p>
              </w:tc>
              <w:tc>
                <w:tcPr>
                  <w:tcW w:w="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有机废气有组织排放标准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《大气污染物综合排放标准》(GB16297-1996)二级标准浓度限值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厂界无组织排放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浓度特别排放限值（在厂房外监控点处任意一次浓度值20mg/m³）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，对周围大气环境影响较小。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颗粒物(漆雾)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依据《谈喷涂涂着效率，王锡春》发表于《现代涂料与涂装》2006.10的研究论文及建设方提供的资料，本项目年使用20t水性漆与6t油性漆，采用</w:t>
            </w:r>
            <w:r>
              <w:rPr>
                <w:rFonts w:hint="eastAsia" w:cs="Times New Roman"/>
                <w:color w:val="000000" w:themeColor="text1"/>
                <w:sz w:val="24"/>
                <w:szCs w:val="24"/>
                <w:highlight w:val="none"/>
                <w:lang w:val="en-US" w:eastAsia="zh-CN"/>
                <w14:textFill>
                  <w14:solidFill>
                    <w14:schemeClr w14:val="tx1"/>
                  </w14:solidFill>
                </w14:textFill>
              </w:rPr>
              <w:t>喷涂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作业时约有70%的固体附着在工件上，其余30%形成雾(颗粒物)进入空气，故漆雾产生量为7.8t/a，本项目</w:t>
            </w:r>
            <w:r>
              <w:rPr>
                <w:rFonts w:hint="default" w:ascii="Times New Roman" w:hAnsi="Times New Roman" w:cs="Times New Roman"/>
                <w:color w:val="000000" w:themeColor="text1"/>
                <w:sz w:val="24"/>
                <w:szCs w:val="24"/>
                <w:highlight w:val="none"/>
                <w14:textFill>
                  <w14:solidFill>
                    <w14:schemeClr w14:val="tx1"/>
                  </w14:solidFill>
                </w14:textFill>
              </w:rPr>
              <w:t>喷漆房漆雾捕集系统，采用DPA纸箱过滤器</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据厂家提供资料，</w:t>
            </w: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20um以上油漆颗粒去除率达100%，10um以上油漆颗粒去除效率99.8%，5um以上油漆颗粒去除效率84.5%，本项目漆雾处理效率取84.5%，漆雾经封闭负压状态收集后使用DPA纸箱过滤器过滤后经20m高排气(DA002）排放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废气收集效率取98%</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年有效工作时间为1200h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风机风量为</w:t>
            </w:r>
            <w:r>
              <w:rPr>
                <w:rFonts w:hint="eastAsia"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/h，则</w:t>
            </w:r>
            <w:r>
              <w:rPr>
                <w:rFonts w:hint="eastAsia" w:cs="Times New Roman"/>
                <w:color w:val="000000" w:themeColor="text1"/>
                <w:sz w:val="24"/>
                <w:szCs w:val="24"/>
                <w:highlight w:val="none"/>
                <w:lang w:val="en-US" w:eastAsia="zh-CN"/>
                <w14:textFill>
                  <w14:solidFill>
                    <w14:schemeClr w14:val="tx1"/>
                  </w14:solidFill>
                </w14:textFill>
              </w:rPr>
              <w:t>漆雾（</w:t>
            </w:r>
            <w:r>
              <w:rPr>
                <w:rFonts w:hint="eastAsia"/>
                <w:color w:val="000000" w:themeColor="text1"/>
                <w:sz w:val="24"/>
                <w:szCs w:val="24"/>
                <w:highlight w:val="none"/>
                <w:lang w:val="en-US" w:eastAsia="zh-CN"/>
                <w14:textFill>
                  <w14:solidFill>
                    <w14:schemeClr w14:val="tx1"/>
                  </w14:solidFill>
                </w14:textFill>
              </w:rPr>
              <w:t>颗粒物</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有组织排放量为1.185t/a，排放速率为0.988kg/h，排放浓度为12.34mg/m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，无组织排放量为0.156t/a，排放速率为0.13kg/h。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因此，有组织</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颗粒物</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满足</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《大气污染物综合排放标准》(GB16297-1996)二级标准浓度限值</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允许排放浓度值120mg/m³，20米排气筒最高允许排放速率3.5kg/h)后排放，无组织颗粒物满足《大气污染物综合排放标准》(GB16297-1996)表2新污染源大气污染物排放限值（厂界外浓度最高点1.0mg/m³）后排放，对周围大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pacing w:val="0"/>
                <w:kern w:val="2"/>
                <w:sz w:val="24"/>
                <w:szCs w:val="24"/>
                <w:highlight w:val="none"/>
                <w:lang w:val="en-US" w:eastAsia="zh-CN" w:bidi="ar-SA"/>
                <w14:textFill>
                  <w14:solidFill>
                    <w14:schemeClr w14:val="tx1"/>
                  </w14:solidFill>
                </w14:textFill>
              </w:rPr>
              <w:t>1.6丝印废气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工序印刷过程</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年</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使用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油性油墨和</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水性油墨。根据企业提供</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资料</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，本项目所用油性油墨挥发性成分比例为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30</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%，项目油性油墨的使用量为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a，则使用油性油墨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进行</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时</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0.12</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根据企业提供的资料</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水性油墨中水溶性树脂占比为70%</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75%，</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参照</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《浙江省工业涂装工序挥发性有机物排放量计算暂行办法》，水性涂料含水性丙烯酸乳液(树脂)或其他水性乳液(树脂)时，游离单体按实测挥发比例计入</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，无实测数据时按水性乳液(树脂)质量的2%计，则本项目所用水性油墨挥发性成分比例为1.4%</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1.5%，本环评按最不利因素取值计算(即水性油墨挥发性成分比例按1.5%计)。本项目水性油墨的使用量为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0.4</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t/a，则使用油性油墨</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进行</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工序</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时</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0.006</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则</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丝印</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废气</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VOCs</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产生量为</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0.126</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t/a</w:t>
            </w:r>
            <w:r>
              <w:rPr>
                <w:rFonts w:hint="eastAsia" w:ascii="Times New Roman" w:hAnsi="Times New Roman" w:cs="Times New Roman"/>
                <w:bCs/>
                <w:color w:val="000000" w:themeColor="text1"/>
                <w:spacing w:val="0"/>
                <w:kern w:val="2"/>
                <w:sz w:val="24"/>
                <w:szCs w:val="24"/>
                <w:highlight w:val="none"/>
                <w:lang w:val="en-US" w:eastAsia="zh-CN" w:bidi="ar-SA"/>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由排气扇排至厂房外无组织排放。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有机废气</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厂界无组织排放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《挥发性有机物无组织排放控制标准》(GB37822-2019)附录A中的厂区内</w:t>
            </w:r>
            <w:r>
              <w:rPr>
                <w:rFonts w:hint="eastAsia" w:cs="Times New Roman"/>
                <w:color w:val="000000" w:themeColor="text1"/>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浓度特别排放限值（在厂房外监控点处任意一次浓度值20mg/m³）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，对周围大气环境影响较小</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综上所述，各产污环节的污染物产排污情况见表</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w:t>
            </w:r>
            <w:r>
              <w:rPr>
                <w:rFonts w:hint="eastAsia"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4-</w:t>
            </w:r>
            <w:r>
              <w:rPr>
                <w:rFonts w:hint="eastAsia" w:cs="Times New Roman"/>
                <w:b/>
                <w:bCs/>
                <w:color w:val="000000" w:themeColor="text1"/>
                <w:spacing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大气污染物产排污情况统计表</w:t>
            </w:r>
          </w:p>
          <w:tbl>
            <w:tblPr>
              <w:tblStyle w:val="24"/>
              <w:tblW w:w="8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77"/>
              <w:gridCol w:w="794"/>
              <w:gridCol w:w="689"/>
              <w:gridCol w:w="427"/>
              <w:gridCol w:w="873"/>
              <w:gridCol w:w="612"/>
              <w:gridCol w:w="911"/>
              <w:gridCol w:w="785"/>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restar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产污环节</w:t>
                  </w:r>
                </w:p>
              </w:tc>
              <w:tc>
                <w:tcPr>
                  <w:tcW w:w="462" w:type="pct"/>
                  <w:vMerge w:val="restar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污染物种类</w:t>
                  </w:r>
                </w:p>
              </w:tc>
              <w:tc>
                <w:tcPr>
                  <w:tcW w:w="882" w:type="pct"/>
                  <w:gridSpan w:val="2"/>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污染物产生情况</w:t>
                  </w:r>
                </w:p>
              </w:tc>
              <w:tc>
                <w:tcPr>
                  <w:tcW w:w="254" w:type="pct"/>
                  <w:vMerge w:val="restar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排放形式</w:t>
                  </w:r>
                </w:p>
              </w:tc>
              <w:tc>
                <w:tcPr>
                  <w:tcW w:w="883" w:type="pct"/>
                  <w:gridSpan w:val="2"/>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主要治理措施</w:t>
                  </w:r>
                </w:p>
              </w:tc>
              <w:tc>
                <w:tcPr>
                  <w:tcW w:w="1009" w:type="pct"/>
                  <w:gridSpan w:val="2"/>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污染物排放情况</w:t>
                  </w:r>
                </w:p>
              </w:tc>
              <w:tc>
                <w:tcPr>
                  <w:tcW w:w="1128" w:type="pct"/>
                  <w:vMerge w:val="restar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2" w:type="pct"/>
                  <w:vMerge w:val="continue"/>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72"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产生量</w:t>
                  </w:r>
                  <w:r>
                    <w:rPr>
                      <w:rFonts w:hint="default" w:ascii="Times New Roman" w:hAnsi="Times New Roman" w:eastAsia="宋体" w:cs="Times New Roman"/>
                      <w:b/>
                      <w:bCs/>
                      <w:color w:val="000000" w:themeColor="text1"/>
                      <w:w w:val="90"/>
                      <w:kern w:val="0"/>
                      <w:sz w:val="21"/>
                      <w:szCs w:val="21"/>
                      <w:highlight w:val="none"/>
                      <w:lang w:val="en-US" w:eastAsia="zh-CN"/>
                      <w14:textFill>
                        <w14:solidFill>
                          <w14:schemeClr w14:val="tx1"/>
                        </w14:solidFill>
                      </w14:textFill>
                    </w:rPr>
                    <w:t>t/a</w:t>
                  </w:r>
                </w:p>
              </w:tc>
              <w:tc>
                <w:tcPr>
                  <w:tcW w:w="410"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浓度</w:t>
                  </w:r>
                </w:p>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kern w:val="0"/>
                      <w:sz w:val="21"/>
                      <w:szCs w:val="21"/>
                      <w:highlight w:val="none"/>
                      <w:lang w:val="en-US" w:eastAsia="zh-CN"/>
                      <w14:textFill>
                        <w14:solidFill>
                          <w14:schemeClr w14:val="tx1"/>
                        </w14:solidFill>
                      </w14:textFill>
                    </w:rPr>
                    <w:t>㎎/m³</w:t>
                  </w:r>
                </w:p>
              </w:tc>
              <w:tc>
                <w:tcPr>
                  <w:tcW w:w="254" w:type="pct"/>
                  <w:vMerge w:val="continue"/>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519"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措施</w:t>
                  </w:r>
                </w:p>
              </w:tc>
              <w:tc>
                <w:tcPr>
                  <w:tcW w:w="364"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去除率%</w:t>
                  </w:r>
                </w:p>
              </w:tc>
              <w:tc>
                <w:tcPr>
                  <w:tcW w:w="542"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排放量</w:t>
                  </w:r>
                  <w:r>
                    <w:rPr>
                      <w:rFonts w:hint="default" w:ascii="Times New Roman" w:hAnsi="Times New Roman" w:eastAsia="宋体" w:cs="Times New Roman"/>
                      <w:b/>
                      <w:bCs/>
                      <w:color w:val="000000" w:themeColor="text1"/>
                      <w:w w:val="90"/>
                      <w:sz w:val="21"/>
                      <w:szCs w:val="21"/>
                      <w:highlight w:val="none"/>
                      <w14:textFill>
                        <w14:solidFill>
                          <w14:schemeClr w14:val="tx1"/>
                        </w14:solidFill>
                      </w14:textFill>
                    </w:rPr>
                    <w:t>t/a</w:t>
                  </w:r>
                </w:p>
              </w:tc>
              <w:tc>
                <w:tcPr>
                  <w:tcW w:w="467" w:type="pct"/>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t>浓度</w:t>
                  </w:r>
                  <w:r>
                    <w:rPr>
                      <w:rFonts w:hint="default" w:ascii="Times New Roman" w:hAnsi="Times New Roman" w:eastAsia="宋体" w:cs="Times New Roman"/>
                      <w:b/>
                      <w:bCs/>
                      <w:color w:val="000000" w:themeColor="text1"/>
                      <w:w w:val="90"/>
                      <w:sz w:val="21"/>
                      <w:szCs w:val="21"/>
                      <w:highlight w:val="none"/>
                      <w14:textFill>
                        <w14:solidFill>
                          <w14:schemeClr w14:val="tx1"/>
                        </w14:solidFill>
                      </w14:textFill>
                    </w:rPr>
                    <w:t>mg/m</w:t>
                  </w:r>
                  <w:r>
                    <w:rPr>
                      <w:rFonts w:hint="eastAsia" w:ascii="Times New Roman" w:hAnsi="Times New Roman" w:eastAsia="宋体" w:cs="Times New Roman"/>
                      <w:b/>
                      <w:bCs/>
                      <w:color w:val="000000" w:themeColor="text1"/>
                      <w:w w:val="90"/>
                      <w:sz w:val="21"/>
                      <w:szCs w:val="21"/>
                      <w:highlight w:val="none"/>
                      <w:vertAlign w:val="superscript"/>
                      <w:lang w:val="en-US" w:eastAsia="zh-CN"/>
                      <w14:textFill>
                        <w14:solidFill>
                          <w14:schemeClr w14:val="tx1"/>
                        </w14:solidFill>
                      </w14:textFill>
                    </w:rPr>
                    <w:t>3</w:t>
                  </w:r>
                </w:p>
              </w:tc>
              <w:tc>
                <w:tcPr>
                  <w:tcW w:w="1128" w:type="pct"/>
                  <w:vMerge w:val="continue"/>
                  <w:vAlign w:val="center"/>
                </w:tcPr>
                <w:p>
                  <w:pPr>
                    <w:pStyle w:val="39"/>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w w:val="9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食堂油烟废气</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0.0072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2.292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集气罩收集效率90%，</w:t>
                  </w:r>
                  <w:r>
                    <w:rPr>
                      <w:rFonts w:hint="eastAsia" w:cs="Times New Roman"/>
                      <w:color w:val="000000" w:themeColor="text1"/>
                      <w:sz w:val="21"/>
                      <w:szCs w:val="21"/>
                      <w:highlight w:val="none"/>
                      <w:lang w:val="en-US" w:eastAsia="zh-CN"/>
                      <w14:textFill>
                        <w14:solidFill>
                          <w14:schemeClr w14:val="tx1"/>
                        </w14:solidFill>
                      </w14:textFill>
                    </w:rPr>
                    <w:t>脉冲净化器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处理效率95%</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0.332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无组织颗粒物执行《大气污染物综合排放标准》(GB16297-1996)表2新污染源大气污染物排放限值（厂界外浓度最高点1.0mg/m³）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trPr>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3"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废气收集效率9</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%，沉降除尘器+滤筒除尘器处理效率99.7%</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0.129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10.75</w:t>
                  </w:r>
                </w:p>
              </w:tc>
              <w:tc>
                <w:tcPr>
                  <w:tcW w:w="11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（允许排放浓度值120mg/m³，20米排气筒最高允许排放速率5.9kg/h），无组织颗粒物执行《大气污染物综合排放标准》(GB16297-1996)表2新污染源大气污染物排放限值（厂界外浓度最高点1.0mg/m³）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0.876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喷漆、烘干产生的废气</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6.442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67.10</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3"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废气收集效率9</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80K型活性炭吸附+脱附+催化燃烧处理设备（在线）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，处理效率9</w:t>
                  </w: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0.631</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6.573</w:t>
                  </w:r>
                </w:p>
              </w:tc>
              <w:tc>
                <w:tcPr>
                  <w:tcW w:w="11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浓度特别排放限值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（在厂房外监控点处任意一次浓度值20mg/m³）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0.129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0.018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0.188</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0.0018</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0.019</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0.00036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二甲苯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0.182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1.896</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0.019</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0.198</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0.00364</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p>
              </w:tc>
              <w:tc>
                <w:tcPr>
                  <w:tcW w:w="46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883"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废气收集效率9</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w:t>
                  </w:r>
                  <w:r>
                    <w:rPr>
                      <w:rFonts w:hint="eastAsia" w:cs="Times New Roman"/>
                      <w:color w:val="000000" w:themeColor="text1"/>
                      <w:sz w:val="21"/>
                      <w:szCs w:val="21"/>
                      <w:highlight w:val="none"/>
                      <w:lang w:val="en-US" w:eastAsia="zh-CN"/>
                      <w14:textFill>
                        <w14:solidFill>
                          <w14:schemeClr w14:val="tx1"/>
                        </w14:solidFill>
                      </w14:textFill>
                    </w:rPr>
                    <w:t>84.5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12.34</w:t>
                  </w:r>
                </w:p>
              </w:tc>
              <w:tc>
                <w:tcPr>
                  <w:tcW w:w="112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（允许排放浓度值120mg/m³，20米排气筒最高允许排放速率5.9kg/h），无组织颗粒物执行《大气污染物综合排放标准》(GB16297-1996)表2新污染源大气污染物排放限值（厂界外浓度最高点1.0mg/m³）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88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0.156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丝印</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0.126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0.126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浓度特别排放限值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总计</w:t>
                  </w: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0.0072</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53.892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6.642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0.886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0.018</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0.00216</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6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二甲苯</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0.182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0.02264</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污染源排放参数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本项目废气排放口基本情况见表</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4-</w:t>
            </w:r>
            <w:r>
              <w:rPr>
                <w:rFonts w:hint="eastAsia" w:cs="Times New Roman"/>
                <w:b/>
                <w:bCs w:val="0"/>
                <w:color w:val="000000" w:themeColor="text1"/>
                <w:spacing w:val="0"/>
                <w:sz w:val="21"/>
                <w:szCs w:val="21"/>
                <w:highlight w:val="none"/>
                <w:lang w:val="en-US" w:eastAsia="zh-CN"/>
                <w14:textFill>
                  <w14:solidFill>
                    <w14:schemeClr w14:val="tx1"/>
                  </w14:solidFill>
                </w14:textFill>
              </w:rPr>
              <w:t xml:space="preserve">5  </w:t>
            </w: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废气排放口基本情况一览表</w:t>
            </w:r>
          </w:p>
          <w:tbl>
            <w:tblPr>
              <w:tblStyle w:val="24"/>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902"/>
              <w:gridCol w:w="1431"/>
              <w:gridCol w:w="1431"/>
              <w:gridCol w:w="813"/>
              <w:gridCol w:w="826"/>
              <w:gridCol w:w="869"/>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5"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口编</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号</w:t>
                  </w:r>
                </w:p>
              </w:tc>
              <w:tc>
                <w:tcPr>
                  <w:tcW w:w="902"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源名</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称</w:t>
                  </w:r>
                </w:p>
              </w:tc>
              <w:tc>
                <w:tcPr>
                  <w:tcW w:w="2862" w:type="dxa"/>
                  <w:gridSpan w:val="2"/>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排气筒底部中心坐标</w:t>
                  </w:r>
                </w:p>
              </w:tc>
              <w:tc>
                <w:tcPr>
                  <w:tcW w:w="2508" w:type="dxa"/>
                  <w:gridSpan w:val="3"/>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排气筒参数</w:t>
                  </w:r>
                </w:p>
              </w:tc>
              <w:tc>
                <w:tcPr>
                  <w:tcW w:w="848"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902"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经度</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纬度</w:t>
                  </w:r>
                </w:p>
              </w:tc>
              <w:tc>
                <w:tcPr>
                  <w:tcW w:w="81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高度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（m）</w:t>
                  </w:r>
                </w:p>
              </w:tc>
              <w:tc>
                <w:tcPr>
                  <w:tcW w:w="82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内径</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（m）</w:t>
                  </w:r>
                </w:p>
              </w:tc>
              <w:tc>
                <w:tcPr>
                  <w:tcW w:w="869"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温度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w:t>
                  </w:r>
                </w:p>
              </w:tc>
              <w:tc>
                <w:tcPr>
                  <w:tcW w:w="84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DA001</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902"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90°21′33.911″</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43°57′7.84</w:t>
                  </w:r>
                  <w:r>
                    <w:rPr>
                      <w:rFonts w:hint="eastAsia"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5</w:t>
                  </w: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w:t>
                  </w:r>
                </w:p>
              </w:tc>
              <w:tc>
                <w:tcPr>
                  <w:tcW w:w="81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82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1.0</w:t>
                  </w:r>
                </w:p>
              </w:tc>
              <w:tc>
                <w:tcPr>
                  <w:tcW w:w="869"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30</w:t>
                  </w:r>
                </w:p>
              </w:tc>
              <w:tc>
                <w:tcPr>
                  <w:tcW w:w="848"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DA002</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902"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喷漆、烘干产生的废气</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90°21′34.220″</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43°57′11.359″</w:t>
                  </w:r>
                </w:p>
              </w:tc>
              <w:tc>
                <w:tcPr>
                  <w:tcW w:w="81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82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2.0</w:t>
                  </w:r>
                </w:p>
              </w:tc>
              <w:tc>
                <w:tcPr>
                  <w:tcW w:w="869"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100</w:t>
                  </w:r>
                </w:p>
              </w:tc>
              <w:tc>
                <w:tcPr>
                  <w:tcW w:w="848"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非甲烷总烃</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排气筒（</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DA003</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902"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食堂油烟废气</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90°21′21.165″</w:t>
                  </w:r>
                </w:p>
              </w:tc>
              <w:tc>
                <w:tcPr>
                  <w:tcW w:w="1431"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43°57′16.14</w:t>
                  </w:r>
                  <w:r>
                    <w:rPr>
                      <w:rFonts w:hint="eastAsia"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9</w:t>
                  </w:r>
                  <w:r>
                    <w:rPr>
                      <w:rFonts w:hint="default" w:ascii="Times New Roman" w:hAnsi="Times New Roman" w:cs="Times New Roman"/>
                      <w:bCs/>
                      <w:color w:val="000000" w:themeColor="text1"/>
                      <w:spacing w:val="0"/>
                      <w:kern w:val="2"/>
                      <w:sz w:val="21"/>
                      <w:szCs w:val="21"/>
                      <w:highlight w:val="none"/>
                      <w:vertAlign w:val="baseline"/>
                      <w:lang w:val="en-US" w:eastAsia="zh-CN" w:bidi="ar-SA"/>
                      <w14:textFill>
                        <w14:solidFill>
                          <w14:schemeClr w14:val="tx1"/>
                        </w14:solidFill>
                      </w14:textFill>
                    </w:rPr>
                    <w:t>″</w:t>
                  </w:r>
                </w:p>
              </w:tc>
              <w:tc>
                <w:tcPr>
                  <w:tcW w:w="813"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8</w:t>
                  </w:r>
                </w:p>
              </w:tc>
              <w:tc>
                <w:tcPr>
                  <w:tcW w:w="826"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0.5</w:t>
                  </w:r>
                </w:p>
              </w:tc>
              <w:tc>
                <w:tcPr>
                  <w:tcW w:w="869" w:type="dxa"/>
                  <w:tcBorders>
                    <w:right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50</w:t>
                  </w:r>
                </w:p>
              </w:tc>
              <w:tc>
                <w:tcPr>
                  <w:tcW w:w="848"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8</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非正常工况下废气排放情况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本项目非正常工况是指生产运行阶段的开、停车、检修、操作不正常或设备故障等，本项目非正常工况主要是环保设施完全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失效情况下的排放。本项目废气非正常排放主要发生在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切割、焊接</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工序的除尘器、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抛丸除锈粉尘</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采用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沉降除尘器+滤筒除尘器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喷漆、烘干产生的废气</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脱附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催化燃烧处理设备、喷漆产生的漆雾的</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DPA纸箱过滤器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失效</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，每年发生非正常情况的次数为1次，每次持续时间小于1h，非正常情况见表</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表</w:t>
            </w:r>
            <w:r>
              <w:rPr>
                <w:rFonts w:hint="eastAsia"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4-</w:t>
            </w:r>
            <w:r>
              <w:rPr>
                <w:rFonts w:hint="eastAsia" w:cs="Times New Roman"/>
                <w:b/>
                <w:bCs w:val="0"/>
                <w:color w:val="000000" w:themeColor="text1"/>
                <w:spacing w:val="0"/>
                <w:sz w:val="21"/>
                <w:szCs w:val="21"/>
                <w:highlight w:val="none"/>
                <w:lang w:val="en-US" w:eastAsia="zh-CN"/>
                <w14:textFill>
                  <w14:solidFill>
                    <w14:schemeClr w14:val="tx1"/>
                  </w14:solidFill>
                </w14:textFill>
              </w:rPr>
              <w:t xml:space="preserve">6  </w:t>
            </w: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项目废气废正常情况排放情况</w:t>
            </w:r>
          </w:p>
          <w:tbl>
            <w:tblPr>
              <w:tblStyle w:val="24"/>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124"/>
              <w:gridCol w:w="1174"/>
              <w:gridCol w:w="985"/>
              <w:gridCol w:w="1134"/>
              <w:gridCol w:w="1011"/>
              <w:gridCol w:w="1039"/>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烟囱</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序号</w:t>
                  </w:r>
                </w:p>
              </w:tc>
              <w:tc>
                <w:tcPr>
                  <w:tcW w:w="11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污染源</w:t>
                  </w:r>
                </w:p>
              </w:tc>
              <w:tc>
                <w:tcPr>
                  <w:tcW w:w="11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非正常排放原因</w:t>
                  </w:r>
                </w:p>
              </w:tc>
              <w:tc>
                <w:tcPr>
                  <w:tcW w:w="9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非正常排放速率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（kg/h）</w:t>
                  </w:r>
                </w:p>
              </w:tc>
              <w:tc>
                <w:tcPr>
                  <w:tcW w:w="101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单次持续时间/h</w:t>
                  </w:r>
                </w:p>
              </w:tc>
              <w:tc>
                <w:tcPr>
                  <w:tcW w:w="10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年发生频率（次）</w:t>
                  </w:r>
                </w:p>
              </w:tc>
              <w:tc>
                <w:tcPr>
                  <w:tcW w:w="10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应对</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vertAlign w:val="baseline"/>
                      <w:lang w:val="en-US" w:eastAsia="zh-CN"/>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p>
              </w:tc>
              <w:tc>
                <w:tcPr>
                  <w:tcW w:w="112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11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除尘器失效</w:t>
                  </w:r>
                </w:p>
              </w:tc>
              <w:tc>
                <w:tcPr>
                  <w:tcW w:w="9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0.955</w:t>
                  </w:r>
                </w:p>
              </w:tc>
              <w:tc>
                <w:tcPr>
                  <w:tcW w:w="101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03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0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停止生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t>产，检修</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，及时更换活性炭及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12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1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沉降除尘器+滤筒除尘器处理失效</w:t>
                  </w:r>
                </w:p>
              </w:tc>
              <w:tc>
                <w:tcPr>
                  <w:tcW w:w="9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36.5</w:t>
                  </w:r>
                </w:p>
              </w:tc>
              <w:tc>
                <w:tcPr>
                  <w:tcW w:w="10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DA00</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2</w:t>
                  </w:r>
                </w:p>
              </w:tc>
              <w:tc>
                <w:tcPr>
                  <w:tcW w:w="1124"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喷漆、烘干产生的废气</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脱附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催化燃烧处理设备</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失效</w:t>
                  </w:r>
                </w:p>
              </w:tc>
              <w:tc>
                <w:tcPr>
                  <w:tcW w:w="98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非甲烷总烃</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5.37</w:t>
                  </w:r>
                </w:p>
              </w:tc>
              <w:tc>
                <w:tcPr>
                  <w:tcW w:w="10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8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24"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甲苯</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0.015</w:t>
                  </w:r>
                </w:p>
              </w:tc>
              <w:tc>
                <w:tcPr>
                  <w:tcW w:w="10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8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24"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二甲苯</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0.151</w:t>
                  </w:r>
                </w:p>
              </w:tc>
              <w:tc>
                <w:tcPr>
                  <w:tcW w:w="10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8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124"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line="240" w:lineRule="auto"/>
                    <w:jc w:val="center"/>
                    <w:textAlignment w:val="auto"/>
                    <w:rPr>
                      <w:rFonts w:hint="eastAsia"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喷漆产生的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p>
              </w:tc>
              <w:tc>
                <w:tcPr>
                  <w:tcW w:w="11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r>
                    <w:rPr>
                      <w:rFonts w:hint="eastAsia" w:cs="Times New Roman"/>
                      <w:color w:val="000000" w:themeColor="text1"/>
                      <w:sz w:val="21"/>
                      <w:szCs w:val="21"/>
                      <w:highlight w:val="none"/>
                      <w:lang w:val="en-US" w:eastAsia="zh-CN"/>
                      <w14:textFill>
                        <w14:solidFill>
                          <w14:schemeClr w14:val="tx1"/>
                        </w14:solidFill>
                      </w14:textFill>
                    </w:rPr>
                    <w:t>失效</w:t>
                  </w:r>
                </w:p>
              </w:tc>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6.5</w:t>
                  </w:r>
                </w:p>
              </w:tc>
              <w:tc>
                <w:tcPr>
                  <w:tcW w:w="101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c>
                <w:tcPr>
                  <w:tcW w:w="10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pacing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如发生非正常工况，应立即停止相关工作，直至污染防治设施修复为止。</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①安排专人负责环保设备的日常维护和管理，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每隔</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固定时间检查、汇报情况，及时发现废气处理设备的隐患，确保废气处理系统正常运行；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②建立健全环保管理机构，对环保管理人员和技术人员进行岗位培训，委托具有专业资质的环境检测单位对项目排放的各类污染物进行定期检测；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③应定期维护、检修废气净化装置，以保持废气处理装置的净化能力和净化容量。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废气治理措施可行性分析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移动式焊接烟尘净化器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移动式焊接烟尘净化器</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中除尘系统为脉冲净化器。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脉冲净化器</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用于焊接、切割、打磨等工序中产生烟尘和粉尘的净化以及对稀有金属、贵重物料的回收等，可净化大量悬浮在空气中对人体有害的细小金属颗粒。具有净化效果好、噪声低、使用灵活、占地面积小等特点。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适用于手把焊、电弧焊、二氧化碳保护焊、MAG焊接、碳弧气刨焊、气熔割、特殊焊接等产生烟气的作业场所。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脉冲净化器主要部件包括：箱体、万向吸尘臂、耐高温吸尘软管、吸尘罩（带风量调节阀）、阻燃过滤筒、气包、脉冲阀、带刹车的新式脚轮、风机、离心风机以及电控系统等。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通过风机引力作用，废气经万向吸尘罩吸入设备进风口，设备进风口处设有阻火器，火花经阻火器被阻留，烟尘气体进入沉降室，利用重力与上行气流，首先将粗粒尘直接降至灰斗，微粒烟尘被滤芯捕集在外表面，洁净气体经滤芯过滤净化后，由滤芯中心流入洁净室，洁净空气经出风口达标排出。</w:t>
            </w:r>
          </w:p>
          <w:p>
            <w:pPr>
              <w:pStyle w:val="38"/>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（2）沉降除尘器+滤筒除尘器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是使粉尘和空气的混合物进入空间较大的室内，尘粒由于重力的作用而在空气中沉降并分离捕集的一种除尘装置。这种设备的特点是结构简单，造价不高（可以砖砌），施工容易，管理方便，空气阻力小，但是由于单纯地利用重力沉降，会使沉降室的容积过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的工作原理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含尘气体从左侧以均匀速度u水平进入沉降室，在其中气流平稳，这时，尘粒以沉降速度UC下降，经过运行时间u后含尘气体经过距离，使尘粒沉落于室底，净化后的气体从右侧出口排出。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重力除尘技术是利用粉尘颗粒的重力沉降作用而使粉尘与气体分离的除尘技术。利用重力除尘是一种古老简易的除尘方法。</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重力沉降除尘装置称为</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又称沉降室</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其主要优点是：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①结构简单，维护容易；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阻力低，一般约为150pa，主要是气体入口和出口的压力损失；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维护费用低，经久耐用；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可靠性优良，很少有故障。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它的缺点是：除尘效率低，一般只有40%-50%，适于捕集大于50um粉尘粒子；设备较庞大，适合处理中等气量的常温或高温气体，多作为多级除尘的预除尘使用。当尘量很大或粒度很粗时，对串联使用的除尘器会产生有害作用时，先使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instrText xml:space="preserve"> HYPERLINK "http://www.budaichuchen.com/hyxw/20201228081613.html" </w:instrTex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separate"/>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沉降除尘器</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预先净化是特别有利的。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滤筒式除尘器的结构是由进风管、排风管、箱体、灰斗、清灰装置、导流装置、气流分流分布板、滤筒及电控装置组成，类似气箱脉冲袋除尘结构。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滤筒在除尘器中的布置很重要，既可以垂直布置在箱体花板上，也可以倾斜布置在天花板上，从清灰效果看，垂直布置较为合理。花板下部为过滤室，上部为气箱脉冲室。在除尘器入口处装有气流分布板。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滤筒式除尘器的阻力随滤料表面粉尘层厚度的增加而增大。阻力达到某一规定值时进行清灰。此时PLC程序控制脉冲阀的启闭，首先一分室提升阀关闭，将过滤气流截断，然后电磁脉冲阀开启，压缩空气以</w:t>
            </w:r>
            <w:r>
              <w:rPr>
                <w:rFonts w:hint="eastAsia" w:cs="Times New Roman"/>
                <w:bCs/>
                <w:color w:val="000000" w:themeColor="text1"/>
                <w:spacing w:val="0"/>
                <w:sz w:val="24"/>
                <w:szCs w:val="24"/>
                <w:highlight w:val="none"/>
                <w:lang w:val="en-US" w:eastAsia="zh-CN"/>
                <w14:textFill>
                  <w14:solidFill>
                    <w14:schemeClr w14:val="tx1"/>
                  </w14:solidFill>
                </w14:textFill>
              </w:rPr>
              <w:t>极短</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的时间在上箱体内迅速膨胀，涌入滤筒，使滤筒膨胀变形产生振动，并在逆向气流冲刷的作用下，附着在滤袋外表面上的粉尘被剥离落入灰斗中。清灰完毕后，电磁脉冲阀关闭，提升阀打开，该室又恢复过滤状态。清灰各室依次进行，从第一室清灰开始至下一次清灰开始为一个清灰周期。脱落的粉尘掉入灰斗内通过缷灰阀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在此过程中必须定期对滤筒进行更换和清洗，以确保过滤效果和精度。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滤筒式除尘器设备的优点为：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新滤料</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防水防潮防磨防腐滤料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新结构</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硬质滤料折叠布置</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无钢筋骨架</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无滤料磨损现象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新理论</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表面过滤代替深层过滤粉尘</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不再渗透</w:t>
            </w:r>
            <w:r>
              <w:rPr>
                <w:rFonts w:hint="eastAsia" w:cs="Times New Roman"/>
                <w:bCs/>
                <w:color w:val="000000" w:themeColor="text1"/>
                <w:spacing w:val="0"/>
                <w:sz w:val="24"/>
                <w:szCs w:val="24"/>
                <w:highlight w:val="none"/>
                <w:lang w:val="en-US" w:eastAsia="zh-CN"/>
                <w14:textFill>
                  <w14:solidFill>
                    <w14:schemeClr w14:val="tx1"/>
                  </w14:solidFill>
                </w14:textFill>
              </w:rPr>
              <w:t>于</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滤料内部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滤筒式布袋除尘器表面过滤的除尘效率远远高于旧式除尘器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大大减少了有害物的排放量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空气净化指标达到了世界先进水平。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⑤</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滤筒式除尘器无滤料磨损现象</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其本体上无可动部件</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可长期使用不须维修(即使拆换滤筒也极方便)避免了旧式除尘器不断换滤料的烦恼</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省钱省时省力又无二次污染。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⑥</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滤筒式除尘器其体积、重量小于同规格的除尘器</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节省土建空间及土建负荷</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节省基建投资显著。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⑦</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滤筒式除尘器阻力小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耗压缩空气量小</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无维修工作量。电磁脉冲阀比各类旧式除尘器节能</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节资30%以上</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任何企业都不可忽视这一节能效果给企业带来的显著经济效益。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⑧滤筒式除尘器，其过滤精度达到５μ，除尘效率高达</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99.5%</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，粉尘排放浓度≤</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50mg/m</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综合考虑，</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本环评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沉降除尘器+滤筒除尘器除尘效率取99.7</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（3）活性炭吸附+脱附+催化燃烧处理设备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是将吸附技术和催化燃烧技术，两种废气处理技术组合起来的一种的环保装置。活性炭吸附脱附催化燃烧装置主要适用于低浓度有机气体且不宜采用直接燃烧或催化燃烧法和吸附回收法处理的有机废气，尤其对大风量的处理场所。废气经吸附净化并脱附后转换成小风量、高浓度的有机废气，对其进行热氧化处理，并将有机物燃烧释放的热量有效利用。活性炭吸附脱附催化燃烧装置由前置预处理装置、活性炭吸附脱附装置、催化燃烧装置、控制系统以及风机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活性炭吸附脱附催化燃烧装置的关键部分便是催化燃烧炉，催化燃烧炉内设加热室，启动加热装置，废气便进入内部循环，当热气经过活性炭吸附箱，吸附在活性炭中的的浓缩废气便</w:t>
            </w:r>
            <w:r>
              <w:rPr>
                <w:rFonts w:hint="eastAsia" w:cs="Times New Roman"/>
                <w:bCs/>
                <w:color w:val="000000" w:themeColor="text1"/>
                <w:spacing w:val="0"/>
                <w:sz w:val="24"/>
                <w:szCs w:val="24"/>
                <w:highlight w:val="none"/>
                <w:lang w:val="en-US" w:eastAsia="zh-CN"/>
                <w14:textFill>
                  <w14:solidFill>
                    <w14:schemeClr w14:val="tx1"/>
                  </w14:solidFill>
                </w14:textFill>
              </w:rPr>
              <w:t>会</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发出来，然后进入催化燃烧室内进行催化分解，变成水和二氧化碳，同时释放出能量。与此同时，释放出的热量被再次循环，进入吸附床脱附时，此时加热装置便可停止工作，利用余热使有机废气在催化燃烧室内维持自燃，循环进行，直到有机物完全从活性炭内部分离，至催化室分解。这样活性炭得到了再生，有机物得到分解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在工作时，有机废气先经过前置过滤系统进入活性炭吸附箱进行吸附，当达到饱和时，启动加热装置，将有机物从活性炭上脱附下来，这样脱附后的活性炭又重新保持了活性，经过脱附后的有机物已被浓缩至原来的好几倍，然后送往催化燃烧炉进行氧化分解成二氧化碳及水蒸气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活性炭吸附脱附催化燃烧装置，不仅能使碳循环使用，还有节能省电的功效。在本装置运行时，如果有机废气的浓度达到2000PPm以上时，有机废气在催化床便可以维持自燃，不用外加热。这样一部分气体排出，另一部分继续被送往活性炭吸附床进行脱附，这样既可以满足燃烧，又能保证吸附所需的热能，达到省电节能的目的。</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活性炭吸附脱附催化燃烧装置可应用于涂装、化工、制药、电子、印刷、橡胶、皮革、家具、半导体制造等行业车间的有害废气的净化及臭味的消除，宜适用于低浓度(≤1200mg/m</w:t>
            </w:r>
            <w:r>
              <w:rPr>
                <w:rFonts w:hint="default" w:ascii="Times New Roman" w:hAnsi="Times New Roman" w:eastAsia="宋体" w:cs="Times New Roman"/>
                <w:bCs/>
                <w:color w:val="000000" w:themeColor="text1"/>
                <w:spacing w:val="0"/>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)的不适宜采用直接燃烧或催化燃烧和回收处理的有机废气，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尤其对大风量的处理场所，可获得满意的经济和社会效益。</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根据“33金属制品业、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34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通用设备制造业、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35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专用设备制造业、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36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汽车制造业、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铁路、船舶、航空航天和其他运输设备制造业、</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431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金属制品修理、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432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通用设备修理、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433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专</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用设备修理、</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434 </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铁路、船舶、航空航天等运输设备修理（不包括电镀工艺）行业系数手册”表 </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 xml:space="preserve">1 </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机械行业产排污核算对应情况表中末端治理技术效率，直接燃烧法取85％，其他（吸附法）取</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18</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％，综合考虑，本环评</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活性炭吸附+脱附+催化燃烧处理设备</w:t>
            </w:r>
            <w:r>
              <w:rPr>
                <w:rFonts w:hint="eastAsia"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取90％。</w:t>
            </w:r>
          </w:p>
          <w:p>
            <w:pPr>
              <w:pStyle w:val="8"/>
              <w:keepNext w:val="0"/>
              <w:keepLines w:val="0"/>
              <w:pageBreakBefore w:val="0"/>
              <w:kinsoku/>
              <w:wordWrap/>
              <w:overflowPunct/>
              <w:topLinePunct w:val="0"/>
              <w:autoSpaceDE/>
              <w:autoSpaceDN/>
              <w:bidi w:val="0"/>
              <w:adjustRightInd/>
              <w:spacing w:before="0" w:after="0" w:line="360" w:lineRule="auto"/>
              <w:ind w:right="0" w:firstLine="0" w:firstLineChars="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（4）DPA纸箱过滤器</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由一种合成材料制成，过滤器的迎风面采用3D蜂窝层状结构设计符合深层过滤原理，不但可以捕捉更多的漆雾，而且对10微米以上的小漆雾可以99.8%的捕捉。</w:t>
            </w:r>
            <w:r>
              <w:rPr>
                <w:rFonts w:hint="default" w:ascii="Times New Roman" w:hAnsi="Times New Roman" w:cs="Times New Roman"/>
                <w:color w:val="000000" w:themeColor="text1"/>
                <w:sz w:val="24"/>
                <w:szCs w:val="24"/>
                <w:highlight w:val="none"/>
                <w14:textFill>
                  <w14:solidFill>
                    <w14:schemeClr w14:val="tx1"/>
                  </w14:solidFill>
                </w14:textFill>
              </w:rPr>
              <w:t>DPA纸箱过滤器</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最大的特点是材料具有自支撑能力，即便是</w:t>
            </w:r>
            <w:r>
              <w:rPr>
                <w:rFonts w:hint="eastAsia" w:cs="Times New Roman"/>
                <w:bCs/>
                <w:color w:val="000000" w:themeColor="text1"/>
                <w:spacing w:val="0"/>
                <w:kern w:val="2"/>
                <w:sz w:val="24"/>
                <w:szCs w:val="24"/>
                <w:highlight w:val="none"/>
                <w:lang w:val="en-US" w:eastAsia="zh-CN" w:bidi="ar-SA"/>
                <w14:textFill>
                  <w14:solidFill>
                    <w14:schemeClr w14:val="tx1"/>
                  </w14:solidFill>
                </w14:textFill>
              </w:rPr>
              <w:t>每平方米</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吸附了大量的漆后，滤材的蜂窝结构依然清晰可见，这样就保证了材料的容尘能力。标准型DPA材料适用于双组份溶剂型油漆和水性油漆，20um以上油漆颗粒去除率达100%，10um以上油漆颗粒去除效率99.8%，5um以上油漆颗粒去除效率84.5%。最大可以达到27kg/m</w:t>
            </w:r>
            <w:r>
              <w:rPr>
                <w:rFonts w:hint="default" w:ascii="Times New Roman" w:hAnsi="Times New Roman" w:eastAsia="宋体" w:cs="Times New Roman"/>
                <w:bCs/>
                <w:color w:val="000000" w:themeColor="text1"/>
                <w:spacing w:val="0"/>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的漆雾捕捉能力。DPA本身不含有玻纤材料，具有优异的防水能力，制作过程和使用过程安全，使用后固体废弃物100%可焚化处理。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w:t>
            </w:r>
            <w:r>
              <w:rPr>
                <w:rFonts w:hint="eastAsia" w:cs="Times New Roman"/>
                <w:b/>
                <w:bCs w:val="0"/>
                <w:color w:val="000000" w:themeColor="text1"/>
                <w:spacing w:val="0"/>
                <w:sz w:val="24"/>
                <w:szCs w:val="24"/>
                <w:highlight w:val="none"/>
                <w:lang w:val="en-US" w:eastAsia="zh-CN"/>
                <w14:textFill>
                  <w14:solidFill>
                    <w14:schemeClr w14:val="tx1"/>
                  </w14:solidFill>
                </w14:textFill>
              </w:rPr>
              <w:t>10</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大气污染物监测计划</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pP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根据</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《排污许可证申请与核发技术规范 总则》（</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HJ942-2018</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）、《排污单位自行监测技术指南 涂装》（</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HJ1086-2020</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），本</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项目大气污染源监测计划详见表</w:t>
            </w:r>
            <w:r>
              <w:rPr>
                <w:rFonts w:hint="eastAsia"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4-</w:t>
            </w:r>
            <w:r>
              <w:rPr>
                <w:rFonts w:hint="eastAsia" w:ascii="宋体" w:hAnsi="宋体" w:cs="宋体"/>
                <w:bCs/>
                <w:color w:val="000000" w:themeColor="text1"/>
                <w:spacing w:val="0"/>
                <w:kern w:val="2"/>
                <w:sz w:val="24"/>
                <w:szCs w:val="24"/>
                <w:highlight w:val="none"/>
                <w:lang w:val="en-US" w:eastAsia="zh-CN" w:bidi="ar-SA"/>
                <w14:textFill>
                  <w14:solidFill>
                    <w14:schemeClr w14:val="tx1"/>
                  </w14:solidFill>
                </w14:textFill>
              </w:rPr>
              <w:t>7</w:t>
            </w:r>
            <w:r>
              <w:rPr>
                <w:rFonts w:hint="default" w:ascii="宋体" w:hAnsi="宋体" w:eastAsia="宋体" w:cs="宋体"/>
                <w:bCs/>
                <w:color w:val="000000" w:themeColor="text1"/>
                <w:spacing w:val="0"/>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大气污染源监测计划表</w:t>
            </w:r>
          </w:p>
          <w:tbl>
            <w:tblPr>
              <w:tblStyle w:val="24"/>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5"/>
              <w:gridCol w:w="933"/>
              <w:gridCol w:w="690"/>
              <w:gridCol w:w="5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类别</w:t>
                  </w:r>
                </w:p>
              </w:tc>
              <w:tc>
                <w:tcPr>
                  <w:tcW w:w="8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监测点位</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监测指标</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监测频次</w:t>
                  </w:r>
                </w:p>
              </w:tc>
              <w:tc>
                <w:tcPr>
                  <w:tcW w:w="55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有组织</w:t>
                  </w:r>
                </w:p>
              </w:tc>
              <w:tc>
                <w:tcPr>
                  <w:tcW w:w="8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DA001</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1次/年</w:t>
                  </w:r>
                </w:p>
              </w:tc>
              <w:tc>
                <w:tcPr>
                  <w:tcW w:w="55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15米排气筒最高允许排放速率3.5kg/h，20米排气筒最高允许排放速率5.9kg/h），无组织颗粒物执行《大气污染物综合排放标准》(GB16297-1996)表2新污染源大气污染物排放限值（厂界外浓度最高点1.0mg/m³）</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浓度特别排放限值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（在厂房外监控点处任意一次浓度值20mg/m³）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油烟执行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8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DA002</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非甲烷总烃</w:t>
                  </w:r>
                  <w:r>
                    <w:rPr>
                      <w:rFonts w:hint="eastAsia" w:ascii="Times New Roman" w:hAnsi="Times New Roman" w:cs="Times New Roman"/>
                      <w:b w:val="0"/>
                      <w:bCs/>
                      <w:color w:val="000000" w:themeColor="text1"/>
                      <w:spacing w:val="0"/>
                      <w:sz w:val="21"/>
                      <w:szCs w:val="21"/>
                      <w:highlight w:val="none"/>
                      <w:vertAlign w:val="baseline"/>
                      <w:lang w:val="en-US" w:eastAsia="zh-CN"/>
                      <w14:textFill>
                        <w14:solidFill>
                          <w14:schemeClr w14:val="tx1"/>
                        </w14:solidFill>
                      </w14:textFill>
                    </w:rPr>
                    <w:t>、甲苯、二甲苯</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每季度一次</w:t>
                  </w:r>
                </w:p>
              </w:tc>
              <w:tc>
                <w:tcPr>
                  <w:tcW w:w="55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8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DA003</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pacing w:val="0"/>
                      <w:sz w:val="21"/>
                      <w:szCs w:val="21"/>
                      <w:highlight w:val="none"/>
                      <w:vertAlign w:val="baseline"/>
                      <w:lang w:val="en-US" w:eastAsia="zh-CN"/>
                      <w14:textFill>
                        <w14:solidFill>
                          <w14:schemeClr w14:val="tx1"/>
                        </w14:solidFill>
                      </w14:textFill>
                    </w:rPr>
                    <w:t>油烟</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1次/年</w:t>
                  </w:r>
                </w:p>
              </w:tc>
              <w:tc>
                <w:tcPr>
                  <w:tcW w:w="55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42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无组织</w:t>
                  </w:r>
                </w:p>
              </w:tc>
              <w:tc>
                <w:tcPr>
                  <w:tcW w:w="8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厂界</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颗粒物</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1次/年</w:t>
                  </w:r>
                </w:p>
              </w:tc>
              <w:tc>
                <w:tcPr>
                  <w:tcW w:w="55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83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非甲烷总烃</w:t>
                  </w:r>
                </w:p>
              </w:tc>
              <w:tc>
                <w:tcPr>
                  <w:tcW w:w="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1次/半年</w:t>
                  </w:r>
                </w:p>
              </w:tc>
              <w:tc>
                <w:tcPr>
                  <w:tcW w:w="55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2.1生活污水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本项目产生的废水主要为生活污水。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生活污水以生活</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用水量的80%计算，生活污水排放量</w:t>
            </w:r>
            <w:r>
              <w:rPr>
                <w:rFonts w:hint="eastAsia" w:cs="Times New Roman"/>
                <w:bCs/>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4800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/a）。生活污水的主要污染物为CODcr、BOD</w:t>
            </w:r>
            <w:r>
              <w:rPr>
                <w:rFonts w:hint="default" w:ascii="Times New Roman" w:hAnsi="Times New Roman" w:eastAsia="宋体" w:cs="Times New Roman"/>
                <w:bCs/>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、氨氮、SS</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项目食堂废水经隔油池处理后和生活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污水一并进入园区下水管网，废水执行《污水综合排放标准》(GB8978-1996)表4中三级标准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2.2依托可行性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本项目所在的新型产业及轻工业区位于污水处理厂上游，相对高程差分别为36</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91m。木垒县民生工业园区污水处理厂及配套管网工程管线已布设至新型产业及轻工业区管道长9.8km，均为重力排水管道，已铺设至项目所在区域。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民生工业园区污水处理厂位于木垒县城东北侧约12km，主要用于收纳木垒县城、民生工业园区(农副产品加工及民族特色旅游产业区、</w:t>
            </w:r>
            <w:r>
              <w:rPr>
                <w:rFonts w:hint="eastAsia" w:cs="Times New Roman"/>
                <w:color w:val="000000" w:themeColor="text1"/>
                <w:sz w:val="24"/>
                <w:szCs w:val="24"/>
                <w:highlight w:val="none"/>
                <w:lang w:val="en-US" w:eastAsia="zh-CN"/>
                <w14:textFill>
                  <w14:solidFill>
                    <w14:schemeClr w14:val="tx1"/>
                  </w14:solidFill>
                </w14:textFill>
              </w:rPr>
              <w:t>农副产品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及食品加工区、新型产业及轻工业区)的生活污水和生产废水。污水处理厂近期(2020年)污水处理规模为1万m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d，远期(2030年)污水处理规模为2万m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d。污水处理工艺采用沉淀+水解酸化+A</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0生化+紫外线消毒，最终出水达到《城镇污水处理厂污染物排放标准》(GB189</w:t>
            </w:r>
            <w:r>
              <w:rPr>
                <w:rFonts w:hint="eastAsia"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-2002)中的一级A标准，作为木垒光伏产业园用水或下游绿化灌溉水源。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项目外排生活污水排放浓度可以达到民生工业园区污水管网接管标准，因此本项目生活污水排至民生工业园区污水处理厂可行。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3.1 噪声源分析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本项目噪声污染主要来自各类机械设备运行时产生的噪声，噪声值范围在60~85dB(A)，主要噪声源及其噪声值见下表。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表4-</w:t>
            </w:r>
            <w:r>
              <w:rPr>
                <w:rFonts w:hint="eastAsia" w:cs="Times New Roman"/>
                <w:b/>
                <w:bCs w:val="0"/>
                <w:color w:val="000000" w:themeColor="text1"/>
                <w:spacing w:val="0"/>
                <w:sz w:val="21"/>
                <w:szCs w:val="21"/>
                <w:highlight w:val="none"/>
                <w:vertAlign w:val="baseline"/>
                <w:lang w:val="en-US" w:eastAsia="zh-CN"/>
                <w14:textFill>
                  <w14:solidFill>
                    <w14:schemeClr w14:val="tx1"/>
                  </w14:solidFill>
                </w14:textFill>
              </w:rPr>
              <w:t>8</w:t>
            </w: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 xml:space="preserve"> 主要噪声源及其源强一览表</w:t>
            </w:r>
          </w:p>
          <w:tbl>
            <w:tblPr>
              <w:tblStyle w:val="67"/>
              <w:tblW w:w="775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2"/>
              <w:gridCol w:w="1460"/>
              <w:gridCol w:w="788"/>
              <w:gridCol w:w="854"/>
              <w:gridCol w:w="1025"/>
              <w:gridCol w:w="1025"/>
              <w:gridCol w:w="102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序号</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设备名称</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数量</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源强dB(A)</w:t>
                  </w: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措施</w:t>
                  </w: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降噪效果</w:t>
                  </w: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噪声排放值</w:t>
                  </w:r>
                  <w:r>
                    <w:rPr>
                      <w:rFonts w:hint="eastAsia"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dB(A)</w:t>
                  </w:r>
                </w:p>
              </w:tc>
              <w:tc>
                <w:tcPr>
                  <w:tcW w:w="10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工作时间h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风机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65~75</w:t>
                  </w:r>
                </w:p>
              </w:tc>
              <w:tc>
                <w:tcPr>
                  <w:tcW w:w="102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低噪声设备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厂房隔声、减振</w:t>
                  </w:r>
                </w:p>
              </w:tc>
              <w:tc>
                <w:tcPr>
                  <w:tcW w:w="102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降低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20dB(A)</w:t>
                  </w: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45-55</w:t>
                  </w:r>
                </w:p>
              </w:tc>
              <w:tc>
                <w:tcPr>
                  <w:tcW w:w="102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2</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切割机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65~75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45-55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3</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喷砂机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l</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70-80</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50-60</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打磨机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焊机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翻转机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8</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65~75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45-55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7</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电动叉车</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65~75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45-55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8</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电脑切管机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60-75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40-55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9</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气动压接机（小型）</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70-85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50-65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10</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机械手+自动上料装置</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11</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自动冲剪机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2</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70-85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50-65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12</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折弯机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65-80</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45-60</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13</w:t>
                  </w:r>
                </w:p>
              </w:tc>
              <w:tc>
                <w:tcPr>
                  <w:tcW w:w="1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数控剪板机</w:t>
                  </w:r>
                </w:p>
              </w:tc>
              <w:tc>
                <w:tcPr>
                  <w:tcW w:w="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1</w:t>
                  </w:r>
                </w:p>
              </w:tc>
              <w:tc>
                <w:tcPr>
                  <w:tcW w:w="8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75-85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c>
                <w:tcPr>
                  <w:tcW w:w="10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t>55-65</w:t>
                  </w:r>
                </w:p>
              </w:tc>
              <w:tc>
                <w:tcPr>
                  <w:tcW w:w="10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pacing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3.2 降噪措施</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本项目运营期采取如下降噪措施。</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（1）选用低噪声设备，厂房采取隔声、降噪措施，振动较大的设备采取独立基础，设置减振器等措施；</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（2）合理布局，加强厂区绿化，减少噪声对周边环境的影响。</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严格落实环保措施后，本项目厂界噪声满足《工业企业厂界环境噪声排放标准》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（GB12348-2008）3类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标准要求。</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本项目产生的噪声经隔声及距离衰减后可达标排放，对周围声环境影响较小。</w:t>
            </w:r>
          </w:p>
          <w:p>
            <w:pPr>
              <w:pStyle w:val="19"/>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3.3 噪声监测计划</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根据《排污单位自行监测技术指南 总则》（HJ819-2017），确定本项目噪声污染源监测计划，详细情况见下表。</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噪声监测计划</w:t>
            </w:r>
          </w:p>
          <w:tbl>
            <w:tblPr>
              <w:tblStyle w:val="23"/>
              <w:tblW w:w="8297" w:type="dxa"/>
              <w:tblInd w:w="-5" w:type="dxa"/>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Layout w:type="fixed"/>
              <w:tblCellMar>
                <w:top w:w="0" w:type="dxa"/>
                <w:left w:w="108" w:type="dxa"/>
                <w:bottom w:w="0" w:type="dxa"/>
                <w:right w:w="108" w:type="dxa"/>
              </w:tblCellMar>
            </w:tblPr>
            <w:tblGrid>
              <w:gridCol w:w="1506"/>
              <w:gridCol w:w="1865"/>
              <w:gridCol w:w="1167"/>
              <w:gridCol w:w="3759"/>
            </w:tblGrid>
            <w:tr>
              <w:tblPrEx>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CellMar>
                  <w:top w:w="0" w:type="dxa"/>
                  <w:left w:w="108" w:type="dxa"/>
                  <w:bottom w:w="0" w:type="dxa"/>
                  <w:right w:w="108" w:type="dxa"/>
                </w:tblCellMar>
              </w:tblPrEx>
              <w:trPr>
                <w:trHeight w:val="595" w:hRule="atLeast"/>
              </w:trPr>
              <w:tc>
                <w:tcPr>
                  <w:tcW w:w="1506" w:type="dxa"/>
                  <w:tcBorders>
                    <w:bottom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1865" w:type="dxa"/>
                  <w:tcBorders>
                    <w:bottom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监测指标</w:t>
                  </w:r>
                </w:p>
              </w:tc>
              <w:tc>
                <w:tcPr>
                  <w:tcW w:w="1167" w:type="dxa"/>
                  <w:tcBorders>
                    <w:bottom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监测频次</w:t>
                  </w:r>
                </w:p>
              </w:tc>
              <w:tc>
                <w:tcPr>
                  <w:tcW w:w="3759" w:type="dxa"/>
                  <w:tcBorders>
                    <w:bottom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12" w:space="0"/>
                  <w:insideV w:val="single" w:color="auto" w:sz="4" w:space="0"/>
                </w:tblBorders>
                <w:tblCellMar>
                  <w:top w:w="0" w:type="dxa"/>
                  <w:left w:w="108" w:type="dxa"/>
                  <w:bottom w:w="0" w:type="dxa"/>
                  <w:right w:w="108" w:type="dxa"/>
                </w:tblCellMar>
              </w:tblPrEx>
              <w:trPr>
                <w:trHeight w:val="772" w:hRule="atLeast"/>
              </w:trPr>
              <w:tc>
                <w:tcPr>
                  <w:tcW w:w="1506" w:type="dxa"/>
                  <w:tcBorders>
                    <w:top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厂界外1米处</w:t>
                  </w:r>
                </w:p>
              </w:tc>
              <w:tc>
                <w:tcPr>
                  <w:tcW w:w="1865" w:type="dxa"/>
                  <w:tcBorders>
                    <w:top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1167" w:type="dxa"/>
                  <w:tcBorders>
                    <w:top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季度</w:t>
                  </w:r>
                </w:p>
              </w:tc>
              <w:tc>
                <w:tcPr>
                  <w:tcW w:w="3759" w:type="dxa"/>
                  <w:tcBorders>
                    <w:top w:val="single" w:color="auto" w:sz="4" w:space="0"/>
                  </w:tcBorders>
                  <w:vAlign w:val="center"/>
                </w:tcPr>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GB12348-2008）中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类标准要求</w:t>
                  </w:r>
                </w:p>
              </w:tc>
            </w:tr>
          </w:tbl>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zh-CN"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固体废物</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4.1一般固废</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（1）生活垃圾</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本项目员工人数为200人，生活垃圾产生量按1.0kg/d·人计，则产生量为0.2t/d(60t/a)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统一交由环卫部门处置。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收集粉尘</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cs="Times New Roman"/>
                <w:color w:val="000000" w:themeColor="text1"/>
                <w:sz w:val="24"/>
                <w:highlight w:val="none"/>
                <w:lang w:val="en-US" w:eastAsia="zh-CN"/>
                <w14:textFill>
                  <w14:solidFill>
                    <w14:schemeClr w14:val="tx1"/>
                  </w14:solidFill>
                </w14:textFill>
              </w:rPr>
              <w:t>除尘器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收集粉尘量约</w:t>
            </w:r>
            <w:r>
              <w:rPr>
                <w:rFonts w:hint="eastAsia" w:cs="Times New Roman"/>
                <w:color w:val="000000" w:themeColor="text1"/>
                <w:sz w:val="24"/>
                <w:highlight w:val="none"/>
                <w:lang w:val="en-US" w:eastAsia="zh-CN"/>
                <w14:textFill>
                  <w14:solidFill>
                    <w14:schemeClr w14:val="tx1"/>
                  </w14:solidFill>
                </w14:textFill>
              </w:rPr>
              <w:t>44.755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分类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回收后综合利用或交由环卫部门处置。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(3)边角废料</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项目在生产过程中切割产生边角</w:t>
            </w:r>
            <w:r>
              <w:rPr>
                <w:rFonts w:hint="eastAsia" w:cs="Times New Roman"/>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料，根据建设单位生产经验边角废料年产生量约2t/a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回收后外售综合利用。</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(4)包装废料</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bookmarkStart w:id="4" w:name="bookmark20"/>
            <w:bookmarkEnd w:id="4"/>
            <w:bookmarkStart w:id="5" w:name="bookmark21"/>
            <w:bookmarkEnd w:id="5"/>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项目在生产过程中产生包装废料，根据建设单位生产经验包装废料年产生量约1t/a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分类回收后综合利用或交由环卫部门处置。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（5）废钢丸</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项目在喷砂过程会产生废钢丸，根据建设单位生产经验，约4个月更换一次钢丸，钢丸一次用量为0.5t，则废钢丸产生量为1.5t/a，回收后外售综合利用。</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（6）废焊料焊渣</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本项目焊接工艺为二氧化碳气体保护焊或者氩弧焊。焊丝年耗量10吨，焊渣按焊条量的5%计算，则废焊料焊渣为0.5t/a。回收后外售综合利用。</w:t>
            </w:r>
          </w:p>
          <w:p>
            <w:pPr>
              <w:pStyle w:val="39"/>
              <w:keepNext w:val="0"/>
              <w:keepLines w:val="0"/>
              <w:pageBreakBefore w:val="0"/>
              <w:widowControl w:val="0"/>
              <w:numPr>
                <w:ilvl w:val="0"/>
                <w:numId w:val="2"/>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移动式焊接烟尘净化器产生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eastAsia" w:cs="Times New Roman"/>
                <w:color w:val="000000" w:themeColor="text1"/>
                <w:sz w:val="24"/>
                <w:highlight w:val="none"/>
                <w:lang w:val="en-US" w:eastAsia="zh-CN"/>
                <w14:textFill>
                  <w14:solidFill>
                    <w14:schemeClr w14:val="tx1"/>
                  </w14:solidFill>
                </w14:textFill>
              </w:rPr>
              <w:t>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滤芯</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移动式焊接烟尘净化器使用滤芯除尘，根据厂家提供资料，移动式焊接烟尘净化器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中的滤芯</w:t>
            </w:r>
            <w:r>
              <w:rPr>
                <w:rFonts w:hint="eastAsia" w:cs="Times New Roman"/>
                <w:color w:val="000000" w:themeColor="text1"/>
                <w:sz w:val="24"/>
                <w:highlight w:val="none"/>
                <w:lang w:val="en-US" w:eastAsia="zh-CN"/>
                <w14:textFill>
                  <w14:solidFill>
                    <w14:schemeClr w14:val="tx1"/>
                  </w14:solidFill>
                </w14:textFill>
              </w:rPr>
              <w:t>半年更换一次，一次更换量0.5t，则废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滤芯</w:t>
            </w:r>
            <w:r>
              <w:rPr>
                <w:rFonts w:hint="eastAsia" w:cs="Times New Roman"/>
                <w:color w:val="000000" w:themeColor="text1"/>
                <w:sz w:val="24"/>
                <w:highlight w:val="none"/>
                <w:lang w:val="en-US" w:eastAsia="zh-CN"/>
                <w14:textFill>
                  <w14:solidFill>
                    <w14:schemeClr w14:val="tx1"/>
                  </w14:solidFill>
                </w14:textFill>
              </w:rPr>
              <w:t>量为1t/a。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回收后综合利用或交由环卫部门处置。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jc w:val="left"/>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危险废物</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喷漆</w:t>
            </w:r>
            <w:r>
              <w:rPr>
                <w:rFonts w:hint="eastAsia" w:cs="Times New Roman"/>
                <w:color w:val="000000" w:themeColor="text1"/>
                <w:sz w:val="24"/>
                <w:highlight w:val="none"/>
                <w:lang w:val="en-US" w:eastAsia="zh-CN"/>
                <w14:textFill>
                  <w14:solidFill>
                    <w14:schemeClr w14:val="tx1"/>
                  </w14:solidFill>
                </w14:textFill>
              </w:rPr>
              <w:t>、丝印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过程产生的废漆、废漆桶</w:t>
            </w:r>
            <w:r>
              <w:rPr>
                <w:rFonts w:hint="eastAsia" w:cs="Times New Roman"/>
                <w:color w:val="000000" w:themeColor="text1"/>
                <w:sz w:val="24"/>
                <w:highlight w:val="none"/>
                <w:lang w:val="en-US" w:eastAsia="zh-CN"/>
                <w14:textFill>
                  <w14:solidFill>
                    <w14:schemeClr w14:val="tx1"/>
                  </w14:solidFill>
                </w14:textFill>
              </w:rPr>
              <w:t>、废油墨桶</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根据原辅料使用量及包装规格，本项目喷漆</w:t>
            </w:r>
            <w:r>
              <w:rPr>
                <w:rFonts w:hint="eastAsia" w:cs="Times New Roman"/>
                <w:color w:val="000000" w:themeColor="text1"/>
                <w:sz w:val="24"/>
                <w:highlight w:val="none"/>
                <w:lang w:val="en-US" w:eastAsia="zh-CN"/>
                <w14:textFill>
                  <w14:solidFill>
                    <w14:schemeClr w14:val="tx1"/>
                  </w14:solidFill>
                </w14:textFill>
              </w:rPr>
              <w:t>、丝印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过程产生的废漆、废漆桶</w:t>
            </w:r>
            <w:r>
              <w:rPr>
                <w:rFonts w:hint="eastAsia" w:cs="Times New Roman"/>
                <w:color w:val="000000" w:themeColor="text1"/>
                <w:sz w:val="24"/>
                <w:highlight w:val="none"/>
                <w:lang w:val="en-US" w:eastAsia="zh-CN"/>
                <w14:textFill>
                  <w14:solidFill>
                    <w14:schemeClr w14:val="tx1"/>
                  </w14:solidFill>
                </w14:textFill>
              </w:rPr>
              <w:t>、废油墨桶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产生量约0.</w:t>
            </w:r>
            <w:r>
              <w:rPr>
                <w:rFonts w:hint="eastAsia"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t/a，按《国家危险废物名录》(2021版)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属危险废物HW49其他废物(含有或沾染毒性、感染性危险废物的废弃包装物容器、过滤吸附介质)，废物代码为900-041-49(危</w:t>
            </w:r>
            <w:bookmarkStart w:id="6" w:name="bookmark19"/>
            <w:bookmarkEnd w:id="6"/>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险特性T/In)。经收集后暂存于危险废物暂存间，最终交由具有相应资质类别的危险废物处置单位处置。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（2）废DPA纸箱</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根据建设单位提供资料，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漆雾产生量为7.8t/a，</w:t>
            </w:r>
            <w:r>
              <w:rPr>
                <w:color w:val="000000" w:themeColor="text1"/>
                <w:sz w:val="24"/>
                <w:szCs w:val="24"/>
                <w:highlight w:val="none"/>
                <w14:textFill>
                  <w14:solidFill>
                    <w14:schemeClr w14:val="tx1"/>
                  </w14:solidFill>
                </w14:textFill>
              </w:rPr>
              <w:t>DPA纸箱过滤器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漆雾收集量为</w:t>
            </w:r>
            <w:r>
              <w:rPr>
                <w:rFonts w:hint="eastAsia" w:cs="Times New Roman"/>
                <w:color w:val="000000" w:themeColor="text1"/>
                <w:sz w:val="24"/>
                <w:szCs w:val="24"/>
                <w:highlight w:val="none"/>
                <w:lang w:val="en-US" w:eastAsia="zh-CN"/>
                <w14:textFill>
                  <w14:solidFill>
                    <w14:schemeClr w14:val="tx1"/>
                  </w14:solidFill>
                </w14:textFill>
              </w:rPr>
              <w:t>6.459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废DPA纸箱1个月更换一次，DPA纸箱一次的量约为0.</w:t>
            </w:r>
            <w:r>
              <w:rPr>
                <w:rFonts w:hint="eastAsia"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t，则废DPA纸箱年产生量为：</w:t>
            </w:r>
            <w:r>
              <w:rPr>
                <w:rFonts w:hint="eastAsia" w:cs="Times New Roman"/>
                <w:color w:val="000000" w:themeColor="text1"/>
                <w:sz w:val="24"/>
                <w:highlight w:val="none"/>
                <w:lang w:val="en-US" w:eastAsia="zh-CN"/>
                <w14:textFill>
                  <w14:solidFill>
                    <w14:schemeClr w14:val="tx1"/>
                  </w14:solidFill>
                </w14:textFill>
              </w:rPr>
              <w:t>7.659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t/a。按《国家危险废物名录》(2021版)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属危险废物HW49其他废物(含有或沾染毒性、感染性危险废物的废弃包装物容器、过滤吸附介质)，废物代码为900-041-49</w:t>
            </w:r>
            <w:r>
              <w:rPr>
                <w:rFonts w:hint="eastAsia" w:cs="Times New Roman"/>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(危险特性T/In)。经收集后暂存于危险废物暂存间，最终交由具有相应资质类别的危险废物处置单位处置。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（3）废空压机油、废机油</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项目设备使用、维修过程中更换少量的废空压油和机油，年用量为1t/a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根据业主提供资料及同类型行业参考可知，废油产生量为年用量的5%-10%</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本环评以最大量10%计，则废空压机和</w:t>
            </w:r>
            <w:r>
              <w:rPr>
                <w:rFonts w:hint="eastAsia" w:cs="Times New Roman"/>
                <w:color w:val="000000" w:themeColor="text1"/>
                <w:sz w:val="24"/>
                <w:highlight w:val="none"/>
                <w:lang w:val="en-US" w:eastAsia="zh-CN"/>
                <w14:textFill>
                  <w14:solidFill>
                    <w14:schemeClr w14:val="tx1"/>
                  </w14:solidFill>
                </w14:textFill>
              </w:rPr>
              <w:t>废空压机油、废机油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产生量约为0.1t/a</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对照《国家危险废物名录》(2021版)</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属危险废物HW08废矿物油与含矿物油废物，废物代码为900-214-08(危险特性T</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I)。经收集后暂存于危险废物暂存间，最终交由具有相应资质类别的危险废物处置单位处置。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（4）废活性炭</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废活性炭属于《国家危险废物名录(2021版)》中HW49其他废物(900-039-49)烟气、</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治理过程(不包括餐饮行业油烟治理过程)产生的废活性炭(危险特性T/In)。</w:t>
            </w:r>
            <w:r>
              <w:rPr>
                <w:rFonts w:hint="eastAsia" w:cs="Times New Roman"/>
                <w:color w:val="000000" w:themeColor="text1"/>
                <w:sz w:val="24"/>
                <w:highlight w:val="none"/>
                <w:lang w:val="en-US" w:eastAsia="zh-CN"/>
                <w14:textFill>
                  <w14:solidFill>
                    <w14:schemeClr w14:val="tx1"/>
                  </w14:solidFill>
                </w14:textFill>
              </w:rPr>
              <w:t>本项目使用</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活性炭吸附</w:t>
            </w:r>
            <w:r>
              <w:rPr>
                <w:rFonts w:hint="default"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脱附</w:t>
            </w:r>
            <w:r>
              <w:rPr>
                <w:rFonts w:hint="default" w:ascii="宋体" w:hAnsi="宋体" w:eastAsia="宋体" w:cs="宋体"/>
                <w:bCs/>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0"/>
                <w:sz w:val="24"/>
                <w:szCs w:val="24"/>
                <w:highlight w:val="none"/>
                <w:lang w:val="en-US" w:eastAsia="zh-CN"/>
                <w14:textFill>
                  <w14:solidFill>
                    <w14:schemeClr w14:val="tx1"/>
                  </w14:solidFill>
                </w14:textFill>
              </w:rPr>
              <w:t>催化燃烧处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理设备</w:t>
            </w:r>
            <w:r>
              <w:rPr>
                <w:rFonts w:hint="eastAsia" w:cs="Times New Roman"/>
                <w:color w:val="000000" w:themeColor="text1"/>
                <w:sz w:val="24"/>
                <w:highlight w:val="none"/>
                <w:lang w:val="en-US" w:eastAsia="zh-CN"/>
                <w14:textFill>
                  <w14:solidFill>
                    <w14:schemeClr w14:val="tx1"/>
                  </w14:solidFill>
                </w14:textFill>
              </w:rPr>
              <w:t>，根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据建设单位提供资料，活性炭用量约为2t。活性炭更换周期约为12个月，参考《李守信，陈青松，罗鑫，等.吸附法处理</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脱附温度的选择[J].中国环保产业，2018，(3)：48-50》活性炭脱附效率取97.7%，吸附有机废气共计5.</w:t>
            </w:r>
            <w:r>
              <w:rPr>
                <w:rFonts w:hint="eastAsia" w:cs="Times New Roman"/>
                <w:color w:val="000000" w:themeColor="text1"/>
                <w:sz w:val="24"/>
                <w:highlight w:val="none"/>
                <w:lang w:val="en-US" w:eastAsia="zh-CN"/>
                <w14:textFill>
                  <w14:solidFill>
                    <w14:schemeClr w14:val="tx1"/>
                  </w14:solidFill>
                </w14:textFill>
              </w:rPr>
              <w:t>8572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t/a，则活性炭中遗留的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量为0.1</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t/a。1年更换一次活性炭产生的废活性炭+遗留的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量=2+0.1</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t，则产生废活性炭量（含遗留的</w:t>
            </w:r>
            <w:r>
              <w:rPr>
                <w:rFonts w:hint="eastAsia" w:cs="Times New Roman"/>
                <w:color w:val="000000" w:themeColor="text1"/>
                <w:sz w:val="24"/>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cs="Times New Roman"/>
                <w:color w:val="000000" w:themeColor="text1"/>
                <w:sz w:val="24"/>
                <w:highlight w:val="none"/>
                <w:lang w:val="en-US" w:eastAsia="zh-CN"/>
                <w14:textFill>
                  <w14:solidFill>
                    <w14:schemeClr w14:val="tx1"/>
                  </w14:solidFill>
                </w14:textFill>
              </w:rPr>
              <w:t>2.13t/a。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（5）废催化剂</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本项目使用活性炭吸附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脱附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催化燃烧处理设备，据建设单位提供资料，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催化燃烧采用的催化剂为金属铂，重量约为100g，更换时间约为3年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，则废催化剂产生量为0.1kg/3a。经查询《国家危险废物名录》，废催化剂属HW50 类危险废物，名录中有机废气处理产生的废催化剂未明确危废代码，因此，本环评有机废气处理产生的废催化剂套用废汽车尾气净化催化剂的危废代码(900-049-50)，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（6）废油墨</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本项目壳体丝印过程中会产生一定量的废油墨，产生量约为0.001t/a。对照《国家危险废物名录》(2021年版)，该部分固体废物属于危险废物，危废类别 HW12 染料、涂料废物(900-299-12)，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经收集后暂存于危险废物暂存间，最终交由具有相应资质类别的危险废物处置单位处置。</w:t>
            </w:r>
          </w:p>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本项目固体废物产排情况具体见下表。</w:t>
            </w:r>
          </w:p>
          <w:p>
            <w:pPr>
              <w:pStyle w:val="39"/>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项目固体废物产生与处置情况</w:t>
            </w:r>
          </w:p>
          <w:tbl>
            <w:tblPr>
              <w:tblStyle w:val="24"/>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64"/>
              <w:gridCol w:w="448"/>
              <w:gridCol w:w="584"/>
              <w:gridCol w:w="553"/>
              <w:gridCol w:w="1205"/>
              <w:gridCol w:w="858"/>
              <w:gridCol w:w="746"/>
              <w:gridCol w:w="850"/>
              <w:gridCol w:w="953"/>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产生环节</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名称</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属性</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物理性状</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固废代码</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产生量t/a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储存</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方式</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利用处置和去向</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利用或处置量t/a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职工</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办公</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垃圾</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生活垃圾桶</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由园区环卫部门统一清运处理</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分类收集存放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除尘</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器</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val="0"/>
                      <w:color w:val="000000" w:themeColor="text1"/>
                      <w:spacing w:val="0"/>
                      <w:sz w:val="21"/>
                      <w:szCs w:val="21"/>
                      <w:highlight w:val="none"/>
                      <w14:textFill>
                        <w14:solidFill>
                          <w14:schemeClr w14:val="tx1"/>
                        </w14:solidFill>
                      </w14:textFill>
                    </w:rPr>
                  </w:pPr>
                  <w:r>
                    <w:rPr>
                      <w:rFonts w:hint="eastAsia" w:eastAsia="宋体"/>
                      <w:b w:val="0"/>
                      <w:color w:val="000000" w:themeColor="text1"/>
                      <w:spacing w:val="0"/>
                      <w:sz w:val="21"/>
                      <w:szCs w:val="21"/>
                      <w:highlight w:val="none"/>
                      <w14:textFill>
                        <w14:solidFill>
                          <w14:schemeClr w14:val="tx1"/>
                        </w14:solidFill>
                      </w14:textFill>
                    </w:rPr>
                    <w:t>除尘器收尘</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44.755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44.755</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切割</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边角废料</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1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收集后</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收集后</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w:t>
                  </w:r>
                </w:p>
              </w:tc>
              <w:tc>
                <w:tcPr>
                  <w:tcW w:w="1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分类</w:t>
                  </w: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喷砂</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焊接</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回收后外售综合利用</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移动式焊接烟尘净化器产生的废滤芯</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废滤芯</w:t>
                  </w:r>
                </w:p>
              </w:tc>
              <w:tc>
                <w:tcPr>
                  <w:tcW w:w="1032"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一般固废</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回收后综合利用或交由环卫部门处置。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喷漆、丝印过程产生的废漆、废漆桶、废油墨桶</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900-041-49</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900-041-49</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7.659</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7.659</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维修</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废空压机油、废机油</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w:t>
                  </w:r>
                  <w:r>
                    <w:rPr>
                      <w:rFonts w:hint="eastAsia"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I</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液体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900-214-08</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900-039-49</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2.1</w:t>
                  </w:r>
                  <w:r>
                    <w:rPr>
                      <w:rFonts w:hint="eastAsia" w:cs="Times New Roman"/>
                      <w:b w:val="0"/>
                      <w:color w:val="000000" w:themeColor="text1"/>
                      <w:spacing w:val="0"/>
                      <w:sz w:val="21"/>
                      <w:szCs w:val="21"/>
                      <w:highlight w:val="none"/>
                      <w:lang w:val="en-US" w:eastAsia="zh-CN"/>
                      <w14:textFill>
                        <w14:solidFill>
                          <w14:schemeClr w14:val="tx1"/>
                        </w14:solidFill>
                      </w14:textFill>
                    </w:rPr>
                    <w:t>3</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2.1</w:t>
                  </w:r>
                  <w:r>
                    <w:rPr>
                      <w:rFonts w:hint="eastAsia" w:cs="Times New Roman"/>
                      <w:b w:val="0"/>
                      <w:color w:val="000000" w:themeColor="text1"/>
                      <w:spacing w:val="0"/>
                      <w:sz w:val="21"/>
                      <w:szCs w:val="21"/>
                      <w:highlight w:val="none"/>
                      <w:lang w:val="en-US" w:eastAsia="zh-CN"/>
                      <w14:textFill>
                        <w14:solidFill>
                          <w14:schemeClr w14:val="tx1"/>
                        </w14:solidFill>
                      </w14:textFill>
                    </w:rPr>
                    <w:t>3</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喷漆废气处理设施</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T/In</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固体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900-049-50</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丝印</w:t>
                  </w:r>
                </w:p>
              </w:tc>
              <w:tc>
                <w:tcPr>
                  <w:tcW w:w="66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废油墨</w:t>
                  </w:r>
                </w:p>
              </w:tc>
              <w:tc>
                <w:tcPr>
                  <w:tcW w:w="44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危险</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废物</w:t>
                  </w:r>
                </w:p>
              </w:tc>
              <w:tc>
                <w:tcPr>
                  <w:tcW w:w="584"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T</w:t>
                  </w:r>
                </w:p>
              </w:tc>
              <w:tc>
                <w:tcPr>
                  <w:tcW w:w="5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液体</w:t>
                  </w:r>
                </w:p>
              </w:tc>
              <w:tc>
                <w:tcPr>
                  <w:tcW w:w="120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900-299-12</w:t>
                  </w:r>
                </w:p>
              </w:tc>
              <w:tc>
                <w:tcPr>
                  <w:tcW w:w="85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0.001t/a</w:t>
                  </w:r>
                </w:p>
              </w:tc>
              <w:tc>
                <w:tcPr>
                  <w:tcW w:w="7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移动式危废暂存间</w:t>
                  </w:r>
                </w:p>
              </w:tc>
              <w:tc>
                <w:tcPr>
                  <w:tcW w:w="85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定期委托有危废处理资质的单位清运处置</w:t>
                  </w:r>
                </w:p>
              </w:tc>
              <w:tc>
                <w:tcPr>
                  <w:tcW w:w="953"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0.001t/a</w:t>
                  </w:r>
                </w:p>
              </w:tc>
              <w:tc>
                <w:tcPr>
                  <w:tcW w:w="54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电子联单转移制度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本项目设置</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1座移动式危废暂存间</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用于临时储存危废</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运营过程中，对暂存的危险废物，要按照国家有关规定，认真执行向环保行政主管部门申报制度及危险废物转移联单制度。危险废物暂存间设置要求如下：</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生成危险废物的工序，必须设置专用的危险废物收集容器，产生的危险废物随时放置在容器中，绝不能和其他废物一起混合收集，定期运往危险废物暂存场所。委托处置的危险废物应定期交由危险废物处置单位处置。危险废物在暂存场所内不能存储1年以上。</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一般固废的收集、储存、管理严格按照《</w:t>
            </w:r>
            <w:r>
              <w:rPr>
                <w:rFonts w:hint="eastAsia"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一般工业固体废物贮存和填埋污染控制标准</w:t>
            </w:r>
            <w:r>
              <w:rPr>
                <w:rFonts w:hint="default" w:ascii="Times New Roman" w:hAnsi="Times New Roman" w:eastAsia="宋体" w:cs="Times New Roman"/>
                <w:b w:val="0"/>
                <w:bCs/>
                <w:color w:val="000000" w:themeColor="text1"/>
                <w:kern w:val="0"/>
                <w:sz w:val="24"/>
                <w:highlight w:val="none"/>
                <w:lang w:val="en-US" w:eastAsia="zh-CN"/>
                <w14:textFill>
                  <w14:solidFill>
                    <w14:schemeClr w14:val="tx1"/>
                  </w14:solidFill>
                </w14:textFill>
              </w:rPr>
              <w:t>》（GB18599-2020）相关规定和要求执行，建立产生、收集、贮存、运输、利用、处置全过程的污染环境防治责任制度，建立管理台账。由专人负责一般固废的收集和管理工作。</w:t>
            </w:r>
          </w:p>
          <w:p>
            <w:pPr>
              <w:pStyle w:val="72"/>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3移动式危废暂存间</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建设可行性分析</w:t>
            </w:r>
          </w:p>
          <w:p>
            <w:pPr>
              <w:pStyle w:val="72"/>
              <w:ind w:firstLine="48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根据《危险废物贮存污染控制标准》（GB18597-2023）符合性分析如下：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本项目固体废物排放对比一览表</w:t>
            </w:r>
          </w:p>
          <w:tbl>
            <w:tblPr>
              <w:tblStyle w:val="24"/>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997"/>
              <w:gridCol w:w="2203"/>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noWrap w:val="0"/>
                  <w:vAlign w:val="center"/>
                </w:tcPr>
                <w:p>
                  <w:pPr>
                    <w:pStyle w:val="74"/>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标准</w:t>
                  </w:r>
                </w:p>
              </w:tc>
              <w:tc>
                <w:tcPr>
                  <w:tcW w:w="4997" w:type="dxa"/>
                  <w:noWrap w:val="0"/>
                  <w:vAlign w:val="center"/>
                </w:tcPr>
                <w:p>
                  <w:pPr>
                    <w:pStyle w:val="74"/>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要求</w:t>
                  </w:r>
                </w:p>
              </w:tc>
              <w:tc>
                <w:tcPr>
                  <w:tcW w:w="2203" w:type="dxa"/>
                  <w:noWrap w:val="0"/>
                  <w:vAlign w:val="center"/>
                </w:tcPr>
                <w:p>
                  <w:pPr>
                    <w:pStyle w:val="74"/>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建设内容</w:t>
                  </w:r>
                </w:p>
              </w:tc>
              <w:tc>
                <w:tcPr>
                  <w:tcW w:w="880" w:type="dxa"/>
                  <w:noWrap w:val="0"/>
                  <w:vAlign w:val="center"/>
                </w:tcPr>
                <w:p>
                  <w:pPr>
                    <w:pStyle w:val="74"/>
                    <w:spacing w:line="240" w:lineRule="auto"/>
                    <w:ind w:left="0" w:lef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restart"/>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《危险废物贮存污染控制标准》（GB18597-2023）</w:t>
                  </w:r>
                </w:p>
              </w:tc>
              <w:tc>
                <w:tcPr>
                  <w:tcW w:w="4997" w:type="dxa"/>
                  <w:noWrap w:val="0"/>
                  <w:vAlign w:val="center"/>
                </w:tcPr>
                <w:p>
                  <w:pPr>
                    <w:pStyle w:val="72"/>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总体要求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产生、收集、贮存、利用、处置危险废物的单位应建造危险废物贮存设施或设置贮存场所，并根据需要选择贮存设施类型。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2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贮存危险废物应根据危险废物的类别、数量、形态、物理化学性质和环境风险等因素，确定贮存设施或场所类型和规模。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3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贮存危险废物应根据危险废物的类别、形态、物理化学性质和污染防治要求进行分类贮存，且应避免危险废物与不相容的物质或材料接触。</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4 \* GB3 </w:instrTex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贮存危险废物应根据危险废物的形态、物理化学性质、包装形式和污染物迁移途径，采取措施减少渗滤液及其衍生废物、渗漏的液态废物（简称渗漏液）、粉尘、</w:t>
                  </w:r>
                  <w:r>
                    <w:rPr>
                      <w:rFonts w:hint="eastAsia" w:cs="Times New Roman"/>
                      <w:color w:val="000000" w:themeColor="text1"/>
                      <w:kern w:val="2"/>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酸雾、有毒有害大气污染物和刺激性气味气体等污染物的产生，防止其污染环境。⑤危险废物贮存过程产生的液态废物和固态废物应分类收集，按其环境管理要求妥善处理。⑥贮存设施或场所、容器和包装物应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HJ 1276-2022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要求设置危险废物贮存设施或场所标志、危险废物贮存分区标志和危险废物标签等危险废物识别标志。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⑧贮存设施退役时，所有者或运营者应依法履行环境保护责任，退役前应妥善处理处置贮存设施内剩余的危险废物，并对贮存设施进行清理，消除污染；还应依据土壤污染防治相关法律法规履行场地环境风险防控责任。⑨在常温常压下易爆、易燃及排出有毒气体的危险废物应进行预处理，使之稳定后贮存，否则应按易爆、易燃危险品贮存。⑩危险废物贮存除应满足环境保护相关要求外，还应执行国家安全生产、职业健康、交通运输、消防等法律法规和标准的相关要求。</w:t>
                  </w:r>
                </w:p>
              </w:tc>
              <w:tc>
                <w:tcPr>
                  <w:tcW w:w="2203" w:type="dxa"/>
                  <w:noWrap w:val="0"/>
                  <w:vAlign w:val="top"/>
                </w:tcPr>
                <w:p>
                  <w:pPr>
                    <w:pStyle w:val="72"/>
                    <w:spacing w:line="240" w:lineRule="auto"/>
                    <w:ind w:left="0" w:leftChars="0" w:firstLine="0" w:firstLineChars="0"/>
                    <w:jc w:val="both"/>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①本项目建设</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1间；②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危险废物根据危险废物的类别、形态、物理化学性质和污染防治要求进行分类贮存；③地面防渗，并对产生有机废气的危废进行桶装加盖，液态气态分类存储；④贮存设施、容器和包装物按HJ1276要求设置危险废物贮存设施或场所标志、危险废物贮存分区标志和危险废物标签等危险废物识别标志。⑤危废交由有资质单位进行处置。⑥危险废物贮存除应满足环境保护相关要求外，还应执行国家安全生产、职业健康、交通运输、消防等法律法规和标准的相关要求。</w:t>
                  </w:r>
                </w:p>
              </w:tc>
              <w:tc>
                <w:tcPr>
                  <w:tcW w:w="880" w:type="dxa"/>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2"/>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keepNext w:val="0"/>
                    <w:keepLines w:val="0"/>
                    <w:widowControl/>
                    <w:suppressLineNumbers w:val="0"/>
                    <w:spacing w:line="240" w:lineRule="auto"/>
                    <w:ind w:firstLine="422" w:firstLineChars="20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贮存设施选址要求：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①贮存设施选址应满足生态环境保护法律法规、规划和</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三线一单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环境分区管控的要求，建设项目应依法进行环境影响评价。②集中贮存设施不应选在生态保护红线区域、永久基本农田和其他需要特别保护的区域内，不应建在溶洞区或易遭受洪水、滑坡、泥石流、潮汐等严重自然灾害影响的地区。③贮存设施不应选在江河、湖泊、运河、渠道、水库及其最高水位线以下的滩地和岸坡，以及法律法规规定禁止贮存危险废物的其他地点。④贮存设施场址的位置以及其与周围环境敏感目标的距离应依据环境影响评价文件确定。</w:t>
                  </w:r>
                </w:p>
              </w:tc>
              <w:tc>
                <w:tcPr>
                  <w:tcW w:w="2203" w:type="dxa"/>
                  <w:noWrap w:val="0"/>
                  <w:vAlign w:val="center"/>
                </w:tcPr>
                <w:p>
                  <w:pPr>
                    <w:pStyle w:val="72"/>
                    <w:spacing w:line="240" w:lineRule="auto"/>
                    <w:ind w:left="0" w:leftChars="0" w:firstLine="0" w:firstLineChars="0"/>
                    <w:jc w:val="left"/>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满足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三线一单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生态环境分区管控的要求</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不在生态保护红线区域、永久基本农田和其他需要特别保护的区域内，不建在溶洞区或易遭受洪水、滑坡、泥石流、潮汐等严重自然灾害影响的地区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无敏感点，符合选址要求。</w:t>
                  </w:r>
                </w:p>
              </w:tc>
              <w:tc>
                <w:tcPr>
                  <w:tcW w:w="880" w:type="dxa"/>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2"/>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keepNext w:val="0"/>
                    <w:keepLines w:val="0"/>
                    <w:widowControl/>
                    <w:suppressLineNumbers w:val="0"/>
                    <w:spacing w:line="240" w:lineRule="auto"/>
                    <w:ind w:firstLine="422" w:firstLineChars="20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贮存设施污染控制要求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②贮存设施应根据危险废物的类别、数量、形态、物理化学性质和污染防治等要求设置必要的贮存分区，避免不相容的危险废物接触、混合。③贮存设施或贮存分区内地面、墙面裙脚、堵截泄漏的围堰、接触危险废物的隔板和墙体等应采用坚固的材料建造，表面无裂缝。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或其他防渗性能等效的材料。⑤同一贮存设施宜采用相同的防渗、防腐工艺（包括防渗、防腐结构或材料），防渗、防腐材料应覆盖所有可能与废物及其渗滤液、渗漏液等接触的构筑物表面；采用不同防渗、防腐工艺应分别建设贮存分区。⑥贮存设施应采取技术和管理措施防止无关人员进入。</w:t>
                  </w:r>
                </w:p>
              </w:tc>
              <w:tc>
                <w:tcPr>
                  <w:tcW w:w="2203" w:type="dxa"/>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①危废间为</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，按照采取防渗措施</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。②由于涉及的危废种类较多，根据类别进行分区并设隔板。③</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w:t>
                  </w:r>
                </w:p>
              </w:tc>
              <w:tc>
                <w:tcPr>
                  <w:tcW w:w="880" w:type="dxa"/>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dxa"/>
                  <w:vMerge w:val="continue"/>
                  <w:noWrap w:val="0"/>
                  <w:vAlign w:val="center"/>
                </w:tcPr>
                <w:p>
                  <w:pPr>
                    <w:pStyle w:val="72"/>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4997" w:type="dxa"/>
                  <w:noWrap w:val="0"/>
                  <w:vAlign w:val="center"/>
                </w:tcPr>
                <w:p>
                  <w:pPr>
                    <w:pStyle w:val="72"/>
                    <w:spacing w:line="240" w:lineRule="auto"/>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贮存库：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库内不同贮存分区之间应采取隔离措施。隔离措施可根据危险废物特性采用过道、隔板或隔墙等方式。②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③贮存易产生粉尘、</w:t>
                  </w:r>
                  <w:r>
                    <w:rPr>
                      <w:rFonts w:hint="eastAsia" w:cs="Times New Roman"/>
                      <w:color w:val="000000" w:themeColor="text1"/>
                      <w:kern w:val="2"/>
                      <w:sz w:val="21"/>
                      <w:szCs w:val="21"/>
                      <w:highlight w:val="none"/>
                      <w:lang w:val="en-US" w:eastAsia="zh-CN" w:bidi="ar-SA"/>
                      <w14:textFill>
                        <w14:solidFill>
                          <w14:schemeClr w14:val="tx1"/>
                        </w14:solidFill>
                      </w14:textFill>
                    </w:rPr>
                    <w:t>VOCs</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、酸雾、有毒有害大气污染物和刺激性气味气体的危险废物贮存库，应设置气体收集装置和气体净化设施；气体净化设施的排气筒高度应符合GB16297要求。</w:t>
                  </w:r>
                </w:p>
              </w:tc>
              <w:tc>
                <w:tcPr>
                  <w:tcW w:w="2203" w:type="dxa"/>
                  <w:noWrap w:val="0"/>
                  <w:vAlign w:val="center"/>
                </w:tcPr>
                <w:p>
                  <w:pPr>
                    <w:pStyle w:val="72"/>
                    <w:spacing w:line="240" w:lineRule="auto"/>
                    <w:ind w:left="0" w:leftChars="0" w:firstLine="0" w:firstLineChars="0"/>
                    <w:jc w:val="both"/>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内不同贮存分区之间采取隔离措施。隔离措施可根据危险废物特性采用过道、隔板或隔墙等方式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具有液体泄漏堵截设施，堵截设施最小容积不低于对应贮存区域最大液态废物容器容积或液态废物总储量1/10，用于贮存可能产生渗滤液的危险废物的贮存库或贮存分区应设计渗滤液收集设施，收集设施容积应满足渗滤液的收集要求。</w:t>
                  </w:r>
                </w:p>
              </w:tc>
              <w:tc>
                <w:tcPr>
                  <w:tcW w:w="880" w:type="dxa"/>
                  <w:noWrap w:val="0"/>
                  <w:vAlign w:val="center"/>
                </w:tcPr>
                <w:p>
                  <w:pPr>
                    <w:pStyle w:val="72"/>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符合</w:t>
                  </w:r>
                </w:p>
              </w:tc>
            </w:tr>
          </w:tbl>
          <w:p>
            <w:pPr>
              <w:keepNext w:val="0"/>
              <w:keepLines w:val="0"/>
              <w:pageBreakBefore w:val="0"/>
              <w:widowControl w:val="0"/>
              <w:kinsoku/>
              <w:overflowPunct/>
              <w:topLinePunct w:val="0"/>
              <w:autoSpaceDE w:val="0"/>
              <w:autoSpaceDN w:val="0"/>
              <w:bidi w:val="0"/>
              <w:adjustRightInd w:val="0"/>
              <w:snapToGrid/>
              <w:spacing w:line="360" w:lineRule="auto"/>
              <w:ind w:left="0" w:firstLine="360" w:firstLineChars="15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按照《危险废物贮存污染控制标准》（GB18597-2023）的要求设置一座</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用于储存危废，危险废物暂存间设置要求如下：</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拟建于</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厂区东北角</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对于危险固废的收集及贮存，应根据危险固废的成分，用符合国家标准的耐腐蚀、不易破损、变形和老化的容器贮存，并按规定在贮存危险固废容器上贴上标签，详细注明危险固废的名称、重量、成分、特性以及发生泄漏、扩散污染事故时的应急措施和补救办法。危险废物贮存设施或场所标志、危险废物包装标签等危险废物识别标志按HJ1276要求设置。</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numPr>
                <w:ilvl w:val="0"/>
                <w:numId w:val="0"/>
              </w:numPr>
              <w:kinsoku/>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（4）公司设立专门的人管理危险废暂存间，双人双锁，以防无关人员进入。</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（5）危险废物临时储存场所必须按HJ1276-2022的规定设置警示标志，周围应设置围墙或其他防护栅栏。</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（6）危险废物临时储存场所应配备通讯设备、照明设施、安全防护服装及工具，并设有应急防护设施。</w:t>
            </w:r>
          </w:p>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综上，通过对生产过程中产生的固废分类收集，分类处理与处置，本项目固体废物不会对周围环境产生污染影响。</w:t>
            </w:r>
          </w:p>
          <w:p>
            <w:pPr>
              <w:pStyle w:val="72"/>
              <w:keepNext w:val="0"/>
              <w:keepLines w:val="0"/>
              <w:pageBreakBefore w:val="0"/>
              <w:widowControl w:val="0"/>
              <w:kinsoku/>
              <w:overflowPunct/>
              <w:topLinePunct w:val="0"/>
              <w:bidi w:val="0"/>
              <w:snapToGrid/>
              <w:spacing w:line="360" w:lineRule="auto"/>
              <w:ind w:left="0" w:leftChars="0" w:firstLine="0" w:firstLineChars="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危险废物管理要求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1、基本原则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产生危险废物的单位，应当按照</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《危险废物管理计划和管理台账制定技术导则》（HJ 1259-2022）</w:t>
            </w:r>
            <w:r>
              <w:rPr>
                <w:rFonts w:hint="default" w:ascii="Times New Roman" w:hAnsi="Times New Roman" w:eastAsia="宋体" w:cs="Times New Roman"/>
                <w:color w:val="000000" w:themeColor="text1"/>
                <w:sz w:val="24"/>
                <w:highlight w:val="none"/>
                <w14:textFill>
                  <w14:solidFill>
                    <w14:schemeClr w14:val="tx1"/>
                  </w14:solidFill>
                </w14:textFill>
              </w:rPr>
              <w:t>规定</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4"/>
                <w:highlight w:val="none"/>
                <w14:textFill>
                  <w14:solidFill>
                    <w14:schemeClr w14:val="tx1"/>
                  </w14:solidFill>
                </w14:textFill>
              </w:rPr>
              <w:t>分类管理，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产生危险废物的单位应当按照实际情况填写记录有关内容，并对内容的真实性、准确性和完整性负责。</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危险废物的收集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①危险废物的收集应根据危险废物产生的工艺特征、排放周期、危险废物特性、废物管理计划等因素制定收集计划。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②危险废物的收集应制定详细的操作规程，内容至少应包括适用范围、操作程序和方法、专用设备和工具、转移和交接、安全保障和应急防护等。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③危险废物收集和转运作业人员应根据工作需要配备必要的个人防护装备，如手套、防护镜、防护服、防毒面具或口罩等。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3、危险废物的运输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危险废物需按照《危险废物收集 贮存 运输技术规范》（HJ2025-2012）中的要求进行运输。产废单位负责危险废物的收集，第三方运输企业负责运输，在接收危险废物原料时，本项目工作人员和运输单位需协调相关危险废物运输车辆，要求其按照规范要求操作，避免运输途中的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①危险废物运输应由持有危险废物经营许可证的单位按照其许可证的经营范围组织实施，承担危险废物运输的单位应获得交通运输部门颁发的危险货物运输资质。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②危险废物运输应执行《道路危险货物运输管理规定》（交通部令﹝2005年﹞第9号）。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③危险废物公路运输时，运输车辆应按GB13392设置车辆标识。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④根据《新疆维吾尔自治区危险废物处置利用行业环保准入条件》：危险废物处置利用单位必须有固定的危险废物运输车辆，并在运输车辆安装GPS装置。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此外，项目危险废物产生、转移、贮存、利用处置等基础数据，需在新疆维吾尔自治区固体废物动态信息管理平台上申报和备案。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4、危险废物管理台账制定要求</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产生危险废物的单位应建立危险废物管理台账，落实危险废物管理台账记录的责任人，明确工作职责，并对危险废物管理台账的真实性、准确性和完整性负法律责任。</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产生危险废物的单位应根据危险废物产生、贮存、利用、处置等环节的动态流向，如实建立各环节的危险废物管理台账。危险废物管理台账分为电子管理台账和纸质管理台账两种形式。</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危险废物的单位可通过国家危险废物信息管理系统、企业自建信息管理系统或第三方平台等方式记录电子管理台账。产生后盛放至容器和包装物的，应按每个容器和包装物进行记录；保存时间原则上应存档5年以上。</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5、联单制度</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建设单位必须建立危险废物转移联单制度，收集贮存的危险废物应严格按照《危险废物转移管理办法》中的有关要求管理，危险废物转移程序如下：</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①危险废物转移联单应当根据危险废物管理计划中填报的危险废物转移等备案信息填写、运行。</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②采用联运方式转移危险废物的，前一承运人和后一承运人应当明确运输交接的时间和地点。后一承运人应当核实危险废物转移联单确定的移出人信息、前一承运人信息及危险废物相关信息。</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③移出人每转移一车（船或者其他运输工具</w:t>
            </w:r>
            <w:r>
              <w:rPr>
                <w:rFonts w:hint="eastAsia" w:cs="Times New Roman"/>
                <w:color w:val="000000" w:themeColor="text1"/>
                <w:sz w:val="24"/>
                <w:highlight w:val="none"/>
                <w:lang w:val="en-US" w:eastAsia="zh-CN"/>
                <w14:textFill>
                  <w14:solidFill>
                    <w14:schemeClr w14:val="tx1"/>
                  </w14:solidFill>
                </w14:textFill>
              </w:rPr>
              <w:t>）一/一</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次同类危险废物，应当填写、运行一份危险废物电子转移联单；每车（船或者其他运输工具）一次转移多类危险废物的，可以填写、运行一份危险废物电子转移联单，也可以每一类危险废物填写、运行一份危险废物电子转移联单。</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④采用联运方式转移危险废物的，前一承运人和后一承运人应当明确运输交接的时间和地点。后一承运人应当核实危险废物电子转移联单确定的移出人信息、前一承运人信息及危险废物相关信息。</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转移危险废物的，须按照国家有关规定填写危险废物电子转移联单，并向危险废物移出地设区的市级以上地方人民政府环境保护行政主管部门提出申请。移出地设区的市级以上地方人民政府环境保护行政主管部门应当经接收地设区的市级以上地方人民政府环境保护行政主管部门同意后，方可批准转移该危险废物。未经批准，不得转移。转移危险废物途经移出地、接收地以外行政区域的，危险废物移出地设区的市级以上地方人民政府环境保护行政主管部门应当及时通知沿途经过的设区的市级以上地方人民政府环境保护行政主管部门。</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6、委托处置</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危险废物交由有相应危废处置资质的单位进行处置，危废处置单位使用专用车辆至厂内收集、转移危险废物，建设单位不自行外运、转移。危险废物委托处置后，对环境影响不大。</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7、管理措施</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企业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按规定申报危险废物产生、贮存、转移、利用处置等信息，制定和落实危险废物年度管理计划，执行危险废物申报登记制度，并在“固废管理系统”中备案。及时向当地环保部门申报危险废物种类、产生量、流向、处置等资料，办理临时申报登记手续。严格执行危险废物交换转移审批制度。所有危险废物交换转移向环保部门提出申请，经环保部门预审后报上级环保部门批准。危险废物交换转移前到当地环保部门网上申请联单。绝不擅自交换、向无危险废物经营许可证单位转移。必须定期对所暂存的危险废物包装容器及暂存设施进行检查，发现破损，应及时采取措施清理更换。</w:t>
            </w:r>
          </w:p>
          <w:p>
            <w:pPr>
              <w:numPr>
                <w:ilvl w:val="0"/>
                <w:numId w:val="0"/>
              </w:numPr>
              <w:adjustRightInd w:val="0"/>
              <w:snapToGrid w:val="0"/>
              <w:spacing w:line="360" w:lineRule="auto"/>
              <w:ind w:firstLine="480" w:firstLineChars="200"/>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8、标志</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根据《危险废物识别标志设置技术规范》（HJ1276-2022），相关标志内容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eastAsia="zh-CN"/>
                <w14:textFill>
                  <w14:solidFill>
                    <w14:schemeClr w14:val="tx1"/>
                  </w14:solidFill>
                </w14:textFill>
              </w:rPr>
              <w:t>移动式危废暂存间</w:t>
            </w:r>
            <w:r>
              <w:rPr>
                <w:rFonts w:hint="default" w:ascii="Times New Roman" w:hAnsi="Times New Roman" w:eastAsia="宋体" w:cs="Times New Roman"/>
                <w:b/>
                <w:bCs/>
                <w:color w:val="000000" w:themeColor="text1"/>
                <w:highlight w:val="none"/>
                <w14:textFill>
                  <w14:solidFill>
                    <w14:schemeClr w14:val="tx1"/>
                  </w14:solidFill>
                </w14:textFill>
              </w:rPr>
              <w:t>标志牌设置示意图表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9"/>
              <w:gridCol w:w="4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名称</w:t>
                  </w:r>
                </w:p>
              </w:tc>
              <w:tc>
                <w:tcPr>
                  <w:tcW w:w="2857" w:type="pct"/>
                  <w:tcBorders>
                    <w:tl2br w:val="nil"/>
                    <w:tr2bl w:val="nil"/>
                  </w:tcBorders>
                  <w:noWrap w:val="0"/>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危险废物标签</w:t>
                  </w:r>
                </w:p>
              </w:tc>
              <w:tc>
                <w:tcPr>
                  <w:tcW w:w="2857" w:type="pct"/>
                  <w:tcBorders>
                    <w:tl2br w:val="nil"/>
                    <w:tr2bl w:val="nil"/>
                  </w:tcBorders>
                  <w:noWrap w:val="0"/>
                  <w:vAlign w:val="center"/>
                </w:tcPr>
                <w:p>
                  <w:pPr>
                    <w:jc w:val="center"/>
                    <w:rPr>
                      <w:rFonts w:hint="eastAsia" w:ascii="宋体" w:hAnsi="宋体" w:eastAsia="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30425" cy="1484630"/>
                        <wp:effectExtent l="0" t="0" r="3175" b="12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1"/>
                                <a:stretch>
                                  <a:fillRect/>
                                </a:stretch>
                              </pic:blipFill>
                              <pic:spPr>
                                <a:xfrm>
                                  <a:off x="0" y="0"/>
                                  <a:ext cx="2130425" cy="1484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贮存分区标志（示例）</w:t>
                  </w:r>
                </w:p>
              </w:tc>
              <w:tc>
                <w:tcPr>
                  <w:tcW w:w="2857" w:type="pct"/>
                  <w:tcBorders>
                    <w:tl2br w:val="nil"/>
                    <w:tr2bl w:val="nil"/>
                  </w:tcBorders>
                  <w:noWrap w:val="0"/>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11375" cy="1504315"/>
                        <wp:effectExtent l="0" t="0" r="317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2"/>
                                <a:stretch>
                                  <a:fillRect/>
                                </a:stretch>
                              </pic:blipFill>
                              <pic:spPr>
                                <a:xfrm>
                                  <a:off x="0" y="0"/>
                                  <a:ext cx="2111375" cy="1504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贮</w:t>
                  </w:r>
                  <w:r>
                    <w:rPr>
                      <w:rFonts w:hint="default" w:ascii="宋体" w:hAnsi="宋体" w:eastAsia="宋体" w:cs="宋体"/>
                      <w:color w:val="000000" w:themeColor="text1"/>
                      <w:highlight w:val="none"/>
                      <w:lang w:eastAsia="zh-CN"/>
                      <w14:textFill>
                        <w14:solidFill>
                          <w14:schemeClr w14:val="tx1"/>
                        </w14:solidFill>
                      </w14:textFill>
                    </w:rPr>
                    <w:t>存设施标志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089785" cy="991870"/>
                        <wp:effectExtent l="0" t="0" r="5715"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3"/>
                                <a:stretch>
                                  <a:fillRect/>
                                </a:stretch>
                              </pic:blipFill>
                              <pic:spPr>
                                <a:xfrm>
                                  <a:off x="0" y="0"/>
                                  <a:ext cx="2089785" cy="991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利</w:t>
                  </w:r>
                  <w:r>
                    <w:rPr>
                      <w:rFonts w:hint="default" w:ascii="宋体" w:hAnsi="宋体" w:eastAsia="宋体" w:cs="宋体"/>
                      <w:color w:val="000000" w:themeColor="text1"/>
                      <w:highlight w:val="none"/>
                      <w:lang w:eastAsia="zh-CN"/>
                      <w14:textFill>
                        <w14:solidFill>
                          <w14:schemeClr w14:val="tx1"/>
                        </w14:solidFill>
                      </w14:textFill>
                    </w:rPr>
                    <w:t>用设施标志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37410" cy="1009015"/>
                        <wp:effectExtent l="0" t="0" r="15240" b="6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4"/>
                                <a:stretch>
                                  <a:fillRect/>
                                </a:stretch>
                              </pic:blipFill>
                              <pic:spPr>
                                <a:xfrm>
                                  <a:off x="0" y="0"/>
                                  <a:ext cx="2137410" cy="1009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42" w:type="pct"/>
                  <w:tcBorders>
                    <w:tl2br w:val="nil"/>
                    <w:tr2bl w:val="nil"/>
                  </w:tcBorders>
                  <w:noWrap w:val="0"/>
                  <w:vAlign w:val="center"/>
                </w:tcPr>
                <w:p>
                  <w:pPr>
                    <w:jc w:val="center"/>
                    <w:rPr>
                      <w:rFonts w:hint="default" w:ascii="宋体" w:hAnsi="宋体" w:eastAsia="宋体" w:cs="宋体"/>
                      <w:color w:val="000000" w:themeColor="text1"/>
                      <w:highlight w:val="none"/>
                      <w:lang w:eastAsia="zh-CN"/>
                      <w14:textFill>
                        <w14:solidFill>
                          <w14:schemeClr w14:val="tx1"/>
                        </w14:solidFill>
                      </w14:textFill>
                    </w:rPr>
                  </w:pPr>
                </w:p>
                <w:p>
                  <w:pPr>
                    <w:jc w:val="center"/>
                    <w:rPr>
                      <w:rFonts w:hint="eastAsia" w:ascii="宋体" w:hAnsi="宋体" w:eastAsia="宋体" w:cs="宋体"/>
                      <w:color w:val="000000" w:themeColor="text1"/>
                      <w:highlight w:val="none"/>
                      <w:lang w:eastAsia="zh-CN"/>
                      <w14:textFill>
                        <w14:solidFill>
                          <w14:schemeClr w14:val="tx1"/>
                        </w14:solidFill>
                      </w14:textFill>
                    </w:rPr>
                  </w:pPr>
                  <w:r>
                    <w:rPr>
                      <w:rFonts w:hint="default" w:ascii="宋体" w:hAnsi="宋体" w:eastAsia="宋体" w:cs="宋体"/>
                      <w:color w:val="000000" w:themeColor="text1"/>
                      <w:highlight w:val="none"/>
                      <w:lang w:eastAsia="zh-CN"/>
                      <w14:textFill>
                        <w14:solidFill>
                          <w14:schemeClr w14:val="tx1"/>
                        </w14:solidFill>
                      </w14:textFill>
                    </w:rPr>
                    <w:t>处置设施标志</w:t>
                  </w:r>
                </w:p>
              </w:tc>
              <w:tc>
                <w:tcPr>
                  <w:tcW w:w="2857" w:type="pct"/>
                  <w:tcBorders>
                    <w:tl2br w:val="nil"/>
                    <w:tr2bl w:val="nil"/>
                  </w:tcBorders>
                  <w:noWrap w:val="0"/>
                  <w:vAlign w:val="center"/>
                </w:tcPr>
                <w:p>
                  <w:pPr>
                    <w:jc w:val="center"/>
                    <w:rPr>
                      <w:rFonts w:hint="eastAsia" w:ascii="宋体" w:hAnsi="宋体" w:eastAsia="宋体" w:cs="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18360" cy="1046480"/>
                        <wp:effectExtent l="0" t="0" r="15240" b="12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2118360" cy="1046480"/>
                                </a:xfrm>
                                <a:prstGeom prst="rect">
                                  <a:avLst/>
                                </a:prstGeom>
                                <a:noFill/>
                                <a:ln>
                                  <a:noFill/>
                                </a:ln>
                              </pic:spPr>
                            </pic:pic>
                          </a:graphicData>
                        </a:graphic>
                      </wp:inline>
                    </w:drawing>
                  </w:r>
                </w:p>
              </w:tc>
            </w:tr>
          </w:tbl>
          <w:p>
            <w:pPr>
              <w:keepNext w:val="0"/>
              <w:keepLines w:val="0"/>
              <w:pageBreakBefore w:val="0"/>
              <w:widowControl w:val="0"/>
              <w:kinsoku/>
              <w:overflowPunct/>
              <w:topLinePunct w:val="0"/>
              <w:bidi w:val="0"/>
              <w:snapToGrid/>
              <w:spacing w:line="360" w:lineRule="auto"/>
              <w:ind w:lef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综上所述，项目产生的固体废弃物对环境的影响较小。</w:t>
            </w:r>
          </w:p>
          <w:p>
            <w:pPr>
              <w:pStyle w:val="72"/>
              <w:keepNext w:val="0"/>
              <w:keepLines w:val="0"/>
              <w:pageBreakBefore w:val="0"/>
              <w:widowControl w:val="0"/>
              <w:kinsoku/>
              <w:overflowPunct/>
              <w:topLinePunct w:val="0"/>
              <w:bidi w:val="0"/>
              <w:snapToGrid/>
              <w:spacing w:line="360" w:lineRule="auto"/>
              <w:ind w:left="0" w:leftChars="0" w:firstLine="0" w:firstLineChars="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一般工业固体废物管理要求</w:t>
            </w:r>
          </w:p>
          <w:p>
            <w:pPr>
              <w:numPr>
                <w:ilvl w:val="0"/>
                <w:numId w:val="4"/>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numPr>
                <w:ilvl w:val="0"/>
                <w:numId w:val="4"/>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焚烧处置设施的炉渣与飞灰应分别收集、贮存和运输；贮存场、填埋场应设置清晰、完整的一般工业固体废物标志牌等。排污单位生产运营期间一般工业固体废物自行贮存/利用/处置设施的环境管理和相关设施运行维护要求还应符合</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GB 15562.2-1995</w:t>
            </w:r>
            <w:r>
              <w:rPr>
                <w:rFonts w:hint="default" w:ascii="Times New Roman" w:hAnsi="Times New Roman" w:eastAsia="宋体" w:cs="Times New Roman"/>
                <w:color w:val="000000" w:themeColor="text1"/>
                <w:sz w:val="24"/>
                <w:highlight w:val="none"/>
                <w14:textFill>
                  <w14:solidFill>
                    <w14:schemeClr w14:val="tx1"/>
                  </w14:solidFill>
                </w14:textFill>
              </w:rPr>
              <w:t>、GB18599、GB30485和HJ2035等相关标准规范要求。</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（3）根据《一般固体废物管理台账制定指南（试行）》中要求进行台账管理。</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一般工业固体废物管理台账实施分级管理。</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鼓励产废单位采用国家建立的一般工业固体废物管理电子台账，简化数据填写、台账管理等工作。地方和企业自行开发的电子台账要实现与国家系统对接。建立电子台账的产废单位，可不再记录纸质台账。</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台账记录表各表单的负责人对记录信息的真实性、完整性和规范性负责。</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产废单位应当设立专人负责台账的管理与归档，一般工业固体废物管理台账保存期限不少于5年。</w:t>
            </w:r>
          </w:p>
          <w:p>
            <w:pPr>
              <w:numPr>
                <w:ilvl w:val="0"/>
                <w:numId w:val="0"/>
              </w:numPr>
              <w:adjustRightInd w:val="0"/>
              <w:snapToGrid w:val="0"/>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鼓励有条件的产废单位在固体废物产生场所、贮存场所及磅秤位置等关键点位设置视频监控，提高台账记录信息的准确性。</w:t>
            </w:r>
          </w:p>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地下水、土壤环境</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（1）污染源、污染类型及污染途径</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本</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项目对地下水和土壤环境可能造成影响主要污染物为</w:t>
            </w:r>
            <w:r>
              <w:rPr>
                <w:rFonts w:hint="eastAsia" w:cs="Times New Roman"/>
                <w:bCs/>
                <w:color w:val="000000" w:themeColor="text1"/>
                <w:spacing w:val="0"/>
                <w:sz w:val="24"/>
                <w:szCs w:val="24"/>
                <w:highlight w:val="none"/>
                <w:lang w:val="en-US" w:eastAsia="zh-CN"/>
                <w14:textFill>
                  <w14:solidFill>
                    <w14:schemeClr w14:val="tx1"/>
                  </w14:solidFill>
                </w14:textFill>
              </w:rPr>
              <w:t>危险废物和油性漆</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泄漏</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后以渗透为主，</w:t>
            </w:r>
            <w:r>
              <w:rPr>
                <w:rFonts w:hint="eastAsia" w:cs="Times New Roman"/>
                <w:bCs/>
                <w:color w:val="000000" w:themeColor="text1"/>
                <w:spacing w:val="0"/>
                <w:sz w:val="24"/>
                <w:szCs w:val="24"/>
                <w:highlight w:val="none"/>
                <w:lang w:val="en-US" w:eastAsia="zh-CN"/>
                <w14:textFill>
                  <w14:solidFill>
                    <w14:schemeClr w14:val="tx1"/>
                  </w14:solidFill>
                </w14:textFill>
              </w:rPr>
              <w:t>有</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进入地下水层造成地下水水质污染和土壤污染的可能。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本项目对地下水和土壤产生污染的途径主要为渗透污染。</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（2）分区防控措施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根据本项目厂区可能泄漏至地面区域污染物的性质和生产单元的构筑方式，将厂区划分为重点污染防治区、一般污染防治区和简单防渗区。针对不同的区域提出相应的防渗要求。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1）重点污染防治区：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本项目重点防渗区为</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移动式危</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废暂存间、消防水池、</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喷漆车</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间</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、油性</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仓库</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对于重点污染防治区，参照《危险废物贮存污染控制标准》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GB18597-20</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23）</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的要求进行防渗设计。并有防风、防雨、防晒等功能，现场配备灭火器、消防砂等消防器材。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危</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废暂存间</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一般污染防治区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本项目一般污染防治区为</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其他厂房（除喷漆车间）</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一般污染区防渗要求：等效黏土层厚度≥1.5m，且经压实、人工改性等措施处理后的饱和渗透系数不应大于1.0×10</w:t>
            </w:r>
            <w:r>
              <w:rPr>
                <w:rFonts w:hint="default" w:ascii="Times New Roman" w:hAnsi="Times New Roman" w:eastAsia="宋体" w:cs="Times New Roman"/>
                <w:bCs/>
                <w:color w:val="000000" w:themeColor="text1"/>
                <w:spacing w:val="0"/>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cm/s。使用其他</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黏土</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类防渗层材料时，应具有同等以上隔水效力</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4"/>
                <w:szCs w:val="24"/>
                <w:highlight w:val="none"/>
                <w:lang w:val="en-US" w:eastAsia="zh-CN"/>
                <w14:textFill>
                  <w14:solidFill>
                    <w14:schemeClr w14:val="tx1"/>
                  </w14:solidFill>
                </w14:textFill>
              </w:rPr>
              <w:t>3）简单防渗区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本项目简单防渗区是指不会对土壤和地下水造成污染的区域，主要包括厂内道路、绿化区等。对于基本上不产生污染物的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简单防渗区</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，不采取专门针对地下水污染的防治措施。本项目对可能造成地下水、土壤污染影响的区域进行分类识别、分区防渗，见下表。</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2" w:firstLineChars="200"/>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1</w:t>
            </w:r>
            <w:r>
              <w:rPr>
                <w:rFonts w:hint="eastAsia" w:cs="Times New Roman"/>
                <w:b/>
                <w:bCs w:val="0"/>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项目防渗分区识别表</w:t>
            </w:r>
          </w:p>
          <w:tbl>
            <w:tblPr>
              <w:tblStyle w:val="24"/>
              <w:tblW w:w="799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293"/>
              <w:gridCol w:w="727"/>
              <w:gridCol w:w="1119"/>
              <w:gridCol w:w="4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序号</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装置（单元、设施）名称</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防渗区域及部位</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识别</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结果</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vertAlign w:val="baseline"/>
                      <w:lang w:val="en-US" w:eastAsia="zh-CN"/>
                      <w14:textFill>
                        <w14:solidFill>
                          <w14:schemeClr w14:val="tx1"/>
                        </w14:solidFill>
                      </w14:textFill>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消防水池、</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喷漆车间</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重点污染防治区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对水池池壁（或四周）和底部采用10</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15cm的钢筋水泥混凝土浇筑，并在池内涂环氧树脂防渗；地面采取15cm三合土铺底，再在上层用10</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15cm的水泥</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混凝土浇筑</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，涉及液态物料贮存场所同时设置围堰。等效黏</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土</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防渗层Mb≥6.0m，K≤10</w:t>
                  </w:r>
                  <w:r>
                    <w:rPr>
                      <w:rFonts w:hint="default" w:ascii="Times New Roman" w:hAnsi="Times New Roman" w:eastAsia="宋体" w:cs="Times New Roman"/>
                      <w:bCs/>
                      <w:color w:val="000000" w:themeColor="text1"/>
                      <w:spacing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cm/s；或参照</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GB 18598-2019</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2</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移动式危废暂存间</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重点污染防治区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移动式危废暂存间</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地面采用防静电硬质环氧树脂材料，防止静电以及防止液体渗漏。内部需要有引水槽，或者有防止</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泄漏</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等回收装置(如类似托盘类有一定容积率的底座)。符合国家危险固废贮存场所的建设要求。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3</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其他</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（除喷漆车间）</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厂房</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一般</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污染防治区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等效黏土层厚度≥1.5m，K≤1×10-7cm/s（或参照</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GB 16889-2008</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1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4</w:t>
                  </w:r>
                </w:p>
              </w:tc>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t>综合楼、厂区道路</w:t>
                  </w:r>
                </w:p>
              </w:tc>
              <w:tc>
                <w:tcPr>
                  <w:tcW w:w="72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w:t>
                  </w:r>
                </w:p>
              </w:tc>
              <w:tc>
                <w:tcPr>
                  <w:tcW w:w="111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简单防渗区</w:t>
                  </w:r>
                </w:p>
              </w:tc>
              <w:tc>
                <w:tcPr>
                  <w:tcW w:w="444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地面采用混凝土硬化</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跟踪监测要求</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参照《排污单位自行监测技术指南总则》（HJ819-2017），涉重金属、难降解类有机污染物等重点</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排污单位</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厂界周边的土壤、地下水每年至少监测一次。根据《环境影响评价技术导则土壤环境（试行）》（HJ964</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2018），评价工作等级为一级的建设项目一般每3年内开展1次监测工作，二级的每5年内开展1次，三级的必要时可开展跟踪监测。</w:t>
            </w:r>
          </w:p>
          <w:p>
            <w:pPr>
              <w:widowControl/>
              <w:numPr>
                <w:ilvl w:val="0"/>
                <w:numId w:val="0"/>
              </w:numPr>
              <w:spacing w:line="360" w:lineRule="auto"/>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环境风险评价</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2"/>
                <w:sz w:val="24"/>
                <w:szCs w:val="24"/>
                <w:highlight w:val="none"/>
                <w:lang w:val="en-US" w:eastAsia="zh-CN" w:bidi="ar-SA"/>
                <w14:textFill>
                  <w14:solidFill>
                    <w14:schemeClr w14:val="tx1"/>
                  </w14:solidFill>
                </w14:textFill>
              </w:rPr>
              <w:t>本次评价以《建设项目环境风险评价技术导则》（HJ169-2018）为指导，本评价按照上述文件及风险评价导则的相关要求，采用风险识别、风险分析和对环境后果计算等方法进行环境风险评价，了解其环境风险的可接受程度，提出减少风险的事故应急措施及社会应急预案，为工程设计和环境管理提供资料和依据，以达到降低危险，减少危害的目的。</w:t>
            </w:r>
          </w:p>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.1 评价依据</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1）风险调查</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本项目生产过程中所涉及的易燃有害物质根据《建设项目环境风险评价技术导则》（HJ169-2018）表B.1、B.2突发环境事件风险物质及临界量。</w:t>
            </w:r>
            <w:r>
              <w:rPr>
                <w:rFonts w:hint="eastAsia" w:cs="Times New Roman"/>
                <w:bCs/>
                <w:color w:val="000000" w:themeColor="text1"/>
                <w:spacing w:val="0"/>
                <w:sz w:val="24"/>
                <w:szCs w:val="24"/>
                <w:highlight w:val="none"/>
                <w:lang w:val="en-US" w:eastAsia="zh-CN"/>
                <w14:textFill>
                  <w14:solidFill>
                    <w14:schemeClr w14:val="tx1"/>
                  </w14:solidFill>
                </w14:textFill>
              </w:rPr>
              <w:t>本项目风险</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因素</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生产过程中</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泄漏、发生火灾等，环境风险评价主要针对生产过程中存在的风险因素进行分析。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2）风险潜势初判</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①环境风险潜势划分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建设项目环境风险潜势划分为Ⅰ、Ⅱ、Ⅲ、IV/IV+级。根据建设项目涉及的物质和工艺系统危险性其所在地环境敏感程度，结合是根据建设项目涉及的物质和工艺系统危险性其所在地环境敏感程度，结合事故情形下影响途径，对建设项目潜在环境危害程度进行概括化分析，按照表4-</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确定环境风险潜势。</w:t>
            </w:r>
          </w:p>
          <w:p>
            <w:pPr>
              <w:widowControl/>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表</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4-</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建设项目环境风险潜势划分依据</w:t>
            </w:r>
          </w:p>
          <w:tbl>
            <w:tblPr>
              <w:tblStyle w:val="23"/>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22"/>
              <w:gridCol w:w="1542"/>
              <w:gridCol w:w="1258"/>
              <w:gridCol w:w="1431"/>
              <w:gridCol w:w="12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vMerge w:val="restart"/>
                  <w:tcBorders>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环境敏感程度（E）</w:t>
                  </w:r>
                </w:p>
              </w:tc>
              <w:tc>
                <w:tcPr>
                  <w:tcW w:w="3471" w:type="pct"/>
                  <w:gridSpan w:val="4"/>
                  <w:tcBorders>
                    <w:left w:val="single" w:color="000000" w:sz="4" w:space="0"/>
                    <w:bottom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危险物质及工艺系统危险性（P）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vMerge w:val="continue"/>
                  <w:tcBorders>
                    <w:top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极高危害（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高度危害（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中度危害（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800" w:type="pct"/>
                  <w:tcBorders>
                    <w:top w:val="single" w:color="000000" w:sz="4" w:space="0"/>
                    <w:left w:val="single" w:color="000000" w:sz="4" w:space="0"/>
                    <w:bottom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轻度危害（</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环境高度敏感区（E1）</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7"/>
                      <w:sz w:val="21"/>
                      <w:szCs w:val="21"/>
                      <w:highlight w:val="none"/>
                      <w14:textFill>
                        <w14:solidFill>
                          <w14:schemeClr w14:val="tx1"/>
                        </w14:solidFill>
                      </w14:textFill>
                    </w:rPr>
                    <w:t>Ⅳ</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Ⅳ</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800" w:type="pct"/>
                  <w:tcBorders>
                    <w:top w:val="single" w:color="000000" w:sz="4" w:space="0"/>
                    <w:left w:val="single" w:color="000000" w:sz="4" w:space="0"/>
                    <w:bottom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环境中度敏感区（E2）</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Ⅳ</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800" w:type="pct"/>
                  <w:tcBorders>
                    <w:top w:val="single" w:color="000000" w:sz="4" w:space="0"/>
                    <w:left w:val="single" w:color="000000" w:sz="4" w:space="0"/>
                    <w:bottom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528" w:type="pct"/>
                  <w:tcBorders>
                    <w:top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环境低度敏感区（E3）</w:t>
                  </w:r>
                </w:p>
              </w:tc>
              <w:tc>
                <w:tcPr>
                  <w:tcW w:w="97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Ⅱ</w:t>
                  </w:r>
                </w:p>
              </w:tc>
              <w:tc>
                <w:tcPr>
                  <w:tcW w:w="800" w:type="pct"/>
                  <w:tcBorders>
                    <w:top w:val="single" w:color="000000" w:sz="4" w:space="0"/>
                    <w:left w:val="single" w:color="000000" w:sz="4" w:space="0"/>
                    <w:bottom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000" w:type="pct"/>
                  <w:gridSpan w:val="5"/>
                  <w:tcBorders>
                    <w:top w:val="single" w:color="000000"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注：Ⅳ</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为极高环境风险。</w:t>
                  </w:r>
                </w:p>
              </w:tc>
            </w:tr>
          </w:tbl>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1731645</wp:posOffset>
                  </wp:positionH>
                  <wp:positionV relativeFrom="paragraph">
                    <wp:posOffset>571500</wp:posOffset>
                  </wp:positionV>
                  <wp:extent cx="1551940" cy="528955"/>
                  <wp:effectExtent l="0" t="0" r="10160" b="4445"/>
                  <wp:wrapNone/>
                  <wp:docPr id="24" name="图片 2" descr="wp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wps13"/>
                          <pic:cNvPicPr>
                            <a:picLocks noChangeAspect="1"/>
                          </pic:cNvPicPr>
                        </pic:nvPicPr>
                        <pic:blipFill>
                          <a:blip r:embed="rId26"/>
                          <a:stretch>
                            <a:fillRect/>
                          </a:stretch>
                        </pic:blipFill>
                        <pic:spPr>
                          <a:xfrm>
                            <a:off x="0" y="0"/>
                            <a:ext cx="1551940" cy="528955"/>
                          </a:xfrm>
                          <a:prstGeom prst="rect">
                            <a:avLst/>
                          </a:prstGeom>
                          <a:noFill/>
                          <a:ln>
                            <a:noFill/>
                          </a:ln>
                        </pic:spPr>
                      </pic:pic>
                    </a:graphicData>
                  </a:graphic>
                </wp:anchor>
              </w:drawing>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②危险物质及工艺系统危险性（P）的分级确定危险物质数量与临界量比值（Q）：</w:t>
            </w:r>
          </w:p>
          <w:p>
            <w:pPr>
              <w:pStyle w:val="76"/>
              <w:spacing w:after="240" w:line="470" w:lineRule="exact"/>
              <w:ind w:left="0" w:leftChars="0" w:firstLine="0" w:firstLineChars="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按照《建设项目环境风险评价技术导则》（HJ169-2018）附录B，结合各种物质的理化性质及毒理毒性，可识别出本项目的危险物质及临界量。根据下式计算危险物质及临界量的比值Q：</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qi，q2，…，qn——每种危险物质的最大存在总量，t；</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Qi，Q2，…，Qn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b/>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每种危险物质的临界量，t。</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当Q＜1时，该项目环境风险潜势为Ⅰ。</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当Q≥1时，将Q值划分为：</w:t>
            </w:r>
          </w:p>
          <w:p>
            <w:pPr>
              <w:pStyle w:val="72"/>
              <w:ind w:firstLine="48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（1）1≤Q＜10；（2）10≤Q＜100；（3）Q≥100。</w:t>
            </w:r>
          </w:p>
          <w:p>
            <w:pPr>
              <w:pStyle w:val="77"/>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危险物质生产单元及贮存单元物质量一览表</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651"/>
              <w:gridCol w:w="2211"/>
              <w:gridCol w:w="1572"/>
              <w:gridCol w:w="1735"/>
              <w:gridCol w:w="17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57" w:hRule="atLeast"/>
                <w:jc w:val="center"/>
              </w:trPr>
              <w:tc>
                <w:tcPr>
                  <w:tcW w:w="410"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393"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物质名称</w:t>
                  </w:r>
                </w:p>
              </w:tc>
              <w:tc>
                <w:tcPr>
                  <w:tcW w:w="990"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储存量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93"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临界量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10" w:type="pct"/>
                  <w:tcBorders>
                    <w:top w:val="single" w:color="auto" w:sz="4" w:space="0"/>
                    <w:left w:val="single" w:color="auto" w:sz="4" w:space="0"/>
                    <w:bottom w:val="nil"/>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qn/Qn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57" w:hRule="atLeast"/>
                <w:jc w:val="center"/>
              </w:trPr>
              <w:tc>
                <w:tcPr>
                  <w:tcW w:w="410"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39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 xml:space="preserve">废空压机油、废机油 </w:t>
                  </w:r>
                </w:p>
              </w:tc>
              <w:tc>
                <w:tcPr>
                  <w:tcW w:w="990"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w:t>
                  </w:r>
                </w:p>
              </w:tc>
              <w:tc>
                <w:tcPr>
                  <w:tcW w:w="109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57" w:hRule="atLeast"/>
                <w:jc w:val="center"/>
              </w:trPr>
              <w:tc>
                <w:tcPr>
                  <w:tcW w:w="410"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39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油性漆</w:t>
                  </w:r>
                </w:p>
              </w:tc>
              <w:tc>
                <w:tcPr>
                  <w:tcW w:w="990"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0.5</w:t>
                  </w:r>
                </w:p>
              </w:tc>
              <w:tc>
                <w:tcPr>
                  <w:tcW w:w="109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100</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0.005</w:t>
                  </w:r>
                </w:p>
              </w:tc>
            </w:tr>
          </w:tbl>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中对项目风险物质的Q值的统计，本项目危险物质及临界量的比值Q值为</w:t>
            </w:r>
            <w:r>
              <w:rPr>
                <w:rFonts w:hint="eastAsia" w:cs="Times New Roman"/>
                <w:color w:val="000000" w:themeColor="text1"/>
                <w:sz w:val="24"/>
                <w:szCs w:val="24"/>
                <w:highlight w:val="none"/>
                <w:lang w:val="en-US" w:eastAsia="zh-CN"/>
                <w14:textFill>
                  <w14:solidFill>
                    <w14:schemeClr w14:val="tx1"/>
                  </w14:solidFill>
                </w14:textFill>
              </w:rPr>
              <w:t>0.00504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，因为Q＜1，所以直接判定该项目环境风险潜势为Ⅰ。</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3）评价等级</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依据《建设项目环境风险评价技术导则》（HJ169-2018）中关于风险评价工作等级的判定依据，评价工作级别按表4-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划分：</w:t>
            </w:r>
          </w:p>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表4-</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1</w:t>
            </w:r>
            <w:r>
              <w:rPr>
                <w:rFonts w:hint="eastAsia" w:cs="Times New Roman"/>
                <w:b/>
                <w:bCs/>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评价工作级别表</w:t>
            </w:r>
          </w:p>
          <w:tbl>
            <w:tblPr>
              <w:tblStyle w:val="2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1834"/>
              <w:gridCol w:w="1671"/>
              <w:gridCol w:w="1477"/>
              <w:gridCol w:w="1560"/>
              <w:gridCol w:w="13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1156"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环境风险潜势</w:t>
                  </w:r>
                </w:p>
              </w:tc>
              <w:tc>
                <w:tcPr>
                  <w:tcW w:w="1053"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VI、VI+</w:t>
                  </w:r>
                </w:p>
              </w:tc>
              <w:tc>
                <w:tcPr>
                  <w:tcW w:w="931"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III</w:t>
                  </w:r>
                </w:p>
              </w:tc>
              <w:tc>
                <w:tcPr>
                  <w:tcW w:w="983" w:type="pct"/>
                  <w:tcBorders>
                    <w:top w:val="single" w:color="auto" w:sz="4" w:space="0"/>
                    <w:left w:val="single" w:color="auto" w:sz="4" w:space="0"/>
                    <w:bottom w:val="nil"/>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II</w:t>
                  </w:r>
                </w:p>
              </w:tc>
              <w:tc>
                <w:tcPr>
                  <w:tcW w:w="874" w:type="pct"/>
                  <w:tcBorders>
                    <w:top w:val="single" w:color="auto" w:sz="4" w:space="0"/>
                    <w:left w:val="single" w:color="auto" w:sz="4" w:space="0"/>
                    <w:bottom w:val="nil"/>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1156"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环境风险评价等级</w:t>
                  </w:r>
                </w:p>
              </w:tc>
              <w:tc>
                <w:tcPr>
                  <w:tcW w:w="105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w:t>
                  </w:r>
                </w:p>
              </w:tc>
              <w:tc>
                <w:tcPr>
                  <w:tcW w:w="931"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c>
                <w:tcPr>
                  <w:tcW w:w="983" w:type="pct"/>
                  <w:tcBorders>
                    <w:top w:val="single" w:color="auto" w:sz="4" w:space="0"/>
                    <w:left w:val="single" w:color="auto" w:sz="4" w:space="0"/>
                    <w:bottom w:val="single" w:color="auto" w:sz="4" w:space="0"/>
                    <w:right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874"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w:t>
                  </w:r>
                </w:p>
              </w:tc>
            </w:tr>
          </w:tbl>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风险评价工作级别划分依据，环境风险评价工作等级为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简单分析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72"/>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环境风险识别</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泄漏发生火灾、爆炸事故</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生产过程及储运过程中设备储桶、运输容器等均有可能导致物质的释放与泄漏，发生毒害、火灾或爆炸事故。本项目</w:t>
            </w:r>
            <w:r>
              <w:rPr>
                <w:rFonts w:hint="eastAsia"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一旦泄漏易造成火灾爆炸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通过环境空气影响敏感点。</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废水下渗事故</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本项目设置有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eastAsia" w:cs="Times New Roman"/>
                <w:color w:val="000000" w:themeColor="text1"/>
                <w:sz w:val="24"/>
                <w:szCs w:val="24"/>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，若无完善的防渗处理措施，存在危险废物和油性漆下渗、污染地下水环境的风险。</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事故次生/伴生污染影响分析</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本项目生产装置区或储运区在发生火灾爆炸事故时，可能的次生危险性主要包括救火过程产生的消防污水如没有得到有效控制，可能会进入雨水系统，造成排水区域的水体污染。</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同时火灾爆炸后破坏地表覆盖物，会有部分液体物料、受污染消防水进入土壤，甚至污染地下水。大气污染物主要为燃烧不充分的情况下，产生的CO、SO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、氮氧化物和少量烟尘，对大气环境会造成局部污染。</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危险废物储运过程中环境风险</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Calibri" w:hAnsi="Calibri" w:eastAsia="宋体" w:cs="Calibri"/>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危险废物储存过程中的环境风险</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本项目产生危险废物暂存于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危废暂存间，危废暂存间进行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防渗处理，但在考虑极端情况发生的情况下，本项目危废暂存间在防渗结构遭到破坏后，可能因危险废物中的有机物下渗对造成地下水环境、土壤环境污染。</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Calibri" w:hAnsi="Calibri" w:eastAsia="宋体" w:cs="Calibri"/>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危险废物运输过程中的环境风险</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厂区危险废物需以专用车辆以公路运输的形式运输到具有危险废物处置资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page">
                        <wp:posOffset>1143000</wp:posOffset>
                      </wp:positionH>
                      <wp:positionV relativeFrom="page">
                        <wp:posOffset>765810</wp:posOffset>
                      </wp:positionV>
                      <wp:extent cx="5274310" cy="9525"/>
                      <wp:effectExtent l="0" t="0" r="0" b="0"/>
                      <wp:wrapNone/>
                      <wp:docPr id="25" name="任意多边形 25"/>
                      <wp:cNvGraphicFramePr/>
                      <a:graphic xmlns:a="http://schemas.openxmlformats.org/drawingml/2006/main">
                        <a:graphicData uri="http://schemas.microsoft.com/office/word/2010/wordprocessingShape">
                          <wps:wsp>
                            <wps:cNvSpPr/>
                            <wps:spPr>
                              <a:xfrm>
                                <a:off x="0" y="0"/>
                                <a:ext cx="5274310" cy="9525"/>
                              </a:xfrm>
                              <a:custGeom>
                                <a:avLst/>
                                <a:gdLst/>
                                <a:ahLst/>
                                <a:cxnLst/>
                                <a:pathLst>
                                  <a:path w="8305" h="15">
                                    <a:moveTo>
                                      <a:pt x="0" y="0"/>
                                    </a:moveTo>
                                    <a:lnTo>
                                      <a:pt x="8305" y="0"/>
                                    </a:lnTo>
                                    <a:lnTo>
                                      <a:pt x="830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0.3pt;height:0.75pt;width:415.3pt;mso-position-horizontal-relative:page;mso-position-vertical-relative:page;z-index:251660288;mso-width-relative:page;mso-height-relative:page;" fillcolor="#000000" filled="t" stroked="f" coordsize="8305,15" o:allowincell="f" o:gfxdata="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qNwctcAAAAMAQAADwAAAAAAAAABACAA&#10;AAAiAAAAZHJzL2Rvd25yZXYueG1sUEsBAhQAFAAAAAgAh07iQA8WAGAOAgAAfQQAAA4AAAAAAAAA&#10;AQAgAAAAJgEAAGRycy9lMm9Eb2MueG1sUEsFBgAAAAAGAAYAWQEAAKYFAAAAAA==&#10;" path="m0,0l8305,0,8305,14,0,14,0,0xe">
                      <v:fill on="t" focussize="0,0"/>
                      <v:stroke on="f"/>
                      <v:imagedata o:title=""/>
                      <o:lock v:ext="edit" aspectratio="f"/>
                    </v:shape>
                  </w:pict>
                </mc:Fallback>
              </mc:AlternateConten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的单位进行安全处置，在运输过程中可能发生碰撞、侧翻等交通事故后，未经妥善处置造成危险废物不当堆存或者散落在途中，直接进入或经雨水冲刷后进入堆存场所，造成地表水环境、地下水环境和土壤环境污染。</w:t>
            </w:r>
          </w:p>
          <w:p>
            <w:pPr>
              <w:pStyle w:val="72"/>
              <w:ind w:left="0" w:leftChars="0" w:firstLine="0" w:firstLineChars="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风险分析</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大气环境风险分析</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本项目大气环境风险事故主要有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漆发生泄漏蒸发进入环境空气造成的废气事故排放，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漆发生燃爆事故造成的烟气事故排放。</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主要贮存于油漆桶，油漆桶密封，泄漏的可能性较小；且单个油漆桶容量较小，多个油漆桶同时发生泄漏可能性小，单个油漆桶发生泄漏时泄漏量较小，发现泄漏后可及时处理；油漆桶泄漏蒸发进入大气环境的污染物量较小，对环境空气的影响不大。建议企业应加强设备的维护和管理，尽量避免非正常排放。</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地下水环境风险分析</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本项目正常工况下，项目建设均按照相关规范的要求进行防渗处理，各生产环节按照设计参数运行，地下水可能的污染来源为储桶</w:t>
            </w:r>
            <w:r>
              <w:rPr>
                <w:rFonts w:hint="eastAsia" w:cs="Times New Roman"/>
                <w:color w:val="000000" w:themeColor="text1"/>
                <w:sz w:val="24"/>
                <w:szCs w:val="24"/>
                <w:highlight w:val="none"/>
                <w:lang w:val="en-US" w:eastAsia="zh-CN"/>
                <w14:textFill>
                  <w14:solidFill>
                    <w14:schemeClr w14:val="tx1"/>
                  </w14:solidFill>
                </w14:textFill>
              </w:rPr>
              <w:t>、危废暂存间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等跑冒漏滴。正常工况下污水不会渗漏，只有在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漆仓库硬化面出现破损、管线或废水处理设施底部因腐蚀</w:t>
            </w:r>
            <w:r>
              <w:rPr>
                <w:rFonts w:hint="eastAsia" w:cs="Times New Roman"/>
                <w:color w:val="000000" w:themeColor="text1"/>
                <w:sz w:val="24"/>
                <w:szCs w:val="24"/>
                <w:highlight w:val="none"/>
                <w:lang w:val="en-US" w:eastAsia="zh-CN"/>
                <w14:textFill>
                  <w14:solidFill>
                    <w14:schemeClr w14:val="tx1"/>
                  </w14:solidFill>
                </w14:textFill>
              </w:rPr>
              <w:t>等其他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原因出现漏洞等情景下，才会发生物料或污水下渗污染地下水的情况，对于本项目来说，有可能造成地下水环境风险事故的源项主要为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油漆桶泄漏导致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漆下渗事故对地下水的污染、危险废物贮存时可能产生的废液渗漏对地下水的污染、废水泄漏对地下水的污染。</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漆泄漏下渗可能污染地下水，本项目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漆主要贮存于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仓库，仓库中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油漆桶密封，泄漏的可能性较小；且单个油漆桶容量较小，多个油漆桶同时发生泄漏可能性小，单个</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仓库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油漆桶发生泄漏时泄漏量较小，发现泄漏后可及时处理；同时油漆仓库的基础层也采用防渗处理，大大降低了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漆下渗的可能。</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本项目危险废物分别存贮在专用密闭容器中，暂存于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sz w:val="24"/>
                <w:szCs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等回收装置(如类似托盘类有一定容积率的底座)。符合国家危险固废贮存场所的建设要求，经采取完善的防腐防渗和防漏措施，发生渗漏污染地下水的可能性较小。</w:t>
            </w:r>
          </w:p>
          <w:p>
            <w:pPr>
              <w:pStyle w:val="72"/>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因此，本项目地下水风险事故的可能性及影响均较小，可以接受。</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减少</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事故的概率以及产生的影响。本环评提出以下风险防范措施：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贮存过程防范措施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储存</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漆的</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的管理要求</w:t>
            </w:r>
            <w:r>
              <w:rPr>
                <w:rFonts w:hint="eastAsia" w:cs="Times New Roman"/>
                <w:color w:val="000000" w:themeColor="text1"/>
                <w:kern w:val="2"/>
                <w:sz w:val="24"/>
                <w:szCs w:val="24"/>
                <w:highlight w:val="none"/>
                <w:lang w:val="en-US" w:eastAsia="zh-CN" w:bidi="ar-SA"/>
                <w14:textFill>
                  <w14:solidFill>
                    <w14:schemeClr w14:val="tx1"/>
                  </w14:solidFill>
                </w14:textFill>
              </w:rPr>
              <w:t>严格</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遵守《危险化学品安全管理条例》及有关规定的要求。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每年进行一次对贮存装置的安全评价，对存在的安全问题提出整改方案，如发现贮存装置存在现实危险的，应当立即停止使用，予以更换或者修复，并采取相应安全措施。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、喷漆车间、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消防水池</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按照重点防渗区进行防渗，防渗效果等效黏土防渗层Mb≥6.0m，K≤1×10</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w:t>
            </w:r>
            <w:r>
              <w:rPr>
                <w:rFonts w:hint="eastAsia" w:cs="Times New Roman"/>
                <w:color w:val="000000" w:themeColor="text1"/>
                <w:kern w:val="2"/>
                <w:sz w:val="24"/>
                <w:szCs w:val="24"/>
                <w:highlight w:val="none"/>
                <w:lang w:val="en-US" w:eastAsia="zh-CN" w:bidi="ar-SA"/>
                <w14:textFill>
                  <w14:solidFill>
                    <w14:schemeClr w14:val="tx1"/>
                  </w14:solidFill>
                </w14:textFill>
              </w:rPr>
              <w:t>防止</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物料泄漏污染土壤和地下水。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生产过程防范措施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主体厂房要敞开式布置，强化通风，各种工艺设备（阀门、法兰、泵类等）、管的选型严把质量关，并加强检修、维护，严禁生产中出现物料跑、冒、滴、漏，电气设备须选用防腐、防爆型，电源绝缘良好，防止产生电火花，接地牢靠，防止产生静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②建立和完善各级安全生产责任制，并切实落到实处。各级领导和生产管理人员必须重视安全生产，积极推广科学安全管理方法，强化安全操作制度和劳动纪律。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③对职工要加强职业培训和安全教育。培养职工要有高度的安全生产责任心，并且要熟悉相应的业务，有熟练的操作技能，具备有关物料、设备、设施、工艺参数变动及泄漏等的危险、</w:t>
            </w:r>
            <w:r>
              <w:rPr>
                <w:rFonts w:hint="eastAsia" w:cs="Times New Roman"/>
                <w:bCs/>
                <w:color w:val="000000" w:themeColor="text1"/>
                <w:spacing w:val="0"/>
                <w:sz w:val="24"/>
                <w:szCs w:val="24"/>
                <w:highlight w:val="none"/>
                <w:lang w:val="en-US" w:eastAsia="zh-CN"/>
                <w14:textFill>
                  <w14:solidFill>
                    <w14:schemeClr w14:val="tx1"/>
                  </w14:solidFill>
                </w14:textFill>
              </w:rPr>
              <w:t>危害辨识</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，在紧急情况下能采取正确的应急方法。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④企业应加强设备管理，工作人员应培训上岗，并经常检查，防止跑冒滴漏发生。加强容器维护、检测，对破损的容器及时更换，确保设备完好，以防物料泄漏；工作现场禁止吸烟、进食。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⑤车间、仓库等危险场所按“建筑灭火器配置设计规范 ”配置手提式干粉灭火器和推车式干粉灭火器。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⑥从工程筹建开始就要建立安全技术档案，包括各种技术图纸、安全操作规程、安全规章制度、设备运行档案、特种设备档案、电气设施检测数据、安全部件检测记录等，为安全生产管理提供依据。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⑦加强对电工及电气设备的管理，并对职工进行各种电气事故案例的教育，不乱拉临时线、防止各类电气事故的发生。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⑧建立健全安全检查制度，定期进行安全检查，及时整改安全隐患，防止事故发生。选用密闭性能好的阀门，保证可拆连接部位的密封性能。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运输过程防范措施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针对本项目涉及的</w:t>
            </w:r>
            <w:r>
              <w:rPr>
                <w:rFonts w:hint="eastAsia"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危险废物和油性漆</w:t>
            </w:r>
            <w:r>
              <w:rPr>
                <w:rFonts w:hint="eastAsia"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评价建议运输过程中应该严格执行以下防范措施：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①首先企业要严格执行《安全生产法》和《危险化学品安全管理条例》的有关规定，选择有相关资质的运输公司运送危险原料。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②运输应采用安全性能优良的化学品专用运输车辆，并经检测、检验合格，方可使用。桶以及其他容器必须封口严密，能够承受正常运输条件下产生的内部压力和外部压力，保证在运输中不因湿度、湿度或者压力的变化而发生任何渗（洒）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③在装卸运输时间上合理安排，避开人流高峰期，尽量减轻事故泄漏对人群的影响。司机应经培训有资格后，方可驾驶，严防客货混运，并尽可能缩短运货路程，避开人烟稠密的城镇，减少交通事故发生。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④根据运输物质的性质，准备相应的应急防毒面具、收集泄漏容器及消防设备等事故处理物资和器材。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4"/>
                <w:szCs w:val="24"/>
                <w:highlight w:val="none"/>
                <w:lang w:val="en-US" w:eastAsia="zh-CN"/>
                <w14:textFill>
                  <w14:solidFill>
                    <w14:schemeClr w14:val="tx1"/>
                  </w14:solidFill>
                </w14:textFill>
              </w:rPr>
              <w:t>一旦出现运输过程事故排放，一面采取应急处理措施，搞好现场保护，一面与当地公安消防和环保部门联系，消除或减缓事故造成的影响。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应急</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恢复和善后处理，可以拯救生命、保护财产、保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本环评提出的应急措施如下：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当发生泄漏事故时，应采取以下应急救援措施：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①最早发现者应立即向生产负责人报告，并第一时间对泄漏部位进行围堵；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②用抹布</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或其他</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吸附物将泄漏物围住；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③已用过的擦拭物及冲洗液作废料一同收集，移入有害废弃物贮存桶及清楚标示其内容物，再暂存于废品废液暂存点，待交与有资质单位处理。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当发生火灾事故时，应采取以下应急救援措施：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①最早发现者应立即向生产负责人报警，并及时采取一切办法进行扑救。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②公司消防部门在接到通知后</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及时</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启动灭火应急预案，利用消防设施实行补救。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③做好火情侦查，了解火场情况，向现场指挥汇报，并提出灭火实施方案。同时拨打火警电话，请求外援；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④及时而正确地指挥及时输送器材物料，保证现场灭火、抢险所需物料、灭火剂的供给。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⑤根据现场灭火、抢险的情况及火势、险情发展趋势，及时指挥有关人员或车辆进行物料的疏散。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⑥已用过的消防装备及冲洗液作</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为</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废料分别收集，待</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交予</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⑦做好应急监测工作，根据当时的气象条件及事故情况，立即派分析人员到环境敏感点，监测空气中特征污染因子的浓度，并做好紧急疏散工作。</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项目建成后，建设单位需编制突发环境事件应急预案并在当地环保部门进行备案。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①突发环境事件应急预案风险事故发生后，能否迅速</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做出</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应急反应，对于控制环境污染、减少人员伤亡及经济损失等都起到了关键性作用。根据《建设项目环境风险评价技术导则》（HJ169-2018）中的规定和要求，对于本项目可能造成环境风险的突发性事故须制定应急预案原则要求，本环评要求建设单位在本项目建成后及时编制应急预案，并定期演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②环境风险应急体系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本项目应急系统应与区域环境风险应急系统对接联动，实现区域联防联控。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项目厂区配备足够的消防、防毒防护设施及应急监测等应急设施和物资。配备应急队伍，能够立即响应。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综合以上分析，建设单位通过设置</w:t>
            </w:r>
            <w:r>
              <w:rPr>
                <w:rFonts w:hint="eastAsia" w:cs="Times New Roman"/>
                <w:bCs/>
                <w:color w:val="000000" w:themeColor="text1"/>
                <w:spacing w:val="0"/>
                <w:sz w:val="24"/>
                <w:szCs w:val="24"/>
                <w:highlight w:val="none"/>
                <w:lang w:val="en-US" w:eastAsia="zh-CN"/>
                <w14:textFill>
                  <w14:solidFill>
                    <w14:schemeClr w14:val="tx1"/>
                  </w14:solidFill>
                </w14:textFill>
              </w:rPr>
              <w:t>消防水池</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、定期检修设备、安排专人巡视，确保各类设备正常运转、设置警示牌等措施，防止环境风险事故发生。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在项目建设单位严格采取上述措施的前提下，环评认为项目环境风险可控，在可接受的范围内。</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 xml:space="preserve"> 环境风险分析结论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本项目风险事故主要为</w:t>
            </w:r>
            <w:r>
              <w:rPr>
                <w:rFonts w:hint="eastAsia" w:cs="Times New Roman"/>
                <w:bCs/>
                <w:color w:val="000000" w:themeColor="text1"/>
                <w:spacing w:val="0"/>
                <w:sz w:val="24"/>
                <w:szCs w:val="24"/>
                <w:highlight w:val="none"/>
                <w:lang w:val="en-US" w:eastAsia="zh-CN"/>
                <w14:textFill>
                  <w14:solidFill>
                    <w14:schemeClr w14:val="tx1"/>
                  </w14:solidFill>
                </w14:textFill>
              </w:rPr>
              <w:t>危险废物和油性漆</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泄漏</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造成的地下水环境污染和火灾事故导致大气环境污染。项目应严格落实本评价提出的各项环境风险防范措施，严格</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按照</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国家有关环保、安全处理的要求，规范工程设计，落实有关安全、环保设施</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三同时</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制定相应的环保及安全处理规章制度及应急预案；处理过程中，加强处理管理，注意做好危化品在运输、使用过程中的风险事故防范工作，避免火灾等事故的发生。评价认为，在采取相应的防范控制及应急措施后，项目风险处于可接受水平，不会对项目周围环境产生明显影响，项目提出的风险管理措施可靠、有效，在认真落实本评价针对安全处理以及风险事故提出的具体防范对策及应急措施的情况下，从环境风险角度，项目在拟建地实施是可行的。建设项目环境风险简单分析内容见表4-</w:t>
            </w:r>
            <w:r>
              <w:rPr>
                <w:rFonts w:hint="eastAsia" w:ascii="Times New Roman" w:hAnsi="Times New Roman"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Cs/>
                <w:color w:val="000000" w:themeColor="text1"/>
                <w:spacing w:val="0"/>
                <w:sz w:val="24"/>
                <w:szCs w:val="24"/>
                <w:highlight w:val="none"/>
                <w:lang w:val="en-US" w:eastAsia="zh-CN"/>
                <w14:textFill>
                  <w14:solidFill>
                    <w14:schemeClr w14:val="tx1"/>
                  </w14:solidFill>
                </w14:textFill>
              </w:rPr>
              <w:t>。</w:t>
            </w:r>
          </w:p>
          <w:p>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 xml:space="preserve">7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建设项目环境风险简单分析内容表</w:t>
            </w:r>
          </w:p>
          <w:tbl>
            <w:tblPr>
              <w:tblStyle w:val="23"/>
              <w:tblW w:w="4999" w:type="pct"/>
              <w:jc w:val="center"/>
              <w:tblLayout w:type="fixed"/>
              <w:tblCellMar>
                <w:top w:w="0" w:type="dxa"/>
                <w:left w:w="10" w:type="dxa"/>
                <w:bottom w:w="0" w:type="dxa"/>
                <w:right w:w="10" w:type="dxa"/>
              </w:tblCellMar>
            </w:tblPr>
            <w:tblGrid>
              <w:gridCol w:w="2453"/>
              <w:gridCol w:w="5491"/>
            </w:tblGrid>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建设项目名称</w:t>
                  </w:r>
                </w:p>
              </w:tc>
              <w:tc>
                <w:tcPr>
                  <w:tcW w:w="3455" w:type="pct"/>
                  <w:tcBorders>
                    <w:top w:val="single" w:color="auto" w:sz="4" w:space="0"/>
                    <w:left w:val="single" w:color="auto" w:sz="4" w:space="0"/>
                    <w:bottom w:val="nil"/>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新疆双杰新能源高端装备研发制造基地项目(一期)</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建设地点</w:t>
                  </w:r>
                </w:p>
              </w:tc>
              <w:tc>
                <w:tcPr>
                  <w:tcW w:w="3455" w:type="pct"/>
                  <w:tcBorders>
                    <w:top w:val="single" w:color="auto" w:sz="4" w:space="0"/>
                    <w:left w:val="single" w:color="auto" w:sz="4" w:space="0"/>
                    <w:bottom w:val="nil"/>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木垒县</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3455" w:type="pct"/>
                  <w:tcBorders>
                    <w:top w:val="single" w:color="auto" w:sz="4" w:space="0"/>
                    <w:left w:val="single" w:color="auto" w:sz="4" w:space="0"/>
                    <w:bottom w:val="nil"/>
                    <w:right w:val="single" w:color="auto" w:sz="4" w:space="0"/>
                  </w:tcBorders>
                  <w:noWrap w:val="0"/>
                  <w:vAlign w:val="center"/>
                </w:tcPr>
                <w:p>
                  <w:pPr>
                    <w:pStyle w:val="74"/>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90</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21</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27.285</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43</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57</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13.839</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主要危险物质及分布</w:t>
                  </w:r>
                </w:p>
              </w:tc>
              <w:tc>
                <w:tcPr>
                  <w:tcW w:w="3455" w:type="pct"/>
                  <w:tcBorders>
                    <w:top w:val="single" w:color="auto" w:sz="4" w:space="0"/>
                    <w:left w:val="single" w:color="auto" w:sz="4" w:space="0"/>
                    <w:bottom w:val="nil"/>
                    <w:right w:val="single" w:color="auto" w:sz="4" w:space="0"/>
                  </w:tcBorders>
                  <w:noWrap w:val="0"/>
                  <w:vAlign w:val="center"/>
                </w:tcPr>
                <w:p>
                  <w:pPr>
                    <w:pStyle w:val="74"/>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nil"/>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环境影响途径及危害后果（大气、地表水、地下水等）</w:t>
                  </w:r>
                </w:p>
              </w:tc>
              <w:tc>
                <w:tcPr>
                  <w:tcW w:w="3455" w:type="pct"/>
                  <w:tcBorders>
                    <w:top w:val="single" w:color="auto" w:sz="4" w:space="0"/>
                    <w:left w:val="single" w:color="auto" w:sz="4" w:space="0"/>
                    <w:bottom w:val="nil"/>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泄漏或发生火灾，可能污染大气环境和地下水环境</w:t>
                  </w:r>
                </w:p>
              </w:tc>
            </w:tr>
            <w:tr>
              <w:tblPrEx>
                <w:tblCellMar>
                  <w:top w:w="0" w:type="dxa"/>
                  <w:left w:w="10" w:type="dxa"/>
                  <w:bottom w:w="0" w:type="dxa"/>
                  <w:right w:w="10" w:type="dxa"/>
                </w:tblCellMar>
              </w:tblPrEx>
              <w:trPr>
                <w:trHeight w:val="340" w:hRule="atLeast"/>
                <w:jc w:val="center"/>
              </w:trPr>
              <w:tc>
                <w:tcPr>
                  <w:tcW w:w="1544" w:type="pct"/>
                  <w:tcBorders>
                    <w:top w:val="single" w:color="auto" w:sz="4" w:space="0"/>
                    <w:left w:val="single" w:color="auto" w:sz="4" w:space="0"/>
                    <w:bottom w:val="single" w:color="auto" w:sz="4" w:space="0"/>
                    <w:right w:val="nil"/>
                  </w:tcBorders>
                  <w:noWrap w:val="0"/>
                  <w:vAlign w:val="center"/>
                </w:tcPr>
                <w:p>
                  <w:pPr>
                    <w:pStyle w:val="7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风险防范措施要求</w:t>
                  </w:r>
                </w:p>
              </w:tc>
              <w:tc>
                <w:tcPr>
                  <w:tcW w:w="3455" w:type="pct"/>
                  <w:tcBorders>
                    <w:top w:val="single" w:color="auto" w:sz="4" w:space="0"/>
                    <w:left w:val="single" w:color="auto" w:sz="4" w:space="0"/>
                    <w:bottom w:val="single" w:color="auto" w:sz="4" w:space="0"/>
                    <w:right w:val="single" w:color="auto" w:sz="4" w:space="0"/>
                  </w:tcBorders>
                  <w:noWrap w:val="0"/>
                  <w:vAlign w:val="center"/>
                </w:tcPr>
                <w:p>
                  <w:pPr>
                    <w:pStyle w:val="74"/>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highlight w:val="none"/>
                      <w14:textFill>
                        <w14:solidFill>
                          <w14:schemeClr w14:val="tx1"/>
                        </w14:solidFill>
                      </w14:textFill>
                    </w:rPr>
                    <w:t>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14:textFill>
                        <w14:solidFill>
                          <w14:schemeClr w14:val="tx1"/>
                        </w14:solidFill>
                      </w14:textFill>
                    </w:rPr>
                    <w:t>门口设置门槛，一旦发生泄漏确保无外排放；②加强危险废物监管；③制定环境风险突发事故应急预案</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，④</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重点</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污染防治区</w:t>
                  </w:r>
                  <w:r>
                    <w:rPr>
                      <w:rFonts w:hint="eastAsia"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做好防渗</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CellMar>
                  <w:top w:w="0" w:type="dxa"/>
                  <w:left w:w="10" w:type="dxa"/>
                  <w:bottom w:w="0" w:type="dxa"/>
                  <w:right w:w="10" w:type="dxa"/>
                </w:tblCellMar>
              </w:tblPrEx>
              <w:trPr>
                <w:trHeight w:val="340"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填表说明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（列出</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项目相关信息及评价说明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：项目环境风险分析结合《建设项目环境风险评价技术导则》</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HJ169-2018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及《建设项目环境影响评价技术导则总纲》</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（HJ 2.1-2016）相</w:t>
                  </w:r>
                  <w:r>
                    <w:rPr>
                      <w:rFonts w:hint="default" w:ascii="Times New Roman" w:hAnsi="Times New Roman" w:eastAsia="宋体" w:cs="Times New Roman"/>
                      <w:color w:val="000000" w:themeColor="text1"/>
                      <w:sz w:val="21"/>
                      <w:szCs w:val="21"/>
                      <w:highlight w:val="none"/>
                      <w14:textFill>
                        <w14:solidFill>
                          <w14:schemeClr w14:val="tx1"/>
                        </w14:solidFill>
                      </w14:textFill>
                    </w:rPr>
                    <w:t>关内容进行分析评价。</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环境管理</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w:t>环境管理就是指工程在施工期、营运期时全面执行和遵守国家、省、市有关环境保护法律、法规、政策和标准，接受地方环境保护主管部门的环境监督，调整和制定环境保护规划和目标，力争把不利影响减小到最低，加强项目环境管理，协调解决实现目标过程中的具体问题，及时调整工程运行方式和环境保护措施，以取得更好的综合环境效益，最终达到保护环境的目的。建设项目环境管理是工程管理的重要组成部分，是工程环境保护工作能够有效实施的关键。</w:t>
            </w:r>
            <w:r>
              <w:rPr>
                <w:rFonts w:hint="eastAsia" w:ascii="Times New Roman" w:hAnsi="Times New Roman" w:cs="Times New Roman"/>
                <w:color w:val="000000" w:themeColor="text1"/>
                <w:sz w:val="24"/>
                <w:highlight w:val="none"/>
                <w:lang w:val="en-US" w:eastAsia="zh-CN"/>
                <w14:textFill>
                  <w14:solidFill>
                    <w14:schemeClr w14:val="tx1"/>
                  </w14:solidFill>
                </w14:textFill>
              </w:rPr>
              <w:t>根据本项目的污染物排放特征，其产生的废气及固体废物存在一定</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的污染隐患。一旦管理不善将可能出现污染事故，从而影响周围环境。因此，运营期的环境管理十分重要，运营期应做好以下工作：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）排污口规范化管理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本项目设计在污染物排放口（源）设置监测用的采样口，采样口的设计应符合《污染源监测技术规范》要求并便于采样监测；同时必须按照《环境保护图形标志—排放口（源）》（GB15562.1-1995）和《</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环境保护图形标志 固体废物贮存（处置）场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》（GB15562.2-1995）</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及其修改单</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中规定的图形，在各气、水、声排污口（源）及固体废物（一般固体废物和危险废物）贮存、处置场挂牌标识，做到各排污口（源）的环保标志明显，便于企业管理和公众监督。具体设计图形见下表。</w:t>
            </w:r>
          </w:p>
          <w:p>
            <w:pPr>
              <w:keepNext w:val="0"/>
              <w:keepLines w:val="0"/>
              <w:widowControl/>
              <w:suppressLineNumbers w:val="0"/>
              <w:spacing w:line="240" w:lineRule="auto"/>
              <w:jc w:val="center"/>
              <w:rPr>
                <w:rFonts w:hint="default" w:ascii="Times New Roman" w:hAnsi="Times New Roman" w:eastAsia="宋体" w:cs="Times New Roman"/>
                <w:b/>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环境保护图形标志设置图形表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90"/>
              <w:gridCol w:w="1305"/>
              <w:gridCol w:w="1352"/>
              <w:gridCol w:w="134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7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排放口</w:t>
                  </w:r>
                </w:p>
              </w:tc>
              <w:tc>
                <w:tcPr>
                  <w:tcW w:w="8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废水排口</w:t>
                  </w:r>
                </w:p>
              </w:tc>
              <w:tc>
                <w:tcPr>
                  <w:tcW w:w="82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废气排口</w:t>
                  </w:r>
                </w:p>
              </w:tc>
              <w:tc>
                <w:tcPr>
                  <w:tcW w:w="85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固废</w:t>
                  </w:r>
                </w:p>
              </w:tc>
              <w:tc>
                <w:tcPr>
                  <w:tcW w:w="8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噪声源</w:t>
                  </w:r>
                </w:p>
              </w:tc>
              <w:tc>
                <w:tcPr>
                  <w:tcW w:w="89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图形符号</w:t>
                  </w:r>
                </w:p>
              </w:tc>
              <w:tc>
                <w:tcPr>
                  <w:tcW w:w="8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31190" cy="631190"/>
                        <wp:effectExtent l="0" t="0" r="16510"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7"/>
                                <a:stretch>
                                  <a:fillRect/>
                                </a:stretch>
                              </pic:blipFill>
                              <pic:spPr>
                                <a:xfrm>
                                  <a:off x="0" y="0"/>
                                  <a:ext cx="631190" cy="631190"/>
                                </a:xfrm>
                                <a:prstGeom prst="rect">
                                  <a:avLst/>
                                </a:prstGeom>
                                <a:noFill/>
                                <a:ln>
                                  <a:noFill/>
                                </a:ln>
                              </pic:spPr>
                            </pic:pic>
                          </a:graphicData>
                        </a:graphic>
                      </wp:inline>
                    </w:drawing>
                  </w:r>
                </w:p>
              </w:tc>
              <w:tc>
                <w:tcPr>
                  <w:tcW w:w="8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40715" cy="640715"/>
                        <wp:effectExtent l="0" t="0" r="6985" b="698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8"/>
                                <a:stretch>
                                  <a:fillRect/>
                                </a:stretch>
                              </pic:blipFill>
                              <pic:spPr>
                                <a:xfrm>
                                  <a:off x="0" y="0"/>
                                  <a:ext cx="640715" cy="640715"/>
                                </a:xfrm>
                                <a:prstGeom prst="rect">
                                  <a:avLst/>
                                </a:prstGeom>
                                <a:noFill/>
                                <a:ln>
                                  <a:noFill/>
                                </a:ln>
                              </pic:spPr>
                            </pic:pic>
                          </a:graphicData>
                        </a:graphic>
                      </wp:inline>
                    </w:drawing>
                  </w:r>
                </w:p>
              </w:tc>
              <w:tc>
                <w:tcPr>
                  <w:tcW w:w="8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69290" cy="642620"/>
                        <wp:effectExtent l="0" t="0" r="16510" b="508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9"/>
                                <a:stretch>
                                  <a:fillRect/>
                                </a:stretch>
                              </pic:blipFill>
                              <pic:spPr>
                                <a:xfrm>
                                  <a:off x="0" y="0"/>
                                  <a:ext cx="669290" cy="642620"/>
                                </a:xfrm>
                                <a:prstGeom prst="rect">
                                  <a:avLst/>
                                </a:prstGeom>
                                <a:noFill/>
                                <a:ln>
                                  <a:noFill/>
                                </a:ln>
                              </pic:spPr>
                            </pic:pic>
                          </a:graphicData>
                        </a:graphic>
                      </wp:inline>
                    </w:drawing>
                  </w:r>
                </w:p>
              </w:tc>
              <w:tc>
                <w:tcPr>
                  <w:tcW w:w="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drawing>
                      <wp:inline distT="0" distB="0" distL="114300" distR="114300">
                        <wp:extent cx="659130" cy="645160"/>
                        <wp:effectExtent l="0" t="0" r="7620"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0"/>
                                <a:stretch>
                                  <a:fillRect/>
                                </a:stretch>
                              </pic:blipFill>
                              <pic:spPr>
                                <a:xfrm>
                                  <a:off x="0" y="0"/>
                                  <a:ext cx="659130" cy="645160"/>
                                </a:xfrm>
                                <a:prstGeom prst="rect">
                                  <a:avLst/>
                                </a:prstGeom>
                                <a:noFill/>
                                <a:ln>
                                  <a:noFill/>
                                </a:ln>
                              </pic:spPr>
                            </pic:pic>
                          </a:graphicData>
                        </a:graphic>
                      </wp:inline>
                    </w:drawing>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774700" cy="677545"/>
                        <wp:effectExtent l="0" t="0" r="6350" b="8255"/>
                        <wp:docPr id="17" name="图片 12" descr="ae94750712d8a7d5f75ec4c5be9f7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ae94750712d8a7d5f75ec4c5be9f7e18"/>
                                <pic:cNvPicPr>
                                  <a:picLocks noChangeAspect="1"/>
                                </pic:cNvPicPr>
                              </pic:nvPicPr>
                              <pic:blipFill>
                                <a:blip r:embed="rId31"/>
                                <a:stretch>
                                  <a:fillRect/>
                                </a:stretch>
                              </pic:blipFill>
                              <pic:spPr>
                                <a:xfrm>
                                  <a:off x="0" y="0"/>
                                  <a:ext cx="774700" cy="677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背景颜色</w:t>
                  </w:r>
                </w:p>
              </w:tc>
              <w:tc>
                <w:tcPr>
                  <w:tcW w:w="333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绿色</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图形颜色</w:t>
                  </w:r>
                </w:p>
              </w:tc>
              <w:tc>
                <w:tcPr>
                  <w:tcW w:w="3331"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白色</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黑色</w:t>
                  </w:r>
                </w:p>
              </w:tc>
            </w:tr>
          </w:tbl>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安全环保科除执行各项有关环境保护工作的指令外，还应接受当地环境保护局的监督检查，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（3）确保污染治理措施执行“三同时”，检查、监督全厂环保设施的正常高效运行，使各项治理设施达到设计要求。 </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（4）污染防治设施应在满足设计工况的条件下运行，并根据工艺要求，定期对设备、电气、自控仪表及构筑物进行检查维护，确保污染防治设施可靠运行。</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（5）加强环保知识宣传教育，提高职工环境意识，把环境意识贯彻到企业各车间</w:t>
            </w:r>
            <w:r>
              <w:rPr>
                <w:rFonts w:hint="eastAsia" w:ascii="Times New Roman" w:hAnsi="Times New Roman" w:cs="Times New Roman"/>
                <w:color w:val="000000" w:themeColor="text1"/>
                <w:sz w:val="24"/>
                <w:highlight w:val="none"/>
                <w:lang w:val="en-US" w:eastAsia="zh-CN"/>
                <w14:textFill>
                  <w14:solidFill>
                    <w14:schemeClr w14:val="tx1"/>
                  </w14:solidFill>
                </w14:textFill>
              </w:rPr>
              <w:t>班组及每个职工的日常生产、生活中；推广治理方面的先进技术。</w:t>
            </w:r>
          </w:p>
          <w:p>
            <w:pPr>
              <w:numPr>
                <w:ilvl w:val="0"/>
                <w:numId w:val="0"/>
              </w:numPr>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highlight w:val="none"/>
                <w:lang w:val="en-US" w:eastAsia="zh-CN"/>
                <w14:textFill>
                  <w14:solidFill>
                    <w14:schemeClr w14:val="tx1"/>
                  </w14:solidFill>
                </w14:textFill>
              </w:rPr>
              <w:t>）组织制定环境保护管理的规章制度并监督执行</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制定并组织实施各项环境保护的规划和计划</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贯彻执行环境保护法规和标准。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）项目建成后及时进行环保验收并申请排污许可证。</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eastAsia" w:cs="Times New Roman"/>
                <w:b/>
                <w:bCs w:val="0"/>
                <w:color w:val="000000" w:themeColor="text1"/>
                <w:spacing w:val="0"/>
                <w:sz w:val="24"/>
                <w:szCs w:val="24"/>
                <w:highlight w:val="none"/>
                <w:lang w:val="en-US" w:eastAsia="zh-CN"/>
                <w14:textFill>
                  <w14:solidFill>
                    <w14:schemeClr w14:val="tx1"/>
                  </w14:solidFill>
                </w14:textFill>
              </w:rPr>
              <w:t>8</w:t>
            </w:r>
            <w:r>
              <w:rPr>
                <w:rFonts w:hint="eastAsia"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t>、环保投资</w:t>
            </w:r>
          </w:p>
          <w:p>
            <w:pPr>
              <w:pStyle w:val="79"/>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本项目总投资</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40000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万元，环保投资为</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350</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万元，占项目总投资的</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0.875</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%，具体投资见表4-</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表4-</w:t>
            </w:r>
            <w:bookmarkStart w:id="7" w:name="_Hlk24400886"/>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hint="eastAsia" w:cs="Times New Roman"/>
                <w:b/>
                <w:bCs/>
                <w:color w:val="000000" w:themeColor="text1"/>
                <w:szCs w:val="21"/>
                <w:highlight w:val="none"/>
                <w:lang w:val="en-US" w:eastAsia="zh-CN"/>
                <w14:textFill>
                  <w14:solidFill>
                    <w14:schemeClr w14:val="tx1"/>
                  </w14:solidFill>
                </w14:textFill>
              </w:rPr>
              <w:t>9</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Cs w:val="21"/>
                <w:highlight w:val="none"/>
                <w14:textFill>
                  <w14:solidFill>
                    <w14:schemeClr w14:val="tx1"/>
                  </w14:solidFill>
                </w14:textFill>
              </w:rPr>
              <w:t>工程环保设施与投资概算一览表</w:t>
            </w:r>
            <w:bookmarkEnd w:id="7"/>
          </w:p>
          <w:tbl>
            <w:tblPr>
              <w:tblStyle w:val="23"/>
              <w:tblW w:w="49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9"/>
              <w:gridCol w:w="1811"/>
              <w:gridCol w:w="3983"/>
              <w:gridCol w:w="123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项目</w:t>
                  </w:r>
                </w:p>
              </w:tc>
              <w:tc>
                <w:tcPr>
                  <w:tcW w:w="116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治理</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对象</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内  容</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restar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16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2551"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负压收集+沉降除尘器+滤筒除尘器处理+20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喷漆、烘干产生的废气、喷漆产生的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p>
              </w:tc>
              <w:tc>
                <w:tcPr>
                  <w:tcW w:w="2551"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负压收集+80K型活性炭吸附+脱附+催化燃烧处理设备（在线）+20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vMerge w:val="continue"/>
                  <w:tcBorders>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r>
                    <w:rPr>
                      <w:rFonts w:hint="eastAsia" w:cs="Times New Roman"/>
                      <w:color w:val="000000" w:themeColor="text1"/>
                      <w:sz w:val="21"/>
                      <w:szCs w:val="21"/>
                      <w:highlight w:val="none"/>
                      <w:lang w:val="en-US" w:eastAsia="zh-CN"/>
                      <w14:textFill>
                        <w14:solidFill>
                          <w14:schemeClr w14:val="tx1"/>
                        </w14:solidFill>
                      </w14:textFill>
                    </w:rPr>
                    <w:t>+8m高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隔油池、管网</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生产设备</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选用低噪声设备，采取隔声、降噪措施，加强厂区绿化</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固体废物</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并定时交有资质单位处理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一般固废分类收集后综合利用或外售，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生活垃圾收集清运至生活垃圾填埋场</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7" w:hRule="atLeast"/>
                <w:jc w:val="center"/>
              </w:trPr>
              <w:tc>
                <w:tcPr>
                  <w:tcW w:w="499" w:type="pct"/>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116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移动式危废暂存间</w:t>
                  </w:r>
                  <w:r>
                    <w:rPr>
                      <w:rFonts w:hint="eastAsia" w:cs="Times New Roman"/>
                      <w:color w:val="000000" w:themeColor="text1"/>
                      <w:sz w:val="21"/>
                      <w:szCs w:val="21"/>
                      <w:highlight w:val="none"/>
                      <w:lang w:val="en-US" w:eastAsia="zh-CN"/>
                      <w14:textFill>
                        <w14:solidFill>
                          <w14:schemeClr w14:val="tx1"/>
                        </w14:solidFill>
                      </w14:textFill>
                    </w:rPr>
                    <w:t>危险废物和油性漆</w:t>
                  </w:r>
                </w:p>
              </w:tc>
              <w:tc>
                <w:tcPr>
                  <w:tcW w:w="255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厂区分区防渗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，消防水池</w:t>
                  </w:r>
                </w:p>
              </w:tc>
              <w:tc>
                <w:tcPr>
                  <w:tcW w:w="78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4211" w:type="pct"/>
                  <w:gridSpan w:val="3"/>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7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sz w:val="24"/>
                <w:szCs w:val="24"/>
                <w:highlight w:val="none"/>
                <w:lang w:val="en-US" w:eastAsia="zh-CN"/>
                <w14:textFill>
                  <w14:solidFill>
                    <w14:schemeClr w14:val="tx1"/>
                  </w14:solidFill>
                </w14:textFill>
              </w:rPr>
            </w:pPr>
          </w:p>
        </w:tc>
      </w:tr>
    </w:tbl>
    <w:p>
      <w:pPr>
        <w:adjustRightInd w:val="0"/>
        <w:snapToGrid w:val="0"/>
        <w:spacing w:line="360" w:lineRule="auto"/>
        <w:rPr>
          <w:rFonts w:hint="eastAsia" w:ascii="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8"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内容</w: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要素</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排放口(编号、</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名称)/污染源</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污染物项目</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环境保护措施</w:t>
            </w:r>
          </w:p>
        </w:tc>
        <w:tc>
          <w:tcPr>
            <w:tcW w:w="1757"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大气环境</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切割、焊接颗粒物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移动式焊接烟尘净化器</w:t>
            </w:r>
          </w:p>
        </w:tc>
        <w:tc>
          <w:tcPr>
            <w:tcW w:w="1757" w:type="dxa"/>
            <w:vMerge w:val="restart"/>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《大气污染物综合排放标准》(GB16297-1996)二级标准浓度限值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/抛丸除锈粉尘</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负压收集+沉降除尘器+滤筒除尘器处理+20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Merge w:val="continue"/>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喷漆、烘干产生的废气</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cs="Times New Roman"/>
                <w:color w:val="000000" w:themeColor="text1"/>
                <w:kern w:val="2"/>
                <w:sz w:val="21"/>
                <w:szCs w:val="21"/>
                <w:highlight w:val="none"/>
                <w:lang w:val="en-US" w:eastAsia="zh-CN" w:bidi="ar-SA"/>
                <w14:textFill>
                  <w14:solidFill>
                    <w14:schemeClr w14:val="tx1"/>
                  </w14:solidFill>
                </w14:textFill>
              </w:rPr>
              <w:t>甲苯、二甲苯</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负压收集+80K型活性炭吸附+脱附+催化燃烧处理设备（在线）+20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有机废气有组织排放标准参照执行《大气污染物综合排放标准》(GB16297-1996)二级标准浓度限值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允许排放浓度值120mg/m³，20米排气筒最高允许排放速率17kg/h，甲苯允许排放浓度值40mg/m³，20米排气筒最高允许排放速率5.2kg/h，二甲苯允许排放浓度值70mg/m³，20米排气筒最高允许排放速率1.7kg/h)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/漆雾</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负压收集+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DPA纸箱过滤器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w:t>
            </w:r>
          </w:p>
        </w:tc>
        <w:tc>
          <w:tcPr>
            <w:tcW w:w="1757" w:type="dxa"/>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《大气污染物综合排放标准》(GB16297-1996)二级标准浓度限值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油烟净化器</w:t>
            </w:r>
          </w:p>
        </w:tc>
        <w:tc>
          <w:tcPr>
            <w:tcW w:w="1757"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中排放限值（2.0mg/m3）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丝印废气</w:t>
            </w:r>
          </w:p>
        </w:tc>
        <w:tc>
          <w:tcPr>
            <w:tcW w:w="1755" w:type="dxa"/>
            <w:vAlign w:val="center"/>
          </w:tcPr>
          <w:p>
            <w:pPr>
              <w:snapToGrid w:val="0"/>
              <w:spacing w:line="240" w:lineRule="auto"/>
              <w:ind w:left="-62" w:leftChars="0" w:right="-91" w:rightChars="0"/>
              <w:jc w:val="cente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kern w:val="21"/>
                <w:sz w:val="21"/>
                <w:szCs w:val="21"/>
                <w:highlight w:val="none"/>
                <w:lang w:val="en-US" w:eastAsia="zh-CN"/>
                <w14:textFill>
                  <w14:solidFill>
                    <w14:schemeClr w14:val="tx1"/>
                  </w14:solidFill>
                </w14:textFill>
              </w:rPr>
              <w:t>VOCs</w:t>
            </w:r>
          </w:p>
        </w:tc>
        <w:tc>
          <w:tcPr>
            <w:tcW w:w="1755" w:type="dxa"/>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由</w:t>
            </w:r>
            <w:r>
              <w:rPr>
                <w:rFonts w:hint="eastAsia" w:cs="Times New Roman"/>
                <w:color w:val="000000" w:themeColor="text1"/>
                <w:sz w:val="21"/>
                <w:szCs w:val="21"/>
                <w:highlight w:val="none"/>
                <w:lang w:val="en-US" w:eastAsia="zh-CN"/>
                <w14:textFill>
                  <w14:solidFill>
                    <w14:schemeClr w14:val="tx1"/>
                  </w14:solidFill>
                </w14:textFill>
              </w:rPr>
              <w:t>排气扇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排至厂房外无组织排放</w:t>
            </w:r>
          </w:p>
        </w:tc>
        <w:tc>
          <w:tcPr>
            <w:tcW w:w="1757"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无组织排放执行《挥发性有机物无组织排放控制标准》(GB37822-2019)附录A中的厂区内</w:t>
            </w:r>
            <w:r>
              <w:rPr>
                <w:rFonts w:hint="eastAsia" w:cs="Times New Roman"/>
                <w:color w:val="000000" w:themeColor="text1"/>
                <w:sz w:val="21"/>
                <w:szCs w:val="21"/>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浓度特别排放限值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（在厂房外监控点处任意一次浓度值20mg/m³）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地表水环境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DW001</w:t>
            </w:r>
          </w:p>
          <w:p>
            <w:pPr>
              <w:spacing w:line="240" w:lineRule="auto"/>
              <w:jc w:val="center"/>
              <w:rPr>
                <w:rFonts w:hint="eastAsia"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755" w:type="dxa"/>
            <w:vAlign w:val="center"/>
          </w:tcPr>
          <w:p>
            <w:pPr>
              <w:snapToGrid w:val="0"/>
              <w:spacing w:line="240" w:lineRule="auto"/>
              <w:ind w:left="-62" w:leftChars="0" w:right="-91"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21"/>
                <w:sz w:val="21"/>
                <w:szCs w:val="21"/>
                <w:highlight w:val="none"/>
                <w:vertAlign w:val="subscript"/>
                <w14:textFill>
                  <w14:solidFill>
                    <w14:schemeClr w14:val="tx1"/>
                  </w14:solidFill>
                </w14:textFill>
              </w:rPr>
              <w:t>cr</w:t>
            </w:r>
            <w:r>
              <w:rPr>
                <w:rFonts w:hint="eastAsia" w:ascii="Times New Roman" w:hAnsi="Times New Roman" w:eastAsia="宋体" w:cs="Times New Roman"/>
                <w:color w:val="000000" w:themeColor="text1"/>
                <w:kern w:val="21"/>
                <w:sz w:val="21"/>
                <w:szCs w:val="21"/>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21"/>
                <w:sz w:val="21"/>
                <w:szCs w:val="21"/>
                <w:highlight w:val="none"/>
                <w:vertAlign w:val="subscript"/>
                <w14:textFill>
                  <w14:solidFill>
                    <w14:schemeClr w14:val="tx1"/>
                  </w14:solidFill>
                </w14:textFill>
              </w:rPr>
              <w:t>5</w:t>
            </w:r>
            <w:r>
              <w:rPr>
                <w:rFonts w:hint="eastAsia" w:ascii="Times New Roman" w:hAnsi="Times New Roman" w:eastAsia="宋体" w:cs="Times New Roman"/>
                <w:color w:val="000000" w:themeColor="text1"/>
                <w:kern w:val="21"/>
                <w:sz w:val="21"/>
                <w:szCs w:val="21"/>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SS</w:t>
            </w:r>
            <w:r>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氨氮</w:t>
            </w:r>
          </w:p>
        </w:tc>
        <w:tc>
          <w:tcPr>
            <w:tcW w:w="1755"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隔油池</w:t>
            </w:r>
          </w:p>
        </w:tc>
        <w:tc>
          <w:tcPr>
            <w:tcW w:w="1757" w:type="dxa"/>
            <w:vAlign w:val="center"/>
          </w:tcPr>
          <w:p>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《污水综合排放标准》(GB 8978-1996)中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14:textFill>
                  <w14:solidFill>
                    <w14:schemeClr w14:val="tx1"/>
                  </w14:solidFill>
                </w14:textFill>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声环境</w:t>
            </w:r>
          </w:p>
        </w:tc>
        <w:tc>
          <w:tcPr>
            <w:tcW w:w="1755"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四周</w:t>
            </w:r>
          </w:p>
        </w:tc>
        <w:tc>
          <w:tcPr>
            <w:tcW w:w="1755"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设备运行噪声</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选用低噪声设备，基础</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减振、加强管理和设备</w:t>
            </w:r>
          </w:p>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的维护保养等</w:t>
            </w:r>
          </w:p>
        </w:tc>
        <w:tc>
          <w:tcPr>
            <w:tcW w:w="1757" w:type="dxa"/>
            <w:vAlign w:val="center"/>
          </w:tcPr>
          <w:p>
            <w:pPr>
              <w:spacing w:line="240" w:lineRule="auto"/>
              <w:jc w:val="center"/>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14:textFill>
                  <w14:solidFill>
                    <w14:schemeClr w14:val="tx1"/>
                  </w14:solidFill>
                </w14:textFill>
              </w:rPr>
              <w:t>环境噪声排放标准》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（GB12348-2008）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类</w:t>
            </w:r>
            <w:r>
              <w:rPr>
                <w:rFonts w:hint="default" w:ascii="Times New Roman" w:hAnsi="Times New Roman" w:eastAsia="宋体" w:cs="Times New Roman"/>
                <w:color w:val="000000" w:themeColor="text1"/>
                <w:sz w:val="21"/>
                <w:szCs w:val="21"/>
                <w:highlight w:val="none"/>
                <w14:textFill>
                  <w14:solidFill>
                    <w14:schemeClr w14:val="tx1"/>
                  </w14:solidFill>
                </w14:textFill>
              </w:rPr>
              <w:t>功能区标准限值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电磁辐射</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c>
          <w:tcPr>
            <w:tcW w:w="1757"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固体废物</w:t>
            </w:r>
          </w:p>
        </w:tc>
        <w:tc>
          <w:tcPr>
            <w:tcW w:w="7022" w:type="dxa"/>
            <w:gridSpan w:val="4"/>
            <w:vAlign w:val="center"/>
          </w:tcPr>
          <w:p>
            <w:pPr>
              <w:pStyle w:val="39"/>
              <w:keepNext w:val="0"/>
              <w:keepLines w:val="0"/>
              <w:pageBreakBefore w:val="0"/>
              <w:widowControl w:val="0"/>
              <w:numPr>
                <w:ilvl w:val="0"/>
                <w:numId w:val="0"/>
              </w:numPr>
              <w:suppressLineNumbers w:val="0"/>
              <w:tabs>
                <w:tab w:val="clear" w:pos="2760"/>
              </w:tabs>
              <w:kinsoku/>
              <w:wordWrap/>
              <w:overflowPunct/>
              <w:topLinePunct w:val="0"/>
              <w:autoSpaceDE w:val="0"/>
              <w:autoSpaceDN w:val="0"/>
              <w:bidi w:val="0"/>
              <w:adjustRightInd/>
              <w:snapToGrid/>
              <w:spacing w:before="0" w:beforeAutospacing="0" w:after="0" w:afterAutospacing="0" w:line="240" w:lineRule="auto"/>
              <w:ind w:right="0" w:rightChars="0" w:firstLine="0" w:firstLineChars="0"/>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生活垃圾统一交由环卫部门处置。</w:t>
            </w:r>
            <w:r>
              <w:rPr>
                <w:rFonts w:hint="eastAsia" w:cs="Times New Roman"/>
                <w:color w:val="000000" w:themeColor="text1"/>
                <w:sz w:val="21"/>
                <w:szCs w:val="21"/>
                <w:highlight w:val="none"/>
                <w:lang w:val="en-US" w:eastAsia="zh-CN"/>
                <w14:textFill>
                  <w14:solidFill>
                    <w14:schemeClr w14:val="tx1"/>
                  </w14:solidFill>
                </w14:textFill>
              </w:rPr>
              <w:t>除尘器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包装废料</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移动式焊接烟尘净化器产生的废滤芯</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分类回收后综合利用或交由环卫部门处置。边角废料</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废钢丸</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废焊料焊渣回收后外售综合利用。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喷漆、丝印过程产生的废漆、废漆桶、废油墨桶、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废DPA纸箱</w:t>
            </w:r>
            <w:r>
              <w:rPr>
                <w:rFonts w:hint="eastAsia" w:cs="Times New Roman"/>
                <w:color w:val="000000" w:themeColor="text1"/>
                <w:sz w:val="21"/>
                <w:szCs w:val="21"/>
                <w:highlight w:val="none"/>
                <w:lang w:val="en-US" w:eastAsia="zh-CN"/>
                <w14:textFill>
                  <w14:solidFill>
                    <w14:schemeClr w14:val="tx1"/>
                  </w14:solidFill>
                </w14:textFill>
              </w:rPr>
              <w:t>、废空压机油、废机油、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r>
              <w:rPr>
                <w:rFonts w:hint="eastAsia" w:cs="Times New Roman"/>
                <w:color w:val="000000" w:themeColor="text1"/>
                <w:sz w:val="21"/>
                <w:szCs w:val="21"/>
                <w:highlight w:val="none"/>
                <w:lang w:val="en-US" w:eastAsia="zh-CN"/>
                <w14:textFill>
                  <w14:solidFill>
                    <w14:schemeClr w14:val="tx1"/>
                  </w14:solidFill>
                </w14:textFill>
              </w:rPr>
              <w:t>和废油墨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经收集后暂存于危险废物暂存间，最终交由具有相应资质类别的危险废物处置单位处置。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土壤及地下水</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污染防治措施</w:t>
            </w:r>
          </w:p>
        </w:tc>
        <w:tc>
          <w:tcPr>
            <w:tcW w:w="702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根据本项目厂区可能泄漏至地面区域污染物的性质和生产单元的构筑方式，将厂区划分为重点污染防治区、一般污染防治区和简单防渗区。针对不同的区域提出相应的防渗要求。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pacing w:val="0"/>
                <w:sz w:val="21"/>
                <w:szCs w:val="21"/>
                <w:highlight w:val="none"/>
                <w:lang w:val="en-US" w:eastAsia="zh-CN"/>
                <w14:textFill>
                  <w14:solidFill>
                    <w14:schemeClr w14:val="tx1"/>
                  </w14:solidFill>
                </w14:textFill>
              </w:rPr>
              <w:t>1）重点污染防治区：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本项目重点防渗区为</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移动式危</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废暂存间、消防水池</w:t>
            </w:r>
            <w:r>
              <w:rPr>
                <w:rFonts w:hint="eastAsia" w:cs="Times New Roman"/>
                <w:bCs/>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喷漆车间</w:t>
            </w:r>
            <w:r>
              <w:rPr>
                <w:rFonts w:hint="eastAsia" w:cs="Times New Roman"/>
                <w:bCs/>
                <w:color w:val="000000" w:themeColor="text1"/>
                <w:spacing w:val="0"/>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对于重点污染防治区，参照《危险废物贮存污染控制标准》</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GB18597-20</w:t>
            </w:r>
            <w:r>
              <w:rPr>
                <w:rFonts w:hint="eastAsia" w:ascii="Times New Roman" w:hAnsi="Times New Roman" w:cs="Times New Roman"/>
                <w:bCs/>
                <w:color w:val="000000" w:themeColor="text1"/>
                <w:spacing w:val="0"/>
                <w:sz w:val="21"/>
                <w:szCs w:val="21"/>
                <w:highlight w:val="none"/>
                <w:lang w:val="en-US" w:eastAsia="zh-CN"/>
                <w14:textFill>
                  <w14:solidFill>
                    <w14:schemeClr w14:val="tx1"/>
                  </w14:solidFill>
                </w14:textFill>
              </w:rPr>
              <w:t>23）</w:t>
            </w: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的要求进行防渗设计。并有防风、防雨、防晒等功能，现场配备灭火器、消防砂等消防器材。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0"/>
                <w:sz w:val="21"/>
                <w:szCs w:val="21"/>
                <w:highlight w:val="none"/>
                <w:lang w:val="en-US" w:eastAsia="zh-CN"/>
                <w14:textFill>
                  <w14:solidFill>
                    <w14:schemeClr w14:val="tx1"/>
                  </w14:solidFill>
                </w14:textFill>
              </w:rPr>
              <w:t>危废存放间：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一般污染防治区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本项目一般污染防治区为</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其他厂房（除喷漆车间）</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一般污染区防渗要求：等效黏土层厚度≥1.5m，且经压实、人工改性等措施处理后的饱和渗透系数不应大于1.0×10</w:t>
            </w:r>
            <w:r>
              <w:rPr>
                <w:rFonts w:hint="default" w:ascii="Times New Roman" w:hAnsi="Times New Roman" w:eastAsia="宋体" w:cs="Times New Roman"/>
                <w:bCs/>
                <w:color w:val="000000" w:themeColor="text1"/>
                <w:spacing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cm/s。使用其他</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黏土</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类防渗层材料时，应具有同等以上隔水效力</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lang w:val="en-US" w:eastAsia="zh-CN"/>
                <w14:textFill>
                  <w14:solidFill>
                    <w14:schemeClr w14:val="tx1"/>
                  </w14:solidFill>
                </w14:textFill>
              </w:rPr>
              <w:t>3）简单防渗区</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本项目简单防渗区是指不会对土壤和地下水造成污染的区域，主要包括厂内道路、绿化区等。对于基本上不产生污染物的</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简单防渗区</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，不采取专门针对地下水污染的防治措施。本项目对可能造成地下水、土壤污染影响的区域进行分类识别、分区防渗，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生态保护措施</w:t>
            </w:r>
          </w:p>
        </w:tc>
        <w:tc>
          <w:tcPr>
            <w:tcW w:w="7022" w:type="dxa"/>
            <w:gridSpan w:val="4"/>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环境风险</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防范措施</w:t>
            </w:r>
          </w:p>
        </w:tc>
        <w:tc>
          <w:tcPr>
            <w:tcW w:w="7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贮存过程防范措施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1"/>
                <w:szCs w:val="21"/>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储存</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漆的</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的管理要求</w:t>
            </w:r>
            <w:r>
              <w:rPr>
                <w:rFonts w:hint="eastAsia" w:cs="Times New Roman"/>
                <w:color w:val="000000" w:themeColor="text1"/>
                <w:kern w:val="2"/>
                <w:sz w:val="21"/>
                <w:szCs w:val="21"/>
                <w:highlight w:val="none"/>
                <w:lang w:val="en-US" w:eastAsia="zh-CN" w:bidi="ar-SA"/>
                <w14:textFill>
                  <w14:solidFill>
                    <w14:schemeClr w14:val="tx1"/>
                  </w14:solidFill>
                </w14:textFill>
              </w:rPr>
              <w:t>严格</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遵守《危险化学品安全管理条例》及有关规定的要求。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Calibri" w:hAnsi="Calibri" w:eastAsia="宋体" w:cs="Calibri"/>
                <w:color w:val="000000" w:themeColor="text1"/>
                <w:kern w:val="2"/>
                <w:sz w:val="21"/>
                <w:szCs w:val="21"/>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每年进行一次对贮存装置的安全评价，对存在的安全问题提出整改方案，如发现贮存装置存在现实危险的，应当立即停止使用，予以更换或者修复，并采取相应安全措施。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喷漆车间、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消防水池</w:t>
            </w:r>
            <w:r>
              <w:rPr>
                <w:rFonts w:hint="eastAsia" w:cs="Times New Roman"/>
                <w:color w:val="000000" w:themeColor="text1"/>
                <w:kern w:val="2"/>
                <w:sz w:val="21"/>
                <w:szCs w:val="21"/>
                <w:highlight w:val="none"/>
                <w:lang w:val="en-US" w:eastAsia="zh-CN" w:bidi="ar-SA"/>
                <w14:textFill>
                  <w14:solidFill>
                    <w14:schemeClr w14:val="tx1"/>
                  </w14:solidFill>
                </w14:textFill>
              </w:rPr>
              <w:t>、油性</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仓库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按照重点防渗区进行防渗，防渗效果等效黏土防渗层Mb≥6.0m，K≤1×10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w:t>
            </w:r>
            <w:r>
              <w:rPr>
                <w:rFonts w:hint="eastAsia" w:cs="Times New Roman"/>
                <w:color w:val="000000" w:themeColor="text1"/>
                <w:kern w:val="2"/>
                <w:sz w:val="21"/>
                <w:szCs w:val="21"/>
                <w:highlight w:val="none"/>
                <w:lang w:val="en-US" w:eastAsia="zh-CN" w:bidi="ar-SA"/>
                <w14:textFill>
                  <w14:solidFill>
                    <w14:schemeClr w14:val="tx1"/>
                  </w14:solidFill>
                </w14:textFill>
              </w:rPr>
              <w:t>防止</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物料泄漏污染土壤和地下水。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移动式危废暂存间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地面采用防静电硬质环氧树脂材料，防止静电以及防止液体渗漏。内部需要有引水槽，或者有防止</w:t>
            </w:r>
            <w:r>
              <w:rPr>
                <w:rFonts w:hint="eastAsia" w:cs="Times New Roman"/>
                <w:color w:val="000000" w:themeColor="text1"/>
                <w:kern w:val="2"/>
                <w:sz w:val="21"/>
                <w:szCs w:val="21"/>
                <w:highlight w:val="none"/>
                <w:lang w:val="en-US" w:eastAsia="zh-CN" w:bidi="ar-SA"/>
                <w14:textFill>
                  <w14:solidFill>
                    <w14:schemeClr w14:val="tx1"/>
                  </w14:solidFill>
                </w14:textFill>
              </w:rPr>
              <w:t>泄漏</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等回收装置(如类似托盘类有一定容积率的底座)。符合国家危险固废贮存场所的建设要求。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①主体厂房要敞开式布置，强化通风，各种工艺设备（阀门、法兰、泵类等）、管的选型严把质量关，并加强检修、维护，严禁生产中出现物料跑、冒、滴、漏，电气设备须选用防腐、防爆型，电源绝缘良好，防止产生电火花，接地牢靠，防止产生静电。</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②建立和完善各级安全生产责任制，并切实落到实处。各级领导和生产管理人员必须重视安全生产，积极推广科学安全管理方法，强化安全操作制度和劳动纪律。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③对职工要加强职业培训和安全教育。培养职工要有高度的安全生产责任心，并且要熟悉相应的业务，有熟练的操作技能，具备有关物料、设备、设施、工艺参数变动及泄漏等的危险、</w:t>
            </w:r>
            <w:r>
              <w:rPr>
                <w:rFonts w:hint="eastAsia" w:cs="Times New Roman"/>
                <w:bCs/>
                <w:color w:val="000000" w:themeColor="text1"/>
                <w:spacing w:val="0"/>
                <w:sz w:val="21"/>
                <w:szCs w:val="21"/>
                <w:highlight w:val="none"/>
                <w:lang w:val="en-US" w:eastAsia="zh-CN"/>
                <w14:textFill>
                  <w14:solidFill>
                    <w14:schemeClr w14:val="tx1"/>
                  </w14:solidFill>
                </w14:textFill>
              </w:rPr>
              <w:t>危害辨识</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，在紧急情况下能采取正确的应急方法。</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④企业应加强设备管理，工作人员应培训上岗，并经常检查，防止跑冒滴漏发生。加强容器维护、检测，对破损的容器及时更换，确保设备完好，以防物料泄漏；工作现场禁止吸烟、进食。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⑤车间、仓库等危险场所按“建筑灭火器配置设计规范 ”配置手提式干粉灭火器和推车式干粉灭火器。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⑥从工程筹建开始就要建立安全技术档案，包括各种技术图纸、安全操作规程、安全规章制度、设备运行档案、特种设备档案、电气设施检测数据、安全部件检测记录等，为安全生产管理提供依据。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⑦加强对电工及电气设备的管理，并对职工进行各种电气事故案例的教育，不乱拉临时线、防止各类电气事故的发生。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⑧建立健全安全检查制度，定期进行安全检查，及时整改安全隐患，防止事故发生。选用密闭性能好的阀门，保证可拆连接部位的密封性能。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运输过程防范措施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针对本项目涉及的危险品，评价建议运输过程中应该严格执行以下防范措施：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①首先企业要严格执行《安全生产法》和《危险化学品安全管理条例》的有关规定，选择有相关资质的运输公司运送危险原料。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②运输应采用安全性能优良的化学品专用运输车辆，并经检测、检验合格，方可使用。桶以及其他容器必须封口严密，能够承受正常运输条件下产生的内部压力和外部压力，保证在运输中不因湿度、湿度或者压力的变化而发生任何渗（洒）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③在装卸运输时间上合理安排，避开人流高峰期，尽量减轻事故泄漏对人群的影响。司机应经培训有资格后，方可驾驶，严防客货混运，并尽可能缩短运货路程，避开人烟稠密的城镇，减少交通事故发生。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④根据运输物质的性质，准备相应的应急防毒面具、收集泄漏容器及消防设备等事故处理物资和器材。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一旦出现运输过程事故排放，一面采取应急处理措施，搞好现场保护，一面与当地公安消防和环保部门联系，消除或减缓事故造成的影响。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其他环境</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cs="宋体"/>
                <w:color w:val="000000" w:themeColor="text1"/>
                <w:spacing w:val="-8"/>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管理要求</w:t>
            </w:r>
          </w:p>
        </w:tc>
        <w:tc>
          <w:tcPr>
            <w:tcW w:w="7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）排污口规范化管理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2）安全环保科除执行各项有关环境保护工作的指令外，还应接受当地环境保护局的监督检查，组织环保监测及统计工作，配合上级部门对本企业环保项目进行检查验收，定期与不定期地上报各项管理工作的执行情况以及各项有关环境参数、污染源排放指标，建立污染源及厂区周围环境质量监测数据档案，定期编写环保简报，制定全厂环保年度计划和长远规划，为区域整体环境控制服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 xml:space="preserve">（3）确保污染治理措施执行“三同时”，检查、监督全厂环保设施的正常高效运行，使各项治理设施达到设计要求。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（4）污染防治设施应在满足设计工况的条件下运行，并根据工艺要求，定期对设备、电气、自控仪表及构筑物进行检查维护，确保污染防治设施可靠运行。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（5）加强环保知识宣传教育，提高职工环境意识，把环境意识贯彻到企业各车间班组及每个职工的日常生产、生活中；推广治理方面的先进技术。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（6）组织制定环境保护管理的规章制度并监督执行；制定并组织实施各项环境保护的规划和计划；贯彻执行环境保护法规和标准。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（7）项目建成后及时进行环保验收并申请排污许可证。</w:t>
            </w:r>
          </w:p>
        </w:tc>
      </w:tr>
    </w:tbl>
    <w:p>
      <w:pPr>
        <w:pStyle w:val="20"/>
        <w:jc w:val="center"/>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本项目的建设</w:t>
            </w:r>
            <w:r>
              <w:rPr>
                <w:rFonts w:hint="default" w:ascii="Times New Roman" w:hAnsi="Times New Roman" w:cs="Times New Roman"/>
                <w:color w:val="000000" w:themeColor="text1"/>
                <w:sz w:val="24"/>
                <w:highlight w:val="none"/>
                <w:lang w:val="en-US" w:eastAsia="zh-CN"/>
                <w14:textFill>
                  <w14:solidFill>
                    <w14:schemeClr w14:val="tx1"/>
                  </w14:solidFill>
                </w14:textFill>
              </w:rPr>
              <w:t>符合国家产业政策；选址符合相关要求；采用的工艺技术成熟可行，通过采取有效的环保措施可实现达标排放，对周边环境的影响也能控制在可接受程度。因此，建设单位在严格执行环保</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三同时</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制度，严格落实本报告提出的各项环保措施后，项目建设对环境的影响是可接受的。因此，从环保的角度分析，本项目的建设是可行的。</w:t>
            </w:r>
          </w:p>
        </w:tc>
      </w:tr>
    </w:tbl>
    <w:p>
      <w:pPr>
        <w:rPr>
          <w:rFonts w:ascii="宋体"/>
          <w:color w:val="000000" w:themeColor="text1"/>
          <w:highlight w:val="none"/>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240" w:lineRule="auto"/>
        <w:outlineLvl w:val="0"/>
        <w:rPr>
          <w:rFonts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pPr>
        <w:pStyle w:val="20"/>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23"/>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283"/>
        <w:gridCol w:w="1800"/>
        <w:gridCol w:w="14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项目</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分类</w:t>
            </w:r>
          </w:p>
        </w:tc>
        <w:tc>
          <w:tcPr>
            <w:tcW w:w="1417"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pP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污染物名称</w:t>
            </w:r>
          </w:p>
        </w:tc>
        <w:tc>
          <w:tcPr>
            <w:tcW w:w="1701"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①</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276"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现有工程</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许可排放量</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sz w:val="21"/>
                <w:szCs w:val="21"/>
                <w:highlight w:val="none"/>
                <w14:textFill>
                  <w14:solidFill>
                    <w14:schemeClr w14:val="tx1"/>
                  </w14:solidFill>
                </w14:textFill>
              </w:rPr>
              <w:t>②</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701"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在建工程</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③</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559"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本项目</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体</w:t>
            </w:r>
            <w:r>
              <w:rPr>
                <w:rFonts w:ascii="黑体" w:hAnsi="黑体" w:eastAsia="黑体"/>
                <w:snapToGrid w:val="0"/>
                <w:color w:val="000000" w:themeColor="text1"/>
                <w:spacing w:val="-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6"/>
                <w:kern w:val="21"/>
                <w:sz w:val="21"/>
                <w:szCs w:val="21"/>
                <w:highlight w:val="none"/>
                <w14:textFill>
                  <w14:solidFill>
                    <w14:schemeClr w14:val="tx1"/>
                  </w14:solidFill>
                </w14:textFill>
              </w:rPr>
              <w:t>物</w:t>
            </w:r>
            <w:r>
              <w:rPr>
                <w:rFonts w:ascii="黑体" w:hAnsi="黑体" w:eastAsia="黑体"/>
                <w:snapToGrid w:val="0"/>
                <w:color w:val="000000" w:themeColor="text1"/>
                <w:spacing w:val="-6"/>
                <w:kern w:val="21"/>
                <w:sz w:val="21"/>
                <w:szCs w:val="21"/>
                <w:highlight w:val="none"/>
                <w14:textFill>
                  <w14:solidFill>
                    <w14:schemeClr w14:val="tx1"/>
                  </w14:solidFill>
                </w14:textFill>
              </w:rPr>
              <w:t>产生量）</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④</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c>
          <w:tcPr>
            <w:tcW w:w="1283"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以新带老削减量（新建项目不填）</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⑤</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800"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int="eastAsia" w:ascii="黑体" w:hAnsi="黑体" w:eastAsia="黑体"/>
                <w:snapToGrid w:val="0"/>
                <w:color w:val="000000" w:themeColor="text1"/>
                <w:spacing w:val="-16"/>
                <w:kern w:val="21"/>
                <w:sz w:val="21"/>
                <w:szCs w:val="21"/>
                <w:highlight w:val="none"/>
                <w14:textFill>
                  <w14:solidFill>
                    <w14:schemeClr w14:val="tx1"/>
                  </w14:solidFill>
                </w14:textFill>
              </w:rPr>
            </w:pPr>
            <w:r>
              <w:rPr>
                <w:rFonts w:ascii="黑体" w:hAnsi="黑体" w:eastAsia="黑体"/>
                <w:snapToGrid w:val="0"/>
                <w:color w:val="000000" w:themeColor="text1"/>
                <w:spacing w:val="-16"/>
                <w:kern w:val="21"/>
                <w:sz w:val="21"/>
                <w:szCs w:val="21"/>
                <w:highlight w:val="none"/>
                <w14:textFill>
                  <w14:solidFill>
                    <w14:schemeClr w14:val="tx1"/>
                  </w14:solidFill>
                </w14:textFill>
              </w:rPr>
              <w:t>本项目建成后</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16"/>
                <w:kern w:val="21"/>
                <w:sz w:val="21"/>
                <w:szCs w:val="21"/>
                <w:highlight w:val="none"/>
                <w14:textFill>
                  <w14:solidFill>
                    <w14:schemeClr w14:val="tx1"/>
                  </w14:solidFill>
                </w14:textFill>
              </w:rPr>
            </w:pP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全厂</w:t>
            </w:r>
            <w:r>
              <w:rPr>
                <w:rFonts w:ascii="黑体" w:hAnsi="黑体" w:eastAsia="黑体"/>
                <w:snapToGrid w:val="0"/>
                <w:color w:val="000000" w:themeColor="text1"/>
                <w:spacing w:val="-16"/>
                <w:kern w:val="21"/>
                <w:sz w:val="21"/>
                <w:szCs w:val="21"/>
                <w:highlight w:val="none"/>
                <w14:textFill>
                  <w14:solidFill>
                    <w14:schemeClr w14:val="tx1"/>
                  </w14:solidFill>
                </w14:textFill>
              </w:rPr>
              <w:t>排放量（固</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体</w:t>
            </w:r>
            <w:r>
              <w:rPr>
                <w:rFonts w:ascii="黑体" w:hAnsi="黑体" w:eastAsia="黑体"/>
                <w:snapToGrid w:val="0"/>
                <w:color w:val="000000" w:themeColor="text1"/>
                <w:spacing w:val="-16"/>
                <w:kern w:val="21"/>
                <w:sz w:val="21"/>
                <w:szCs w:val="21"/>
                <w:highlight w:val="none"/>
                <w14:textFill>
                  <w14:solidFill>
                    <w14:schemeClr w14:val="tx1"/>
                  </w14:solidFill>
                </w14:textFill>
              </w:rPr>
              <w:t>废</w:t>
            </w:r>
            <w:r>
              <w:rPr>
                <w:rFonts w:hint="eastAsia" w:ascii="黑体" w:hAnsi="黑体" w:eastAsia="黑体"/>
                <w:snapToGrid w:val="0"/>
                <w:color w:val="000000" w:themeColor="text1"/>
                <w:spacing w:val="-16"/>
                <w:kern w:val="21"/>
                <w:sz w:val="21"/>
                <w:szCs w:val="21"/>
                <w:highlight w:val="none"/>
                <w14:textFill>
                  <w14:solidFill>
                    <w14:schemeClr w14:val="tx1"/>
                  </w14:solidFill>
                </w14:textFill>
              </w:rPr>
              <w:t>物</w:t>
            </w:r>
            <w:r>
              <w:rPr>
                <w:rFonts w:ascii="黑体" w:hAnsi="黑体" w:eastAsia="黑体"/>
                <w:snapToGrid w:val="0"/>
                <w:color w:val="000000" w:themeColor="text1"/>
                <w:spacing w:val="-16"/>
                <w:kern w:val="21"/>
                <w:sz w:val="21"/>
                <w:szCs w:val="21"/>
                <w:highlight w:val="none"/>
                <w14:textFill>
                  <w14:solidFill>
                    <w14:schemeClr w14:val="tx1"/>
                  </w14:solidFill>
                </w14:textFill>
              </w:rPr>
              <w:t>产生量）</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⑥</w:t>
            </w:r>
            <w:r>
              <w:rPr>
                <w:rFonts w:ascii="黑体" w:hAnsi="黑体" w:eastAsia="黑体"/>
                <w:snapToGrid w:val="0"/>
                <w:color w:val="000000" w:themeColor="text1"/>
                <w:spacing w:val="-16"/>
                <w:kern w:val="21"/>
                <w:sz w:val="21"/>
                <w:szCs w:val="21"/>
                <w:highlight w:val="none"/>
                <w14:textFill>
                  <w14:solidFill>
                    <w14:schemeClr w14:val="tx1"/>
                  </w14:solidFill>
                </w14:textFill>
              </w:rPr>
              <w:fldChar w:fldCharType="end"/>
            </w:r>
          </w:p>
        </w:tc>
        <w:tc>
          <w:tcPr>
            <w:tcW w:w="1463" w:type="dxa"/>
            <w:tcMar>
              <w:left w:w="28" w:type="dxa"/>
              <w:right w:w="28" w:type="dxa"/>
            </w:tcMar>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t>变化量</w:t>
            </w:r>
          </w:p>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ascii="黑体" w:hAnsi="黑体" w:eastAsia="黑体"/>
                <w:snapToGrid w:val="0"/>
                <w:color w:val="000000" w:themeColor="text1"/>
                <w:spacing w:val="-6"/>
                <w:kern w:val="21"/>
                <w:sz w:val="21"/>
                <w:szCs w:val="21"/>
                <w:highlight w:val="none"/>
                <w14:textFill>
                  <w14:solidFill>
                    <w14:schemeClr w14:val="tx1"/>
                  </w14:solidFill>
                </w14:textFill>
              </w:rPr>
            </w:pP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begin"/>
            </w:r>
            <w:r>
              <w:rPr>
                <w:rFonts w:ascii="黑体" w:hAnsi="黑体" w:eastAsia="黑体"/>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separate"/>
            </w:r>
            <w:r>
              <w:rPr>
                <w:rFonts w:hint="eastAsia" w:ascii="黑体" w:hAnsi="黑体" w:eastAsia="黑体" w:cs="宋体"/>
                <w:color w:val="000000" w:themeColor="text1"/>
                <w:kern w:val="2"/>
                <w:sz w:val="21"/>
                <w:szCs w:val="21"/>
                <w:highlight w:val="none"/>
                <w14:textFill>
                  <w14:solidFill>
                    <w14:schemeClr w14:val="tx1"/>
                  </w14:solidFill>
                </w14:textFill>
              </w:rPr>
              <w:t>⑦</w:t>
            </w:r>
            <w:r>
              <w:rPr>
                <w:rFonts w:ascii="黑体" w:hAnsi="黑体" w:eastAsia="黑体"/>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废气</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颗粒物</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2.678</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2.678</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2.678</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非甲烷总烃</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0.886t/a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0.886t/a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+0.886t/a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甲苯</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0.00216t/a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0.00216t/a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+0.00216t/a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二甲苯</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0.02264t/a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0.02264t/a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+0.02264t/a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油烟</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+0.0072t/a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废水</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生活废水</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+4800</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b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一般工业</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固体废物</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生活</w:t>
            </w:r>
          </w:p>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垃圾</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t>除尘器收尘</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44.755</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44.755</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44.755</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边角废料</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包装废料</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废钢丸</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废焊料焊渣</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移动式焊接烟尘净化器产生的废滤芯</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危险废物</w:t>
            </w: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喷漆、丝印过程产生的废漆、废漆桶、废油墨桶</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废DPA纸箱</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7.659</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cs="Times New Roman"/>
                <w:b w:val="0"/>
                <w:color w:val="000000" w:themeColor="text1"/>
                <w:spacing w:val="0"/>
                <w:sz w:val="21"/>
                <w:szCs w:val="21"/>
                <w:highlight w:val="none"/>
                <w:lang w:val="en-US" w:eastAsia="zh-CN"/>
                <w14:textFill>
                  <w14:solidFill>
                    <w14:schemeClr w14:val="tx1"/>
                  </w14:solidFill>
                </w14:textFill>
              </w:rPr>
              <w:t>7.659</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r>
              <w:rPr>
                <w:rFonts w:hint="eastAsia" w:cs="Times New Roman"/>
                <w:b w:val="0"/>
                <w:color w:val="000000" w:themeColor="text1"/>
                <w:spacing w:val="0"/>
                <w:sz w:val="21"/>
                <w:szCs w:val="21"/>
                <w:highlight w:val="none"/>
                <w:lang w:val="en-US" w:eastAsia="zh-CN"/>
                <w14:textFill>
                  <w14:solidFill>
                    <w14:schemeClr w14:val="tx1"/>
                  </w14:solidFill>
                </w14:textFill>
              </w:rPr>
              <w:t>7.659</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废空压机油、废机油</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废活性炭</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2.1</w:t>
            </w: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2.1</w:t>
            </w: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+2.1</w:t>
            </w:r>
            <w:r>
              <w:rPr>
                <w:rFonts w:hint="eastAsia" w:ascii="Times New Roman" w:hAnsi="Times New Roman" w:cs="Times New Roman"/>
                <w:b w:val="0"/>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废催化剂</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+0.1kg/3a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54"/>
              <w:keepNext w:val="0"/>
              <w:keepLines w:val="0"/>
              <w:pageBreakBefore w:val="0"/>
              <w:widowControl w:val="0"/>
              <w:kinsoku/>
              <w:wordWrap/>
              <w:overflowPunct/>
              <w:topLinePunct w:val="0"/>
              <w:autoSpaceDE/>
              <w:autoSpaceDN/>
              <w:bidi w:val="0"/>
              <w:spacing w:beforeLines="0" w:after="0" w:afterLines="0" w:line="240" w:lineRule="auto"/>
              <w:jc w:val="center"/>
              <w:textAlignment w:val="auto"/>
              <w:rPr>
                <w:rFonts w:hAnsi="宋体" w:cs="宋体"/>
                <w:snapToGrid w:val="0"/>
                <w:color w:val="000000" w:themeColor="text1"/>
                <w:kern w:val="21"/>
                <w:sz w:val="21"/>
                <w:szCs w:val="21"/>
                <w:highlight w:val="none"/>
                <w14:textFill>
                  <w14:solidFill>
                    <w14:schemeClr w14:val="tx1"/>
                  </w14:solidFill>
                </w14:textFill>
              </w:rPr>
            </w:pPr>
          </w:p>
        </w:tc>
        <w:tc>
          <w:tcPr>
            <w:tcW w:w="1417"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废油墨</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276"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701"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559"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c>
          <w:tcPr>
            <w:tcW w:w="128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w:t>
            </w:r>
          </w:p>
        </w:tc>
        <w:tc>
          <w:tcPr>
            <w:tcW w:w="1800"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c>
          <w:tcPr>
            <w:tcW w:w="1463" w:type="dxa"/>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sz w:val="21"/>
                <w:szCs w:val="21"/>
                <w:highlight w:val="none"/>
                <w:lang w:val="en-US" w:eastAsia="zh-CN"/>
                <w14:textFill>
                  <w14:solidFill>
                    <w14:schemeClr w14:val="tx1"/>
                  </w14:solidFill>
                </w14:textFill>
              </w:rPr>
              <w:t>+0.001t/a</w:t>
            </w:r>
          </w:p>
        </w:tc>
      </w:tr>
    </w:tbl>
    <w:p>
      <w:pPr>
        <w:pStyle w:val="54"/>
        <w:spacing w:before="192" w:beforeLines="80" w:after="24"/>
        <w:jc w:val="left"/>
        <w:rPr>
          <w:rFonts w:hint="eastAsia" w:hAnsi="宋体"/>
          <w:snapToGrid w:val="0"/>
          <w:color w:val="000000" w:themeColor="text1"/>
          <w:spacing w:val="-6"/>
          <w:kern w:val="21"/>
          <w:szCs w:val="2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pPr>
        <w:rPr>
          <w:rFonts w:ascii="宋体" w:hAnsi="宋体" w:eastAsia="黑体"/>
          <w:color w:val="000000" w:themeColor="text1"/>
          <w:highlight w:val="none"/>
          <w14:textFill>
            <w14:solidFill>
              <w14:schemeClr w14:val="tx1"/>
            </w14:solidFill>
          </w14:textFill>
        </w:rPr>
        <w:sectPr>
          <w:footerReference r:id="rId6" w:type="default"/>
          <w:pgSz w:w="16838" w:h="11906" w:orient="landscape"/>
          <w:pgMar w:top="1531" w:right="1701" w:bottom="1531" w:left="1701" w:header="851" w:footer="851" w:gutter="0"/>
          <w:cols w:space="720" w:num="1"/>
          <w:docGrid w:linePitch="312" w:charSpace="0"/>
        </w:sectPr>
      </w:pPr>
    </w:p>
    <w:p>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C6D55F-0403-414F-B032-732A8FB1A808}"/>
  </w:font>
  <w:font w:name="黑体">
    <w:panose1 w:val="02010609060101010101"/>
    <w:charset w:val="86"/>
    <w:family w:val="auto"/>
    <w:pitch w:val="default"/>
    <w:sig w:usb0="800002BF" w:usb1="38CF7CFA" w:usb2="00000016" w:usb3="00000000" w:csb0="00040001" w:csb1="00000000"/>
    <w:embedRegular r:id="rId2" w:fontKey="{E84336BC-2280-44C4-9C88-0C3CAB7FD6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B072D5-0E48-40EB-9121-341F51D16A47}"/>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4" w:fontKey="{758A58E0-C433-4852-93CB-59534BA341EF}"/>
  </w:font>
  <w:font w:name="楷体_GB2312">
    <w:panose1 w:val="02010609030101010101"/>
    <w:charset w:val="86"/>
    <w:family w:val="modern"/>
    <w:pitch w:val="default"/>
    <w:sig w:usb0="00000001" w:usb1="080E0000" w:usb2="00000000" w:usb3="00000000" w:csb0="00040000" w:csb1="00000000"/>
    <w:embedRegular r:id="rId5" w:fontKey="{5579E10C-E1F8-46C9-8425-DE36A077613E}"/>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auto"/>
    <w:pitch w:val="default"/>
    <w:sig w:usb0="00000000" w:usb1="00000000" w:usb2="00000016" w:usb3="00000000" w:csb0="00100001" w:csb1="00000000"/>
  </w:font>
  <w:font w:name="方正小标宋_GBK">
    <w:panose1 w:val="02000000000000000000"/>
    <w:charset w:val="86"/>
    <w:family w:val="script"/>
    <w:pitch w:val="default"/>
    <w:sig w:usb0="00000001" w:usb1="080E0000" w:usb2="00000000" w:usb3="00000000" w:csb0="00040000" w:csb1="00000000"/>
    <w:embedRegular r:id="rId6" w:fontKey="{4BF17FB9-BA37-40CC-A666-946EE159D8E8}"/>
  </w:font>
  <w:font w:name="仿宋">
    <w:panose1 w:val="02010609060101010101"/>
    <w:charset w:val="86"/>
    <w:family w:val="modern"/>
    <w:pitch w:val="default"/>
    <w:sig w:usb0="800002BF" w:usb1="38CF7CFA" w:usb2="00000016" w:usb3="00000000" w:csb0="00040001" w:csb1="00000000"/>
    <w:embedRegular r:id="rId7" w:fontKey="{78FB7150-F6C7-430B-96E3-79B11B9A50EA}"/>
  </w:font>
  <w:font w:name="Wingdings 2">
    <w:panose1 w:val="05020102010507070707"/>
    <w:charset w:val="02"/>
    <w:family w:val="auto"/>
    <w:pitch w:val="default"/>
    <w:sig w:usb0="00000000" w:usb1="00000000" w:usb2="00000000" w:usb3="00000000" w:csb0="80000000" w:csb1="00000000"/>
    <w:embedRegular r:id="rId8" w:fontKey="{257E73E8-4AA2-4416-A706-690B993BB2F2}"/>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34"/>
      </w:rPr>
    </w:pPr>
    <w:r>
      <w:fldChar w:fldCharType="begin"/>
    </w:r>
    <w:r>
      <w:rPr>
        <w:rStyle w:val="34"/>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hint="eastAsia" w:ascii="宋体" w:hAnsi="宋体"/>
        <w:sz w:val="26"/>
        <w:szCs w:val="26"/>
        <w:lang w:val="en-US" w:eastAsia="zh-CN"/>
      </w:rPr>
      <w:t>1</w:t>
    </w:r>
    <w:r>
      <w:rPr>
        <w:rStyle w:val="34"/>
        <w:rFonts w:hint="eastAsia" w:ascii="宋体" w:hAnsi="宋体"/>
        <w:sz w:val="20"/>
      </w:rPr>
      <w:t xml:space="preserve">  </w:t>
    </w:r>
    <w:r>
      <w:rPr>
        <w:rStyle w:val="34"/>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11</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DF86E"/>
    <w:multiLevelType w:val="singleLevel"/>
    <w:tmpl w:val="82EDF86E"/>
    <w:lvl w:ilvl="0" w:tentative="0">
      <w:start w:val="7"/>
      <w:numFmt w:val="decimal"/>
      <w:suff w:val="nothing"/>
      <w:lvlText w:val="（%1）"/>
      <w:lvlJc w:val="left"/>
    </w:lvl>
  </w:abstractNum>
  <w:abstractNum w:abstractNumId="1">
    <w:nsid w:val="B3A50BA0"/>
    <w:multiLevelType w:val="singleLevel"/>
    <w:tmpl w:val="B3A50BA0"/>
    <w:lvl w:ilvl="0" w:tentative="0">
      <w:start w:val="3"/>
      <w:numFmt w:val="decimal"/>
      <w:suff w:val="nothing"/>
      <w:lvlText w:val="%1）"/>
      <w:lvlJc w:val="left"/>
    </w:lvl>
  </w:abstractNum>
  <w:abstractNum w:abstractNumId="2">
    <w:nsid w:val="CA9E46EE"/>
    <w:multiLevelType w:val="singleLevel"/>
    <w:tmpl w:val="CA9E46EE"/>
    <w:lvl w:ilvl="0" w:tentative="0">
      <w:start w:val="1"/>
      <w:numFmt w:val="decimal"/>
      <w:suff w:val="nothing"/>
      <w:lvlText w:val="（%1）"/>
      <w:lvlJc w:val="left"/>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75E9BAB4"/>
    <w:multiLevelType w:val="singleLevel"/>
    <w:tmpl w:val="75E9BAB4"/>
    <w:lvl w:ilvl="0" w:tentative="0">
      <w:start w:val="2"/>
      <w:numFmt w:val="decimal"/>
      <w:suff w:val="nothing"/>
      <w:lvlText w:val="%1、"/>
      <w:lvlJc w:val="left"/>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jYTBlNjYzZDMxMDM3OGRhMTNhZTdlNDljMjdhNGEifQ=="/>
  </w:docVars>
  <w:rsids>
    <w:rsidRoot w:val="00000000"/>
    <w:rsid w:val="00332AAB"/>
    <w:rsid w:val="010F1DA1"/>
    <w:rsid w:val="012A0989"/>
    <w:rsid w:val="01603F95"/>
    <w:rsid w:val="01655E65"/>
    <w:rsid w:val="01B01053"/>
    <w:rsid w:val="01D17056"/>
    <w:rsid w:val="02624152"/>
    <w:rsid w:val="02E132C9"/>
    <w:rsid w:val="039504BE"/>
    <w:rsid w:val="03B00C66"/>
    <w:rsid w:val="03E72B61"/>
    <w:rsid w:val="057332A8"/>
    <w:rsid w:val="05940E2A"/>
    <w:rsid w:val="05DE1D42"/>
    <w:rsid w:val="06011ED8"/>
    <w:rsid w:val="07181283"/>
    <w:rsid w:val="07BB7C23"/>
    <w:rsid w:val="086A3D60"/>
    <w:rsid w:val="08E02A82"/>
    <w:rsid w:val="08EE0556"/>
    <w:rsid w:val="08F33922"/>
    <w:rsid w:val="09D516AE"/>
    <w:rsid w:val="0A60541B"/>
    <w:rsid w:val="0A9B4AE1"/>
    <w:rsid w:val="0AE63E6E"/>
    <w:rsid w:val="0B311684"/>
    <w:rsid w:val="0B332B30"/>
    <w:rsid w:val="0BA53A2D"/>
    <w:rsid w:val="0BFB5B29"/>
    <w:rsid w:val="0C714BEC"/>
    <w:rsid w:val="0C807FF6"/>
    <w:rsid w:val="0CA95FE1"/>
    <w:rsid w:val="0CAE580D"/>
    <w:rsid w:val="0CC779D3"/>
    <w:rsid w:val="0CFF0F1B"/>
    <w:rsid w:val="0DC92072"/>
    <w:rsid w:val="0DD00B0A"/>
    <w:rsid w:val="0F274759"/>
    <w:rsid w:val="0F2C1D70"/>
    <w:rsid w:val="0F503CB0"/>
    <w:rsid w:val="0FFF7074"/>
    <w:rsid w:val="102147F8"/>
    <w:rsid w:val="109C28BE"/>
    <w:rsid w:val="10AF11B6"/>
    <w:rsid w:val="1129191F"/>
    <w:rsid w:val="1204437E"/>
    <w:rsid w:val="12437AFC"/>
    <w:rsid w:val="12944A1D"/>
    <w:rsid w:val="12FB3F33"/>
    <w:rsid w:val="12FD49FE"/>
    <w:rsid w:val="13117BFA"/>
    <w:rsid w:val="13685340"/>
    <w:rsid w:val="139A199E"/>
    <w:rsid w:val="13A36C5F"/>
    <w:rsid w:val="14074B59"/>
    <w:rsid w:val="147C10A3"/>
    <w:rsid w:val="15744470"/>
    <w:rsid w:val="15AC781F"/>
    <w:rsid w:val="15BF5528"/>
    <w:rsid w:val="15FB6AB6"/>
    <w:rsid w:val="16774218"/>
    <w:rsid w:val="16B27F86"/>
    <w:rsid w:val="17683B61"/>
    <w:rsid w:val="18187335"/>
    <w:rsid w:val="18DA283C"/>
    <w:rsid w:val="19F04C37"/>
    <w:rsid w:val="1A6F4F70"/>
    <w:rsid w:val="1A8962C8"/>
    <w:rsid w:val="1AC45552"/>
    <w:rsid w:val="1AF446CC"/>
    <w:rsid w:val="1B4B5C73"/>
    <w:rsid w:val="1B8448F8"/>
    <w:rsid w:val="1BAD248A"/>
    <w:rsid w:val="1BEA5226"/>
    <w:rsid w:val="1CEE05AD"/>
    <w:rsid w:val="1CFB4398"/>
    <w:rsid w:val="1D721295"/>
    <w:rsid w:val="1D803D04"/>
    <w:rsid w:val="1F047610"/>
    <w:rsid w:val="1F9A4AD4"/>
    <w:rsid w:val="20032921"/>
    <w:rsid w:val="202E4A5B"/>
    <w:rsid w:val="20832DF2"/>
    <w:rsid w:val="20E167BF"/>
    <w:rsid w:val="20F74E99"/>
    <w:rsid w:val="20F91976"/>
    <w:rsid w:val="21535882"/>
    <w:rsid w:val="21653824"/>
    <w:rsid w:val="21A33153"/>
    <w:rsid w:val="21E169EA"/>
    <w:rsid w:val="22F369D5"/>
    <w:rsid w:val="23226F32"/>
    <w:rsid w:val="237F3E72"/>
    <w:rsid w:val="245E2574"/>
    <w:rsid w:val="253F22F7"/>
    <w:rsid w:val="27663E23"/>
    <w:rsid w:val="27B60CB4"/>
    <w:rsid w:val="2A491472"/>
    <w:rsid w:val="2AFA28CA"/>
    <w:rsid w:val="2B195446"/>
    <w:rsid w:val="2B7F7822"/>
    <w:rsid w:val="2BAC4EA2"/>
    <w:rsid w:val="2BBB02AC"/>
    <w:rsid w:val="2C3167C0"/>
    <w:rsid w:val="2CCE400E"/>
    <w:rsid w:val="2CFF066C"/>
    <w:rsid w:val="2D5745C1"/>
    <w:rsid w:val="2E9A7890"/>
    <w:rsid w:val="2EBF4557"/>
    <w:rsid w:val="2F8A3545"/>
    <w:rsid w:val="3005243D"/>
    <w:rsid w:val="30E3452C"/>
    <w:rsid w:val="31A11534"/>
    <w:rsid w:val="31ED6B0F"/>
    <w:rsid w:val="329D4BAF"/>
    <w:rsid w:val="32AC3044"/>
    <w:rsid w:val="330F1525"/>
    <w:rsid w:val="331C2B01"/>
    <w:rsid w:val="336D27D3"/>
    <w:rsid w:val="33F16F60"/>
    <w:rsid w:val="340C5F43"/>
    <w:rsid w:val="341669C7"/>
    <w:rsid w:val="34563267"/>
    <w:rsid w:val="34DD09B2"/>
    <w:rsid w:val="35353F14"/>
    <w:rsid w:val="35661288"/>
    <w:rsid w:val="35877D1D"/>
    <w:rsid w:val="35E851DD"/>
    <w:rsid w:val="36254ED9"/>
    <w:rsid w:val="36CB3700"/>
    <w:rsid w:val="37217B5C"/>
    <w:rsid w:val="378E0036"/>
    <w:rsid w:val="380E5A2A"/>
    <w:rsid w:val="387A39BB"/>
    <w:rsid w:val="38B617AE"/>
    <w:rsid w:val="3A6E58B7"/>
    <w:rsid w:val="3AA306FC"/>
    <w:rsid w:val="3AEE22D3"/>
    <w:rsid w:val="3B1300A8"/>
    <w:rsid w:val="3B1513BC"/>
    <w:rsid w:val="3B491430"/>
    <w:rsid w:val="3B622915"/>
    <w:rsid w:val="3BFF1CA5"/>
    <w:rsid w:val="3C271A86"/>
    <w:rsid w:val="3D6763E0"/>
    <w:rsid w:val="3D826E7B"/>
    <w:rsid w:val="3E954F7D"/>
    <w:rsid w:val="3E994F65"/>
    <w:rsid w:val="3FBE7F13"/>
    <w:rsid w:val="403326AF"/>
    <w:rsid w:val="403E62C3"/>
    <w:rsid w:val="405C1C05"/>
    <w:rsid w:val="40664832"/>
    <w:rsid w:val="41155680"/>
    <w:rsid w:val="415D0C3E"/>
    <w:rsid w:val="4177481D"/>
    <w:rsid w:val="41AC554D"/>
    <w:rsid w:val="42FD07B7"/>
    <w:rsid w:val="43903BBF"/>
    <w:rsid w:val="445D1CC2"/>
    <w:rsid w:val="4510761C"/>
    <w:rsid w:val="46911EDD"/>
    <w:rsid w:val="47543636"/>
    <w:rsid w:val="478D4D9A"/>
    <w:rsid w:val="480D36B8"/>
    <w:rsid w:val="48541414"/>
    <w:rsid w:val="48FA0CF4"/>
    <w:rsid w:val="493D3132"/>
    <w:rsid w:val="493F0316"/>
    <w:rsid w:val="4A284008"/>
    <w:rsid w:val="4A4A0D21"/>
    <w:rsid w:val="4A595408"/>
    <w:rsid w:val="4BB13385"/>
    <w:rsid w:val="4C1E13BC"/>
    <w:rsid w:val="4C934C01"/>
    <w:rsid w:val="4CEB6BD1"/>
    <w:rsid w:val="4D7B7211"/>
    <w:rsid w:val="4E035DB6"/>
    <w:rsid w:val="4E73640D"/>
    <w:rsid w:val="4E86609F"/>
    <w:rsid w:val="4F607D37"/>
    <w:rsid w:val="4F926C24"/>
    <w:rsid w:val="504D51C4"/>
    <w:rsid w:val="509C1BAA"/>
    <w:rsid w:val="50C81565"/>
    <w:rsid w:val="514E7068"/>
    <w:rsid w:val="524B13B4"/>
    <w:rsid w:val="52B70F1D"/>
    <w:rsid w:val="52E361B6"/>
    <w:rsid w:val="5452183E"/>
    <w:rsid w:val="547037D6"/>
    <w:rsid w:val="552D2CD3"/>
    <w:rsid w:val="56D025AE"/>
    <w:rsid w:val="56E878F7"/>
    <w:rsid w:val="56F40992"/>
    <w:rsid w:val="5850568B"/>
    <w:rsid w:val="59097FF9"/>
    <w:rsid w:val="593B4F78"/>
    <w:rsid w:val="59D82D7D"/>
    <w:rsid w:val="59DB1995"/>
    <w:rsid w:val="5B972E66"/>
    <w:rsid w:val="5BA27221"/>
    <w:rsid w:val="5C506447"/>
    <w:rsid w:val="5D437F7D"/>
    <w:rsid w:val="5DEC7F08"/>
    <w:rsid w:val="5DF71957"/>
    <w:rsid w:val="5E113BD7"/>
    <w:rsid w:val="5F0D5F64"/>
    <w:rsid w:val="5F490776"/>
    <w:rsid w:val="5FD038EC"/>
    <w:rsid w:val="612C0393"/>
    <w:rsid w:val="61AD3C17"/>
    <w:rsid w:val="61F96C4D"/>
    <w:rsid w:val="64002254"/>
    <w:rsid w:val="645C7B76"/>
    <w:rsid w:val="646B07D6"/>
    <w:rsid w:val="65314B5F"/>
    <w:rsid w:val="653D303D"/>
    <w:rsid w:val="65D26342"/>
    <w:rsid w:val="66041825"/>
    <w:rsid w:val="66203751"/>
    <w:rsid w:val="66686475"/>
    <w:rsid w:val="66910EE1"/>
    <w:rsid w:val="66D24120"/>
    <w:rsid w:val="67150407"/>
    <w:rsid w:val="6739419F"/>
    <w:rsid w:val="673F3B7E"/>
    <w:rsid w:val="67566AFF"/>
    <w:rsid w:val="67C9107F"/>
    <w:rsid w:val="67D90F23"/>
    <w:rsid w:val="684028D0"/>
    <w:rsid w:val="68DC1286"/>
    <w:rsid w:val="68FC7232"/>
    <w:rsid w:val="69232A11"/>
    <w:rsid w:val="698E432E"/>
    <w:rsid w:val="69CB37D4"/>
    <w:rsid w:val="69F04FE9"/>
    <w:rsid w:val="6A703DAE"/>
    <w:rsid w:val="6B3727A3"/>
    <w:rsid w:val="6BBD62C6"/>
    <w:rsid w:val="6C8859AD"/>
    <w:rsid w:val="6CCF3CBB"/>
    <w:rsid w:val="6DCC37B0"/>
    <w:rsid w:val="6E3F02ED"/>
    <w:rsid w:val="6E9879FD"/>
    <w:rsid w:val="6ED81BFC"/>
    <w:rsid w:val="6EEA4B5C"/>
    <w:rsid w:val="6FC614C4"/>
    <w:rsid w:val="701424B2"/>
    <w:rsid w:val="708351E6"/>
    <w:rsid w:val="71964C46"/>
    <w:rsid w:val="723D2D95"/>
    <w:rsid w:val="724539F8"/>
    <w:rsid w:val="72575F8A"/>
    <w:rsid w:val="727A2352"/>
    <w:rsid w:val="72CF07C8"/>
    <w:rsid w:val="7416564C"/>
    <w:rsid w:val="74C62534"/>
    <w:rsid w:val="74F4434E"/>
    <w:rsid w:val="75634F83"/>
    <w:rsid w:val="767F5B52"/>
    <w:rsid w:val="77F847C8"/>
    <w:rsid w:val="781B7D91"/>
    <w:rsid w:val="7825441E"/>
    <w:rsid w:val="787E1A12"/>
    <w:rsid w:val="79181E66"/>
    <w:rsid w:val="792F71B0"/>
    <w:rsid w:val="79365567"/>
    <w:rsid w:val="7A2D1941"/>
    <w:rsid w:val="7A603AC5"/>
    <w:rsid w:val="7A927BC2"/>
    <w:rsid w:val="7AC758F2"/>
    <w:rsid w:val="7B1A2C93"/>
    <w:rsid w:val="7B3B3872"/>
    <w:rsid w:val="7C9A0DE4"/>
    <w:rsid w:val="7D250FF6"/>
    <w:rsid w:val="7D5E6673"/>
    <w:rsid w:val="7D666FDA"/>
    <w:rsid w:val="7D6D6755"/>
    <w:rsid w:val="7E16220C"/>
    <w:rsid w:val="7E2E3EDA"/>
    <w:rsid w:val="7F15557D"/>
    <w:rsid w:val="7F2109BC"/>
    <w:rsid w:val="7F5D49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widowControl w:val="0"/>
      <w:spacing w:before="260" w:after="260" w:line="415" w:lineRule="auto"/>
      <w:ind w:left="0" w:right="0"/>
      <w:jc w:val="both"/>
      <w:outlineLvl w:val="1"/>
    </w:pPr>
    <w:rPr>
      <w:rFonts w:ascii="Arial" w:hAnsi="Arial" w:eastAsia="黑体" w:cs="Times New Roman"/>
      <w:b/>
      <w:bCs/>
      <w:kern w:val="2"/>
      <w:sz w:val="32"/>
      <w:szCs w:val="32"/>
      <w:lang w:val="en-US" w:eastAsia="zh-CN" w:bidi="ar-SA"/>
    </w:rPr>
  </w:style>
  <w:style w:type="character" w:default="1" w:styleId="32">
    <w:name w:val="Default Paragraph Font"/>
    <w:autoRedefine/>
    <w:qFormat/>
    <w:uiPriority w:val="0"/>
  </w:style>
  <w:style w:type="table" w:default="1" w:styleId="23">
    <w:name w:val="Normal Table"/>
    <w:autoRedefine/>
    <w:qFormat/>
    <w:uiPriority w:val="0"/>
    <w:tblPr>
      <w:tblCellMar>
        <w:top w:w="0" w:type="dxa"/>
        <w:left w:w="108" w:type="dxa"/>
        <w:bottom w:w="0" w:type="dxa"/>
        <w:right w:w="108" w:type="dxa"/>
      </w:tblCellMar>
    </w:tblPr>
  </w:style>
  <w:style w:type="paragraph" w:styleId="2">
    <w:name w:val="HTML Address"/>
    <w:basedOn w:val="1"/>
    <w:autoRedefine/>
    <w:qFormat/>
    <w:uiPriority w:val="0"/>
    <w:rPr>
      <w:i/>
    </w:rPr>
  </w:style>
  <w:style w:type="paragraph" w:styleId="5">
    <w:name w:val="Normal Indent"/>
    <w:basedOn w:val="1"/>
    <w:next w:val="6"/>
    <w:qFormat/>
    <w:uiPriority w:val="0"/>
    <w:pPr>
      <w:ind w:firstLine="420"/>
    </w:pPr>
    <w:rPr>
      <w:sz w:val="32"/>
      <w:szCs w:val="20"/>
    </w:rPr>
  </w:style>
  <w:style w:type="paragraph" w:customStyle="1" w:styleId="6">
    <w:name w:val="样式 正文文本 + 首行缩进:  2 字符"/>
    <w:autoRedefine/>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styleId="7">
    <w:name w:val="annotation text"/>
    <w:basedOn w:val="1"/>
    <w:link w:val="41"/>
    <w:autoRedefine/>
    <w:qFormat/>
    <w:uiPriority w:val="0"/>
    <w:pPr>
      <w:jc w:val="left"/>
    </w:pPr>
    <w:rPr>
      <w:kern w:val="0"/>
      <w:sz w:val="24"/>
      <w:szCs w:val="20"/>
    </w:rPr>
  </w:style>
  <w:style w:type="paragraph" w:styleId="8">
    <w:name w:val="Body Text"/>
    <w:basedOn w:val="1"/>
    <w:next w:val="9"/>
    <w:link w:val="42"/>
    <w:autoRedefine/>
    <w:qFormat/>
    <w:uiPriority w:val="0"/>
    <w:pPr>
      <w:widowControl/>
      <w:snapToGrid w:val="0"/>
      <w:spacing w:before="60" w:after="160" w:line="259" w:lineRule="auto"/>
      <w:ind w:right="113"/>
    </w:pPr>
    <w:rPr>
      <w:kern w:val="0"/>
      <w:sz w:val="18"/>
      <w:szCs w:val="20"/>
    </w:rPr>
  </w:style>
  <w:style w:type="paragraph" w:customStyle="1" w:styleId="9">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ascii="Arial Unicode MS" w:hAnsi="Arial Unicode MS" w:eastAsia="Arial Unicode MS" w:cs="Arial Unicode MS"/>
      <w:sz w:val="18"/>
      <w:szCs w:val="18"/>
    </w:rPr>
  </w:style>
  <w:style w:type="paragraph" w:styleId="10">
    <w:name w:val="Body Text Indent"/>
    <w:basedOn w:val="1"/>
    <w:next w:val="11"/>
    <w:link w:val="43"/>
    <w:autoRedefine/>
    <w:qFormat/>
    <w:uiPriority w:val="0"/>
    <w:pPr>
      <w:spacing w:after="120"/>
      <w:ind w:left="420" w:leftChars="200"/>
    </w:pPr>
    <w:rPr>
      <w:kern w:val="0"/>
      <w:sz w:val="24"/>
      <w:szCs w:val="20"/>
    </w:rPr>
  </w:style>
  <w:style w:type="paragraph" w:styleId="11">
    <w:name w:val="Balloon Text"/>
    <w:basedOn w:val="1"/>
    <w:link w:val="45"/>
    <w:autoRedefine/>
    <w:qFormat/>
    <w:uiPriority w:val="0"/>
    <w:rPr>
      <w:kern w:val="0"/>
      <w:sz w:val="18"/>
      <w:szCs w:val="20"/>
    </w:rPr>
  </w:style>
  <w:style w:type="paragraph" w:styleId="12">
    <w:name w:val="Plain Text"/>
    <w:basedOn w:val="1"/>
    <w:autoRedefine/>
    <w:qFormat/>
    <w:uiPriority w:val="0"/>
    <w:pPr>
      <w:widowControl w:val="0"/>
      <w:spacing w:after="0"/>
      <w:jc w:val="both"/>
    </w:pPr>
    <w:rPr>
      <w:rFonts w:ascii="宋体" w:hAnsi="Courier New" w:eastAsia="仿宋_GB2312" w:cs="Times New Roman"/>
      <w:kern w:val="2"/>
      <w:sz w:val="28"/>
      <w:szCs w:val="24"/>
      <w:lang w:val="en-US" w:eastAsia="zh-CN" w:bidi="ar-SA"/>
    </w:rPr>
  </w:style>
  <w:style w:type="paragraph" w:styleId="13">
    <w:name w:val="Date"/>
    <w:basedOn w:val="1"/>
    <w:next w:val="1"/>
    <w:link w:val="44"/>
    <w:autoRedefine/>
    <w:qFormat/>
    <w:uiPriority w:val="0"/>
    <w:pPr>
      <w:ind w:left="100" w:leftChars="2500"/>
    </w:pPr>
    <w:rPr>
      <w:kern w:val="0"/>
      <w:sz w:val="24"/>
      <w:szCs w:val="20"/>
    </w:rPr>
  </w:style>
  <w:style w:type="paragraph" w:styleId="14">
    <w:name w:val="footer"/>
    <w:basedOn w:val="1"/>
    <w:link w:val="46"/>
    <w:autoRedefine/>
    <w:qFormat/>
    <w:uiPriority w:val="99"/>
    <w:pPr>
      <w:tabs>
        <w:tab w:val="center" w:pos="4153"/>
        <w:tab w:val="right" w:pos="8306"/>
      </w:tabs>
      <w:snapToGrid w:val="0"/>
      <w:jc w:val="left"/>
    </w:pPr>
    <w:rPr>
      <w:kern w:val="0"/>
      <w:sz w:val="18"/>
      <w:szCs w:val="20"/>
    </w:rPr>
  </w:style>
  <w:style w:type="paragraph" w:styleId="15">
    <w:name w:val="header"/>
    <w:basedOn w:val="1"/>
    <w:link w:val="47"/>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index heading"/>
    <w:basedOn w:val="1"/>
    <w:next w:val="17"/>
    <w:autoRedefine/>
    <w:qFormat/>
    <w:uiPriority w:val="0"/>
    <w:pPr>
      <w:widowControl w:val="0"/>
      <w:spacing w:after="0"/>
      <w:jc w:val="both"/>
    </w:pPr>
    <w:rPr>
      <w:rFonts w:ascii="Times New Roman" w:hAnsi="Times New Roman" w:eastAsia="宋体" w:cs="Times New Roman"/>
      <w:kern w:val="2"/>
      <w:sz w:val="21"/>
      <w:szCs w:val="20"/>
      <w:lang w:val="en-US" w:eastAsia="zh-CN" w:bidi="ar-SA"/>
    </w:rPr>
  </w:style>
  <w:style w:type="paragraph" w:styleId="17">
    <w:name w:val="index 1"/>
    <w:basedOn w:val="1"/>
    <w:next w:val="1"/>
    <w:autoRedefine/>
    <w:qFormat/>
    <w:uiPriority w:val="0"/>
    <w:pPr>
      <w:widowControl w:val="0"/>
      <w:spacing w:after="0"/>
      <w:jc w:val="center"/>
    </w:pPr>
    <w:rPr>
      <w:rFonts w:ascii="Times New Roman" w:hAnsi="Times New Roman" w:eastAsia="宋体" w:cs="Times New Roman"/>
      <w:kern w:val="2"/>
      <w:sz w:val="21"/>
      <w:szCs w:val="20"/>
      <w:lang w:val="en-US" w:eastAsia="zh-CN" w:bidi="ar-SA"/>
    </w:rPr>
  </w:style>
  <w:style w:type="paragraph" w:styleId="18">
    <w:name w:val="toc 2"/>
    <w:basedOn w:val="1"/>
    <w:next w:val="1"/>
    <w:autoRedefine/>
    <w:qFormat/>
    <w:uiPriority w:val="0"/>
    <w:pPr>
      <w:tabs>
        <w:tab w:val="right" w:leader="dot" w:pos="8720"/>
      </w:tabs>
      <w:spacing w:line="360" w:lineRule="auto"/>
      <w:ind w:firstLine="1044" w:firstLineChars="200"/>
    </w:pPr>
    <w:rPr>
      <w:rFonts w:ascii="Times New Roman" w:hAnsi="Times New Roman" w:eastAsia="宋体" w:cs="Times New Roman"/>
      <w:b/>
      <w:spacing w:val="10"/>
      <w:szCs w:val="28"/>
    </w:rPr>
  </w:style>
  <w:style w:type="paragraph" w:styleId="19">
    <w:name w:val="Body Text 2"/>
    <w:basedOn w:val="1"/>
    <w:autoRedefine/>
    <w:qFormat/>
    <w:uiPriority w:val="99"/>
    <w:pPr>
      <w:spacing w:after="120" w:line="480" w:lineRule="auto"/>
    </w:pPr>
  </w:style>
  <w:style w:type="paragraph" w:styleId="20">
    <w:name w:val="Normal (Web)"/>
    <w:basedOn w:val="1"/>
    <w:link w:val="48"/>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49"/>
    <w:autoRedefine/>
    <w:qFormat/>
    <w:uiPriority w:val="0"/>
    <w:rPr>
      <w:b/>
      <w:sz w:val="24"/>
      <w:szCs w:val="20"/>
    </w:rPr>
  </w:style>
  <w:style w:type="paragraph" w:styleId="22">
    <w:name w:val="Body Text First Indent 2"/>
    <w:basedOn w:val="10"/>
    <w:next w:val="8"/>
    <w:autoRedefine/>
    <w:qFormat/>
    <w:uiPriority w:val="0"/>
    <w:pPr>
      <w:ind w:firstLine="420" w:firstLineChars="200"/>
    </w:pPr>
    <w:rPr>
      <w:sz w:val="21"/>
      <w:szCs w:val="24"/>
    </w:rPr>
  </w:style>
  <w:style w:type="table" w:styleId="24">
    <w:name w:val="Table Grid"/>
    <w:basedOn w:val="23"/>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Medium Grid 3"/>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26">
    <w:name w:val="Medium Grid 3 Accent 1"/>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27">
    <w:name w:val="Medium Grid 3 Accent 2"/>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28">
    <w:name w:val="Medium Grid 3 Accent 3"/>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29">
    <w:name w:val="Medium Grid 3 Accent 4"/>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30">
    <w:name w:val="Medium Grid 3 Accent 5"/>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31">
    <w:name w:val="Medium Grid 3 Accent 6"/>
    <w:basedOn w:val="23"/>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33">
    <w:name w:val="Strong"/>
    <w:basedOn w:val="32"/>
    <w:autoRedefine/>
    <w:qFormat/>
    <w:uiPriority w:val="0"/>
    <w:rPr>
      <w:b/>
    </w:rPr>
  </w:style>
  <w:style w:type="character" w:styleId="34">
    <w:name w:val="page number"/>
    <w:basedOn w:val="32"/>
    <w:autoRedefine/>
    <w:qFormat/>
    <w:uiPriority w:val="0"/>
  </w:style>
  <w:style w:type="character" w:styleId="35">
    <w:name w:val="Hyperlink"/>
    <w:basedOn w:val="32"/>
    <w:autoRedefine/>
    <w:qFormat/>
    <w:uiPriority w:val="0"/>
    <w:rPr>
      <w:color w:val="0000FF"/>
      <w:u w:val="single"/>
    </w:rPr>
  </w:style>
  <w:style w:type="character" w:styleId="36">
    <w:name w:val="annotation reference"/>
    <w:autoRedefine/>
    <w:qFormat/>
    <w:uiPriority w:val="0"/>
    <w:rPr>
      <w:sz w:val="21"/>
    </w:rPr>
  </w:style>
  <w:style w:type="paragraph" w:customStyle="1" w:styleId="37">
    <w:name w:val="样式1"/>
    <w:basedOn w:val="16"/>
    <w:next w:val="1"/>
    <w:autoRedefine/>
    <w:qFormat/>
    <w:uiPriority w:val="0"/>
    <w:pPr>
      <w:topLinePunct/>
      <w:spacing w:line="360" w:lineRule="auto"/>
      <w:ind w:firstLine="480" w:firstLineChars="200"/>
    </w:pPr>
    <w:rPr>
      <w:rFonts w:ascii="Times New Roman" w:hAnsi="Times New Roman" w:eastAsia="宋体" w:cs="Times New Roman"/>
      <w:color w:val="000000"/>
      <w:sz w:val="24"/>
      <w:szCs w:val="24"/>
    </w:rPr>
  </w:style>
  <w:style w:type="paragraph" w:customStyle="1" w:styleId="38">
    <w:name w:val="正文首行缩进1"/>
    <w:basedOn w:val="8"/>
    <w:autoRedefine/>
    <w:qFormat/>
    <w:uiPriority w:val="0"/>
    <w:pPr>
      <w:ind w:firstLine="420" w:firstLineChars="100"/>
    </w:pPr>
    <w:rPr>
      <w:szCs w:val="21"/>
    </w:rPr>
  </w:style>
  <w:style w:type="paragraph" w:customStyle="1" w:styleId="39">
    <w:name w:val="Default"/>
    <w:basedOn w:val="40"/>
    <w:autoRedefine/>
    <w:qFormat/>
    <w:uiPriority w:val="0"/>
    <w:pPr>
      <w:widowControl w:val="0"/>
      <w:tabs>
        <w:tab w:val="left" w:pos="276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0">
    <w:name w:val="纯文本1"/>
    <w:basedOn w:val="1"/>
    <w:autoRedefine/>
    <w:qFormat/>
    <w:uiPriority w:val="0"/>
    <w:pPr>
      <w:tabs>
        <w:tab w:val="left" w:pos="2760"/>
      </w:tabs>
      <w:adjustRightInd w:val="0"/>
    </w:pPr>
    <w:rPr>
      <w:rFonts w:ascii="宋体" w:hAnsi="Courier New" w:eastAsia="宋体" w:cs="Times New Roman"/>
      <w:szCs w:val="20"/>
    </w:rPr>
  </w:style>
  <w:style w:type="character" w:customStyle="1" w:styleId="41">
    <w:name w:val="批注文字 Char"/>
    <w:link w:val="7"/>
    <w:autoRedefine/>
    <w:qFormat/>
    <w:uiPriority w:val="0"/>
    <w:rPr>
      <w:rFonts w:ascii="Times New Roman" w:hAnsi="Times New Roman" w:eastAsia="宋体"/>
      <w:sz w:val="24"/>
    </w:rPr>
  </w:style>
  <w:style w:type="character" w:customStyle="1" w:styleId="42">
    <w:name w:val="正文文本 Char"/>
    <w:link w:val="8"/>
    <w:autoRedefine/>
    <w:qFormat/>
    <w:uiPriority w:val="0"/>
    <w:rPr>
      <w:sz w:val="18"/>
    </w:rPr>
  </w:style>
  <w:style w:type="character" w:customStyle="1" w:styleId="43">
    <w:name w:val="正文文本缩进 Char"/>
    <w:link w:val="10"/>
    <w:autoRedefine/>
    <w:qFormat/>
    <w:uiPriority w:val="0"/>
    <w:rPr>
      <w:rFonts w:ascii="Times New Roman" w:hAnsi="Times New Roman" w:eastAsia="宋体"/>
      <w:sz w:val="24"/>
    </w:rPr>
  </w:style>
  <w:style w:type="character" w:customStyle="1" w:styleId="44">
    <w:name w:val="日期 Char"/>
    <w:link w:val="13"/>
    <w:autoRedefine/>
    <w:qFormat/>
    <w:uiPriority w:val="0"/>
    <w:rPr>
      <w:rFonts w:ascii="Times New Roman" w:hAnsi="Times New Roman" w:eastAsia="宋体"/>
      <w:sz w:val="24"/>
    </w:rPr>
  </w:style>
  <w:style w:type="character" w:customStyle="1" w:styleId="45">
    <w:name w:val="批注框文本 Char"/>
    <w:link w:val="11"/>
    <w:autoRedefine/>
    <w:qFormat/>
    <w:uiPriority w:val="0"/>
    <w:rPr>
      <w:rFonts w:ascii="Times New Roman" w:hAnsi="Times New Roman" w:eastAsia="宋体"/>
      <w:sz w:val="18"/>
    </w:rPr>
  </w:style>
  <w:style w:type="character" w:customStyle="1" w:styleId="46">
    <w:name w:val="页脚 Char"/>
    <w:link w:val="14"/>
    <w:autoRedefine/>
    <w:qFormat/>
    <w:uiPriority w:val="99"/>
    <w:rPr>
      <w:sz w:val="18"/>
    </w:rPr>
  </w:style>
  <w:style w:type="character" w:customStyle="1" w:styleId="47">
    <w:name w:val="页眉 Char"/>
    <w:link w:val="15"/>
    <w:autoRedefine/>
    <w:qFormat/>
    <w:uiPriority w:val="0"/>
    <w:rPr>
      <w:sz w:val="18"/>
    </w:rPr>
  </w:style>
  <w:style w:type="character" w:customStyle="1" w:styleId="48">
    <w:name w:val="普通(网站) Char"/>
    <w:link w:val="20"/>
    <w:autoRedefine/>
    <w:qFormat/>
    <w:uiPriority w:val="0"/>
    <w:rPr>
      <w:rFonts w:ascii="宋体" w:hAnsi="宋体" w:eastAsia="宋体"/>
      <w:sz w:val="24"/>
    </w:rPr>
  </w:style>
  <w:style w:type="character" w:customStyle="1" w:styleId="49">
    <w:name w:val="批注主题 Char"/>
    <w:link w:val="21"/>
    <w:autoRedefine/>
    <w:qFormat/>
    <w:uiPriority w:val="0"/>
    <w:rPr>
      <w:rFonts w:ascii="Times New Roman" w:hAnsi="Times New Roman" w:eastAsia="宋体"/>
      <w:b/>
      <w:kern w:val="2"/>
      <w:sz w:val="24"/>
    </w:rPr>
  </w:style>
  <w:style w:type="paragraph" w:customStyle="1" w:styleId="50">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character" w:customStyle="1" w:styleId="51">
    <w:name w:val="页脚 字符"/>
    <w:basedOn w:val="32"/>
    <w:autoRedefine/>
    <w:qFormat/>
    <w:uiPriority w:val="99"/>
  </w:style>
  <w:style w:type="character" w:customStyle="1" w:styleId="52">
    <w:name w:val="正文文本 字符1"/>
    <w:autoRedefine/>
    <w:qFormat/>
    <w:uiPriority w:val="0"/>
    <w:rPr>
      <w:rFonts w:ascii="Times New Roman" w:hAnsi="Times New Roman" w:eastAsia="宋体"/>
      <w:sz w:val="24"/>
    </w:rPr>
  </w:style>
  <w:style w:type="character" w:customStyle="1" w:styleId="53">
    <w:name w:val="表格 Char"/>
    <w:link w:val="54"/>
    <w:autoRedefine/>
    <w:qFormat/>
    <w:uiPriority w:val="0"/>
    <w:rPr>
      <w:rFonts w:ascii="宋体"/>
      <w:sz w:val="21"/>
    </w:rPr>
  </w:style>
  <w:style w:type="paragraph" w:customStyle="1" w:styleId="54">
    <w:name w:val="表格"/>
    <w:basedOn w:val="12"/>
    <w:next w:val="1"/>
    <w:link w:val="53"/>
    <w:autoRedefine/>
    <w:qFormat/>
    <w:uiPriority w:val="0"/>
    <w:pPr>
      <w:adjustRightInd w:val="0"/>
      <w:snapToGrid w:val="0"/>
      <w:spacing w:beforeLines="10" w:afterLines="10" w:line="259" w:lineRule="auto"/>
      <w:jc w:val="center"/>
    </w:pPr>
    <w:rPr>
      <w:rFonts w:ascii="宋体"/>
      <w:kern w:val="0"/>
      <w:szCs w:val="20"/>
    </w:rPr>
  </w:style>
  <w:style w:type="character" w:customStyle="1" w:styleId="55">
    <w:name w:val="日期 字符"/>
    <w:autoRedefine/>
    <w:qFormat/>
    <w:uiPriority w:val="0"/>
    <w:rPr>
      <w:rFonts w:ascii="Times New Roman" w:hAnsi="Times New Roman" w:eastAsia="宋体"/>
      <w:sz w:val="24"/>
    </w:rPr>
  </w:style>
  <w:style w:type="character" w:customStyle="1" w:styleId="56">
    <w:name w:val="批注文字 字符1"/>
    <w:autoRedefine/>
    <w:qFormat/>
    <w:uiPriority w:val="0"/>
    <w:rPr>
      <w:rFonts w:ascii="Times New Roman" w:hAnsi="Times New Roman" w:eastAsia="宋体"/>
      <w:sz w:val="24"/>
    </w:rPr>
  </w:style>
  <w:style w:type="paragraph" w:customStyle="1" w:styleId="5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9">
    <w:name w:val="表头"/>
    <w:basedOn w:val="60"/>
    <w:next w:val="1"/>
    <w:autoRedefine/>
    <w:qFormat/>
    <w:uiPriority w:val="0"/>
    <w:pPr>
      <w:spacing w:line="500" w:lineRule="exact"/>
      <w:jc w:val="center"/>
    </w:pPr>
    <w:rPr>
      <w:rFonts w:ascii="楷体_GB2312" w:hAnsi="楷体_GB2312" w:eastAsia="楷体_GB2312" w:cs="楷体_GB2312"/>
      <w:b/>
      <w:sz w:val="24"/>
    </w:rPr>
  </w:style>
  <w:style w:type="paragraph" w:customStyle="1" w:styleId="60">
    <w:name w:val="报告正文"/>
    <w:basedOn w:val="61"/>
    <w:autoRedefine/>
    <w:qFormat/>
    <w:uiPriority w:val="0"/>
    <w:pPr>
      <w:widowControl w:val="0"/>
      <w:snapToGrid w:val="0"/>
      <w:spacing w:line="360" w:lineRule="auto"/>
      <w:ind w:firstLine="200" w:firstLineChars="200"/>
    </w:pPr>
    <w:rPr>
      <w:rFonts w:ascii="Times New Roman" w:hAnsi="Times New Roman" w:eastAsia="宋体" w:cs="Times New Roman"/>
      <w:snapToGrid w:val="0"/>
      <w:sz w:val="24"/>
      <w:szCs w:val="28"/>
    </w:rPr>
  </w:style>
  <w:style w:type="paragraph" w:customStyle="1" w:styleId="61">
    <w:name w:val="p17"/>
    <w:basedOn w:val="1"/>
    <w:autoRedefine/>
    <w:qFormat/>
    <w:uiPriority w:val="0"/>
    <w:pPr>
      <w:widowControl/>
    </w:pPr>
    <w:rPr>
      <w:rFonts w:ascii="宋体" w:hAnsi="宋体" w:eastAsia="宋体" w:cs="宋体"/>
      <w:kern w:val="0"/>
      <w:szCs w:val="21"/>
    </w:rPr>
  </w:style>
  <w:style w:type="paragraph" w:customStyle="1" w:styleId="62">
    <w:name w:val="表内文字"/>
    <w:basedOn w:val="1"/>
    <w:autoRedefine/>
    <w:qFormat/>
    <w:uiPriority w:val="0"/>
    <w:pPr>
      <w:spacing w:line="240" w:lineRule="auto"/>
      <w:ind w:firstLine="0" w:firstLineChars="0"/>
      <w:jc w:val="center"/>
    </w:pPr>
    <w:rPr>
      <w:rFonts w:ascii="Times New Roman" w:hAnsi="Times New Roman" w:eastAsia="宋体" w:cs="Times New Roman"/>
      <w:sz w:val="21"/>
    </w:rPr>
  </w:style>
  <w:style w:type="paragraph" w:customStyle="1" w:styleId="63">
    <w:name w:val="正本文字"/>
    <w:basedOn w:val="1"/>
    <w:autoRedefine/>
    <w:qFormat/>
    <w:uiPriority w:val="0"/>
    <w:pPr>
      <w:adjustRightInd w:val="0"/>
      <w:snapToGrid w:val="0"/>
      <w:spacing w:line="360" w:lineRule="auto"/>
      <w:ind w:firstLine="200" w:firstLineChars="200"/>
      <w:jc w:val="left"/>
    </w:pPr>
    <w:rPr>
      <w:rFonts w:ascii="Times New Roman" w:hAnsi="Times New Roman" w:eastAsia="宋体" w:cs="宋体"/>
      <w:kern w:val="18"/>
      <w:sz w:val="24"/>
      <w:szCs w:val="20"/>
    </w:rPr>
  </w:style>
  <w:style w:type="paragraph" w:customStyle="1" w:styleId="64">
    <w:name w:val="表格1"/>
    <w:basedOn w:val="1"/>
    <w:autoRedefine/>
    <w:qFormat/>
    <w:uiPriority w:val="0"/>
    <w:pPr>
      <w:widowControl/>
      <w:spacing w:line="240" w:lineRule="auto"/>
      <w:ind w:firstLine="0" w:firstLineChars="0"/>
      <w:jc w:val="center"/>
    </w:pPr>
    <w:rPr>
      <w:color w:val="000000"/>
      <w:kern w:val="0"/>
      <w:sz w:val="21"/>
      <w:szCs w:val="21"/>
    </w:rPr>
  </w:style>
  <w:style w:type="paragraph" w:customStyle="1" w:styleId="65">
    <w:name w:val="表格内容11111"/>
    <w:basedOn w:val="1"/>
    <w:autoRedefine/>
    <w:qFormat/>
    <w:uiPriority w:val="0"/>
    <w:pPr>
      <w:adjustRightInd w:val="0"/>
      <w:snapToGrid w:val="0"/>
      <w:jc w:val="center"/>
    </w:pPr>
    <w:rPr>
      <w:bCs/>
      <w:kern w:val="0"/>
      <w:szCs w:val="21"/>
    </w:rPr>
  </w:style>
  <w:style w:type="paragraph" w:customStyle="1" w:styleId="66">
    <w:name w:val="Table Text"/>
    <w:basedOn w:val="1"/>
    <w:autoRedefine/>
    <w:qFormat/>
    <w:uiPriority w:val="0"/>
    <w:rPr>
      <w:rFonts w:ascii="宋体" w:hAnsi="宋体" w:eastAsia="宋体" w:cs="宋体"/>
      <w:sz w:val="21"/>
      <w:szCs w:val="21"/>
      <w:lang w:val="en-US" w:eastAsia="en-US" w:bidi="ar-SA"/>
    </w:rPr>
  </w:style>
  <w:style w:type="table" w:customStyle="1" w:styleId="67">
    <w:name w:val="Table Normal"/>
    <w:autoRedefine/>
    <w:qFormat/>
    <w:uiPriority w:val="0"/>
    <w:tblPr>
      <w:tblCellMar>
        <w:top w:w="0" w:type="dxa"/>
        <w:left w:w="0" w:type="dxa"/>
        <w:bottom w:w="0" w:type="dxa"/>
        <w:right w:w="0" w:type="dxa"/>
      </w:tblCellMar>
    </w:tblPr>
  </w:style>
  <w:style w:type="paragraph" w:customStyle="1" w:styleId="68">
    <w:name w:val="样式35"/>
    <w:basedOn w:val="1"/>
    <w:autoRedefine/>
    <w:qFormat/>
    <w:uiPriority w:val="99"/>
    <w:pPr>
      <w:adjustRightInd w:val="0"/>
      <w:spacing w:line="312" w:lineRule="auto"/>
      <w:ind w:firstLine="567"/>
    </w:pPr>
    <w:rPr>
      <w:rFonts w:ascii="宋体"/>
      <w:kern w:val="0"/>
      <w:sz w:val="28"/>
    </w:rPr>
  </w:style>
  <w:style w:type="character" w:customStyle="1" w:styleId="69">
    <w:name w:val="font11"/>
    <w:basedOn w:val="32"/>
    <w:autoRedefine/>
    <w:qFormat/>
    <w:uiPriority w:val="0"/>
    <w:rPr>
      <w:rFonts w:hint="default" w:ascii="Times New Roman" w:hAnsi="Times New Roman" w:cs="Times New Roman"/>
      <w:color w:val="000000"/>
      <w:sz w:val="21"/>
      <w:szCs w:val="21"/>
      <w:u w:val="none"/>
    </w:rPr>
  </w:style>
  <w:style w:type="character" w:customStyle="1" w:styleId="70">
    <w:name w:val="font21"/>
    <w:basedOn w:val="32"/>
    <w:autoRedefine/>
    <w:qFormat/>
    <w:uiPriority w:val="0"/>
    <w:rPr>
      <w:rFonts w:hint="eastAsia" w:ascii="宋体" w:hAnsi="宋体" w:eastAsia="宋体" w:cs="宋体"/>
      <w:color w:val="000000"/>
      <w:sz w:val="21"/>
      <w:szCs w:val="21"/>
      <w:u w:val="none"/>
    </w:rPr>
  </w:style>
  <w:style w:type="character" w:customStyle="1" w:styleId="71">
    <w:name w:val="font31"/>
    <w:basedOn w:val="32"/>
    <w:autoRedefine/>
    <w:qFormat/>
    <w:uiPriority w:val="0"/>
    <w:rPr>
      <w:rFonts w:hint="eastAsia" w:ascii="等线" w:hAnsi="等线" w:eastAsia="等线" w:cs="等线"/>
      <w:color w:val="000000"/>
      <w:sz w:val="22"/>
      <w:szCs w:val="22"/>
      <w:u w:val="none"/>
    </w:rPr>
  </w:style>
  <w:style w:type="paragraph" w:customStyle="1" w:styleId="72">
    <w:name w:val="txt"/>
    <w:basedOn w:val="73"/>
    <w:autoRedefine/>
    <w:qFormat/>
    <w:uiPriority w:val="0"/>
    <w:rPr>
      <w:sz w:val="21"/>
      <w:szCs w:val="21"/>
    </w:rPr>
  </w:style>
  <w:style w:type="paragraph" w:customStyle="1" w:styleId="73">
    <w:name w:val="text"/>
    <w:basedOn w:val="1"/>
    <w:autoRedefine/>
    <w:qFormat/>
    <w:uiPriority w:val="0"/>
    <w:pPr>
      <w:wordWrap w:val="0"/>
      <w:spacing w:line="360" w:lineRule="auto"/>
      <w:ind w:firstLine="200" w:firstLineChars="200"/>
    </w:pPr>
    <w:rPr>
      <w:sz w:val="24"/>
      <w:szCs w:val="24"/>
    </w:rPr>
  </w:style>
  <w:style w:type="paragraph" w:customStyle="1" w:styleId="74">
    <w:name w:val="Other|1"/>
    <w:basedOn w:val="1"/>
    <w:autoRedefine/>
    <w:qFormat/>
    <w:uiPriority w:val="0"/>
    <w:pPr>
      <w:widowControl w:val="0"/>
      <w:shd w:val="clear" w:color="auto" w:fill="auto"/>
      <w:spacing w:after="80" w:line="401" w:lineRule="auto"/>
      <w:ind w:firstLine="400"/>
    </w:pPr>
    <w:rPr>
      <w:rFonts w:ascii="MingLiU" w:hAnsi="MingLiU" w:eastAsia="MingLiU" w:cs="MingLiU"/>
      <w:sz w:val="20"/>
      <w:szCs w:val="20"/>
      <w:u w:val="none"/>
      <w:shd w:val="clear" w:color="auto" w:fill="FFFFFF"/>
      <w:lang w:val="zh-TW" w:eastAsia="zh-TW" w:bidi="zh-TW"/>
    </w:rPr>
  </w:style>
  <w:style w:type="paragraph" w:customStyle="1" w:styleId="75">
    <w:name w:val="Table Paragraph"/>
    <w:basedOn w:val="1"/>
    <w:autoRedefine/>
    <w:qFormat/>
    <w:uiPriority w:val="1"/>
    <w:rPr>
      <w:rFonts w:ascii="宋体" w:hAnsi="宋体" w:eastAsia="宋体" w:cs="宋体"/>
      <w:lang w:val="zh-CN" w:eastAsia="zh-CN" w:bidi="zh-CN"/>
    </w:rPr>
  </w:style>
  <w:style w:type="paragraph" w:customStyle="1" w:styleId="76">
    <w:name w:val="Body text|1"/>
    <w:basedOn w:val="1"/>
    <w:autoRedefine/>
    <w:qFormat/>
    <w:uiPriority w:val="0"/>
    <w:pPr>
      <w:spacing w:line="417" w:lineRule="auto"/>
      <w:ind w:firstLine="400"/>
    </w:pPr>
    <w:rPr>
      <w:rFonts w:ascii="宋体" w:hAnsi="宋体" w:cs="宋体"/>
    </w:rPr>
  </w:style>
  <w:style w:type="paragraph" w:customStyle="1" w:styleId="77">
    <w:name w:val="Table caption|1"/>
    <w:basedOn w:val="1"/>
    <w:autoRedefine/>
    <w:qFormat/>
    <w:uiPriority w:val="0"/>
    <w:rPr>
      <w:rFonts w:ascii="宋体" w:hAnsi="宋体" w:cs="宋体"/>
      <w:b/>
      <w:bCs/>
    </w:rPr>
  </w:style>
  <w:style w:type="paragraph" w:customStyle="1" w:styleId="78">
    <w:name w:val="Body text|2"/>
    <w:basedOn w:val="1"/>
    <w:autoRedefine/>
    <w:qFormat/>
    <w:uiPriority w:val="0"/>
    <w:pPr>
      <w:spacing w:line="288" w:lineRule="auto"/>
      <w:jc w:val="center"/>
    </w:pPr>
    <w:rPr>
      <w:rFonts w:ascii="宋体" w:hAnsi="宋体" w:cs="宋体"/>
      <w:sz w:val="20"/>
      <w:szCs w:val="20"/>
    </w:rPr>
  </w:style>
  <w:style w:type="paragraph" w:customStyle="1" w:styleId="79">
    <w:name w:val="表格标题"/>
    <w:basedOn w:val="5"/>
    <w:next w:val="80"/>
    <w:autoRedefine/>
    <w:qFormat/>
    <w:uiPriority w:val="0"/>
    <w:pPr>
      <w:ind w:firstLine="480"/>
    </w:pPr>
    <w:rPr>
      <w:rFonts w:hint="default"/>
    </w:rPr>
  </w:style>
  <w:style w:type="paragraph" w:customStyle="1" w:styleId="80">
    <w:name w:val="表格内容"/>
    <w:basedOn w:val="79"/>
    <w:next w:val="1"/>
    <w:autoRedefine/>
    <w:qFormat/>
    <w:uiPriority w:val="0"/>
    <w:pPr>
      <w:spacing w:line="240" w:lineRule="atLeast"/>
      <w:ind w:firstLine="0" w:firstLineChars="0"/>
      <w:jc w:val="center"/>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extobjs>
    <extobj name="F360BE8B-6686-4F3D-AEAF-501FE73E4058-1">
      <extobjdata type="F360BE8B-6686-4F3D-AEAF-501FE73E4058" data="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"/>
    </extobj>
    <extobj name="F360BE8B-6686-4F3D-AEAF-501FE73E4058-2">
      <extobjdata type="F360BE8B-6686-4F3D-AEAF-501FE73E4058" data="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"/>
    </extobj>
    <extobj name="F360BE8B-6686-4F3D-AEAF-501FE73E4058-3">
      <extobjdata type="F360BE8B-6686-4F3D-AEAF-501FE73E4058" data="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"/>
    </extobj>
    <extobj name="F360BE8B-6686-4F3D-AEAF-501FE73E4058-4">
      <extobjdata type="F360BE8B-6686-4F3D-AEAF-501FE73E4058" data="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"/>
    </extobj>
    <extobj name="F360BE8B-6686-4F3D-AEAF-501FE73E4058-5">
      <extobjdata type="F360BE8B-6686-4F3D-AEAF-501FE73E4058" data="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49400</Words>
  <Characters>55473</Characters>
  <Paragraphs>2347</Paragraphs>
  <TotalTime>117</TotalTime>
  <ScaleCrop>false</ScaleCrop>
  <LinksUpToDate>false</LinksUpToDate>
  <CharactersWithSpaces>55763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弓鹏</cp:lastModifiedBy>
  <cp:lastPrinted>2024-05-27T07:58:00Z</cp:lastPrinted>
  <dcterms:modified xsi:type="dcterms:W3CDTF">2024-06-11T08:12:20Z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3C4B0BEC0FCB4C33A92A41B061157B06_13</vt:lpwstr>
  </property>
</Properties>
</file>