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auto"/>
          <w:sz w:val="24"/>
          <w:szCs w:val="20"/>
          <w:highlight w:val="none"/>
          <w:lang w:val="zh-CN"/>
        </w:rPr>
        <w:id w:val="599453903"/>
        <w:docPartObj>
          <w:docPartGallery w:val="Table of Contents"/>
          <w:docPartUnique/>
        </w:docPartObj>
      </w:sdtPr>
      <w:sdtEndPr>
        <w:rPr>
          <w:rFonts w:ascii="Times New Roman" w:hAnsi="Times New Roman" w:eastAsia="宋体" w:cs="Times New Roman"/>
          <w:b/>
          <w:bCs/>
          <w:color w:val="auto"/>
          <w:sz w:val="24"/>
          <w:szCs w:val="20"/>
          <w:highlight w:val="none"/>
          <w:lang w:val="zh-CN"/>
        </w:rPr>
      </w:sdtEndPr>
      <w:sdtContent>
        <w:p>
          <w:pPr>
            <w:pStyle w:val="163"/>
            <w:jc w:val="center"/>
            <w:rPr>
              <w:rFonts w:ascii="Times New Roman" w:hAnsi="Times New Roman" w:eastAsia="宋体"/>
              <w:color w:val="auto"/>
              <w:highlight w:val="none"/>
            </w:rPr>
          </w:pPr>
          <w:r>
            <w:rPr>
              <w:rFonts w:ascii="Times New Roman" w:hAnsi="Times New Roman" w:eastAsia="宋体"/>
              <w:color w:val="auto"/>
              <w:highlight w:val="none"/>
              <w:lang w:val="zh-CN"/>
            </w:rPr>
            <w:t>目录</w:t>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bCs w:val="0"/>
              <w:color w:val="auto"/>
              <w:highlight w:val="none"/>
            </w:rPr>
            <w:fldChar w:fldCharType="begin"/>
          </w:r>
          <w:r>
            <w:rPr>
              <w:rFonts w:ascii="Times New Roman" w:hAnsi="Times New Roman" w:eastAsia="宋体"/>
              <w:color w:val="auto"/>
              <w:highlight w:val="none"/>
            </w:rPr>
            <w:instrText xml:space="preserve"> TOC \o "1-3" \h \z \u </w:instrText>
          </w:r>
          <w:r>
            <w:rPr>
              <w:rFonts w:ascii="Times New Roman" w:hAnsi="Times New Roman" w:eastAsia="宋体"/>
              <w:bCs w:val="0"/>
              <w:color w:val="auto"/>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"_Toc106663409"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1、建设项目概况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_Toc106663409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1.1项目实施背景</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1.2环评工作过程</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1.3分析判定相关情况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1.4关注的主要环境问题</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1.5环评报告书的主要结论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2、总论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2.1编制依据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2.2评价目的和原则</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2.3评价内容及评价重点</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2.4评价因子识别与筛选</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2.5环境功能区划及评价标准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"_Toc106663441"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2.6评价等级及评价范围</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_Toc106663441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"_Toc106663444"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2.7环境保护目标及敏感点</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_Toc106663444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37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2.9选址合理性分析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38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3、工程分析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3.1工程概况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"_Toc106663467"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3.2生产工艺流程</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_Toc106663467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3.3污染源源强分析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50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3.4污染物</w:t>
          </w:r>
          <w:r>
            <w:rPr>
              <w:rStyle w:val="38"/>
              <w:rFonts w:hint="eastAsia"/>
              <w:color w:val="auto"/>
              <w:highlight w:val="none"/>
              <w:lang w:eastAsia="zh-CN"/>
            </w:rPr>
            <w:t>”</w:t>
          </w:r>
          <w:r>
            <w:rPr>
              <w:rStyle w:val="38"/>
              <w:rFonts w:ascii="Times New Roman" w:hAnsi="Times New Roman" w:eastAsia="宋体"/>
              <w:color w:val="auto"/>
              <w:highlight w:val="none"/>
            </w:rPr>
            <w:t>三废</w:t>
          </w:r>
          <w:r>
            <w:rPr>
              <w:rStyle w:val="38"/>
              <w:rFonts w:hint="eastAsia"/>
              <w:color w:val="auto"/>
              <w:highlight w:val="none"/>
              <w:lang w:eastAsia="zh-CN"/>
            </w:rPr>
            <w:t>”</w:t>
          </w:r>
          <w:r>
            <w:rPr>
              <w:rStyle w:val="38"/>
              <w:rFonts w:ascii="Times New Roman" w:hAnsi="Times New Roman" w:eastAsia="宋体"/>
              <w:color w:val="auto"/>
              <w:highlight w:val="none"/>
            </w:rPr>
            <w:t>排放</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59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3.5总量控制</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3.6清洁生产概述</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4、环境现状调查与评价</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4.1自然环境概况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"_Toc106663485"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4.2环境质量现状调查与评价</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_Toc106663485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70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5、建设项目环境影响分析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84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5.1施工期环境影响分析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84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5.2运营期环境影响分析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91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5.3.9项目风险评价结论与建议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6、污染防治措施和对策建议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6.1施工期污染防治措施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"_Toc106663524"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6.2运营期污染防治措施分析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_Toc106663524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146</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6.3环境风险防范措施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7、环境影响经济损益分析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7.1社会效益分析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7.2经济效益分析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7.4环境经济效益分析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7.5小结</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8、环境管理与环境监测计划</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8.1环境管理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8.2环境监测计划</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8.3竣工验收管理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8.4污染源排放清单</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9、结论与建议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9.1建设项目概况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9.2产业政策及相关规划符合性结论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9.3环境质量现状评价结论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9.4环境影响评价结论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9.5污染防治措施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9.6公众意见采纳情况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9.7环境经济损益分析结论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9.8环境管理与监测结论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9.9总量控制</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"_Toc106663580"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9.10综合结论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_Toc106663580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"_Toc106663581"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9.11要求</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_Toc106663581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pPr>
            <w:ind w:firstLine="482"/>
            <w:rPr>
              <w:rFonts w:ascii="Times New Roman" w:hAnsi="Times New Roman" w:eastAsia="宋体"/>
              <w:color w:val="auto"/>
              <w:highlight w:val="none"/>
            </w:rPr>
          </w:pPr>
          <w:r>
            <w:rPr>
              <w:rFonts w:ascii="Times New Roman" w:hAnsi="Times New Roman" w:eastAsia="宋体"/>
              <w:b/>
              <w:bCs/>
              <w:color w:val="auto"/>
              <w:highlight w:val="none"/>
              <w:lang w:val="zh-CN"/>
            </w:rPr>
            <w:fldChar w:fldCharType="end"/>
          </w:r>
        </w:p>
      </w:sdtContent>
    </w:sdt>
    <w:p>
      <w:pPr>
        <w:ind w:firstLine="199" w:firstLineChars="83"/>
        <w:rPr>
          <w:rFonts w:ascii="Times New Roman" w:hAnsi="Times New Roman" w:eastAsia="宋体"/>
          <w:color w:val="auto"/>
          <w:highlight w:val="none"/>
        </w:rPr>
      </w:pPr>
    </w:p>
    <w:p>
      <w:pPr>
        <w:ind w:firstLine="199" w:firstLineChars="83"/>
        <w:rPr>
          <w:rFonts w:ascii="Times New Roman" w:hAnsi="Times New Roman" w:eastAsia="宋体"/>
          <w:color w:val="auto"/>
          <w:highlight w:val="none"/>
        </w:rPr>
      </w:pPr>
    </w:p>
    <w:p>
      <w:pPr>
        <w:ind w:firstLine="199" w:firstLineChars="83"/>
        <w:rPr>
          <w:rFonts w:ascii="Times New Roman" w:hAnsi="Times New Roman" w:eastAsia="宋体"/>
          <w:color w:val="auto"/>
          <w:highlight w:val="none"/>
        </w:rPr>
      </w:pPr>
    </w:p>
    <w:p>
      <w:pPr>
        <w:bidi w:val="0"/>
        <w:rPr>
          <w:rFonts w:ascii="Times New Roman" w:hAnsi="Times New Roman" w:eastAsia="宋体" w:cs="Times New Roman"/>
          <w:color w:val="auto"/>
          <w:sz w:val="24"/>
          <w:highlight w:val="none"/>
          <w:lang w:val="en-US" w:eastAsia="zh-CN" w:bidi="ar-SA"/>
        </w:rPr>
      </w:pPr>
    </w:p>
    <w:p>
      <w:pPr>
        <w:tabs>
          <w:tab w:val="left" w:pos="6092"/>
        </w:tabs>
        <w:bidi w:val="0"/>
        <w:jc w:val="left"/>
        <w:rPr>
          <w:rFonts w:ascii="Times New Roman" w:hAnsi="Times New Roman" w:eastAsia="宋体"/>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type w:val="oddPage"/>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p>
    <w:p>
      <w:pPr>
        <w:pStyle w:val="3"/>
        <w:rPr>
          <w:rFonts w:ascii="Times New Roman" w:hAnsi="Times New Roman" w:eastAsia="宋体"/>
          <w:color w:val="auto"/>
          <w:highlight w:val="none"/>
        </w:rPr>
      </w:pPr>
      <w:bookmarkStart w:id="0" w:name="_Toc71394699"/>
      <w:bookmarkStart w:id="1" w:name="_Toc89619317"/>
      <w:bookmarkStart w:id="2" w:name="_Toc106663409"/>
      <w:r>
        <w:rPr>
          <w:rFonts w:hint="eastAsia" w:ascii="Times New Roman" w:hAnsi="Times New Roman" w:eastAsia="宋体"/>
          <w:color w:val="auto"/>
          <w:highlight w:val="none"/>
        </w:rPr>
        <w:t>1、建设项目概况</w:t>
      </w:r>
      <w:bookmarkEnd w:id="0"/>
      <w:bookmarkEnd w:id="1"/>
      <w:bookmarkEnd w:id="2"/>
    </w:p>
    <w:p>
      <w:pPr>
        <w:pStyle w:val="4"/>
        <w:rPr>
          <w:rFonts w:ascii="Times New Roman" w:hAnsi="Times New Roman" w:eastAsia="宋体"/>
          <w:color w:val="auto"/>
          <w:highlight w:val="none"/>
        </w:rPr>
      </w:pPr>
      <w:bookmarkStart w:id="3" w:name="_Toc89619318"/>
      <w:bookmarkStart w:id="4" w:name="_Toc106663410"/>
      <w:bookmarkStart w:id="5" w:name="_Toc71394700"/>
      <w:r>
        <w:rPr>
          <w:rFonts w:hint="eastAsia" w:ascii="Times New Roman" w:hAnsi="Times New Roman" w:eastAsia="宋体"/>
          <w:color w:val="auto"/>
          <w:highlight w:val="none"/>
        </w:rPr>
        <w:t>1.1项目实施背景</w:t>
      </w:r>
      <w:bookmarkEnd w:id="3"/>
      <w:bookmarkEnd w:id="4"/>
      <w:bookmarkEnd w:id="5"/>
    </w:p>
    <w:p>
      <w:pPr>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2023年1月中共中央国务院《关于做好2023年全面推进乡村振兴重点工作的意见》提出：党的二十大擘画了以中国式现代化全面推进中华民族伟大复兴的宏伟蓝图。全面建设社会主义现代化国家，最艰巨最繁重的任务仍然在农村。世界百年未有之大变局加速演进，我国发展进入战略机遇和风险挑战并存、不确定难预料因素增多的时期，守好</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基本盘至关重要、不容有失。党中央认为，必须坚持不懈把解决好</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问题作为全党工作重中之重，举全党全社会之力全面推进乡村振兴，加快农业农村现代化。强国必先强农，农强方能国强。要立足国情农情，体现中国特色，建设供给保障强、科技装备强、经营体系强、产业韧性强、竞争能力强的农业强国。</w:t>
      </w:r>
    </w:p>
    <w:p>
      <w:pPr>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2023年2月，新疆维吾尔自治区党委农村工作会议暨推进乡村振兴高质量发展大会强调要坚持以习近平新时代中国特色社会主义思想为指导，全面贯彻党的二十大和中央经济工作会议、中央农村工作会议精神，深入贯彻习近平总书记关于</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工作重要论述，完整准确贯彻新时代党的治疆方略，坚持农业农村优先发展，保障粮食和重要农产品安全稳定供给，扎实做好乡村发展、乡村建设、乡村治理等重点工作，全面推进乡村振兴，加快建设农业强区，为建设农业强国积极贡献新疆力量。</w:t>
      </w:r>
    </w:p>
    <w:p>
      <w:pPr>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马兴瑞强调，要围绕今年</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工作总要求和主要预期目标，突出抓好各项重点工作。深入实施畜牧业振兴行动，突出抓好涉农产业集群建设，加快构建具有新疆特色的现代农业产业体系。大力实施粮油、棉花和纺织服装、绿色有机果蔬、优质畜产品产业集群行动计划，培育发展一批优势龙头企业，加快现代农业产业园和农业现代化示范区建设，全面深化农产品市场开拓，培育发展乡村新产业新业态。</w:t>
      </w:r>
    </w:p>
    <w:p>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中央、自治区及玛纳斯县相关的的政策要求和产业导向，紧密联系玛纳斯县广东地乡发展实际，立足于当地的资源优势、产业优势，加强蛋鸡产业配套设施的建设，发展带动当地及周边区域农业产业化经营、农民持续增收和当地经济发展，特提出</w:t>
      </w:r>
      <w:r>
        <w:rPr>
          <w:rFonts w:hint="eastAsia"/>
          <w:color w:val="auto"/>
          <w:highlight w:val="none"/>
          <w:lang w:val="en-US" w:eastAsia="zh-CN"/>
        </w:rPr>
        <w:t>”</w:t>
      </w:r>
      <w:r>
        <w:rPr>
          <w:rFonts w:hint="eastAsia" w:ascii="Times New Roman" w:hAnsi="Times New Roman" w:eastAsia="宋体"/>
          <w:color w:val="auto"/>
          <w:highlight w:val="none"/>
          <w:lang w:val="en-US" w:eastAsia="zh-CN"/>
        </w:rPr>
        <w:t>玛纳斯县2023年蛋鸡育成鸡圈舍建设项目</w:t>
      </w:r>
      <w:r>
        <w:rPr>
          <w:rFonts w:hint="eastAsia"/>
          <w:color w:val="auto"/>
          <w:highlight w:val="none"/>
          <w:lang w:val="en-US" w:eastAsia="zh-CN"/>
        </w:rPr>
        <w:t>”</w:t>
      </w:r>
      <w:r>
        <w:rPr>
          <w:rFonts w:hint="eastAsia" w:ascii="Times New Roman" w:hAnsi="Times New Roman" w:eastAsia="宋体"/>
          <w:color w:val="auto"/>
          <w:highlight w:val="none"/>
          <w:lang w:val="en-US" w:eastAsia="zh-CN"/>
        </w:rPr>
        <w:t>的建设。</w:t>
      </w:r>
    </w:p>
    <w:p>
      <w:pPr>
        <w:pStyle w:val="4"/>
        <w:rPr>
          <w:rFonts w:ascii="Times New Roman" w:hAnsi="Times New Roman" w:eastAsia="宋体"/>
          <w:color w:val="auto"/>
          <w:highlight w:val="none"/>
        </w:rPr>
      </w:pPr>
      <w:bookmarkStart w:id="6" w:name="_Toc71394701"/>
      <w:bookmarkStart w:id="7" w:name="_Toc89619319"/>
      <w:bookmarkStart w:id="8" w:name="_Toc106663411"/>
      <w:r>
        <w:rPr>
          <w:rFonts w:hint="eastAsia" w:ascii="Times New Roman" w:hAnsi="Times New Roman" w:eastAsia="宋体"/>
          <w:color w:val="auto"/>
          <w:highlight w:val="none"/>
        </w:rPr>
        <w:t>1.2环评工作过程</w:t>
      </w:r>
      <w:bookmarkEnd w:id="6"/>
      <w:bookmarkEnd w:id="7"/>
      <w:bookmarkEnd w:id="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中华人民共和国环境保护法》、《建设项目环境保护管理条例》和《中华人民共和国环境影响评价法》、国务院《关于修改&lt;设项目环境保护管理条例&gt;的决定》（国务院令第682号）中有关规定和要求，该建设项目需进行环境影响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本项目为蛋鸡育成鸡圈舍建设项目，共建设育成鸡圈10栋及配套设施，分两期建设，一期</w:t>
      </w:r>
      <w:r>
        <w:rPr>
          <w:rFonts w:hint="eastAsia"/>
          <w:color w:val="auto"/>
          <w:highlight w:val="none"/>
          <w:lang w:val="en-US" w:eastAsia="zh-CN"/>
        </w:rPr>
        <w:t>建设</w:t>
      </w:r>
      <w:r>
        <w:rPr>
          <w:rFonts w:hint="eastAsia" w:ascii="Times New Roman" w:hAnsi="Times New Roman" w:eastAsia="宋体"/>
          <w:color w:val="auto"/>
          <w:highlight w:val="none"/>
          <w:lang w:val="en-US" w:eastAsia="zh-CN"/>
        </w:rPr>
        <w:t>育成鸡圈6栋及配套设施，本次评价仅对一期进行评价，6栋鸡圈每栋鸡舍年出栏蛋鸡12万只，共出栏蛋鸡72万只（折算成生猪24000头）。</w:t>
      </w:r>
      <w:r>
        <w:rPr>
          <w:rFonts w:hint="eastAsia" w:ascii="Times New Roman" w:hAnsi="Times New Roman" w:eastAsia="宋体"/>
          <w:color w:val="auto"/>
          <w:highlight w:val="none"/>
        </w:rPr>
        <w:t>根据《建设项目环境影响评价分类管理名录》（2021年版），本项目属于</w:t>
      </w:r>
      <w:r>
        <w:rPr>
          <w:rFonts w:hint="eastAsia"/>
          <w:color w:val="auto"/>
          <w:highlight w:val="none"/>
          <w:lang w:eastAsia="zh-CN"/>
        </w:rPr>
        <w:t>”</w:t>
      </w:r>
      <w:r>
        <w:rPr>
          <w:rFonts w:hint="eastAsia" w:ascii="Times New Roman" w:hAnsi="Times New Roman" w:eastAsia="宋体"/>
          <w:color w:val="auto"/>
          <w:highlight w:val="none"/>
        </w:rPr>
        <w:t>二、畜牧业03—3、牲畜饲养031；家禽饲养032；其他畜牧业039—年出栏生猪5000头（其他畜禽种类折合猪的养殖量）及以上的规模化畜禽养殖</w:t>
      </w:r>
      <w:r>
        <w:rPr>
          <w:rFonts w:hint="eastAsia"/>
          <w:color w:val="auto"/>
          <w:highlight w:val="none"/>
          <w:lang w:eastAsia="zh-CN"/>
        </w:rPr>
        <w:t>”</w:t>
      </w:r>
      <w:r>
        <w:rPr>
          <w:rFonts w:hint="eastAsia" w:ascii="Times New Roman" w:hAnsi="Times New Roman" w:eastAsia="宋体"/>
          <w:color w:val="auto"/>
          <w:highlight w:val="none"/>
        </w:rPr>
        <w:t>，需编制环境影响报告书。为此，</w:t>
      </w:r>
      <w:r>
        <w:rPr>
          <w:rFonts w:hint="eastAsia" w:ascii="Times New Roman" w:hAnsi="Times New Roman" w:eastAsia="宋体"/>
          <w:color w:val="auto"/>
          <w:highlight w:val="none"/>
          <w:lang w:eastAsia="zh-CN"/>
        </w:rPr>
        <w:t>玛纳斯县广东地乡人民政府</w:t>
      </w:r>
      <w:r>
        <w:rPr>
          <w:rFonts w:hint="eastAsia" w:ascii="Times New Roman" w:hAnsi="Times New Roman" w:eastAsia="宋体"/>
          <w:color w:val="auto"/>
          <w:highlight w:val="none"/>
        </w:rPr>
        <w:t>于202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月委托</w:t>
      </w:r>
      <w:r>
        <w:rPr>
          <w:rFonts w:hint="eastAsia" w:ascii="Times New Roman" w:hAnsi="Times New Roman" w:eastAsia="宋体"/>
          <w:color w:val="auto"/>
          <w:highlight w:val="none"/>
          <w:lang w:eastAsia="zh-CN"/>
        </w:rPr>
        <w:t>乌鲁木齐云创环安科技有限公司</w:t>
      </w:r>
      <w:r>
        <w:rPr>
          <w:rFonts w:hint="eastAsia" w:ascii="Times New Roman" w:hAnsi="Times New Roman" w:eastAsia="宋体"/>
          <w:color w:val="auto"/>
          <w:highlight w:val="none"/>
        </w:rPr>
        <w:t>进行该项目的环境影响评价工作。接受委托后，我单位立即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环境影响报告书》。现报生态环境局审批后作为本项目建设期和运营期环境管理时的依据。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环境影响评价工作一般分三个阶段，即前期准备、调研和工作方案阶段，分析论证和预测评价阶段、环境影响评价文件编制阶段。本项目环境影响评价工作程序见图1.2-1。</w:t>
      </w:r>
    </w:p>
    <w:p>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object>
          <v:shape id="_x0000_i1025" o:spt="75" type="#_x0000_t75" style="height:571.95pt;width:415.85pt;" o:ole="t" filled="f" o:preferrelative="t" stroked="f" coordsize="21600,21600">
            <v:path/>
            <v:fill on="f" focussize="0,0"/>
            <v:stroke on="f" joinstyle="miter"/>
            <v:imagedata r:id="rId32" o:title=""/>
            <o:lock v:ext="edit" aspectratio="t"/>
            <w10:wrap type="none"/>
            <w10:anchorlock/>
          </v:shape>
          <o:OLEObject Type="Embed" ProgID="Visio.Drawing.11" ShapeID="_x0000_i1025" DrawAspect="Content" ObjectID="_1468075725" r:id="rId31">
            <o:LockedField>false</o:LockedField>
          </o:OLEObject>
        </w:objec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图1.2-1环境影响评价工作程序</w:t>
      </w:r>
    </w:p>
    <w:p>
      <w:pPr>
        <w:pStyle w:val="4"/>
        <w:snapToGrid w:val="0"/>
        <w:spacing w:before="0" w:after="0"/>
        <w:rPr>
          <w:rFonts w:ascii="Times New Roman" w:hAnsi="Times New Roman" w:eastAsia="宋体"/>
          <w:color w:val="auto"/>
          <w:highlight w:val="none"/>
        </w:rPr>
      </w:pPr>
      <w:bookmarkStart w:id="9" w:name="_Toc71394702"/>
      <w:bookmarkStart w:id="10" w:name="_Toc106663412"/>
      <w:bookmarkStart w:id="11" w:name="_Toc89619320"/>
      <w:r>
        <w:rPr>
          <w:rFonts w:hint="eastAsia" w:ascii="Times New Roman" w:hAnsi="Times New Roman" w:eastAsia="宋体"/>
          <w:color w:val="auto"/>
          <w:highlight w:val="none"/>
        </w:rPr>
        <w:t>1.3分析判定相关情况</w:t>
      </w:r>
      <w:bookmarkEnd w:id="9"/>
      <w:bookmarkEnd w:id="10"/>
      <w:bookmarkEnd w:id="11"/>
    </w:p>
    <w:p>
      <w:pPr>
        <w:pStyle w:val="5"/>
        <w:snapToGrid w:val="0"/>
        <w:spacing w:before="0" w:after="0"/>
        <w:rPr>
          <w:rFonts w:ascii="Times New Roman" w:hAnsi="Times New Roman" w:eastAsia="宋体"/>
          <w:color w:val="auto"/>
          <w:highlight w:val="none"/>
        </w:rPr>
      </w:pPr>
      <w:bookmarkStart w:id="12" w:name="_Toc106663413"/>
      <w:r>
        <w:rPr>
          <w:rFonts w:hint="eastAsia" w:ascii="Times New Roman" w:hAnsi="Times New Roman" w:eastAsia="宋体"/>
          <w:color w:val="auto"/>
          <w:highlight w:val="none"/>
        </w:rPr>
        <w:t>1.3.1产业政策相符性</w:t>
      </w:r>
      <w:bookmarkEnd w:id="12"/>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本项目主要从事</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生产项目，根据《</w:t>
      </w:r>
      <w:r>
        <w:rPr>
          <w:rFonts w:hint="eastAsia"/>
          <w:color w:val="auto"/>
          <w:highlight w:val="none"/>
          <w:lang w:eastAsia="zh-CN"/>
        </w:rPr>
        <w:t>产业结构调整指导目录（2021年本）</w:t>
      </w:r>
      <w:r>
        <w:rPr>
          <w:rFonts w:hint="eastAsia" w:ascii="Times New Roman" w:hAnsi="Times New Roman" w:eastAsia="宋体"/>
          <w:color w:val="auto"/>
          <w:highlight w:val="none"/>
        </w:rPr>
        <w:t>》，本项目属于</w:t>
      </w:r>
      <w:r>
        <w:rPr>
          <w:rFonts w:hint="eastAsia"/>
          <w:color w:val="auto"/>
          <w:highlight w:val="none"/>
          <w:lang w:eastAsia="zh-CN"/>
        </w:rPr>
        <w:t>”</w:t>
      </w:r>
      <w:r>
        <w:rPr>
          <w:rFonts w:hint="eastAsia" w:ascii="Times New Roman" w:hAnsi="Times New Roman" w:eastAsia="宋体"/>
          <w:color w:val="auto"/>
          <w:highlight w:val="none"/>
        </w:rPr>
        <w:t>第一类鼓励类—一、农林业—4、畜禽标准化规模养殖技术开发与应用</w:t>
      </w:r>
      <w:r>
        <w:rPr>
          <w:rFonts w:hint="eastAsia"/>
          <w:color w:val="auto"/>
          <w:highlight w:val="none"/>
          <w:lang w:eastAsia="zh-CN"/>
        </w:rPr>
        <w:t>”</w:t>
      </w:r>
      <w:r>
        <w:rPr>
          <w:rFonts w:hint="eastAsia" w:ascii="Times New Roman" w:hAnsi="Times New Roman" w:eastAsia="宋体"/>
          <w:color w:val="auto"/>
          <w:highlight w:val="none"/>
        </w:rPr>
        <w:t>，因此，符合国家产业政策。</w:t>
      </w:r>
    </w:p>
    <w:p>
      <w:pPr>
        <w:pStyle w:val="5"/>
        <w:snapToGrid w:val="0"/>
        <w:spacing w:before="0" w:after="0"/>
        <w:rPr>
          <w:rFonts w:ascii="Times New Roman" w:hAnsi="Times New Roman" w:eastAsia="宋体"/>
          <w:color w:val="auto"/>
          <w:highlight w:val="none"/>
        </w:rPr>
      </w:pPr>
      <w:bookmarkStart w:id="13" w:name="_Toc106663414"/>
      <w:r>
        <w:rPr>
          <w:rFonts w:hint="eastAsia" w:ascii="Times New Roman" w:hAnsi="Times New Roman" w:eastAsia="宋体"/>
          <w:color w:val="auto"/>
          <w:highlight w:val="none"/>
        </w:rPr>
        <w:t>1.3.2规划符合性</w:t>
      </w:r>
      <w:bookmarkEnd w:id="13"/>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（1）与《新疆维吾尔自治区国民经济和社会发展第十四个五年规划和2035年远景目标纲要》的符合性分析</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《新疆维吾尔自治区国民经济和社会发展第十四个五年规划和2035年远景目标纲要》指出，优先发展农业农村，深入推进乡村振兴。建设畜牧强区。实施畜牧业发展五大行动，</w:t>
      </w:r>
      <w:r>
        <w:rPr>
          <w:rFonts w:hint="eastAsia" w:ascii="Times New Roman" w:hAnsi="Times New Roman" w:eastAsia="宋体"/>
          <w:color w:val="auto"/>
          <w:highlight w:val="none"/>
          <w:lang w:val="en-US" w:eastAsia="zh-CN"/>
        </w:rPr>
        <w:t>持续做大肉牛肉羊产业</w:t>
      </w:r>
      <w:r>
        <w:rPr>
          <w:rFonts w:hint="eastAsia" w:ascii="Times New Roman" w:hAnsi="Times New Roman" w:eastAsia="宋体"/>
          <w:color w:val="auto"/>
          <w:highlight w:val="none"/>
        </w:rPr>
        <w:t>，加快推进奶业振兴，做优做强家禽产业，推进生猪产业转型升级，因地制宜发展特色养殖业，构建饲料、种源、扩繁、养殖、屠宰、加工全产业链，推动新疆由畜牧大区向畜牧强区转变。</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末，全区畜牧业产值超过1100亿元。实施优质生猪增产行动、奶业振兴行动、优质肉羊增产行动、生猪产业转型升级行动、家禽及特色产业发展行动，提升畜牧业生产供给能力。</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本项目拟建成</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养殖项目，实现标准化</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w:t>
      </w:r>
      <w:r>
        <w:rPr>
          <w:rFonts w:hint="eastAsia" w:ascii="Times New Roman" w:hAnsi="Times New Roman" w:eastAsia="宋体"/>
          <w:color w:val="auto"/>
          <w:highlight w:val="none"/>
          <w:lang w:val="en-US" w:eastAsia="zh-CN"/>
        </w:rPr>
        <w:t>通过合理有效地配置资源进行规模化、现代化养殖，通过构建完善的生产体系进行蛋鸡育成鸡养殖，延长蛋鸡产业链，提升产品附加值，提高农业生产效益。项目的建设有利于促进全县蛋鸡产。</w:t>
      </w:r>
      <w:r>
        <w:rPr>
          <w:rFonts w:hint="eastAsia" w:ascii="Times New Roman" w:hAnsi="Times New Roman" w:eastAsia="宋体"/>
          <w:color w:val="auto"/>
          <w:highlight w:val="none"/>
        </w:rPr>
        <w:t>本项目采取资源化方式利用畜禽养殖废弃物。因此，本项目符合《新疆维吾尔自治区国民经济和社会发展第十四个五年规划和2035年远景目标纲要》相关要求。</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（2）与《新疆维吾尔自治区畜牧业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发展规划》的符合性分析</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发展规划》提出，</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期间，全区畜牧业坚持生态化发展方向，坚持农牧结合、草畜配套，稳定发展牧区畜牧业，突出发展农区畜牧业，坚持走集约化、标准化、规模化的发展道路，着力夯基础、补短板、强弱项、优结构、促融合、壮主体、增动能，强化科技创新和政策支持，做大肉牛肉羊产业、加快奶业振兴、做优做强畜禽产业、因地制宜发展特色产业，构建科学合理、安全高效的畜产品供给保障体系，加快推进现代畜牧业发展。</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到2025年，将建立适合区情、支撑有力的畜牧业产业体系、生产体系、经营体系，形成天山北坡奶业、南疆特禽、北疆绿色有机牛羊肉、马产业等4个产值百亿元以上、有国内影响力的产业集群。</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本项目为</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，项目建成后可实现标准化、规模化</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养殖，对于提高自治区畜牧业养殖有积极的作用，项目的建设符合《新疆维吾尔自治区畜牧业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发展规划》的相关要求。</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（3）与《新疆规模化畜禽养殖污染防治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规划》符合性分析</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指出，各畜禽养殖单位应根据养殖种类、养殖规模、粪污收集方式以及当地的地理环境条件和废水排放去向等因素，因地制宜发展生态养殖模式，优先考虑资源综合利用，合理确定畜禽养殖污染防治措施。鼓励发展专业化集中式畜禽养殖粪污能源化利用和肥料化利用，加大对粪污水处理、有机肥加工和发酵产物综合利用产业政策的扶持和资金补贴力度，支持畜禽养殖粪污的社会化集中处理和规模化利用，加快建立循环经济产业链。</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本项目属于规模化养殖项目，粪便经处理后最终还田，能够形成</w:t>
      </w:r>
      <w:r>
        <w:rPr>
          <w:rFonts w:hint="eastAsia"/>
          <w:color w:val="auto"/>
          <w:highlight w:val="none"/>
          <w:lang w:eastAsia="zh-CN"/>
        </w:rPr>
        <w:t>”</w:t>
      </w:r>
      <w:r>
        <w:rPr>
          <w:rFonts w:hint="eastAsia" w:ascii="Times New Roman" w:hAnsi="Times New Roman" w:eastAsia="宋体"/>
          <w:color w:val="auto"/>
          <w:highlight w:val="none"/>
        </w:rPr>
        <w:t>畜禽-粪便-肥料-农田</w:t>
      </w:r>
      <w:r>
        <w:rPr>
          <w:rFonts w:hint="eastAsia"/>
          <w:color w:val="auto"/>
          <w:highlight w:val="none"/>
          <w:lang w:eastAsia="zh-CN"/>
        </w:rPr>
        <w:t>”</w:t>
      </w:r>
      <w:r>
        <w:rPr>
          <w:rFonts w:hint="eastAsia" w:ascii="Times New Roman" w:hAnsi="Times New Roman" w:eastAsia="宋体"/>
          <w:color w:val="auto"/>
          <w:highlight w:val="none"/>
        </w:rPr>
        <w:t>的良性循环，符合《新疆规模化畜禽养殖污染防治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规划》的相关要求。</w:t>
      </w:r>
    </w:p>
    <w:p>
      <w:pPr>
        <w:pStyle w:val="5"/>
        <w:rPr>
          <w:rFonts w:ascii="Times New Roman" w:hAnsi="Times New Roman" w:eastAsia="宋体"/>
          <w:color w:val="auto"/>
          <w:highlight w:val="none"/>
        </w:rPr>
      </w:pPr>
      <w:bookmarkStart w:id="14" w:name="_Toc106663416"/>
      <w:r>
        <w:rPr>
          <w:rFonts w:hint="eastAsia" w:ascii="Times New Roman" w:hAnsi="Times New Roman" w:eastAsia="宋体"/>
          <w:color w:val="auto"/>
          <w:highlight w:val="none"/>
        </w:rPr>
        <w:t>1.3.</w:t>
      </w:r>
      <w:r>
        <w:rPr>
          <w:rFonts w:hint="eastAsia" w:ascii="Times New Roman" w:hAnsi="Times New Roman" w:eastAsia="宋体"/>
          <w:color w:val="auto"/>
          <w:highlight w:val="none"/>
          <w:lang w:val="en-US" w:eastAsia="zh-CN"/>
        </w:rPr>
        <w:t>3</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符合性</w:t>
      </w:r>
      <w:bookmarkEnd w:id="14"/>
    </w:p>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3</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.1与《新疆维吾尔自治区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生态环境分区管控方案》的符合性分析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根据《关于印发&lt;新疆维吾尔自治区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生态环境分区管控方案&gt;的通知》（新政发[2021]18号），其主要内容如下：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主要目标：到2025年，全区生态环境质量总体改善，环境风险得到有效管控。建立较为完善的生态环境分区管控体系与数据信息应用机制和共享系统，生态环境治理体系和治理能力现代化取得显著进展。。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1）生态保护红线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按照</w:t>
      </w:r>
      <w:r>
        <w:rPr>
          <w:rFonts w:hint="eastAsia"/>
          <w:color w:val="auto"/>
          <w:highlight w:val="none"/>
          <w:lang w:eastAsia="zh-CN"/>
        </w:rPr>
        <w:t>”</w:t>
      </w:r>
      <w:r>
        <w:rPr>
          <w:rFonts w:hint="eastAsia" w:ascii="Times New Roman" w:hAnsi="Times New Roman" w:eastAsia="宋体"/>
          <w:color w:val="auto"/>
          <w:highlight w:val="none"/>
        </w:rPr>
        <w:t>生态功能不降低、面积不减少、性质不改变</w:t>
      </w:r>
      <w:r>
        <w:rPr>
          <w:rFonts w:hint="eastAsia"/>
          <w:color w:val="auto"/>
          <w:highlight w:val="none"/>
          <w:lang w:eastAsia="zh-CN"/>
        </w:rPr>
        <w:t>”</w:t>
      </w:r>
      <w:r>
        <w:rPr>
          <w:rFonts w:hint="eastAsia" w:ascii="Times New Roman" w:hAnsi="Times New Roman" w:eastAsia="宋体"/>
          <w:color w:val="auto"/>
          <w:highlight w:val="none"/>
        </w:rPr>
        <w:t>的基本要求，对划定的生态保护红线实施严格管控，保障和维护兵团生态安全的底线和生命线。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符合性分析：本项目为新建项目，位于</w:t>
      </w:r>
      <w:r>
        <w:rPr>
          <w:rFonts w:hint="eastAsia" w:ascii="Times New Roman" w:hAnsi="Times New Roman" w:eastAsia="宋体"/>
          <w:color w:val="auto"/>
          <w:highlight w:val="none"/>
          <w:lang w:val="en-US" w:eastAsia="zh-CN"/>
        </w:rPr>
        <w:t>玛纳斯县广东地乡广东地村</w:t>
      </w:r>
      <w:r>
        <w:rPr>
          <w:rFonts w:hint="eastAsia" w:ascii="Times New Roman" w:hAnsi="Times New Roman" w:eastAsia="宋体"/>
          <w:color w:val="auto"/>
          <w:highlight w:val="none"/>
        </w:rPr>
        <w:t>，属于</w:t>
      </w:r>
      <w:r>
        <w:rPr>
          <w:rFonts w:hint="eastAsia" w:ascii="Times New Roman" w:hAnsi="Times New Roman" w:eastAsia="宋体"/>
          <w:color w:val="auto"/>
          <w:highlight w:val="none"/>
          <w:lang w:val="en-US" w:eastAsia="zh-CN"/>
        </w:rPr>
        <w:t>玛纳斯县一般管控区</w:t>
      </w:r>
      <w:r>
        <w:rPr>
          <w:rFonts w:hint="eastAsia" w:ascii="Times New Roman" w:hAnsi="Times New Roman" w:eastAsia="宋体"/>
          <w:color w:val="auto"/>
          <w:highlight w:val="none"/>
        </w:rPr>
        <w:t>。本项目所在地不涉及自然保护区、风景名胜区等各类保护地边界、江河、湖库以及海岸等向陆域延伸一定距离的边界、地理国情普查、全国土地调查、森林草原湿地荒漠等，因此判定项目建设不涉及生态红线保护区域，符合生态保护红线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2）环境质量底线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全区水环境质量持续改善，受污染地表水体得到有效治理，河流水质优良断面比例保持稳定，饮用水安全保障水平持续提升，地下水水质保持稳定。环境空气质量稳步提升，重污染天数持续减少，已达标城市环境空气质量保持稳定，未达标城市环境空气质量持续改善，沙尘影响严重地区做好防风固沙、生态环境保护修复等工作；全区土壤环境质量保持稳定，污染地块安全利用水平稳中求进，土壤环境风险得到进一步管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符合性分析如下：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①环境空气：项目选址区域为环境空气功能区二类区，执行二级标准。根据环境空气质量现状的监测数据，项目选址区域环境空气质量能够满足《环境空气质量标准》</w:t>
      </w:r>
      <w:r>
        <w:rPr>
          <w:rFonts w:hint="eastAsia"/>
          <w:color w:val="auto"/>
          <w:highlight w:val="none"/>
          <w:lang w:eastAsia="zh-CN"/>
        </w:rPr>
        <w:t>（</w:t>
      </w:r>
      <w:r>
        <w:rPr>
          <w:rFonts w:hint="eastAsia" w:ascii="Times New Roman" w:hAnsi="Times New Roman" w:eastAsia="宋体"/>
          <w:color w:val="auto"/>
          <w:highlight w:val="none"/>
        </w:rPr>
        <w:t>GB3095-2012</w:t>
      </w:r>
      <w:r>
        <w:rPr>
          <w:rFonts w:hint="eastAsia"/>
          <w:color w:val="auto"/>
          <w:highlight w:val="none"/>
          <w:lang w:eastAsia="zh-CN"/>
        </w:rPr>
        <w:t>）</w:t>
      </w:r>
      <w:r>
        <w:rPr>
          <w:rFonts w:hint="eastAsia" w:ascii="Times New Roman" w:hAnsi="Times New Roman" w:eastAsia="宋体"/>
          <w:color w:val="auto"/>
          <w:highlight w:val="none"/>
        </w:rPr>
        <w:t>及修改单中二级标准要求。项目在严格执行环评中所提出的NH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、H</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S等废气治理措施后，满足相应排放标准，排放量较少，对环境空气影响较小，不会降低区域环境空气质量。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②水环境：项目区周边无地表水体，根据区域环境功能区划，地下水环境质量执行《地下水质量标准》</w:t>
      </w:r>
      <w:r>
        <w:rPr>
          <w:rFonts w:hint="eastAsia"/>
          <w:color w:val="auto"/>
          <w:highlight w:val="none"/>
          <w:lang w:eastAsia="zh-CN"/>
        </w:rPr>
        <w:t>（</w:t>
      </w:r>
      <w:r>
        <w:rPr>
          <w:rFonts w:hint="eastAsia" w:ascii="Times New Roman" w:hAnsi="Times New Roman" w:eastAsia="宋体"/>
          <w:color w:val="auto"/>
          <w:highlight w:val="none"/>
        </w:rPr>
        <w:t>GB/T14848-2017</w:t>
      </w:r>
      <w:r>
        <w:rPr>
          <w:rFonts w:hint="eastAsia"/>
          <w:color w:val="auto"/>
          <w:highlight w:val="none"/>
          <w:lang w:eastAsia="zh-CN"/>
        </w:rPr>
        <w:t>）</w:t>
      </w:r>
      <w:r>
        <w:rPr>
          <w:rFonts w:hint="eastAsia" w:ascii="Times New Roman" w:hAnsi="Times New Roman" w:eastAsia="宋体"/>
          <w:color w:val="auto"/>
          <w:highlight w:val="none"/>
        </w:rPr>
        <w:t>中III类标准。本项目养殖</w:t>
      </w:r>
      <w:r>
        <w:rPr>
          <w:rFonts w:hint="eastAsia"/>
          <w:color w:val="auto"/>
          <w:highlight w:val="none"/>
          <w:lang w:val="en-US" w:eastAsia="zh-CN"/>
        </w:rPr>
        <w:t>废水经过污水收集池收集后经过预处理处理后用作农肥</w:t>
      </w:r>
      <w:r>
        <w:rPr>
          <w:rFonts w:hint="eastAsia" w:ascii="Times New Roman" w:hAnsi="Times New Roman" w:eastAsia="宋体"/>
          <w:color w:val="auto"/>
          <w:highlight w:val="none"/>
        </w:rPr>
        <w:t>，可以实现废物综合利用。对周边水环境质量影响较小，不会降低区域水环境质量。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③土壤环境：项目区内土壤环境质量执行《土壤环境质量农业用地土壤污染风险管控标准（试行）》</w:t>
      </w:r>
      <w:r>
        <w:rPr>
          <w:rFonts w:hint="eastAsia"/>
          <w:color w:val="auto"/>
          <w:highlight w:val="none"/>
          <w:lang w:eastAsia="zh-CN"/>
        </w:rPr>
        <w:t>（</w:t>
      </w:r>
      <w:r>
        <w:rPr>
          <w:rFonts w:hint="eastAsia" w:ascii="Times New Roman" w:hAnsi="Times New Roman" w:eastAsia="宋体"/>
          <w:color w:val="auto"/>
          <w:highlight w:val="none"/>
        </w:rPr>
        <w:t>GB15618—2018</w:t>
      </w:r>
      <w:r>
        <w:rPr>
          <w:rFonts w:hint="eastAsia"/>
          <w:color w:val="auto"/>
          <w:highlight w:val="none"/>
          <w:lang w:eastAsia="zh-CN"/>
        </w:rPr>
        <w:t>）</w:t>
      </w:r>
      <w:r>
        <w:rPr>
          <w:rFonts w:hint="eastAsia" w:ascii="Times New Roman" w:hAnsi="Times New Roman" w:eastAsia="宋体"/>
          <w:color w:val="auto"/>
          <w:highlight w:val="none"/>
        </w:rPr>
        <w:t>中的第二类用地筛选值，项目采取防渗措施后对土壤环境影响较小。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综上，本项目的建设符合环境质量底线要求。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3）资源利用上线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强化节约集约利用，持续提升资源能源利用效率，水资源、土地资源、能源消耗达到国家、自治区下达的总量和强度控制目标，地下水超采得到严格控制。加快区域低碳发展，积极推动乌鲁木齐市、昌吉市、伊宁市、和田市等4个国家级低碳试点城市发挥低碳试点示范和引领作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到2035年，生态环境质量实现根本好转，节约资源和保护生态环境的空间格局、产业结构、生产方式、生活方式总体形成，美丽新疆目标基本实现。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本项目属于</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项目，主要利用当地土地资源、电能、水资源，项目区占地类型为设施农业用地，不涉及基本农田等占地，项目用水由农村供水管网供给，用电来自当地供电网，本项目的用水、用电不会对供水和供电单位产生负担。本项目选址位于</w:t>
      </w:r>
      <w:r>
        <w:rPr>
          <w:rFonts w:hint="eastAsia" w:ascii="Times New Roman" w:hAnsi="Times New Roman" w:eastAsia="宋体"/>
          <w:color w:val="auto"/>
          <w:highlight w:val="none"/>
          <w:lang w:val="en-US" w:eastAsia="zh-CN"/>
        </w:rPr>
        <w:t>玛纳斯县广东地乡</w:t>
      </w:r>
      <w:r>
        <w:rPr>
          <w:rFonts w:hint="eastAsia" w:ascii="Times New Roman" w:hAnsi="Times New Roman" w:eastAsia="宋体"/>
          <w:color w:val="auto"/>
          <w:highlight w:val="none"/>
        </w:rPr>
        <w:t>，符合用地规划。因此本项目不会超出资源利用上线，符合资源利用上线要求。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4）生态环境准入清单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自治区级管控要求对接自治区总体管控要求；各自治区七大片区管控要求，衔接所在地州市管控要求，结合区域主要生态环境问题和发展需求，细化形成本地区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总体管控要求和具体环境管控单元的差异化生态环境准入清单。</w:t>
      </w:r>
    </w:p>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4</w:t>
      </w:r>
      <w:r>
        <w:rPr>
          <w:rFonts w:hint="eastAsia" w:ascii="Times New Roman" w:hAnsi="Times New Roman" w:eastAsia="宋体"/>
          <w:color w:val="auto"/>
          <w:highlight w:val="none"/>
        </w:rPr>
        <w:t>.2与《昌吉回族自治州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生态环境分区管控方案及生态环境准入清单》的符合性分析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根据《关于印发&lt;昌吉回族自治州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生态环境分区管控方案及生态环境准入清单&gt;的公告》（昌州政办发[2021]41号），其主要内容如下：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——主要目标。到2025年，全州生态环境质量总体改善，环境风险得到有效管控。建立较为完善的生态环境分区管控体系与数据信息应用机制和共享系统，生态环境治理体系和治理能力现代化取得显著进展。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——生态保护红线。按照</w:t>
      </w:r>
      <w:r>
        <w:rPr>
          <w:rFonts w:hint="eastAsia"/>
          <w:color w:val="auto"/>
          <w:highlight w:val="none"/>
          <w:lang w:eastAsia="zh-CN"/>
        </w:rPr>
        <w:t>”</w:t>
      </w:r>
      <w:r>
        <w:rPr>
          <w:rFonts w:hint="eastAsia" w:ascii="Times New Roman" w:hAnsi="Times New Roman" w:eastAsia="宋体"/>
          <w:color w:val="auto"/>
          <w:highlight w:val="none"/>
        </w:rPr>
        <w:t>生态功能不降低、面积不减少、性质不改变</w:t>
      </w:r>
      <w:r>
        <w:rPr>
          <w:rFonts w:hint="eastAsia"/>
          <w:color w:val="auto"/>
          <w:highlight w:val="none"/>
          <w:lang w:eastAsia="zh-CN"/>
        </w:rPr>
        <w:t>”</w:t>
      </w:r>
      <w:r>
        <w:rPr>
          <w:rFonts w:hint="eastAsia" w:ascii="Times New Roman" w:hAnsi="Times New Roman" w:eastAsia="宋体"/>
          <w:color w:val="auto"/>
          <w:highlight w:val="none"/>
        </w:rPr>
        <w:t>的基本要求，生态空间得到优化和保护，生态保护红线得到严格管控。生态功能保持稳定，生物多样性水平稳步提升，生态空间保护体系基本建立。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到2035年，全州生态环境质量实现根本好转，节约资源和保护生态环境的空间格局、产业结构、生产方式、生活方式总体形成，生态系统健康和人群健康得到充分保障，环境经济实现良性循环。</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本项目位于《昌吉回族自治州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生态环境分区管控方案及生态环境准入清单》中的重点管控单元，与《昌吉回族自治州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生态环境分区管控方案及生态环境准入清单》中</w:t>
      </w:r>
      <w:r>
        <w:rPr>
          <w:rFonts w:hint="eastAsia" w:ascii="Times New Roman" w:hAnsi="Times New Roman" w:eastAsia="宋体"/>
          <w:color w:val="auto"/>
          <w:highlight w:val="none"/>
          <w:lang w:val="en-US" w:eastAsia="zh-CN"/>
        </w:rPr>
        <w:t>玛纳斯县</w:t>
      </w:r>
      <w:r>
        <w:rPr>
          <w:rFonts w:hint="eastAsia" w:ascii="Times New Roman" w:hAnsi="Times New Roman" w:eastAsia="宋体"/>
          <w:color w:val="auto"/>
          <w:highlight w:val="none"/>
        </w:rPr>
        <w:t>环境管控单元生态环境准入清单（</w:t>
      </w:r>
      <w:r>
        <w:rPr>
          <w:rFonts w:hint="eastAsia" w:ascii="Times New Roman" w:hAnsi="Times New Roman" w:eastAsia="宋体"/>
          <w:color w:val="auto"/>
          <w:highlight w:val="none"/>
          <w:lang w:val="en-US" w:eastAsia="zh-CN"/>
        </w:rPr>
        <w:t>一般管控区</w:t>
      </w:r>
      <w:r>
        <w:rPr>
          <w:rFonts w:hint="eastAsia" w:ascii="Times New Roman" w:hAnsi="Times New Roman" w:eastAsia="宋体"/>
          <w:color w:val="auto"/>
          <w:highlight w:val="none"/>
        </w:rPr>
        <w:t>）符合性分析具体见表</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。项目在昌吉回族自治州环境管控单元中的位置见附图</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hint="eastAsia"/>
          <w:color w:val="auto"/>
          <w:highlight w:val="none"/>
          <w:lang w:val="en-US" w:eastAsia="zh-CN"/>
        </w:rPr>
        <w:t>2</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通过表</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2</w:t>
      </w:r>
      <w:r>
        <w:rPr>
          <w:rFonts w:hint="eastAsia" w:ascii="Times New Roman" w:hAnsi="Times New Roman" w:eastAsia="宋体"/>
          <w:color w:val="auto"/>
          <w:highlight w:val="none"/>
        </w:rPr>
        <w:t>分析，本项目符合《昌吉回族自治州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生态环境分区管控方案及生态环境准入清单》的相关要求。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综上所述，本项目的建设符合《新疆维吾尔自治区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生态环境分区管控方案》和《昌吉回族自治州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生态环境分区管控方案及生态环境准入清单》的相关要求。本项目与</w:t>
      </w:r>
      <w:r>
        <w:rPr>
          <w:rFonts w:hint="eastAsia" w:ascii="Times New Roman" w:hAnsi="Times New Roman" w:eastAsia="宋体"/>
          <w:color w:val="auto"/>
          <w:highlight w:val="none"/>
          <w:lang w:val="en-US" w:eastAsia="zh-CN"/>
        </w:rPr>
        <w:t>玛纳斯县</w:t>
      </w:r>
      <w:r>
        <w:rPr>
          <w:rFonts w:hint="eastAsia" w:ascii="Times New Roman" w:hAnsi="Times New Roman" w:eastAsia="宋体"/>
          <w:color w:val="auto"/>
          <w:highlight w:val="none"/>
        </w:rPr>
        <w:t>环境管控单元生态环境准入清单（</w:t>
      </w:r>
      <w:r>
        <w:rPr>
          <w:rFonts w:hint="eastAsia" w:ascii="Times New Roman" w:hAnsi="Times New Roman" w:eastAsia="宋体"/>
          <w:color w:val="auto"/>
          <w:highlight w:val="none"/>
          <w:lang w:val="en-US" w:eastAsia="zh-CN"/>
        </w:rPr>
        <w:t>一般管控区</w:t>
      </w:r>
      <w:r>
        <w:rPr>
          <w:rFonts w:hint="eastAsia" w:ascii="Times New Roman" w:hAnsi="Times New Roman" w:eastAsia="宋体"/>
          <w:color w:val="auto"/>
          <w:highlight w:val="none"/>
        </w:rPr>
        <w:t>）的符合性分析见表1</w:t>
      </w:r>
      <w:r>
        <w:rPr>
          <w:rFonts w:ascii="Times New Roman" w:hAnsi="Times New Roman" w:eastAsia="宋体"/>
          <w:color w:val="auto"/>
          <w:highlight w:val="none"/>
        </w:rPr>
        <w:t>.3-1</w:t>
      </w:r>
      <w:r>
        <w:rPr>
          <w:rFonts w:hint="eastAsia" w:ascii="Times New Roman" w:hAnsi="Times New Roman" w:eastAsia="宋体"/>
          <w:color w:val="auto"/>
          <w:highlight w:val="none"/>
        </w:rPr>
        <w:t>，项目的建设符合相关规定。本项目在新疆维吾尔自治区环境管控单元图中的位置见附图</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1</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sectPr>
          <w:headerReference r:id="rId13" w:type="first"/>
          <w:footerReference r:id="rId16" w:type="first"/>
          <w:headerReference r:id="rId11" w:type="default"/>
          <w:footerReference r:id="rId14" w:type="default"/>
          <w:headerReference r:id="rId12" w:type="even"/>
          <w:footerReference r:id="rId15" w:type="even"/>
          <w:type w:val="oddPage"/>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26" w:charSpace="0"/>
        </w:sectPr>
      </w:pPr>
    </w:p>
    <w:p>
      <w:pPr>
        <w:ind w:firstLine="482"/>
        <w:jc w:val="center"/>
        <w:outlineLvl w:val="0"/>
        <w:rPr>
          <w:rFonts w:ascii="Times New Roman" w:hAnsi="Times New Roman" w:eastAsia="宋体"/>
          <w:b/>
          <w:color w:val="auto"/>
          <w:szCs w:val="22"/>
          <w:highlight w:val="none"/>
        </w:rPr>
      </w:pPr>
      <w:bookmarkStart w:id="15" w:name="_Toc69742108"/>
      <w:bookmarkStart w:id="16" w:name="_Toc65241744"/>
      <w:r>
        <w:rPr>
          <w:rFonts w:hint="eastAsia" w:ascii="Times New Roman" w:hAnsi="Times New Roman" w:eastAsia="宋体"/>
          <w:b/>
          <w:color w:val="auto"/>
          <w:szCs w:val="22"/>
          <w:highlight w:val="none"/>
        </w:rPr>
        <w:t>表1.3-1与</w:t>
      </w:r>
      <w:r>
        <w:rPr>
          <w:rFonts w:hint="eastAsia" w:ascii="Times New Roman" w:hAnsi="Times New Roman" w:eastAsia="宋体"/>
          <w:b/>
          <w:color w:val="auto"/>
          <w:szCs w:val="22"/>
          <w:highlight w:val="none"/>
          <w:lang w:val="en-US" w:eastAsia="zh-CN"/>
        </w:rPr>
        <w:t>玛纳斯县</w:t>
      </w:r>
      <w:r>
        <w:rPr>
          <w:rFonts w:hint="eastAsia" w:ascii="Times New Roman" w:hAnsi="Times New Roman" w:eastAsia="宋体"/>
          <w:b/>
          <w:color w:val="auto"/>
          <w:szCs w:val="22"/>
          <w:highlight w:val="none"/>
        </w:rPr>
        <w:t>环境管控单元生态环境准入清单（</w:t>
      </w:r>
      <w:bookmarkEnd w:id="15"/>
      <w:bookmarkEnd w:id="16"/>
      <w:r>
        <w:rPr>
          <w:rFonts w:hint="eastAsia" w:ascii="Times New Roman" w:hAnsi="Times New Roman" w:eastAsia="宋体"/>
          <w:b/>
          <w:color w:val="auto"/>
          <w:szCs w:val="22"/>
          <w:highlight w:val="none"/>
          <w:lang w:eastAsia="zh-CN"/>
        </w:rPr>
        <w:t>一般管控单元</w:t>
      </w:r>
      <w:r>
        <w:rPr>
          <w:rFonts w:hint="eastAsia" w:ascii="Times New Roman" w:hAnsi="Times New Roman" w:eastAsia="宋体"/>
          <w:b/>
          <w:color w:val="auto"/>
          <w:szCs w:val="22"/>
          <w:highlight w:val="none"/>
        </w:rPr>
        <w:t>）符合性分析表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032"/>
        <w:gridCol w:w="1007"/>
        <w:gridCol w:w="1151"/>
        <w:gridCol w:w="2893"/>
        <w:gridCol w:w="5320"/>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环境管控单元编码</w:t>
            </w:r>
          </w:p>
        </w:tc>
        <w:tc>
          <w:tcPr>
            <w:tcW w:w="364"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环境管控单元名称</w:t>
            </w:r>
          </w:p>
        </w:tc>
        <w:tc>
          <w:tcPr>
            <w:tcW w:w="355"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color w:val="auto"/>
                <w:sz w:val="21"/>
                <w:szCs w:val="21"/>
                <w:highlight w:val="none"/>
              </w:rPr>
            </w:pPr>
            <w:r>
              <w:rPr>
                <w:rFonts w:ascii="Times New Roman" w:hAnsi="Times New Roman" w:eastAsia="宋体"/>
                <w:b/>
                <w:bCs/>
                <w:color w:val="auto"/>
                <w:sz w:val="21"/>
                <w:szCs w:val="21"/>
                <w:highlight w:val="none"/>
              </w:rPr>
              <w:t>环境管控单元类别</w:t>
            </w:r>
          </w:p>
        </w:tc>
        <w:tc>
          <w:tcPr>
            <w:tcW w:w="1426"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管控要求</w:t>
            </w:r>
          </w:p>
        </w:tc>
        <w:tc>
          <w:tcPr>
            <w:tcW w:w="18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本项目基本情况</w:t>
            </w:r>
          </w:p>
        </w:tc>
        <w:tc>
          <w:tcPr>
            <w:tcW w:w="3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ZH65232430001</w:t>
            </w:r>
          </w:p>
          <w:p>
            <w:pPr>
              <w:spacing w:line="240" w:lineRule="auto"/>
              <w:ind w:firstLine="21" w:firstLineChars="10"/>
              <w:jc w:val="center"/>
              <w:rPr>
                <w:rFonts w:ascii="Times New Roman" w:hAnsi="Times New Roman" w:eastAsia="宋体"/>
                <w:color w:val="auto"/>
                <w:sz w:val="21"/>
                <w:szCs w:val="21"/>
                <w:highlight w:val="none"/>
              </w:rPr>
            </w:pPr>
          </w:p>
        </w:tc>
        <w:tc>
          <w:tcPr>
            <w:tcW w:w="364"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玛纳斯县一般管控单元</w:t>
            </w:r>
          </w:p>
        </w:tc>
        <w:tc>
          <w:tcPr>
            <w:tcW w:w="35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一般管控单元</w:t>
            </w:r>
          </w:p>
        </w:tc>
        <w:tc>
          <w:tcPr>
            <w:tcW w:w="406" w:type="pct"/>
            <w:tcBorders>
              <w:top w:val="single" w:color="auto" w:sz="4" w:space="0"/>
              <w:left w:val="single" w:color="auto" w:sz="4" w:space="0"/>
              <w:bottom w:val="single" w:color="auto" w:sz="4" w:space="0"/>
              <w:right w:val="single" w:color="auto" w:sz="4" w:space="0"/>
            </w:tcBorders>
            <w:vAlign w:val="center"/>
          </w:tcPr>
          <w:p>
            <w:pPr>
              <w:spacing w:line="240" w:lineRule="auto"/>
              <w:ind w:firstLine="21" w:firstLineChars="1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空间布局约束</w:t>
            </w:r>
          </w:p>
        </w:tc>
        <w:tc>
          <w:tcPr>
            <w:tcW w:w="10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（1）本项目为</w:t>
            </w:r>
            <w:r>
              <w:rPr>
                <w:rFonts w:hint="eastAsia" w:ascii="Times New Roman" w:hAnsi="Times New Roman" w:eastAsia="宋体"/>
                <w:color w:val="auto"/>
                <w:sz w:val="21"/>
                <w:szCs w:val="21"/>
                <w:highlight w:val="none"/>
                <w:lang w:val="en-US" w:eastAsia="zh-CN"/>
              </w:rPr>
              <w:t>蛋鸡</w:t>
            </w:r>
            <w:r>
              <w:rPr>
                <w:rFonts w:hint="eastAsia" w:ascii="Times New Roman" w:hAnsi="Times New Roman" w:eastAsia="宋体"/>
                <w:color w:val="auto"/>
                <w:sz w:val="21"/>
                <w:szCs w:val="21"/>
                <w:highlight w:val="none"/>
              </w:rPr>
              <w:t>养殖建设项目，位于</w:t>
            </w:r>
            <w:r>
              <w:rPr>
                <w:rFonts w:hint="eastAsia" w:ascii="Times New Roman" w:hAnsi="Times New Roman" w:eastAsia="宋体"/>
                <w:color w:val="auto"/>
                <w:sz w:val="21"/>
                <w:szCs w:val="21"/>
                <w:highlight w:val="none"/>
                <w:lang w:eastAsia="zh-CN"/>
              </w:rPr>
              <w:t>昌吉玛纳斯县广东地乡广东地村区</w:t>
            </w:r>
            <w:r>
              <w:rPr>
                <w:rFonts w:hint="eastAsia" w:ascii="Times New Roman" w:hAnsi="Times New Roman" w:eastAsia="宋体"/>
                <w:color w:val="auto"/>
                <w:sz w:val="21"/>
                <w:szCs w:val="21"/>
                <w:highlight w:val="none"/>
              </w:rPr>
              <w:t>，属于《</w:t>
            </w:r>
            <w:r>
              <w:rPr>
                <w:rFonts w:hint="eastAsia"/>
                <w:color w:val="auto"/>
                <w:sz w:val="21"/>
                <w:szCs w:val="21"/>
                <w:highlight w:val="none"/>
                <w:lang w:eastAsia="zh-CN"/>
              </w:rPr>
              <w:t>产业结构调整指导目录（2021年本）</w:t>
            </w:r>
            <w:r>
              <w:rPr>
                <w:rFonts w:hint="eastAsia" w:ascii="Times New Roman" w:hAnsi="Times New Roman" w:eastAsia="宋体"/>
                <w:color w:val="auto"/>
                <w:sz w:val="21"/>
                <w:szCs w:val="21"/>
                <w:highlight w:val="none"/>
              </w:rPr>
              <w:t>》中第一大类</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第一类鼓励类—一、农林业—4、畜禽标准化规模养殖技术开发与应用</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，因此，符合自治区及乌昌石片区的准入要求。</w:t>
            </w:r>
          </w:p>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（2）本项目位于城市建成区外，本项目采用电锅炉供暖，不涉及燃煤锅炉。</w:t>
            </w:r>
          </w:p>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（3）本项目位于城市建成区外，周边无机关、医院、学校、幼儿园、养老院等其他需要特殊保护的区域。</w:t>
            </w:r>
          </w:p>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（4）本项目不在供热管网覆盖区内，本项目不建燃煤供热锅炉。</w:t>
            </w:r>
          </w:p>
        </w:tc>
        <w:tc>
          <w:tcPr>
            <w:tcW w:w="3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污染物排放管控</w:t>
            </w:r>
          </w:p>
        </w:tc>
        <w:tc>
          <w:tcPr>
            <w:tcW w:w="10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（1）本项目采用电锅炉采暖，本项目为养殖类建设项目，不属于工业类项目；本项目产生的少量硫化氢和氨不在区污染物总量控制范围内。</w:t>
            </w:r>
          </w:p>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本项目场界恶臭污染物排放标准执行《恶臭污染物排放标准》（GB14554-1993）表1恶臭污染物厂界标准二级标准；臭气浓度无组织排放执行《畜禽养殖业污染物排放标准》（GB18596-2001）中集约化畜禽养殖业恶臭污染物排放标准；食堂排放油烟执行《饮食业油烟排放标准（试行）》（GB18483-2001）表2中最高允许排放浓度要求。</w:t>
            </w:r>
          </w:p>
          <w:p>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本项目不涉及</w:t>
            </w:r>
            <w:r>
              <w:rPr>
                <w:rFonts w:ascii="Times New Roman" w:hAnsi="Times New Roman" w:eastAsia="宋体"/>
                <w:color w:val="auto"/>
                <w:sz w:val="21"/>
                <w:szCs w:val="21"/>
                <w:highlight w:val="none"/>
              </w:rPr>
              <w:t>SO</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、NOx、烟粉尘、挥发性有机物（VOCs）等四项大气污染物</w:t>
            </w:r>
            <w:r>
              <w:rPr>
                <w:rFonts w:hint="eastAsia" w:ascii="Times New Roman" w:hAnsi="Times New Roman" w:eastAsia="宋体"/>
                <w:color w:val="auto"/>
                <w:sz w:val="21"/>
                <w:szCs w:val="21"/>
                <w:highlight w:val="none"/>
              </w:rPr>
              <w:t>的有组织排放，无大气污染物总量指标。</w:t>
            </w:r>
          </w:p>
          <w:p>
            <w:pPr>
              <w:spacing w:line="240" w:lineRule="auto"/>
              <w:ind w:firstLine="420"/>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w:t>
            </w:r>
            <w:r>
              <w:rPr>
                <w:rFonts w:ascii="Times New Roman" w:hAnsi="Times New Roman" w:eastAsia="宋体"/>
                <w:color w:val="auto"/>
                <w:sz w:val="21"/>
                <w:szCs w:val="21"/>
                <w:highlight w:val="none"/>
              </w:rPr>
              <w:t>施工工地全面落实</w:t>
            </w:r>
            <w:r>
              <w:rPr>
                <w:rFonts w:hint="eastAsia"/>
                <w:color w:val="auto"/>
                <w:sz w:val="21"/>
                <w:szCs w:val="21"/>
                <w:highlight w:val="none"/>
                <w:lang w:eastAsia="zh-CN"/>
              </w:rPr>
              <w:t>”</w:t>
            </w:r>
            <w:r>
              <w:rPr>
                <w:rFonts w:ascii="Times New Roman" w:hAnsi="Times New Roman" w:eastAsia="宋体"/>
                <w:color w:val="auto"/>
                <w:sz w:val="21"/>
                <w:szCs w:val="21"/>
                <w:highlight w:val="none"/>
              </w:rPr>
              <w:t>六个百分之百</w:t>
            </w:r>
            <w:r>
              <w:rPr>
                <w:rFonts w:hint="eastAsia"/>
                <w:color w:val="auto"/>
                <w:sz w:val="21"/>
                <w:szCs w:val="21"/>
                <w:highlight w:val="none"/>
                <w:lang w:eastAsia="zh-CN"/>
              </w:rPr>
              <w:t>”</w:t>
            </w:r>
            <w:r>
              <w:rPr>
                <w:rFonts w:ascii="Times New Roman" w:hAnsi="Times New Roman" w:eastAsia="宋体"/>
                <w:color w:val="auto"/>
                <w:sz w:val="21"/>
                <w:szCs w:val="21"/>
                <w:highlight w:val="none"/>
              </w:rPr>
              <w:t>（施工工地周边围挡、物料堆放覆盖、出入车辆冲洗、施工现场地面硬化、拆迁工地湿法作业、渣土车辆密闭运输）。</w:t>
            </w:r>
          </w:p>
        </w:tc>
        <w:tc>
          <w:tcPr>
            <w:tcW w:w="377" w:type="pct"/>
            <w:tcBorders>
              <w:top w:val="single" w:color="auto" w:sz="4" w:space="0"/>
              <w:left w:val="single" w:color="auto" w:sz="4" w:space="0"/>
              <w:bottom w:val="single" w:color="auto" w:sz="4" w:space="0"/>
              <w:right w:val="single" w:color="auto" w:sz="4" w:space="0"/>
            </w:tcBorders>
            <w:vAlign w:val="center"/>
          </w:tcPr>
          <w:p>
            <w:pPr>
              <w:spacing w:line="240" w:lineRule="auto"/>
              <w:ind w:firstLine="29" w:firstLineChars="14"/>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环境风险防控</w:t>
            </w:r>
          </w:p>
        </w:tc>
        <w:tc>
          <w:tcPr>
            <w:tcW w:w="10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p>
            <w:pPr>
              <w:spacing w:line="240" w:lineRule="auto"/>
              <w:ind w:firstLine="420"/>
              <w:jc w:val="left"/>
              <w:rPr>
                <w:rFonts w:ascii="Times New Roman" w:hAnsi="Times New Roman" w:eastAsia="宋体"/>
                <w:color w:val="auto"/>
                <w:sz w:val="21"/>
                <w:szCs w:val="21"/>
                <w:highlight w:val="none"/>
              </w:rPr>
            </w:pPr>
          </w:p>
        </w:tc>
        <w:tc>
          <w:tcPr>
            <w:tcW w:w="18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left"/>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本项目为</w:t>
            </w:r>
            <w:r>
              <w:rPr>
                <w:rFonts w:hint="eastAsia" w:ascii="Times New Roman" w:hAnsi="Times New Roman" w:eastAsia="宋体"/>
                <w:color w:val="auto"/>
                <w:sz w:val="21"/>
                <w:szCs w:val="21"/>
                <w:highlight w:val="none"/>
                <w:lang w:val="en-US" w:eastAsia="zh-CN"/>
              </w:rPr>
              <w:t>蛋鸡</w:t>
            </w:r>
            <w:r>
              <w:rPr>
                <w:rFonts w:hint="eastAsia" w:ascii="Times New Roman" w:hAnsi="Times New Roman" w:eastAsia="宋体"/>
                <w:color w:val="auto"/>
                <w:sz w:val="21"/>
                <w:szCs w:val="21"/>
                <w:highlight w:val="none"/>
              </w:rPr>
              <w:t>养殖建设项目，不属于工业企业项目，本项目已建立较为完善的应急管理体系，另外可通过及时修订突发环境事件应急预案的方式来提高企业的应急反应机制和能力。</w:t>
            </w:r>
          </w:p>
        </w:tc>
        <w:tc>
          <w:tcPr>
            <w:tcW w:w="377" w:type="pct"/>
            <w:tcBorders>
              <w:top w:val="single" w:color="auto" w:sz="4" w:space="0"/>
              <w:left w:val="single" w:color="auto" w:sz="4" w:space="0"/>
              <w:bottom w:val="single" w:color="auto" w:sz="4" w:space="0"/>
              <w:right w:val="single" w:color="auto" w:sz="4" w:space="0"/>
            </w:tcBorders>
            <w:vAlign w:val="center"/>
          </w:tcPr>
          <w:p>
            <w:pPr>
              <w:ind w:firstLine="170" w:firstLineChars="81"/>
              <w:jc w:val="left"/>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资源利用效率</w:t>
            </w:r>
          </w:p>
        </w:tc>
        <w:tc>
          <w:tcPr>
            <w:tcW w:w="1020" w:type="pct"/>
            <w:tcBorders>
              <w:top w:val="single" w:color="auto" w:sz="4" w:space="0"/>
              <w:left w:val="single" w:color="auto" w:sz="4" w:space="0"/>
              <w:bottom w:val="single" w:color="auto" w:sz="4" w:space="0"/>
              <w:right w:val="single" w:color="auto" w:sz="4" w:space="0"/>
            </w:tcBorders>
            <w:vAlign w:val="center"/>
          </w:tcPr>
          <w:p>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（1）本项目为</w:t>
            </w:r>
            <w:r>
              <w:rPr>
                <w:rFonts w:hint="eastAsia" w:ascii="Times New Roman" w:hAnsi="Times New Roman" w:eastAsia="宋体"/>
                <w:color w:val="auto"/>
                <w:sz w:val="21"/>
                <w:szCs w:val="21"/>
                <w:highlight w:val="none"/>
                <w:lang w:eastAsia="zh-CN"/>
              </w:rPr>
              <w:t>蛋鸡养殖</w:t>
            </w:r>
            <w:r>
              <w:rPr>
                <w:rFonts w:hint="eastAsia" w:ascii="Times New Roman" w:hAnsi="Times New Roman" w:eastAsia="宋体"/>
                <w:color w:val="auto"/>
                <w:sz w:val="21"/>
                <w:szCs w:val="21"/>
                <w:highlight w:val="none"/>
              </w:rPr>
              <w:t>项目，在运行过程中使用的资源主要为水、电和饲料等，不触及昌吉州资源利用上线。</w:t>
            </w:r>
          </w:p>
          <w:p>
            <w:pPr>
              <w:spacing w:line="240" w:lineRule="auto"/>
              <w:ind w:firstLine="420"/>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（2）本项目不涉及原煤、粉煤等高污染燃料的销售和使用。</w:t>
            </w:r>
          </w:p>
        </w:tc>
        <w:tc>
          <w:tcPr>
            <w:tcW w:w="377" w:type="pct"/>
            <w:tcBorders>
              <w:top w:val="single" w:color="auto" w:sz="4" w:space="0"/>
              <w:left w:val="single" w:color="auto" w:sz="4" w:space="0"/>
              <w:bottom w:val="single" w:color="auto" w:sz="4" w:space="0"/>
              <w:right w:val="single" w:color="auto" w:sz="4" w:space="0"/>
            </w:tcBorders>
            <w:vAlign w:val="center"/>
          </w:tcPr>
          <w:p>
            <w:pPr>
              <w:ind w:firstLine="29" w:firstLineChars="14"/>
              <w:jc w:val="center"/>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符合</w:t>
            </w:r>
          </w:p>
        </w:tc>
      </w:tr>
    </w:tbl>
    <w:p>
      <w:pPr>
        <w:ind w:firstLine="480"/>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titlePg/>
          <w:docGrid w:type="lines" w:linePitch="326" w:charSpace="0"/>
        </w:sectPr>
      </w:pPr>
    </w:p>
    <w:p>
      <w:pPr>
        <w:pStyle w:val="5"/>
        <w:rPr>
          <w:rFonts w:ascii="Times New Roman" w:hAnsi="Times New Roman" w:eastAsia="宋体"/>
          <w:color w:val="auto"/>
          <w:highlight w:val="none"/>
        </w:rPr>
      </w:pPr>
      <w:bookmarkStart w:id="17" w:name="_Toc106663417"/>
      <w:r>
        <w:rPr>
          <w:rFonts w:hint="eastAsia" w:ascii="Times New Roman" w:hAnsi="Times New Roman" w:eastAsia="宋体"/>
          <w:color w:val="auto"/>
          <w:highlight w:val="none"/>
        </w:rPr>
        <w:t>1.3.5选址合理性</w:t>
      </w:r>
      <w:bookmarkEnd w:id="17"/>
    </w:p>
    <w:p>
      <w:pPr>
        <w:ind w:firstLine="0" w:firstLineChars="0"/>
        <w:rPr>
          <w:rFonts w:ascii="Times New Roman" w:hAnsi="Times New Roman" w:eastAsia="宋体"/>
          <w:b/>
          <w:bCs/>
          <w:color w:val="auto"/>
          <w:highlight w:val="none"/>
        </w:rPr>
      </w:pPr>
      <w:r>
        <w:rPr>
          <w:rFonts w:hint="eastAsia" w:ascii="Times New Roman" w:hAnsi="Times New Roman" w:eastAsia="宋体"/>
          <w:b/>
          <w:bCs/>
          <w:color w:val="auto"/>
          <w:highlight w:val="none"/>
        </w:rPr>
        <w:t>1.3.5.1与《畜禽规模养殖污染防治条例》（国务院令第643号）、《畜禽养殖业污染防治技术规范》（HJ/T81-2001）、《畜禽养殖业污染防治技术政策》（环发[2010]151号）的符合性分析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本项目与《畜禽规模养殖污染防治条例》（国务院令第643号）、《畜禽养殖业污染防治技术规范》（HJ/T81-2001）、《畜禽养殖业污染防治技术政策》（环发[2010]151号）的符合性分析见表1.3-</w:t>
      </w:r>
      <w:r>
        <w:rPr>
          <w:rFonts w:ascii="Times New Roman" w:hAnsi="Times New Roman" w:eastAsia="宋体"/>
          <w:color w:val="auto"/>
          <w:highlight w:val="none"/>
        </w:rPr>
        <w:t>2</w:t>
      </w:r>
      <w:r>
        <w:rPr>
          <w:rFonts w:hint="eastAsia" w:ascii="Times New Roman" w:hAnsi="Times New Roman" w:eastAsia="宋体"/>
          <w:color w:val="auto"/>
          <w:highlight w:val="none"/>
        </w:rPr>
        <w:t>。</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表1.3-</w:t>
      </w:r>
      <w:r>
        <w:rPr>
          <w:rFonts w:ascii="Times New Roman" w:hAnsi="Times New Roman" w:eastAsia="宋体"/>
          <w:color w:val="auto"/>
          <w:sz w:val="24"/>
          <w:szCs w:val="22"/>
          <w:highlight w:val="none"/>
        </w:rPr>
        <w:t>2</w:t>
      </w:r>
      <w:r>
        <w:rPr>
          <w:rFonts w:hint="eastAsia" w:ascii="Times New Roman" w:hAnsi="Times New Roman" w:eastAsia="宋体"/>
          <w:color w:val="auto"/>
          <w:sz w:val="24"/>
          <w:szCs w:val="22"/>
          <w:highlight w:val="none"/>
        </w:rPr>
        <w:t>选址合理性分析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3344"/>
        <w:gridCol w:w="2597"/>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w:t>
            </w:r>
          </w:p>
        </w:tc>
        <w:tc>
          <w:tcPr>
            <w:tcW w:w="2007"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要求</w:t>
            </w:r>
          </w:p>
        </w:tc>
        <w:tc>
          <w:tcPr>
            <w:tcW w:w="156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符合性分析</w:t>
            </w:r>
          </w:p>
        </w:tc>
        <w:tc>
          <w:tcPr>
            <w:tcW w:w="5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《畜禽规模养殖污染防治条例》（国务院令第643号）第二章第十一条</w:t>
            </w:r>
          </w:p>
        </w:tc>
        <w:tc>
          <w:tcPr>
            <w:tcW w:w="2007" w:type="pct"/>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禁止在下列区域内建设畜禽养殖场、养殖小区：</w:t>
            </w:r>
          </w:p>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①饮用水水源保护区，风景名胜区；</w:t>
            </w:r>
          </w:p>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②自然保护区的核心区和缓冲区；</w:t>
            </w:r>
          </w:p>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③城镇居民区、文化教育科学研究区等人口集中区域；</w:t>
            </w:r>
          </w:p>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④法律、法规规定的其他禁止养殖区域。</w:t>
            </w:r>
          </w:p>
        </w:tc>
        <w:tc>
          <w:tcPr>
            <w:tcW w:w="1569" w:type="pct"/>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本项目的选址不属于当地政府划定的</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敏感区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和</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，不涉及自然保护区、风景名胜区等环境敏感区域。拟建本项目建设布局在设计阶段进行了合理规划，项目的建设符合《畜禽规模养殖污染防治条例》的相关规定。</w:t>
            </w:r>
          </w:p>
        </w:tc>
        <w:tc>
          <w:tcPr>
            <w:tcW w:w="5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《畜禽养殖业污染防治技术规范》</w:t>
            </w:r>
            <w:r>
              <w:rPr>
                <w:rFonts w:hint="eastAsia"/>
                <w:color w:val="auto"/>
                <w:sz w:val="21"/>
                <w:szCs w:val="21"/>
                <w:highlight w:val="none"/>
                <w:lang w:eastAsia="zh-CN"/>
              </w:rPr>
              <w:t>（</w:t>
            </w:r>
            <w:r>
              <w:rPr>
                <w:rFonts w:ascii="Times New Roman" w:hAnsi="Times New Roman" w:eastAsia="宋体"/>
                <w:color w:val="auto"/>
                <w:sz w:val="21"/>
                <w:szCs w:val="21"/>
                <w:highlight w:val="none"/>
              </w:rPr>
              <w:t>HJ/T81-2001</w:t>
            </w:r>
            <w:r>
              <w:rPr>
                <w:rFonts w:hint="eastAsia"/>
                <w:color w:val="auto"/>
                <w:sz w:val="21"/>
                <w:szCs w:val="21"/>
                <w:highlight w:val="none"/>
                <w:lang w:eastAsia="zh-CN"/>
              </w:rPr>
              <w:t>）</w:t>
            </w:r>
          </w:p>
        </w:tc>
        <w:tc>
          <w:tcPr>
            <w:tcW w:w="2007" w:type="pct"/>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禁止在下列区域内建设畜禽养殖场：a.生活饮用水水源保护区，风景名胜区、自然保护区的核心区和缓冲区；b.城市和城镇居民区，包括文教科研区、医疗区、商业区、工业区、游览区等人口集中地区；c.县级人民政府依法划定的禁养区域；d.国家或地方法律、法规规定需特殊保护的其他区域。</w:t>
            </w:r>
          </w:p>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新建改建、扩建的畜禽养殖场选址应避开以上禁建区域。在禁建区域附近建设的，应设在禁建区域常年主导风向的下风向或侧风向处，场界与禁建区域边界的最小距离不得小于500m。</w:t>
            </w:r>
          </w:p>
        </w:tc>
        <w:tc>
          <w:tcPr>
            <w:tcW w:w="1569" w:type="pct"/>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项目位于</w:t>
            </w:r>
            <w:r>
              <w:rPr>
                <w:rFonts w:hint="eastAsia" w:ascii="Times New Roman" w:hAnsi="Times New Roman" w:eastAsia="宋体"/>
                <w:color w:val="auto"/>
                <w:sz w:val="21"/>
                <w:szCs w:val="21"/>
                <w:highlight w:val="none"/>
                <w:lang w:eastAsia="zh-CN"/>
              </w:rPr>
              <w:t>昌吉玛纳斯县广东地乡广东地村区</w:t>
            </w:r>
            <w:r>
              <w:rPr>
                <w:rFonts w:hint="eastAsia" w:ascii="Times New Roman" w:hAnsi="Times New Roman" w:eastAsia="宋体"/>
                <w:color w:val="auto"/>
                <w:sz w:val="21"/>
                <w:szCs w:val="21"/>
                <w:highlight w:val="none"/>
              </w:rPr>
              <w:t>，项目区四周均为农田（种植经济作物）。项目远离居民区，远离人员流动较大的道路和村庄；项目周边有足够田地，便于养殖废水处理后就近施肥，粪便</w:t>
            </w:r>
            <w:r>
              <w:rPr>
                <w:rFonts w:hint="eastAsia"/>
                <w:color w:val="auto"/>
                <w:sz w:val="21"/>
                <w:szCs w:val="21"/>
                <w:highlight w:val="none"/>
                <w:lang w:val="en-US" w:eastAsia="zh-CN"/>
              </w:rPr>
              <w:t>外售化肥厂</w:t>
            </w:r>
            <w:r>
              <w:rPr>
                <w:rFonts w:hint="eastAsia" w:ascii="Times New Roman" w:hAnsi="Times New Roman" w:eastAsia="宋体"/>
                <w:color w:val="auto"/>
                <w:sz w:val="21"/>
                <w:szCs w:val="21"/>
                <w:highlight w:val="none"/>
              </w:rPr>
              <w:t>，有利于该项目污水资源化利用，实现种养结合，发展生态农业。</w:t>
            </w:r>
          </w:p>
        </w:tc>
        <w:tc>
          <w:tcPr>
            <w:tcW w:w="5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《畜禽养殖业污染防治技术政策》（环发[2010]151号）</w:t>
            </w:r>
          </w:p>
        </w:tc>
        <w:tc>
          <w:tcPr>
            <w:tcW w:w="2007" w:type="pct"/>
            <w:vAlign w:val="center"/>
          </w:tcPr>
          <w:p>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畜禽养殖污染防治应遵循以下技术原则：</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全面规划、合理布局，贯彻执行当地人民政府颁布的畜禽养殖区划，严格遵守</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和</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限养区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r>
              <w:rPr>
                <w:rFonts w:hint="eastAsia"/>
                <w:color w:val="auto"/>
                <w:sz w:val="21"/>
                <w:szCs w:val="21"/>
                <w:highlight w:val="none"/>
                <w:lang w:eastAsia="zh-CN"/>
              </w:rPr>
              <w:t>”</w:t>
            </w:r>
          </w:p>
        </w:tc>
        <w:tc>
          <w:tcPr>
            <w:tcW w:w="1569" w:type="pct"/>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本项目的建设布局在设计阶段进行了合理规划和布局，处于最近的保护目标常年主导风向的侧风向，不涉及饮用水水源保护区等环境敏感区域；本项目不属于当地政府所划定的</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范围。</w:t>
            </w:r>
          </w:p>
        </w:tc>
        <w:tc>
          <w:tcPr>
            <w:tcW w:w="5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bl>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1.3.5.2与《</w:t>
      </w:r>
      <w:r>
        <w:rPr>
          <w:rFonts w:hint="eastAsia" w:ascii="Times New Roman" w:hAnsi="Times New Roman" w:eastAsia="宋体"/>
          <w:color w:val="auto"/>
          <w:highlight w:val="none"/>
          <w:lang w:val="en-US" w:eastAsia="zh-CN"/>
        </w:rPr>
        <w:t>玛纳斯县修订完善畜禽养殖禁养区划定工作方案</w:t>
      </w:r>
      <w:r>
        <w:rPr>
          <w:rFonts w:hint="eastAsia" w:ascii="Times New Roman" w:hAnsi="Times New Roman" w:eastAsia="宋体"/>
          <w:color w:val="auto"/>
          <w:highlight w:val="none"/>
        </w:rPr>
        <w:t>》的符合性分析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玛纳斯县修订完善畜禽养殖禁养区划定工作方案</w:t>
      </w:r>
      <w:r>
        <w:rPr>
          <w:rFonts w:hint="eastAsia" w:ascii="Times New Roman" w:hAnsi="Times New Roman" w:eastAsia="宋体"/>
          <w:color w:val="auto"/>
          <w:highlight w:val="none"/>
        </w:rPr>
        <w:t>》将以下区域划定为畜禽养殖禁养区：</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（1）禁养区范围</w:t>
      </w:r>
    </w:p>
    <w:p>
      <w:pPr>
        <w:ind w:firstLine="480"/>
        <w:rPr>
          <w:rFonts w:ascii="Times New Roman" w:hAnsi="Times New Roman" w:eastAsia="宋体"/>
          <w:color w:val="auto"/>
          <w:highlight w:val="none"/>
        </w:rPr>
      </w:pPr>
      <w:r>
        <w:rPr>
          <w:rFonts w:ascii="Times New Roman" w:hAnsi="Times New Roman" w:eastAsia="宋体"/>
          <w:color w:val="auto"/>
          <w:highlight w:val="none"/>
          <w:lang w:val="en-US" w:eastAsia="zh-CN"/>
        </w:rPr>
        <w:t>畜禽养殖禁养区是指按照法律、法规、行政规章等规定，在指定范围内禁止任何单位和个人养殖畜禽，禁养区范围内的已建成的畜禽规模化养殖场、养殖小区，由县人民政府依法责令进行搬迁或关闭。</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1.依法保护的水源地、自然保护区、风景名胜区等区域；</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2.有效保护县城、城镇人口密集区、工业开发区群众正常生产、生活环境；</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3.着力预防重点主要流域一定范围内畜禽养殖污染；</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4.保护公路、铁路、高速公路等两侧一定范围内景观资源；</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5.森林公园中的生态保育区，核心景观区等禁止开发区域，沙化土地的封禁保护区；</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6.法律、法规、规章规定需要特殊保护的其他区域。</w:t>
      </w:r>
    </w:p>
    <w:p>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（2）</w:t>
      </w:r>
      <w:r>
        <w:rPr>
          <w:rFonts w:hint="eastAsia" w:ascii="Times New Roman" w:hAnsi="Times New Roman" w:eastAsia="宋体"/>
          <w:color w:val="auto"/>
          <w:highlight w:val="none"/>
          <w:lang w:val="en-US" w:eastAsia="zh-CN"/>
        </w:rPr>
        <w:t>禁养区范围的界定</w:t>
      </w:r>
    </w:p>
    <w:p>
      <w:pPr>
        <w:ind w:firstLine="480"/>
        <w:rPr>
          <w:rFonts w:ascii="Times New Roman" w:hAnsi="Times New Roman" w:eastAsia="宋体"/>
          <w:color w:val="auto"/>
          <w:highlight w:val="none"/>
        </w:rPr>
      </w:pPr>
      <w:r>
        <w:rPr>
          <w:rFonts w:ascii="Times New Roman" w:hAnsi="Times New Roman" w:eastAsia="宋体"/>
          <w:color w:val="auto"/>
          <w:highlight w:val="none"/>
          <w:lang w:val="en-US" w:eastAsia="zh-CN"/>
        </w:rPr>
        <w:t>1.玛纳斯县城镇建成区及城镇规划区、人口聚集区及规划区500米以内区域</w:t>
      </w:r>
      <w:r>
        <w:rPr>
          <w:rFonts w:hint="default" w:ascii="Times New Roman" w:hAnsi="Times New Roman" w:eastAsia="宋体"/>
          <w:color w:val="auto"/>
          <w:highlight w:val="none"/>
          <w:lang w:val="en-US" w:eastAsia="zh-CN"/>
        </w:rPr>
        <w:t>；</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2.各乡镇建成区及规划区、学校、医院、商业区等公共场所500米以内区域；</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3.玛纳斯县饮用水水源保护区、玛纳斯国家湿地公园、森林公园等生态敏感区、旅游景区和文物历史遗迹保护区500米以内区域；</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4.北疆铁路、S115省道、G30乌奎高速公路两侧500米范围内的区域；</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5.县域内已划定水源地保护区，河流、水库、水利工程管理和保护区范围内；</w:t>
      </w:r>
    </w:p>
    <w:p>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6.乡村居民集中居住区禁养范围和禁养对象，由《村规民约》规范管理本村居民居住区内的庭院养殖范围；</w:t>
      </w:r>
    </w:p>
    <w:p>
      <w:pPr>
        <w:ind w:firstLine="480"/>
        <w:rPr>
          <w:rFonts w:ascii="Times New Roman" w:hAnsi="Times New Roman" w:eastAsia="宋体"/>
          <w:color w:val="auto"/>
          <w:highlight w:val="none"/>
        </w:rPr>
      </w:pPr>
      <w:r>
        <w:rPr>
          <w:rFonts w:hint="default" w:ascii="Times New Roman" w:hAnsi="Times New Roman" w:eastAsia="宋体"/>
          <w:color w:val="auto"/>
          <w:highlight w:val="none"/>
          <w:lang w:val="en-US" w:eastAsia="zh-CN"/>
        </w:rPr>
        <w:t>7.法律、法规规定需特殊保护的其他区域。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本项目位于玛纳斯县广东地乡苇坝村东侧1.6km处，项目中心地理坐标为：</w:t>
      </w:r>
      <w:r>
        <w:rPr>
          <w:rFonts w:hint="eastAsia" w:ascii="Times New Roman" w:hAnsi="Times New Roman" w:eastAsia="宋体"/>
          <w:color w:val="auto"/>
          <w:highlight w:val="none"/>
          <w:lang w:eastAsia="zh-CN"/>
        </w:rPr>
        <w:t>86°19′49″</w:t>
      </w:r>
      <w:r>
        <w:rPr>
          <w:rFonts w:ascii="Times New Roman" w:hAnsi="Times New Roman" w:eastAsia="宋体"/>
          <w:color w:val="auto"/>
          <w:highlight w:val="none"/>
        </w:rPr>
        <w:t>E、</w:t>
      </w:r>
      <w:r>
        <w:rPr>
          <w:rFonts w:hint="eastAsia" w:ascii="Times New Roman" w:hAnsi="Times New Roman" w:eastAsia="宋体"/>
          <w:color w:val="auto"/>
          <w:highlight w:val="none"/>
          <w:lang w:eastAsia="zh-CN"/>
        </w:rPr>
        <w:t>44°20′45″</w:t>
      </w:r>
      <w:r>
        <w:rPr>
          <w:rFonts w:ascii="Times New Roman" w:hAnsi="Times New Roman" w:eastAsia="宋体"/>
          <w:color w:val="auto"/>
          <w:highlight w:val="none"/>
        </w:rPr>
        <w:t>N</w:t>
      </w:r>
      <w:r>
        <w:rPr>
          <w:rFonts w:hint="eastAsia" w:ascii="Times New Roman" w:hAnsi="Times New Roman" w:eastAsia="宋体"/>
          <w:color w:val="auto"/>
          <w:highlight w:val="none"/>
        </w:rPr>
        <w:t>，项目区</w:t>
      </w:r>
      <w:r>
        <w:rPr>
          <w:rFonts w:hint="eastAsia" w:ascii="Times New Roman" w:hAnsi="Times New Roman" w:eastAsia="宋体"/>
          <w:color w:val="auto"/>
          <w:highlight w:val="none"/>
          <w:lang w:val="en-US" w:eastAsia="zh-CN"/>
        </w:rPr>
        <w:t>北侧、西侧为空地，东侧、南侧为农田</w:t>
      </w:r>
      <w:r>
        <w:rPr>
          <w:rFonts w:hint="eastAsia" w:ascii="Times New Roman" w:hAnsi="Times New Roman" w:eastAsia="宋体"/>
          <w:color w:val="auto"/>
          <w:highlight w:val="none"/>
        </w:rPr>
        <w:t>（种植经济作物），</w:t>
      </w:r>
      <w:r>
        <w:rPr>
          <w:rFonts w:hint="eastAsia"/>
          <w:color w:val="auto"/>
          <w:highlight w:val="none"/>
          <w:lang w:val="en-US" w:eastAsia="zh-CN"/>
        </w:rPr>
        <w:t>位于禁养区东侧1km，具体禁养区见图1.3-3。</w:t>
      </w:r>
      <w:r>
        <w:rPr>
          <w:rFonts w:hint="eastAsia" w:ascii="Times New Roman" w:hAnsi="Times New Roman" w:eastAsia="宋体"/>
          <w:color w:val="auto"/>
          <w:highlight w:val="none"/>
        </w:rPr>
        <w:t>周边1km范围内无饮用水源地保护区、自然保护区、风景名胜区和自然遗产地等需要特殊保护的区域，本项目位于</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划定的禁养区范围外，项目选址合理。综上所述，本项目的选址合理。</w:t>
      </w:r>
    </w:p>
    <w:p>
      <w:pPr>
        <w:pStyle w:val="4"/>
        <w:rPr>
          <w:rFonts w:ascii="Times New Roman" w:hAnsi="Times New Roman" w:eastAsia="宋体"/>
          <w:color w:val="auto"/>
          <w:highlight w:val="none"/>
        </w:rPr>
      </w:pPr>
      <w:bookmarkStart w:id="18" w:name="_Toc106663418"/>
      <w:bookmarkStart w:id="19" w:name="_Toc89619321"/>
      <w:r>
        <w:rPr>
          <w:rFonts w:hint="eastAsia" w:ascii="Times New Roman" w:hAnsi="Times New Roman" w:eastAsia="宋体"/>
          <w:color w:val="auto"/>
          <w:highlight w:val="none"/>
        </w:rPr>
        <w:t>1.4关注的主要环境问题</w:t>
      </w:r>
      <w:bookmarkEnd w:id="18"/>
      <w:bookmarkEnd w:id="19"/>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本项目为养殖类项目，本次评价主要关注的环境问题是建设项目投入营运后主要污染物的产生、控制和对周边环境的影响。本项目关注的环境问题是：</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大气：本项目运营期大气环境影响主要为圈舍产生的臭气对周围环境的影响，主要特征污染物有NH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S，环评中重点关注运营期养殖圈舍产生的NH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S的排放情况，分析本项目建成后，运营期对项目区的影响程度。</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水环境：运营期污水排放去向及对周边水环境的影响；</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固体废物：运营期粪污、病死鸡只、医疗废物等固体废弃物的处置合理性及其对周边环境的影响。</w:t>
      </w:r>
    </w:p>
    <w:p>
      <w:pPr>
        <w:pStyle w:val="4"/>
        <w:rPr>
          <w:rFonts w:ascii="Times New Roman" w:hAnsi="Times New Roman" w:eastAsia="宋体"/>
          <w:color w:val="auto"/>
          <w:highlight w:val="none"/>
        </w:rPr>
      </w:pPr>
      <w:bookmarkStart w:id="20" w:name="_Toc106663419"/>
      <w:bookmarkStart w:id="21" w:name="_Toc89619322"/>
      <w:r>
        <w:rPr>
          <w:rFonts w:hint="eastAsia" w:ascii="Times New Roman" w:hAnsi="Times New Roman" w:eastAsia="宋体"/>
          <w:color w:val="auto"/>
          <w:highlight w:val="none"/>
        </w:rPr>
        <w:t>1.5环评报告书的主要结论</w:t>
      </w:r>
      <w:bookmarkEnd w:id="20"/>
      <w:bookmarkEnd w:id="21"/>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本项目为养殖类项目，属于《</w:t>
      </w:r>
      <w:r>
        <w:rPr>
          <w:rFonts w:hint="eastAsia"/>
          <w:color w:val="auto"/>
          <w:highlight w:val="none"/>
          <w:lang w:eastAsia="zh-CN"/>
        </w:rPr>
        <w:t>产业结构调整指导目录（2021年本）</w:t>
      </w:r>
      <w:r>
        <w:rPr>
          <w:rFonts w:ascii="Times New Roman" w:hAnsi="Times New Roman" w:eastAsia="宋体"/>
          <w:color w:val="auto"/>
          <w:highlight w:val="none"/>
        </w:rPr>
        <w:t>》中的鼓励类项目，符合国家产业政策要求。本工程建成投产后，废水不乱排、固废合理处置，粪污收集外售生产有机肥，把污染物转变为经济优势和产品优势，有利于玛纳斯县发展经济的同时，还促进了地方养殖业的蓬勃发展，为社会稳定和解决</w:t>
      </w:r>
      <w:r>
        <w:rPr>
          <w:rFonts w:hint="eastAsia"/>
          <w:color w:val="auto"/>
          <w:highlight w:val="none"/>
          <w:lang w:eastAsia="zh-CN"/>
        </w:rPr>
        <w:t>”</w:t>
      </w:r>
      <w:r>
        <w:rPr>
          <w:rFonts w:ascii="Times New Roman" w:hAnsi="Times New Roman" w:eastAsia="宋体"/>
          <w:color w:val="auto"/>
          <w:highlight w:val="none"/>
        </w:rPr>
        <w:t>三农</w:t>
      </w:r>
      <w:r>
        <w:rPr>
          <w:rFonts w:hint="eastAsia"/>
          <w:color w:val="auto"/>
          <w:highlight w:val="none"/>
          <w:lang w:eastAsia="zh-CN"/>
        </w:rPr>
        <w:t>”</w:t>
      </w:r>
      <w:r>
        <w:rPr>
          <w:rFonts w:ascii="Times New Roman" w:hAnsi="Times New Roman" w:eastAsia="宋体"/>
          <w:color w:val="auto"/>
          <w:highlight w:val="none"/>
        </w:rPr>
        <w:t>问题做出良好贡献。本工程具有很好的环境效益和社会效益，场区布置合理，工程主要采取的环境保护措施较为可行，污染物能够实现达标排放，饲养工艺先进，总体清洁水平良好，通过采取报告书中提出的各项环境保护措施，项目对环境的影响可降低到当地环境能够容许的程度，不会对周围环境产生明显影响和环境质量功能的改变。</w:t>
      </w:r>
    </w:p>
    <w:p>
      <w:pPr>
        <w:ind w:firstLine="480"/>
        <w:rPr>
          <w:rFonts w:ascii="Times New Roman" w:hAnsi="Times New Roman" w:eastAsia="宋体"/>
          <w:color w:val="auto"/>
          <w:highlight w:val="none"/>
        </w:rPr>
      </w:pPr>
      <w:r>
        <w:rPr>
          <w:rFonts w:ascii="Times New Roman" w:hAnsi="Times New Roman" w:eastAsia="宋体"/>
          <w:color w:val="auto"/>
          <w:highlight w:val="none"/>
        </w:rPr>
        <w:t>综上所述，本项目符合国家的产业政策导向，选址合理。只要有效实施本环评报告所提出的有关防治措施，保证废弃物资源化利用，对周围环境影响较小。因此，从环保角度来讲，本建设项目实施是可行的。</w:t>
      </w:r>
    </w:p>
    <w:p>
      <w:pPr>
        <w:ind w:firstLine="480"/>
        <w:rPr>
          <w:rFonts w:ascii="Times New Roman" w:hAnsi="Times New Roman" w:eastAsia="宋体"/>
          <w:color w:val="auto"/>
          <w:highlight w:val="none"/>
        </w:rPr>
      </w:pPr>
    </w:p>
    <w:p>
      <w:pPr>
        <w:ind w:firstLine="480"/>
        <w:rPr>
          <w:rFonts w:ascii="Times New Roman" w:hAnsi="Times New Roman" w:eastAsia="宋体"/>
          <w:color w:val="auto"/>
          <w:highlight w:val="none"/>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26" w:charSpace="0"/>
        </w:sectPr>
      </w:pPr>
    </w:p>
    <w:p>
      <w:pPr>
        <w:pStyle w:val="3"/>
        <w:rPr>
          <w:rFonts w:ascii="Times New Roman" w:hAnsi="Times New Roman" w:eastAsia="宋体"/>
          <w:color w:val="auto"/>
          <w:highlight w:val="none"/>
        </w:rPr>
      </w:pPr>
      <w:bookmarkStart w:id="22" w:name="_Toc106663420"/>
      <w:bookmarkStart w:id="23" w:name="_Toc71394703"/>
      <w:bookmarkStart w:id="24" w:name="_Toc89619323"/>
      <w:r>
        <w:rPr>
          <w:rFonts w:hint="eastAsia" w:ascii="Times New Roman" w:hAnsi="Times New Roman" w:eastAsia="宋体"/>
          <w:color w:val="auto"/>
          <w:highlight w:val="none"/>
        </w:rPr>
        <w:t>2、总论</w:t>
      </w:r>
      <w:bookmarkEnd w:id="22"/>
      <w:bookmarkEnd w:id="23"/>
      <w:bookmarkEnd w:id="24"/>
    </w:p>
    <w:p>
      <w:pPr>
        <w:pStyle w:val="4"/>
        <w:rPr>
          <w:rFonts w:ascii="Times New Roman" w:hAnsi="Times New Roman" w:eastAsia="宋体"/>
          <w:color w:val="auto"/>
          <w:highlight w:val="none"/>
        </w:rPr>
      </w:pPr>
      <w:bookmarkStart w:id="25" w:name="_Toc71394704"/>
      <w:bookmarkStart w:id="26" w:name="_Toc89619324"/>
      <w:bookmarkStart w:id="27" w:name="_Toc106663421"/>
      <w:r>
        <w:rPr>
          <w:rFonts w:hint="eastAsia" w:ascii="Times New Roman" w:hAnsi="Times New Roman" w:eastAsia="宋体"/>
          <w:color w:val="auto"/>
          <w:highlight w:val="none"/>
        </w:rPr>
        <w:t>2.1编制依据</w:t>
      </w:r>
      <w:bookmarkEnd w:id="25"/>
      <w:bookmarkEnd w:id="26"/>
      <w:bookmarkEnd w:id="27"/>
    </w:p>
    <w:p>
      <w:pPr>
        <w:pStyle w:val="5"/>
        <w:rPr>
          <w:rFonts w:ascii="Times New Roman" w:hAnsi="Times New Roman" w:eastAsia="宋体"/>
          <w:color w:val="auto"/>
          <w:highlight w:val="none"/>
        </w:rPr>
      </w:pPr>
      <w:bookmarkStart w:id="28" w:name="_Toc106663422"/>
      <w:r>
        <w:rPr>
          <w:rFonts w:hint="eastAsia" w:ascii="Times New Roman" w:hAnsi="Times New Roman" w:eastAsia="宋体"/>
          <w:color w:val="auto"/>
          <w:highlight w:val="none"/>
        </w:rPr>
        <w:t>2.1.1国家法律、法规</w:t>
      </w:r>
      <w:bookmarkEnd w:id="2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（1）《中华人民共和国环境保护法》（2015.01.01）；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（2）《中华人民共和国环境影响评价法》（2018.12.29）；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（3）《中华人民共和国大气污染防治法》（2018.12.29修正）；</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（4）《中华人民共和国水污染防治法》（2018.01.01）；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（5）《中华人民共和国环境噪声污染防治法》（2021.12.24）；</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（6）《中华人民共和国固体废物污染环境防治法》（2020.4.29）；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（7）《中华人民共和国土壤污染防治法》（2019.01.01）；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（8）《中华人民共和国水法（2016年修订）》（2016.09.01）；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（9）《中华人民共和国水土保持法（2010年修订）》（2011.03.01）；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（10）《中华人民共和国清洁生产促进法》（2012.07.01）；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（11）《中华人民共和国节约能源法》（2018年10月修订）；</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（12）《中华人民共和国循环经济促进法》（2018年10月修订）；</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（13）《建设项目环境保护管理条例》（国务院令第682号，2017.10.1）；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（14）《中华人民共和国畜牧法（修订）》（2015年4月24日）；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（15）《中华人民共和国动物防疫法（修订）》（2013年6月29日）；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（16）《畜禽规模养殖污染防治条例》（2018年8月23日修订）。</w:t>
      </w:r>
    </w:p>
    <w:p>
      <w:pPr>
        <w:pStyle w:val="5"/>
        <w:rPr>
          <w:rFonts w:ascii="Times New Roman" w:hAnsi="Times New Roman" w:eastAsia="宋体"/>
          <w:color w:val="auto"/>
          <w:highlight w:val="none"/>
        </w:rPr>
      </w:pPr>
      <w:bookmarkStart w:id="29" w:name="_Toc106663423"/>
      <w:r>
        <w:rPr>
          <w:rFonts w:hint="eastAsia" w:ascii="Times New Roman" w:hAnsi="Times New Roman" w:eastAsia="宋体"/>
          <w:color w:val="auto"/>
          <w:highlight w:val="none"/>
        </w:rPr>
        <w:t>2.1.2部门规章</w:t>
      </w:r>
      <w:bookmarkEnd w:id="2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（1）《建设项目环境影响评价分类管理名录》（2021年版）；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（2）《关于进一步明确畜禽粪污还田利用要求强化养殖污染监管的通知》农办牧〔2020〕23号农业农村部办公厅生态环境部办公厅；</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（3）关于印发《企业事业单位突发环境事件应急预案备案管理办法（试行）》的通知（环发〔2015〕4号，2015.1.8）；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（4）《资源综合利用目录（2003年修订）》（发改环资〔2004〕73号，2004.01.12）；</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w:t>
      </w:r>
      <w:r>
        <w:rPr>
          <w:rFonts w:hint="eastAsia"/>
          <w:color w:val="auto"/>
          <w:highlight w:val="none"/>
          <w:lang w:eastAsia="zh-CN"/>
        </w:rPr>
        <w:t>产业结构调整指导目录（2021年本）</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（6）关于发布实施《限制用地项目目录（2012年本）》和《禁止用地项目目录（2012年本）》的通知（国土资源部与国家发改委联合发布，2012.02.23）；</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（7）《关于进一步加强环境影响评价管理防范环境风险的通知》（环发〔2012〕77号，2012.07.03）；</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（8）《关于切实加强风险防范严格环境影响评价管理的通知》（环发〔2012〕98号，2012.08.07）；</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（9）《国务院关于印发大气污染防治行动计划的通知》（国发〔2013〕37号，2013.09.10）；</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（10）《环境保护公众参与办法》（环境保护部第35号令，2015.09.01）；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（11）《关于加强西部地区环境影响评价工作的通知》（环发〔2011〕150号，2011.12.29）；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（12）《国务院关于印发水污染防治行动计划的通知》（国发〔2015〕17号，2015.04.02）；</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（13）《国务院办公厅关于加快推进畜禽养殖废弃物资源化利用的意见》（2017年6月）；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（14）《关于在畜禽养殖废弃物资源化利用过程中加强环境监管的通知》（2017年9月6日）；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（15）《畜禽养殖禁养区划定技术指南》（2016年10月）；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（16）《关于落实大气污染防治行动计划严格环境影响评价准入的通知》（环办〔2014〕30号，2014.03.25）；</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（17）《国务院关于印发土壤污染防治行动计划的通知》（国发〔2016〕31号，2016.5.28）；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（18）《关于做好畜禽规模养殖项目环境影响评价管理工作的通知》（环办环评[2018]31号）（2018年10月12日）；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（19）《国家突发公共事件总体应急预案》（2006.01）；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（20）《关于病害动物无害化处理有关意见的复函》（环办函［2014］789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号）（2014年6月）；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（21）《关于病死及病害动物无害化处理技术规范》（农医发［2017］25</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号）（2017年7月3日）；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（22）《国家危险废物名录》（2021年版）；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（23）《关于印发&lt;关于强化畜禽养殖废弃物综合治理的指导意见&gt;的通知》，（新畜牧字［2016］50号）；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（24）《建设项目环境影响评价信息公开机制方案》（环发〔2015〕162号）；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（25）《控制污染物排放许可制实施方案》（国办发〔2016〕81号，2016.11.10）；</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（26）《排污许可证管理暂行规定》（环水体〔2016〕186号，2016.12.23）；</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（27）原国家环境保护总局第5号文《危险废物转移联单管理办法》（1999.6）。</w:t>
      </w:r>
    </w:p>
    <w:p>
      <w:pPr>
        <w:pStyle w:val="5"/>
        <w:rPr>
          <w:rFonts w:ascii="Times New Roman" w:hAnsi="Times New Roman" w:eastAsia="宋体"/>
          <w:color w:val="auto"/>
          <w:highlight w:val="none"/>
        </w:rPr>
      </w:pPr>
      <w:bookmarkStart w:id="30" w:name="_Toc106663424"/>
      <w:r>
        <w:rPr>
          <w:rFonts w:hint="eastAsia" w:ascii="Times New Roman" w:hAnsi="Times New Roman" w:eastAsia="宋体"/>
          <w:color w:val="auto"/>
          <w:highlight w:val="none"/>
        </w:rPr>
        <w:t>2.1.3地方法规及政策</w:t>
      </w:r>
      <w:bookmarkEnd w:id="3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（1）《新疆维吾尔自治区环境保护条例》（2019.01.01）；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（2）《新疆维吾尔自治区危险废物污染环境防治办法》（第11届人大第9次会议，2010.05.01）；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（3）《认真贯彻落实国务院关于做好建设节约型社会近期重点工作通知的实施意见》（新政发〔2005〕87号，2005.10.20）；</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（4）转发贯彻落实《全国生态环境保护纲要》实施意见的通知（自治区人民政府办公厅，2009.09.30）；</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（5）《关于印发新疆维吾尔自治区工业和生活用水定额的通知》（新政办发〔2007〕105号，2007.06.06）；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（6）《新疆维吾尔自治区畜禽养殖场、养殖小区备案管理办法》，新政办发〔2011〕55号，2011年4月29日；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（7）《关于印发新疆维吾尔自治区水污染防治工作方案的通知》（新政发〔2016〕21号，2016.2.4）；</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（8）《关于印发新疆维吾尔自治区土壤污染防治工作方案的通知》（新政发〔2017〕25号，2017.3.1）；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（9）《新疆维吾尔自治区人民政府关于全疆水土流失重点预防保护区、重点监督区、重点治理区划分的公告》（2000年10月31）；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（10）《新疆维吾尔自治区重点行业环境准入条件（修订）》（2017.1）；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（11）《关于重点区域执行大气污染物特别排放限值的公告》（新疆环保厅公告2016年第45号）。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（12）《新疆维吾尔自治区突发环境事件应急预案编制导则（试行）》（新环发〔2014〕234号，2014.6.12）；</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（13）《关于印发自治区&lt;建设项目主要污染物总量指标确认办法（试行）&gt;的通知》（新疆环保厅，新环总量发〔2011〕86号，2011.3.8）；</w:t>
      </w:r>
    </w:p>
    <w:p>
      <w:pPr>
        <w:pStyle w:val="5"/>
        <w:rPr>
          <w:rFonts w:ascii="Times New Roman" w:hAnsi="Times New Roman" w:eastAsia="宋体"/>
          <w:color w:val="auto"/>
          <w:highlight w:val="none"/>
        </w:rPr>
      </w:pPr>
      <w:bookmarkStart w:id="31" w:name="_Toc106663425"/>
      <w:r>
        <w:rPr>
          <w:rFonts w:hint="eastAsia" w:ascii="Times New Roman" w:hAnsi="Times New Roman" w:eastAsia="宋体"/>
          <w:color w:val="auto"/>
          <w:highlight w:val="none"/>
        </w:rPr>
        <w:t>2.1.4相关规划</w:t>
      </w:r>
      <w:bookmarkEnd w:id="3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（1）《全国地下水污染防治规划（2011-2020）》；</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（2）《新疆环境功能区划》；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（3）《新疆生态功能区划》；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（4）《新疆水环境功能区划》；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（5）《新疆维吾尔自治区环境保护</w:t>
      </w:r>
      <w:r>
        <w:rPr>
          <w:rFonts w:hint="eastAsia"/>
          <w:color w:val="auto"/>
          <w:highlight w:val="none"/>
          <w:lang w:eastAsia="zh-CN"/>
        </w:rPr>
        <w:t>”十四五”</w:t>
      </w:r>
      <w:r>
        <w:rPr>
          <w:rFonts w:hint="eastAsia" w:ascii="Times New Roman" w:hAnsi="Times New Roman" w:eastAsia="宋体"/>
          <w:color w:val="auto"/>
          <w:highlight w:val="none"/>
        </w:rPr>
        <w:t>规划》；</w:t>
      </w:r>
    </w:p>
    <w:p>
      <w:pPr>
        <w:pStyle w:val="5"/>
        <w:rPr>
          <w:rFonts w:ascii="Times New Roman" w:hAnsi="Times New Roman" w:eastAsia="宋体"/>
          <w:color w:val="auto"/>
          <w:highlight w:val="none"/>
        </w:rPr>
      </w:pPr>
      <w:bookmarkStart w:id="32" w:name="_Toc106663426"/>
      <w:r>
        <w:rPr>
          <w:rFonts w:hint="eastAsia" w:ascii="Times New Roman" w:hAnsi="Times New Roman" w:eastAsia="宋体"/>
          <w:color w:val="auto"/>
          <w:highlight w:val="none"/>
        </w:rPr>
        <w:t>2.1.5环评编制要求</w:t>
      </w:r>
      <w:bookmarkEnd w:id="32"/>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（1）《关于加强西部地区环境影响评价工作的通知》（环发〔2011〕150号，2011.12.29）；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（2）《环境影响评价公众参与办法（生态部令第4号）》（2018.7.16）；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（3）《关于进一步加强环境影响评价管理防范环境风险的通知》（环发〔2012〕77号，2012.7.3）；</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（4）《关于切实加强风险防范严格环境影响评价管理的通知》（环发〔2012〕98号，2012.8.7）；</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（5）《关于切实加强环境影响评价监督管理工作的通知》（环办〔2013〕104号，2013.11.15）。</w:t>
      </w:r>
    </w:p>
    <w:p>
      <w:pPr>
        <w:pStyle w:val="5"/>
        <w:rPr>
          <w:rFonts w:ascii="Times New Roman" w:hAnsi="Times New Roman" w:eastAsia="宋体"/>
          <w:color w:val="auto"/>
          <w:highlight w:val="none"/>
        </w:rPr>
      </w:pPr>
      <w:bookmarkStart w:id="33" w:name="_Toc106663427"/>
      <w:r>
        <w:rPr>
          <w:rFonts w:hint="eastAsia" w:ascii="Times New Roman" w:hAnsi="Times New Roman" w:eastAsia="宋体"/>
          <w:color w:val="auto"/>
          <w:highlight w:val="none"/>
        </w:rPr>
        <w:t>2.1.6技术导则</w:t>
      </w:r>
      <w:bookmarkEnd w:id="33"/>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《建设项目环境影响评价技术导则总纲》</w:t>
      </w:r>
      <w:r>
        <w:rPr>
          <w:rFonts w:hint="eastAsia"/>
          <w:color w:val="auto"/>
          <w:highlight w:val="none"/>
          <w:lang w:eastAsia="zh-CN"/>
        </w:rPr>
        <w:t>（</w:t>
      </w:r>
      <w:r>
        <w:rPr>
          <w:rFonts w:hint="eastAsia" w:ascii="Times New Roman" w:hAnsi="Times New Roman" w:eastAsia="宋体"/>
          <w:color w:val="auto"/>
          <w:highlight w:val="none"/>
        </w:rPr>
        <w:t>HJ2.1-2016</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《环境影响评价技术导则地表水环境》</w:t>
      </w:r>
      <w:r>
        <w:rPr>
          <w:rFonts w:hint="eastAsia"/>
          <w:color w:val="auto"/>
          <w:highlight w:val="none"/>
          <w:lang w:eastAsia="zh-CN"/>
        </w:rPr>
        <w:t>（</w:t>
      </w:r>
      <w:r>
        <w:rPr>
          <w:rFonts w:hint="eastAsia" w:ascii="Times New Roman" w:hAnsi="Times New Roman" w:eastAsia="宋体"/>
          <w:color w:val="auto"/>
          <w:highlight w:val="none"/>
        </w:rPr>
        <w:t>HJ2.3-2018</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3</w:t>
      </w:r>
      <w:r>
        <w:rPr>
          <w:rFonts w:hint="eastAsia"/>
          <w:color w:val="auto"/>
          <w:highlight w:val="none"/>
          <w:lang w:eastAsia="zh-CN"/>
        </w:rPr>
        <w:t>）</w:t>
      </w:r>
      <w:r>
        <w:rPr>
          <w:rFonts w:hint="eastAsia" w:ascii="Times New Roman" w:hAnsi="Times New Roman" w:eastAsia="宋体"/>
          <w:color w:val="auto"/>
          <w:highlight w:val="none"/>
        </w:rPr>
        <w:t>《环境影响评价技术导则大气环境》</w:t>
      </w:r>
      <w:r>
        <w:rPr>
          <w:rFonts w:hint="eastAsia"/>
          <w:color w:val="auto"/>
          <w:highlight w:val="none"/>
          <w:lang w:eastAsia="zh-CN"/>
        </w:rPr>
        <w:t>（</w:t>
      </w:r>
      <w:r>
        <w:rPr>
          <w:rFonts w:hint="eastAsia" w:ascii="Times New Roman" w:hAnsi="Times New Roman" w:eastAsia="宋体"/>
          <w:color w:val="auto"/>
          <w:highlight w:val="none"/>
        </w:rPr>
        <w:t>HJ2.2-2018</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4</w:t>
      </w:r>
      <w:r>
        <w:rPr>
          <w:rFonts w:hint="eastAsia"/>
          <w:color w:val="auto"/>
          <w:highlight w:val="none"/>
          <w:lang w:eastAsia="zh-CN"/>
        </w:rPr>
        <w:t>）</w:t>
      </w:r>
      <w:r>
        <w:rPr>
          <w:rFonts w:hint="eastAsia" w:ascii="Times New Roman" w:hAnsi="Times New Roman" w:eastAsia="宋体"/>
          <w:color w:val="auto"/>
          <w:highlight w:val="none"/>
        </w:rPr>
        <w:t>《环境影响评价技术导则声环境》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5</w:t>
      </w:r>
      <w:r>
        <w:rPr>
          <w:rFonts w:hint="eastAsia"/>
          <w:color w:val="auto"/>
          <w:highlight w:val="none"/>
          <w:lang w:eastAsia="zh-CN"/>
        </w:rPr>
        <w:t>）</w:t>
      </w:r>
      <w:r>
        <w:rPr>
          <w:rFonts w:hint="eastAsia" w:ascii="Times New Roman" w:hAnsi="Times New Roman" w:eastAsia="宋体"/>
          <w:color w:val="auto"/>
          <w:highlight w:val="none"/>
        </w:rPr>
        <w:t>《环境影响评价技术导则地下水环境》</w:t>
      </w:r>
      <w:r>
        <w:rPr>
          <w:rFonts w:hint="eastAsia"/>
          <w:color w:val="auto"/>
          <w:highlight w:val="none"/>
          <w:lang w:eastAsia="zh-CN"/>
        </w:rPr>
        <w:t>（</w:t>
      </w:r>
      <w:r>
        <w:rPr>
          <w:rFonts w:hint="eastAsia" w:ascii="Times New Roman" w:hAnsi="Times New Roman" w:eastAsia="宋体"/>
          <w:color w:val="auto"/>
          <w:highlight w:val="none"/>
        </w:rPr>
        <w:t>HJ610-2016</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6</w:t>
      </w:r>
      <w:r>
        <w:rPr>
          <w:rFonts w:hint="eastAsia"/>
          <w:color w:val="auto"/>
          <w:highlight w:val="none"/>
          <w:lang w:eastAsia="zh-CN"/>
        </w:rPr>
        <w:t>）</w:t>
      </w:r>
      <w:r>
        <w:rPr>
          <w:rFonts w:hint="eastAsia" w:ascii="Times New Roman" w:hAnsi="Times New Roman" w:eastAsia="宋体"/>
          <w:color w:val="auto"/>
          <w:highlight w:val="none"/>
        </w:rPr>
        <w:t>《环境影响评价技术导则生态影响》</w:t>
      </w:r>
      <w:r>
        <w:rPr>
          <w:rFonts w:hint="eastAsia"/>
          <w:color w:val="auto"/>
          <w:highlight w:val="none"/>
          <w:lang w:eastAsia="zh-CN"/>
        </w:rPr>
        <w:t>（</w:t>
      </w:r>
      <w:r>
        <w:rPr>
          <w:rFonts w:hint="eastAsia" w:ascii="Times New Roman" w:hAnsi="Times New Roman" w:eastAsia="宋体"/>
          <w:color w:val="auto"/>
          <w:highlight w:val="none"/>
          <w:lang w:eastAsia="zh-CN"/>
        </w:rPr>
        <w:t>HJ19-2022</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7</w:t>
      </w:r>
      <w:r>
        <w:rPr>
          <w:rFonts w:hint="eastAsia"/>
          <w:color w:val="auto"/>
          <w:highlight w:val="none"/>
          <w:lang w:eastAsia="zh-CN"/>
        </w:rPr>
        <w:t>）</w:t>
      </w:r>
      <w:r>
        <w:rPr>
          <w:rFonts w:hint="eastAsia" w:ascii="Times New Roman" w:hAnsi="Times New Roman" w:eastAsia="宋体"/>
          <w:color w:val="auto"/>
          <w:highlight w:val="none"/>
        </w:rPr>
        <w:t>《环境影响评价技术导则土壤环境</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HJ964-2018</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lang w:eastAsia="zh-CN"/>
        </w:rPr>
      </w:pPr>
      <w:r>
        <w:rPr>
          <w:rFonts w:hint="eastAsia"/>
          <w:color w:val="auto"/>
          <w:highlight w:val="none"/>
          <w:lang w:eastAsia="zh-CN"/>
        </w:rPr>
        <w:t>（</w:t>
      </w:r>
      <w:r>
        <w:rPr>
          <w:rFonts w:hint="eastAsia" w:ascii="Times New Roman" w:hAnsi="Times New Roman" w:eastAsia="宋体"/>
          <w:color w:val="auto"/>
          <w:highlight w:val="none"/>
        </w:rPr>
        <w:t>8</w:t>
      </w:r>
      <w:r>
        <w:rPr>
          <w:rFonts w:hint="eastAsia"/>
          <w:color w:val="auto"/>
          <w:highlight w:val="none"/>
          <w:lang w:eastAsia="zh-CN"/>
        </w:rPr>
        <w:t>）</w:t>
      </w:r>
      <w:r>
        <w:rPr>
          <w:rFonts w:hint="eastAsia" w:ascii="Times New Roman" w:hAnsi="Times New Roman" w:eastAsia="宋体"/>
          <w:color w:val="auto"/>
          <w:highlight w:val="none"/>
        </w:rPr>
        <w:t>《建设项目环境风险评价技术导则》</w:t>
      </w:r>
      <w:r>
        <w:rPr>
          <w:rFonts w:hint="eastAsia"/>
          <w:color w:val="auto"/>
          <w:highlight w:val="none"/>
          <w:lang w:eastAsia="zh-CN"/>
        </w:rPr>
        <w:t>（</w:t>
      </w:r>
      <w:r>
        <w:rPr>
          <w:rFonts w:hint="eastAsia" w:ascii="Times New Roman" w:hAnsi="Times New Roman" w:eastAsia="宋体"/>
          <w:color w:val="auto"/>
          <w:highlight w:val="none"/>
        </w:rPr>
        <w:t>HJ169-2018</w:t>
      </w:r>
      <w:r>
        <w:rPr>
          <w:rFonts w:hint="eastAsia"/>
          <w:color w:val="auto"/>
          <w:highlight w:val="none"/>
          <w:lang w:eastAsia="zh-CN"/>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9</w:t>
      </w:r>
      <w:r>
        <w:rPr>
          <w:rFonts w:hint="eastAsia"/>
          <w:color w:val="auto"/>
          <w:highlight w:val="none"/>
          <w:lang w:eastAsia="zh-CN"/>
        </w:rPr>
        <w:t>）</w:t>
      </w:r>
      <w:r>
        <w:rPr>
          <w:rFonts w:hint="eastAsia" w:ascii="Times New Roman" w:hAnsi="Times New Roman" w:eastAsia="宋体"/>
          <w:color w:val="auto"/>
          <w:highlight w:val="none"/>
        </w:rPr>
        <w:t>《建设项目危险废物环境影响评价指南》</w:t>
      </w:r>
      <w:r>
        <w:rPr>
          <w:rFonts w:hint="eastAsia"/>
          <w:color w:val="auto"/>
          <w:highlight w:val="none"/>
          <w:lang w:eastAsia="zh-CN"/>
        </w:rPr>
        <w:t>（</w:t>
      </w:r>
      <w:r>
        <w:rPr>
          <w:rFonts w:hint="eastAsia" w:ascii="Times New Roman" w:hAnsi="Times New Roman" w:eastAsia="宋体"/>
          <w:color w:val="auto"/>
          <w:highlight w:val="none"/>
        </w:rPr>
        <w:t>环境保护部公告2017年第43号</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10</w:t>
      </w:r>
      <w:r>
        <w:rPr>
          <w:rFonts w:hint="eastAsia"/>
          <w:color w:val="auto"/>
          <w:highlight w:val="none"/>
          <w:lang w:eastAsia="zh-CN"/>
        </w:rPr>
        <w:t>）</w:t>
      </w:r>
      <w:r>
        <w:rPr>
          <w:rFonts w:hint="eastAsia" w:ascii="Times New Roman" w:hAnsi="Times New Roman" w:eastAsia="宋体"/>
          <w:color w:val="auto"/>
          <w:highlight w:val="none"/>
        </w:rPr>
        <w:t>《畜禽粪污土地承载力测算技术指南》</w:t>
      </w:r>
      <w:r>
        <w:rPr>
          <w:rFonts w:hint="eastAsia"/>
          <w:color w:val="auto"/>
          <w:highlight w:val="none"/>
          <w:lang w:eastAsia="zh-CN"/>
        </w:rPr>
        <w:t>（</w:t>
      </w:r>
      <w:r>
        <w:rPr>
          <w:rFonts w:hint="eastAsia" w:ascii="Times New Roman" w:hAnsi="Times New Roman" w:eastAsia="宋体"/>
          <w:color w:val="auto"/>
          <w:highlight w:val="none"/>
        </w:rPr>
        <w:t>农办牧〔2018〕1号</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11</w:t>
      </w:r>
      <w:r>
        <w:rPr>
          <w:rFonts w:hint="eastAsia"/>
          <w:color w:val="auto"/>
          <w:highlight w:val="none"/>
          <w:lang w:eastAsia="zh-CN"/>
        </w:rPr>
        <w:t>）</w:t>
      </w:r>
      <w:r>
        <w:rPr>
          <w:rFonts w:hint="eastAsia" w:ascii="Times New Roman" w:hAnsi="Times New Roman" w:eastAsia="宋体"/>
          <w:color w:val="auto"/>
          <w:highlight w:val="none"/>
        </w:rPr>
        <w:t>《畜禽粪便无害化处理技术规范》</w:t>
      </w:r>
      <w:r>
        <w:rPr>
          <w:rFonts w:hint="eastAsia"/>
          <w:color w:val="auto"/>
          <w:highlight w:val="none"/>
          <w:lang w:eastAsia="zh-CN"/>
        </w:rPr>
        <w:t>（</w:t>
      </w:r>
      <w:r>
        <w:rPr>
          <w:rFonts w:hint="eastAsia" w:ascii="Times New Roman" w:hAnsi="Times New Roman" w:eastAsia="宋体"/>
          <w:color w:val="auto"/>
          <w:highlight w:val="none"/>
        </w:rPr>
        <w:t>GB/T36195-2018</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12</w:t>
      </w:r>
      <w:r>
        <w:rPr>
          <w:rFonts w:hint="eastAsia"/>
          <w:color w:val="auto"/>
          <w:highlight w:val="none"/>
          <w:lang w:eastAsia="zh-CN"/>
        </w:rPr>
        <w:t>）</w:t>
      </w:r>
      <w:r>
        <w:rPr>
          <w:rFonts w:hint="eastAsia" w:ascii="Times New Roman" w:hAnsi="Times New Roman" w:eastAsia="宋体"/>
          <w:color w:val="auto"/>
          <w:highlight w:val="none"/>
        </w:rPr>
        <w:t>《畜禽养殖业污染治理工程技术规范》</w:t>
      </w:r>
      <w:r>
        <w:rPr>
          <w:rFonts w:hint="eastAsia"/>
          <w:color w:val="auto"/>
          <w:highlight w:val="none"/>
          <w:lang w:eastAsia="zh-CN"/>
        </w:rPr>
        <w:t>（</w:t>
      </w:r>
      <w:r>
        <w:rPr>
          <w:rFonts w:hint="eastAsia" w:ascii="Times New Roman" w:hAnsi="Times New Roman" w:eastAsia="宋体"/>
          <w:color w:val="auto"/>
          <w:highlight w:val="none"/>
        </w:rPr>
        <w:t>HJ497-2009</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13</w:t>
      </w:r>
      <w:r>
        <w:rPr>
          <w:rFonts w:hint="eastAsia"/>
          <w:color w:val="auto"/>
          <w:highlight w:val="none"/>
          <w:lang w:eastAsia="zh-CN"/>
        </w:rPr>
        <w:t>）</w:t>
      </w:r>
      <w:r>
        <w:rPr>
          <w:rFonts w:hint="eastAsia" w:ascii="Times New Roman" w:hAnsi="Times New Roman" w:eastAsia="宋体"/>
          <w:color w:val="auto"/>
          <w:highlight w:val="none"/>
        </w:rPr>
        <w:t>《畜禽养殖业污染防治技术规范》</w:t>
      </w:r>
      <w:r>
        <w:rPr>
          <w:rFonts w:hint="eastAsia"/>
          <w:color w:val="auto"/>
          <w:highlight w:val="none"/>
          <w:lang w:eastAsia="zh-CN"/>
        </w:rPr>
        <w:t>（</w:t>
      </w:r>
      <w:r>
        <w:rPr>
          <w:rFonts w:hint="eastAsia" w:ascii="Times New Roman" w:hAnsi="Times New Roman" w:eastAsia="宋体"/>
          <w:color w:val="auto"/>
          <w:highlight w:val="none"/>
        </w:rPr>
        <w:t>HJ/T81-2001</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14</w:t>
      </w:r>
      <w:r>
        <w:rPr>
          <w:rFonts w:hint="eastAsia"/>
          <w:color w:val="auto"/>
          <w:highlight w:val="none"/>
          <w:lang w:eastAsia="zh-CN"/>
        </w:rPr>
        <w:t>）</w:t>
      </w:r>
      <w:r>
        <w:rPr>
          <w:rFonts w:hint="eastAsia" w:ascii="Times New Roman" w:hAnsi="Times New Roman" w:eastAsia="宋体"/>
          <w:color w:val="auto"/>
          <w:highlight w:val="none"/>
        </w:rPr>
        <w:t>《规模畜禽养殖场污染防治最佳可行技术指南</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HJ-BAT-10</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15</w:t>
      </w:r>
      <w:r>
        <w:rPr>
          <w:rFonts w:hint="eastAsia"/>
          <w:color w:val="auto"/>
          <w:highlight w:val="none"/>
          <w:lang w:eastAsia="zh-CN"/>
        </w:rPr>
        <w:t>）</w:t>
      </w:r>
      <w:r>
        <w:rPr>
          <w:rFonts w:hint="eastAsia" w:ascii="Times New Roman" w:hAnsi="Times New Roman" w:eastAsia="宋体"/>
          <w:color w:val="auto"/>
          <w:highlight w:val="none"/>
        </w:rPr>
        <w:t>《农业固体废物污染控制技术导则》</w:t>
      </w:r>
      <w:r>
        <w:rPr>
          <w:rFonts w:hint="eastAsia"/>
          <w:color w:val="auto"/>
          <w:highlight w:val="none"/>
          <w:lang w:eastAsia="zh-CN"/>
        </w:rPr>
        <w:t>（</w:t>
      </w:r>
      <w:r>
        <w:rPr>
          <w:rFonts w:hint="eastAsia" w:ascii="Times New Roman" w:hAnsi="Times New Roman" w:eastAsia="宋体"/>
          <w:color w:val="auto"/>
          <w:highlight w:val="none"/>
        </w:rPr>
        <w:t>HJ588-2010</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16</w:t>
      </w:r>
      <w:r>
        <w:rPr>
          <w:rFonts w:hint="eastAsia"/>
          <w:color w:val="auto"/>
          <w:highlight w:val="none"/>
          <w:lang w:eastAsia="zh-CN"/>
        </w:rPr>
        <w:t>）</w:t>
      </w:r>
      <w:r>
        <w:rPr>
          <w:rFonts w:hint="eastAsia" w:ascii="Times New Roman" w:hAnsi="Times New Roman" w:eastAsia="宋体"/>
          <w:color w:val="auto"/>
          <w:highlight w:val="none"/>
        </w:rPr>
        <w:t>《排污单位自行监测技术指南总则》</w:t>
      </w:r>
      <w:r>
        <w:rPr>
          <w:rFonts w:hint="eastAsia"/>
          <w:color w:val="auto"/>
          <w:highlight w:val="none"/>
          <w:lang w:eastAsia="zh-CN"/>
        </w:rPr>
        <w:t>（</w:t>
      </w:r>
      <w:r>
        <w:rPr>
          <w:rFonts w:hint="eastAsia" w:ascii="Times New Roman" w:hAnsi="Times New Roman" w:eastAsia="宋体"/>
          <w:color w:val="auto"/>
          <w:highlight w:val="none"/>
        </w:rPr>
        <w:t>HJ819-2017</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17</w:t>
      </w:r>
      <w:r>
        <w:rPr>
          <w:rFonts w:hint="eastAsia"/>
          <w:color w:val="auto"/>
          <w:highlight w:val="none"/>
          <w:lang w:eastAsia="zh-CN"/>
        </w:rPr>
        <w:t>）</w:t>
      </w:r>
      <w:r>
        <w:rPr>
          <w:rFonts w:hint="eastAsia" w:ascii="Times New Roman" w:hAnsi="Times New Roman" w:eastAsia="宋体"/>
          <w:color w:val="auto"/>
          <w:highlight w:val="none"/>
        </w:rPr>
        <w:t>《重点排污单位名录管理规定</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环办监测[2017]86号</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18</w:t>
      </w:r>
      <w:r>
        <w:rPr>
          <w:rFonts w:hint="eastAsia"/>
          <w:color w:val="auto"/>
          <w:highlight w:val="none"/>
          <w:lang w:eastAsia="zh-CN"/>
        </w:rPr>
        <w:t>）</w:t>
      </w:r>
      <w:r>
        <w:rPr>
          <w:rFonts w:hint="eastAsia" w:ascii="Times New Roman" w:hAnsi="Times New Roman" w:eastAsia="宋体"/>
          <w:color w:val="auto"/>
          <w:highlight w:val="none"/>
        </w:rPr>
        <w:t>《关于畜禽养殖业选址问题的回复》</w:t>
      </w:r>
      <w:r>
        <w:rPr>
          <w:rFonts w:hint="eastAsia"/>
          <w:color w:val="auto"/>
          <w:highlight w:val="none"/>
          <w:lang w:eastAsia="zh-CN"/>
        </w:rPr>
        <w:t>（</w:t>
      </w:r>
      <w:r>
        <w:rPr>
          <w:rFonts w:hint="eastAsia" w:ascii="Times New Roman" w:hAnsi="Times New Roman" w:eastAsia="宋体"/>
          <w:color w:val="auto"/>
          <w:highlight w:val="none"/>
        </w:rPr>
        <w:t>环保部部长信箱，2018.2.26</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19</w:t>
      </w:r>
      <w:r>
        <w:rPr>
          <w:rFonts w:hint="eastAsia"/>
          <w:color w:val="auto"/>
          <w:highlight w:val="none"/>
          <w:lang w:eastAsia="zh-CN"/>
        </w:rPr>
        <w:t>）</w:t>
      </w:r>
      <w:r>
        <w:rPr>
          <w:rFonts w:hint="eastAsia" w:ascii="Times New Roman" w:hAnsi="Times New Roman" w:eastAsia="宋体"/>
          <w:color w:val="auto"/>
          <w:highlight w:val="none"/>
        </w:rPr>
        <w:t>《村镇规划卫生标准》</w:t>
      </w:r>
      <w:r>
        <w:rPr>
          <w:rFonts w:hint="eastAsia"/>
          <w:color w:val="auto"/>
          <w:highlight w:val="none"/>
          <w:lang w:eastAsia="zh-CN"/>
        </w:rPr>
        <w:t>（</w:t>
      </w:r>
      <w:r>
        <w:rPr>
          <w:rFonts w:hint="eastAsia" w:ascii="Times New Roman" w:hAnsi="Times New Roman" w:eastAsia="宋体"/>
          <w:color w:val="auto"/>
          <w:highlight w:val="none"/>
        </w:rPr>
        <w:t>GB18055-2012</w:t>
      </w:r>
      <w:r>
        <w:rPr>
          <w:rFonts w:hint="eastAsia"/>
          <w:color w:val="auto"/>
          <w:highlight w:val="none"/>
          <w:lang w:eastAsia="zh-CN"/>
        </w:rPr>
        <w:t>）</w:t>
      </w:r>
      <w:r>
        <w:rPr>
          <w:rFonts w:hint="eastAsia" w:ascii="Times New Roman" w:hAnsi="Times New Roman" w:eastAsia="宋体"/>
          <w:color w:val="auto"/>
          <w:highlight w:val="none"/>
        </w:rPr>
        <w:t>。。</w:t>
      </w:r>
    </w:p>
    <w:p>
      <w:pPr>
        <w:pStyle w:val="5"/>
        <w:rPr>
          <w:rFonts w:ascii="Times New Roman" w:hAnsi="Times New Roman" w:eastAsia="宋体"/>
          <w:color w:val="auto"/>
          <w:highlight w:val="none"/>
        </w:rPr>
      </w:pPr>
      <w:bookmarkStart w:id="34" w:name="_Toc106663428"/>
      <w:r>
        <w:rPr>
          <w:rFonts w:hint="eastAsia" w:ascii="Times New Roman" w:hAnsi="Times New Roman" w:eastAsia="宋体"/>
          <w:color w:val="auto"/>
          <w:highlight w:val="none"/>
        </w:rPr>
        <w:t>2.1.7项目有关文件</w:t>
      </w:r>
      <w:bookmarkEnd w:id="3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可行性研究报告。</w:t>
      </w:r>
    </w:p>
    <w:p>
      <w:pPr>
        <w:pStyle w:val="4"/>
        <w:rPr>
          <w:rFonts w:ascii="Times New Roman" w:hAnsi="Times New Roman" w:eastAsia="宋体"/>
          <w:color w:val="auto"/>
          <w:highlight w:val="none"/>
        </w:rPr>
      </w:pPr>
      <w:bookmarkStart w:id="35" w:name="_Toc71394705"/>
      <w:bookmarkStart w:id="36" w:name="_Toc89619325"/>
      <w:bookmarkStart w:id="37" w:name="_Toc106663429"/>
      <w:r>
        <w:rPr>
          <w:rFonts w:hint="eastAsia" w:ascii="Times New Roman" w:hAnsi="Times New Roman" w:eastAsia="宋体"/>
          <w:color w:val="auto"/>
          <w:highlight w:val="none"/>
        </w:rPr>
        <w:t>2.2评价目的和原则</w:t>
      </w:r>
      <w:bookmarkEnd w:id="35"/>
      <w:bookmarkEnd w:id="36"/>
      <w:bookmarkEnd w:id="37"/>
    </w:p>
    <w:p>
      <w:pPr>
        <w:pStyle w:val="5"/>
        <w:rPr>
          <w:rFonts w:ascii="Times New Roman" w:hAnsi="Times New Roman" w:eastAsia="宋体"/>
          <w:color w:val="auto"/>
          <w:highlight w:val="none"/>
        </w:rPr>
      </w:pPr>
      <w:bookmarkStart w:id="38" w:name="_Toc106663430"/>
      <w:r>
        <w:rPr>
          <w:rFonts w:hint="eastAsia" w:ascii="Times New Roman" w:hAnsi="Times New Roman" w:eastAsia="宋体"/>
          <w:color w:val="auto"/>
          <w:highlight w:val="none"/>
        </w:rPr>
        <w:t>2.2.1评价目的</w:t>
      </w:r>
      <w:bookmarkEnd w:id="3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（1）通过调查、收集资料与实测，了解本项目评价范围内的社会环境、自然环境和环境质量现状；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（2）通过工程分析，明确本项目的主要污染源、污染物种类、排放强度，并对污染物达标排放进行分析；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（3）论证本项目采取的环境保护措施的可行性及合理性，并针对存在的问题，提出预防或者减轻不良环境影响的对策和措施；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（4）论证项目与产业政策的符合性、与当地建设规划的相容性、资源利用可行性以及环境可行性；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（5）分析本项目可能存在的事故隐患，预测可能产生的环境风险程度，提出具体的环境风险防范措施。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通过上述评价，论证项目在环境方面的可行性，给出环境影响评价结论，为环境保护主管部门提供决策依据。</w:t>
      </w:r>
    </w:p>
    <w:p>
      <w:pPr>
        <w:pStyle w:val="5"/>
        <w:rPr>
          <w:rFonts w:ascii="Times New Roman" w:hAnsi="Times New Roman" w:eastAsia="宋体"/>
          <w:color w:val="auto"/>
          <w:highlight w:val="none"/>
        </w:rPr>
      </w:pPr>
      <w:bookmarkStart w:id="39" w:name="_Toc106663431"/>
      <w:r>
        <w:rPr>
          <w:rFonts w:hint="eastAsia" w:ascii="Times New Roman" w:hAnsi="Times New Roman" w:eastAsia="宋体"/>
          <w:color w:val="auto"/>
          <w:highlight w:val="none"/>
        </w:rPr>
        <w:t>2.2.2评价原则</w:t>
      </w:r>
      <w:bookmarkEnd w:id="3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突出环境影响评价的源头预防作用，坚持保护和改善环境质量。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（1）依法评价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贯彻执行我国环境保护相关法律法规、标准、政策和规划等，优化项目建设，服务环境管理。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（2）科学评价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规范环境影响评价方法，科学分析项目建设对环境质量的影响。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（3）突出重点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rPr>
          <w:rFonts w:ascii="Times New Roman" w:hAnsi="Times New Roman" w:eastAsia="宋体"/>
          <w:color w:val="auto"/>
          <w:highlight w:val="none"/>
        </w:rPr>
      </w:pPr>
      <w:bookmarkStart w:id="40" w:name="_Toc71394706"/>
      <w:bookmarkStart w:id="41" w:name="_Toc89619326"/>
      <w:bookmarkStart w:id="42" w:name="_Toc106663432"/>
      <w:r>
        <w:rPr>
          <w:rFonts w:hint="eastAsia" w:ascii="Times New Roman" w:hAnsi="Times New Roman" w:eastAsia="宋体"/>
          <w:color w:val="auto"/>
          <w:highlight w:val="none"/>
        </w:rPr>
        <w:t>2.3评价内容及评价重点</w:t>
      </w:r>
      <w:bookmarkEnd w:id="40"/>
      <w:bookmarkEnd w:id="41"/>
      <w:bookmarkEnd w:id="42"/>
    </w:p>
    <w:p>
      <w:pPr>
        <w:pStyle w:val="5"/>
        <w:rPr>
          <w:rFonts w:ascii="Times New Roman" w:hAnsi="Times New Roman" w:eastAsia="宋体"/>
          <w:color w:val="auto"/>
          <w:highlight w:val="none"/>
        </w:rPr>
      </w:pPr>
      <w:bookmarkStart w:id="43" w:name="_Toc106663433"/>
      <w:r>
        <w:rPr>
          <w:rFonts w:hint="eastAsia" w:ascii="Times New Roman" w:hAnsi="Times New Roman" w:eastAsia="宋体"/>
          <w:color w:val="auto"/>
          <w:highlight w:val="none"/>
        </w:rPr>
        <w:t>2.3.1评价内容</w:t>
      </w:r>
      <w:bookmarkEnd w:id="4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本次评价的主要内容包括以下几个方面：</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（1）通过对项目厂址及周围环境的综合现状调查和现场监测，了解和掌握项目区环境现状；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（2）分析本次工程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排放特征，产生的污染物能否实现达标排放或妥善处理；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（3）分析本工程运行中存在的环境风险，提出有关风险防治措施及风险防范预案；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（4）对该建设项目的污染控制措施的可行性和合理性进行评估，并提出防止或减轻污染的对策建议。</w:t>
      </w:r>
    </w:p>
    <w:p>
      <w:pPr>
        <w:pStyle w:val="5"/>
        <w:rPr>
          <w:rFonts w:ascii="Times New Roman" w:hAnsi="Times New Roman" w:eastAsia="宋体"/>
          <w:color w:val="auto"/>
          <w:highlight w:val="none"/>
        </w:rPr>
      </w:pPr>
      <w:bookmarkStart w:id="44" w:name="_Toc106663434"/>
      <w:r>
        <w:rPr>
          <w:rFonts w:hint="eastAsia" w:ascii="Times New Roman" w:hAnsi="Times New Roman" w:eastAsia="宋体"/>
          <w:color w:val="auto"/>
          <w:highlight w:val="none"/>
        </w:rPr>
        <w:t>2.3.2评价重点</w:t>
      </w:r>
      <w:bookmarkEnd w:id="4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（1）工程分析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结合工艺过程，对物料、水等进行平衡计算，并根据企业实际运行情况，分析生产过程中</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及噪声排放情况。</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（2）污染防治措施分析推荐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根据工程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及噪声排放特点，结合相似企业实际治理经验，对设计的治理措施可行性进行分析，并提出推荐方案，确保本项目各污染物达标排放。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（3）环境影响预测及评价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结合生产过程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特点以及评价范围内环境概况，分析预测本项目大气污染物对大气环境的影响程度和范围；项目用水的保证性以及排放的生产生活污水对区域水环境的影响；固体废物处理处置对区域环境的影响；预测和评价厂界噪声是否满足《工业企业厂界环境噪声排放标准》，评价项目噪声排放对声环境敏感区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（4）环境风险评价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结合生产工艺特点，分析确定本项目风险因素，预测风险发生时对环境造成的危害，提出环境风险防范措施，并编制应急预案。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（5）清洁生产分析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从工艺装备先进性、资源能源利用、污染物产生、废物综合利用、产品指标、环境管理等方面分析，并与国内其他企业进行对比，评述项目清洁生产水平。</w:t>
      </w:r>
    </w:p>
    <w:p>
      <w:pPr>
        <w:pStyle w:val="4"/>
        <w:rPr>
          <w:rFonts w:ascii="Times New Roman" w:hAnsi="Times New Roman" w:eastAsia="宋体"/>
          <w:color w:val="auto"/>
          <w:highlight w:val="none"/>
        </w:rPr>
      </w:pPr>
      <w:bookmarkStart w:id="45" w:name="_Toc106663435"/>
      <w:bookmarkStart w:id="46" w:name="_Toc71394707"/>
      <w:bookmarkStart w:id="47" w:name="_Toc89619327"/>
      <w:r>
        <w:rPr>
          <w:rFonts w:hint="eastAsia" w:ascii="Times New Roman" w:hAnsi="Times New Roman" w:eastAsia="宋体"/>
          <w:color w:val="auto"/>
          <w:highlight w:val="none"/>
        </w:rPr>
        <w:t>2.4评价因子识别与筛选</w:t>
      </w:r>
      <w:bookmarkEnd w:id="45"/>
      <w:bookmarkEnd w:id="46"/>
      <w:bookmarkEnd w:id="4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根据工程的特征、阶段和所处区域的环境特征，全面分析判别本项目建设对环境可能产生影响的因素、影响途径，初步估算影响程度。通过筛选确定本次评价重点和评价因子。</w:t>
      </w:r>
    </w:p>
    <w:p>
      <w:pPr>
        <w:pStyle w:val="5"/>
        <w:rPr>
          <w:rFonts w:ascii="Times New Roman" w:hAnsi="Times New Roman" w:eastAsia="宋体"/>
          <w:color w:val="auto"/>
          <w:highlight w:val="none"/>
        </w:rPr>
      </w:pPr>
      <w:bookmarkStart w:id="48" w:name="_Toc106663436"/>
      <w:r>
        <w:rPr>
          <w:rFonts w:hint="eastAsia" w:ascii="Times New Roman" w:hAnsi="Times New Roman" w:eastAsia="宋体"/>
          <w:color w:val="auto"/>
          <w:highlight w:val="none"/>
        </w:rPr>
        <w:t>2.4.1影响因素识别</w:t>
      </w:r>
      <w:bookmarkEnd w:id="4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根据项目的排污特点及所处环境特征，环境影响因子的识别见表2.4-1。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表2.4-1环境影响因子识别表</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463"/>
        <w:gridCol w:w="641"/>
        <w:gridCol w:w="17"/>
        <w:gridCol w:w="971"/>
        <w:gridCol w:w="847"/>
        <w:gridCol w:w="815"/>
        <w:gridCol w:w="872"/>
        <w:gridCol w:w="902"/>
        <w:gridCol w:w="879"/>
        <w:gridCol w:w="980"/>
        <w:gridCol w:w="968"/>
        <w:gridCol w:w="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75" w:type="pct"/>
            <w:vMerge w:val="restar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阶段</w:t>
            </w:r>
          </w:p>
        </w:tc>
        <w:tc>
          <w:tcPr>
            <w:tcW w:w="968" w:type="pct"/>
            <w:gridSpan w:val="3"/>
            <w:vMerge w:val="restart"/>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污染因素</w:t>
            </w:r>
          </w:p>
        </w:tc>
        <w:tc>
          <w:tcPr>
            <w:tcW w:w="3756" w:type="pct"/>
            <w:gridSpan w:val="8"/>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418" w:hRule="atLeast"/>
          <w:jc w:val="center"/>
        </w:trPr>
        <w:tc>
          <w:tcPr>
            <w:tcW w:w="275" w:type="pct"/>
            <w:vMerge w:val="continue"/>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b/>
                <w:bCs/>
                <w:color w:val="auto"/>
                <w:sz w:val="21"/>
                <w:szCs w:val="21"/>
                <w:highlight w:val="none"/>
              </w:rPr>
            </w:pPr>
          </w:p>
        </w:tc>
        <w:tc>
          <w:tcPr>
            <w:tcW w:w="968" w:type="pct"/>
            <w:gridSpan w:val="3"/>
            <w:vMerge w:val="continue"/>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b/>
                <w:bCs/>
                <w:color w:val="auto"/>
                <w:sz w:val="21"/>
                <w:szCs w:val="21"/>
                <w:highlight w:val="none"/>
              </w:rPr>
            </w:pP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大气</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地表水</w: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w:t>
            </w:r>
          </w:p>
        </w:tc>
        <w:tc>
          <w:tcPr>
            <w:tcW w:w="582" w:type="pc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w:t>
            </w:r>
          </w:p>
        </w:tc>
        <w:tc>
          <w:tcPr>
            <w:tcW w:w="573" w:type="pc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居民生活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restar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施工期</w:t>
            </w:r>
          </w:p>
        </w:tc>
        <w:tc>
          <w:tcPr>
            <w:tcW w:w="381" w:type="pct"/>
            <w:vMerge w:val="restart"/>
            <w:tcBorders>
              <w:left w:val="single" w:color="auto" w:sz="4" w:space="0"/>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场区</w:t>
            </w:r>
          </w:p>
        </w:tc>
        <w:tc>
          <w:tcPr>
            <w:tcW w:w="587" w:type="pct"/>
            <w:gridSpan w:val="2"/>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扬尘</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21590</wp:posOffset>
                      </wp:positionV>
                      <wp:extent cx="95250" cy="95250"/>
                      <wp:effectExtent l="2540" t="7620" r="6985" b="1905"/>
                      <wp:wrapNone/>
                      <wp:docPr id="333" name="菱形 33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6.5pt;margin-top:1.7pt;height:7.5pt;width:7.5pt;z-index:251661312;mso-width-relative:page;mso-height-relative:page;" fillcolor="#000000" filled="t" stroked="f" coordsize="21600,21600" o:gfxdata="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1lwNYAAAAGAQAADwAA&#10;AAAAAAABACAAAAAiAAAAZHJzL2Rvd25yZXYueG1sUEsBAhQAFAAAAAgAh07iQHYpbacYAgAAKgQA&#10;AA4AAAAAAAAAAQAgAAAAJQEAAGRycy9lMm9Eb2MueG1sUEsFBgAAAAAGAAYAWQEAAK8FA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2336" behindDoc="0" locked="0" layoutInCell="1" allowOverlap="1">
                      <wp:simplePos x="0" y="0"/>
                      <wp:positionH relativeFrom="column">
                        <wp:posOffset>144780</wp:posOffset>
                      </wp:positionH>
                      <wp:positionV relativeFrom="paragraph">
                        <wp:posOffset>50800</wp:posOffset>
                      </wp:positionV>
                      <wp:extent cx="75565" cy="75565"/>
                      <wp:effectExtent l="12065" t="8255" r="7620" b="11430"/>
                      <wp:wrapNone/>
                      <wp:docPr id="332" name="椭圆 33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4pt;height:5.95pt;width:5.95pt;z-index:251662336;mso-width-relative:page;mso-height-relative:page;" fillcolor="#FFFFFF" filled="t" stroked="t" coordsize="21600,21600" o:gfxdata="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NXa8bWAAAABgEAAA8AAAAAAAAAAQAgAAAAIgAAAGRycy9kb3ducmV2Lnht&#10;bFBLAQIUABQAAAAIAIdO4kCgPQxfNAIAAHEEAAAOAAAAAAAAAAEAIAAAACUBAABkcnMvZTJvRG9j&#10;LnhtbFBLBQYAAAAABgAGAFkBAADLBQ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31750</wp:posOffset>
                      </wp:positionV>
                      <wp:extent cx="75565" cy="75565"/>
                      <wp:effectExtent l="11430" t="8255" r="8255" b="11430"/>
                      <wp:wrapNone/>
                      <wp:docPr id="331" name="椭圆 33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2.5pt;height:5.95pt;width:5.95pt;z-index:251663360;mso-width-relative:page;mso-height-relative:page;" fillcolor="#FFFFFF" filled="t" stroked="t" coordsize="21600,21600" o:gfxdata="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WZrHdUAAAAGAQAADwAAAAAAAAABACAAAAAiAAAAZHJzL2Rvd25yZXYueG1s&#10;UEsBAhQAFAAAAAgAh07iQIyibYA0AgAAcQQAAA4AAAAAAAAAAQAgAAAAJAEAAGRycy9lMm9Eb2Mu&#10;eG1sUEsFBgAAAAAGAAYAWQEAAMoFA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4384" behindDoc="0" locked="0" layoutInCell="1" allowOverlap="1">
                      <wp:simplePos x="0" y="0"/>
                      <wp:positionH relativeFrom="column">
                        <wp:posOffset>177165</wp:posOffset>
                      </wp:positionH>
                      <wp:positionV relativeFrom="paragraph">
                        <wp:posOffset>31750</wp:posOffset>
                      </wp:positionV>
                      <wp:extent cx="75565" cy="75565"/>
                      <wp:effectExtent l="11430" t="8255" r="8255" b="11430"/>
                      <wp:wrapNone/>
                      <wp:docPr id="330" name="椭圆 3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95pt;margin-top:2.5pt;height:5.95pt;width:5.95pt;z-index:251664384;mso-width-relative:page;mso-height-relative:page;" fillcolor="#FFFFFF" filled="t" stroked="t" coordsize="21600,21600" o:gfxdata="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xPpc1QAAAAYBAAAPAAAAAAAAAAEAIAAAACIAAABkcnMvZG93bnJldi54bWxQ&#10;SwECFAAUAAAACACHTuJAVypifD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0704" behindDoc="0" locked="0" layoutInCell="1" allowOverlap="1">
                      <wp:simplePos x="0" y="0"/>
                      <wp:positionH relativeFrom="column">
                        <wp:posOffset>109855</wp:posOffset>
                      </wp:positionH>
                      <wp:positionV relativeFrom="paragraph">
                        <wp:posOffset>31750</wp:posOffset>
                      </wp:positionV>
                      <wp:extent cx="76200" cy="85725"/>
                      <wp:effectExtent l="12700" t="17780" r="15875" b="10795"/>
                      <wp:wrapNone/>
                      <wp:docPr id="329" name="等腰三角形 32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2.5pt;height:6.75pt;width:6pt;z-index:251720704;mso-width-relative:page;mso-height-relative:page;" filled="f" stroked="t" coordsize="21600,21600" o:gfxdata="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GseFXWAAAA&#10;BgEAAA8AAAAAAAAAAQAgAAAAIgAAAGRycy9kb3ducmV2LnhtbFBLAQIUABQAAAAIAIdO4kBeV2Bv&#10;WAIAAIsEAAAOAAAAAAAAAAEAIAAAACUBAABkcnMvZTJvRG9jLnhtbFBLBQYAAAAABgAGAFkBAADv&#10;BQ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5408" behindDoc="0" locked="0" layoutInCell="1" allowOverlap="1">
                      <wp:simplePos x="0" y="0"/>
                      <wp:positionH relativeFrom="column">
                        <wp:posOffset>206375</wp:posOffset>
                      </wp:positionH>
                      <wp:positionV relativeFrom="paragraph">
                        <wp:posOffset>31750</wp:posOffset>
                      </wp:positionV>
                      <wp:extent cx="75565" cy="75565"/>
                      <wp:effectExtent l="10160" t="8255" r="9525" b="11430"/>
                      <wp:wrapNone/>
                      <wp:docPr id="328" name="椭圆 3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5pt;margin-top:2.5pt;height:5.95pt;width:5.95pt;z-index:251665408;mso-width-relative:page;mso-height-relative:page;" fillcolor="#FFFFFF" filled="t" stroked="t" coordsize="21600,21600" o:gfxdata="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K95TdYAAAAGAQAADwAAAAAAAAABACAAAAAiAAAAZHJzL2Rvd25yZXYueG1s&#10;UEsBAhQAFAAAAAgAh07iQF9xJ+AzAgAAcQQAAA4AAAAAAAAAAQAgAAAAJQEAAGRycy9lMm9Eb2Mu&#10;eG1sUEsFBgAAAAAGAAYAWQEAAMoFAAAAAA==&#10;">
                      <v:fill on="t" focussize="0,0"/>
                      <v:stroke color="#000000" joinstyle="round"/>
                      <v:imagedata o:title=""/>
                      <o:lock v:ext="edit" aspectratio="f"/>
                    </v:shape>
                  </w:pict>
                </mc:Fallback>
              </mc:AlternateConten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2512" behindDoc="0" locked="0" layoutInCell="1" allowOverlap="1">
                      <wp:simplePos x="0" y="0"/>
                      <wp:positionH relativeFrom="column">
                        <wp:posOffset>137795</wp:posOffset>
                      </wp:positionH>
                      <wp:positionV relativeFrom="paragraph">
                        <wp:posOffset>12700</wp:posOffset>
                      </wp:positionV>
                      <wp:extent cx="76200" cy="85725"/>
                      <wp:effectExtent l="1905" t="8255" r="7620" b="1270"/>
                      <wp:wrapNone/>
                      <wp:docPr id="298" name="等腰三角形 29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pt;height:6.75pt;width:6pt;z-index:251712512;mso-width-relative:page;mso-height-relative:page;" fillcolor="#000000" filled="t" stroked="f" coordsize="21600,21600" o:gfxdata="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CoE50wAAAAYBAAAPAAAAAAAAAAEAIAAAACIAAABk&#10;cnMvZG93bnJldi54bWxQSwECFAAUAAAACACHTuJASgaMvUQCAABgBAAADgAAAAAAAAABACAAAAAi&#10;AQAAZHJzL2Uyb0RvYy54bWxQSwUGAAAAAAYABgBZAQAA2A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381" w:type="pct"/>
            <w:vMerge w:val="continue"/>
            <w:tcBorders>
              <w:left w:val="single" w:color="auto" w:sz="4" w:space="0"/>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587" w:type="pct"/>
            <w:gridSpan w:val="2"/>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施工废水</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7456" behindDoc="0" locked="0" layoutInCell="1" allowOverlap="1">
                      <wp:simplePos x="0" y="0"/>
                      <wp:positionH relativeFrom="column">
                        <wp:posOffset>149860</wp:posOffset>
                      </wp:positionH>
                      <wp:positionV relativeFrom="paragraph">
                        <wp:posOffset>52705</wp:posOffset>
                      </wp:positionV>
                      <wp:extent cx="75565" cy="75565"/>
                      <wp:effectExtent l="12700" t="8255" r="6985" b="11430"/>
                      <wp:wrapNone/>
                      <wp:docPr id="297" name="椭圆 29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4.15pt;height:5.95pt;width:5.95pt;z-index:251667456;mso-width-relative:page;mso-height-relative:page;" fillcolor="#FFFFFF" filled="t" stroked="t" coordsize="21600,21600" o:gfxdata="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SCv4bUAAAABgEAAA8AAAAAAAAAAQAgAAAAIgAAAGRycy9kb3ducmV2LnhtbFBL&#10;AQIUABQAAAAIAIdO4kBUXmLIMwIAAHEEAAAOAAAAAAAAAAEAIAAAACM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9504" behindDoc="0" locked="0" layoutInCell="1" allowOverlap="1">
                      <wp:simplePos x="0" y="0"/>
                      <wp:positionH relativeFrom="column">
                        <wp:posOffset>135255</wp:posOffset>
                      </wp:positionH>
                      <wp:positionV relativeFrom="paragraph">
                        <wp:posOffset>43180</wp:posOffset>
                      </wp:positionV>
                      <wp:extent cx="75565" cy="75565"/>
                      <wp:effectExtent l="12065" t="8255" r="7620" b="11430"/>
                      <wp:wrapNone/>
                      <wp:docPr id="296" name="椭圆 29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0.65pt;margin-top:3.4pt;height:5.95pt;width:5.95pt;z-index:251669504;mso-width-relative:page;mso-height-relative:page;" fillcolor="#FFFFFF" filled="t" stroked="t" coordsize="21600,21600" o:gfxdata="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ugS31QAAAAYBAAAPAAAAAAAAAAEAIAAAACIAAABkcnMvZG93bnJldi54bWxQ&#10;SwECFAAUAAAACACHTuJAj9ZtND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9440" behindDoc="0" locked="0" layoutInCell="1" allowOverlap="1">
                      <wp:simplePos x="0" y="0"/>
                      <wp:positionH relativeFrom="column">
                        <wp:posOffset>113665</wp:posOffset>
                      </wp:positionH>
                      <wp:positionV relativeFrom="paragraph">
                        <wp:posOffset>5080</wp:posOffset>
                      </wp:positionV>
                      <wp:extent cx="76200" cy="85725"/>
                      <wp:effectExtent l="3175" t="8255" r="6350" b="1270"/>
                      <wp:wrapNone/>
                      <wp:docPr id="295" name="等腰三角形 29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5pt;margin-top:0.4pt;height:6.75pt;width:6pt;z-index:251709440;mso-width-relative:page;mso-height-relative:page;" fillcolor="#000000" filled="t" stroked="f" coordsize="21600,21600" o:gfxdata="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BRr0QAAAAUBAAAPAAAAAAAAAAEAIAAAACIAAABkcnMv&#10;ZG93bnJldi54bWxQSwECFAAUAAAACACHTuJA/kynZ0MCAABgBAAADgAAAAAAAAABACAAAAAg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2816" behindDoc="0" locked="0" layoutInCell="1" allowOverlap="1">
                      <wp:simplePos x="0" y="0"/>
                      <wp:positionH relativeFrom="column">
                        <wp:posOffset>167640</wp:posOffset>
                      </wp:positionH>
                      <wp:positionV relativeFrom="paragraph">
                        <wp:posOffset>43180</wp:posOffset>
                      </wp:positionV>
                      <wp:extent cx="75565" cy="75565"/>
                      <wp:effectExtent l="11430" t="8255" r="8255" b="11430"/>
                      <wp:wrapNone/>
                      <wp:docPr id="294" name="椭圆 29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2pt;margin-top:3.4pt;height:5.95pt;width:5.95pt;z-index:251682816;mso-width-relative:page;mso-height-relative:page;" fillcolor="#FFFFFF" filled="t" stroked="t" coordsize="21600,21600" o:gfxdata="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Gr0J1QAAAAYBAAAPAAAAAAAAAAEAIAAAACIAAABkcnMvZG93bnJldi54bWxQ&#10;SwECFAAUAAAACACHTuJAeMEDFz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1728" behindDoc="0" locked="0" layoutInCell="1" allowOverlap="1">
                      <wp:simplePos x="0" y="0"/>
                      <wp:positionH relativeFrom="column">
                        <wp:posOffset>109855</wp:posOffset>
                      </wp:positionH>
                      <wp:positionV relativeFrom="paragraph">
                        <wp:posOffset>5080</wp:posOffset>
                      </wp:positionV>
                      <wp:extent cx="76200" cy="85725"/>
                      <wp:effectExtent l="12700" t="17780" r="15875" b="10795"/>
                      <wp:wrapNone/>
                      <wp:docPr id="293" name="等腰三角形 29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0.4pt;height:6.75pt;width:6pt;z-index:251721728;mso-width-relative:page;mso-height-relative:page;" filled="f" stroked="t" coordsize="21600,21600" o:gfxdata="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kL0C1AAAAAUB&#10;AAAPAAAAAAAAAAEAIAAAACIAAABkcnMvZG93bnJldi54bWxQSwECFAAUAAAACACHTuJAbWvhjl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5824" behindDoc="0" locked="0" layoutInCell="1" allowOverlap="1">
                      <wp:simplePos x="0" y="0"/>
                      <wp:positionH relativeFrom="column">
                        <wp:posOffset>151130</wp:posOffset>
                      </wp:positionH>
                      <wp:positionV relativeFrom="paragraph">
                        <wp:posOffset>14605</wp:posOffset>
                      </wp:positionV>
                      <wp:extent cx="76200" cy="85725"/>
                      <wp:effectExtent l="21590" t="17780" r="16510" b="10795"/>
                      <wp:wrapNone/>
                      <wp:docPr id="292" name="等腰三角形 2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15pt;height:6.75pt;width:6pt;z-index:251725824;mso-width-relative:page;mso-height-relative:page;" filled="f" stroked="t" coordsize="21600,21600" o:gfxdata="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M+6S1AAAAAYB&#10;AAAPAAAAAAAAAAEAIAAAACIAAABkcnMvZG93bnJldi54bWxQSwECFAAUAAAACACHTuJA7EYVl1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6432" behindDoc="0" locked="0" layoutInCell="1" allowOverlap="1">
                      <wp:simplePos x="0" y="0"/>
                      <wp:positionH relativeFrom="column">
                        <wp:posOffset>212090</wp:posOffset>
                      </wp:positionH>
                      <wp:positionV relativeFrom="paragraph">
                        <wp:posOffset>43180</wp:posOffset>
                      </wp:positionV>
                      <wp:extent cx="75565" cy="75565"/>
                      <wp:effectExtent l="9525" t="8255" r="10160" b="11430"/>
                      <wp:wrapNone/>
                      <wp:docPr id="291" name="椭圆 29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7pt;margin-top:3.4pt;height:5.95pt;width:5.95pt;z-index:251666432;mso-width-relative:page;mso-height-relative:page;" fillcolor="#FFFFFF" filled="t" stroked="t" coordsize="21600,21600" o:gfxdata="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4RNb1QAAAAYBAAAPAAAAAAAAAAEAIAAAACIAAABkcnMvZG93bnJldi54bWxQ&#10;SwECFAAUAAAACACHTuJATWbQrTMCAABxBAAADgAAAAAAAAABACAAAAAkAQAAZHJzL2Uyb0RvYy54&#10;bWxQSwUGAAAAAAYABgBZAQAAyQUAAAAA&#10;">
                      <v:fill on="t" focussize="0,0"/>
                      <v:stroke color="#000000" joinstyle="round"/>
                      <v:imagedata o:title=""/>
                      <o:lock v:ext="edit" aspectratio="f"/>
                    </v:shape>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381" w:type="pct"/>
            <w:vMerge w:val="continue"/>
            <w:tcBorders>
              <w:left w:val="single" w:color="auto" w:sz="4" w:space="0"/>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587" w:type="pct"/>
            <w:gridSpan w:val="2"/>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施工噪声</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8480" behindDoc="0" locked="0" layoutInCell="1" allowOverlap="1">
                      <wp:simplePos x="0" y="0"/>
                      <wp:positionH relativeFrom="column">
                        <wp:posOffset>149860</wp:posOffset>
                      </wp:positionH>
                      <wp:positionV relativeFrom="paragraph">
                        <wp:posOffset>44450</wp:posOffset>
                      </wp:positionV>
                      <wp:extent cx="75565" cy="75565"/>
                      <wp:effectExtent l="12700" t="7620" r="6985" b="12065"/>
                      <wp:wrapNone/>
                      <wp:docPr id="290" name="椭圆 2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3.5pt;height:5.95pt;width:5.95pt;z-index:251668480;mso-width-relative:page;mso-height-relative:page;" fillcolor="#FFFFFF" filled="t" stroked="t" coordsize="21600,21600" o:gfxdata="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4U5t1QAAAAYBAAAPAAAAAAAAAAEAIAAAACIAAABkcnMvZG93bnJldi54bWxQ&#10;SwECFAAUAAAACACHTuJAlu7fUTMCAABxBAAADgAAAAAAAAABACAAAAAkAQAAZHJzL2Uyb0RvYy54&#10;bWxQSwUGAAAAAAYABgBZAQAAyQUAAAAA&#10;">
                      <v:fill on="t" focussize="0,0"/>
                      <v:stroke color="#000000" joinstyle="round"/>
                      <v:imagedata o:title=""/>
                      <o:lock v:ext="edit" aspectratio="f"/>
                    </v:shape>
                  </w:pict>
                </mc:Fallback>
              </mc:AlternateConten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0528" behindDoc="0" locked="0" layoutInCell="1" allowOverlap="1">
                      <wp:simplePos x="0" y="0"/>
                      <wp:positionH relativeFrom="column">
                        <wp:posOffset>154305</wp:posOffset>
                      </wp:positionH>
                      <wp:positionV relativeFrom="paragraph">
                        <wp:posOffset>44450</wp:posOffset>
                      </wp:positionV>
                      <wp:extent cx="75565" cy="75565"/>
                      <wp:effectExtent l="12065" t="7620" r="7620" b="12065"/>
                      <wp:wrapNone/>
                      <wp:docPr id="289" name="椭圆 2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15pt;margin-top:3.5pt;height:5.95pt;width:5.95pt;z-index:251670528;mso-width-relative:page;mso-height-relative:page;" fillcolor="#FFFFFF" filled="t" stroked="t" coordsize="21600,21600" o:gfxdata="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wP71QAAAAYBAAAPAAAAAAAAAAEAIAAAACIAAABkcnMvZG93bnJldi54bWxQ&#10;SwECFAAUAAAACACHTuJART2VMT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7696" behindDoc="0" locked="0" layoutInCell="1" allowOverlap="1">
                      <wp:simplePos x="0" y="0"/>
                      <wp:positionH relativeFrom="column">
                        <wp:posOffset>169545</wp:posOffset>
                      </wp:positionH>
                      <wp:positionV relativeFrom="paragraph">
                        <wp:posOffset>53975</wp:posOffset>
                      </wp:positionV>
                      <wp:extent cx="75565" cy="75565"/>
                      <wp:effectExtent l="11430" t="7620" r="8255" b="12065"/>
                      <wp:wrapNone/>
                      <wp:docPr id="288" name="椭圆 28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25pt;height:5.95pt;width:5.95pt;z-index:251677696;mso-width-relative:page;mso-height-relative:page;" fillcolor="#FFFFFF" filled="t" stroked="t" coordsize="21600,21600" o:gfxdata="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6Q+U/UAAAABgEAAA8AAAAAAAAAAQAgAAAAIgAAAGRycy9kb3ducmV2LnhtbFBL&#10;AQIUABQAAAAIAIdO4kCetZrNMwIAAHEEAAAOAAAAAAAAAAEAIAAAACMBAABkcnMvZTJvRG9jLnht&#10;bFBLBQYAAAAABgAGAFkBAADIBQ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3296" behindDoc="0" locked="0" layoutInCell="1" allowOverlap="1">
                      <wp:simplePos x="0" y="0"/>
                      <wp:positionH relativeFrom="column">
                        <wp:posOffset>121285</wp:posOffset>
                      </wp:positionH>
                      <wp:positionV relativeFrom="paragraph">
                        <wp:posOffset>24765</wp:posOffset>
                      </wp:positionV>
                      <wp:extent cx="95250" cy="95250"/>
                      <wp:effectExtent l="3175" t="6985" r="6350" b="2540"/>
                      <wp:wrapNone/>
                      <wp:docPr id="95" name="菱形 95"/>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9.55pt;margin-top:1.95pt;height:7.5pt;width:7.5pt;z-index:251703296;mso-width-relative:page;mso-height-relative:page;" fillcolor="#000000" filled="t" stroked="f" coordsize="21600,21600" o:gfxdata="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mS7gbVAAAABgEAAA8AAAAA&#10;AAAAAQAgAAAAIgAAAGRycy9kb3ducmV2LnhtbFBLAQIUABQAAAAIAIdO4kDNLABK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2752" behindDoc="0" locked="0" layoutInCell="1" allowOverlap="1">
                      <wp:simplePos x="0" y="0"/>
                      <wp:positionH relativeFrom="column">
                        <wp:posOffset>100330</wp:posOffset>
                      </wp:positionH>
                      <wp:positionV relativeFrom="paragraph">
                        <wp:posOffset>25400</wp:posOffset>
                      </wp:positionV>
                      <wp:extent cx="76200" cy="85725"/>
                      <wp:effectExtent l="12700" t="17145" r="15875" b="11430"/>
                      <wp:wrapNone/>
                      <wp:docPr id="94" name="等腰三角形 9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9pt;margin-top:2pt;height:6.75pt;width:6pt;z-index:251722752;mso-width-relative:page;mso-height-relative:page;" filled="f" stroked="t" coordsize="21600,21600" o:gfxdata="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RxV61QAAAAYB&#10;AAAPAAAAAAAAAAEAIAAAACIAAABkcnMvZG93bnJldi54bWxQSwECFAAUAAAACACHTuJASOFYU1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2032" behindDoc="0" locked="0" layoutInCell="1" allowOverlap="1">
                      <wp:simplePos x="0" y="0"/>
                      <wp:positionH relativeFrom="column">
                        <wp:posOffset>234950</wp:posOffset>
                      </wp:positionH>
                      <wp:positionV relativeFrom="paragraph">
                        <wp:posOffset>34925</wp:posOffset>
                      </wp:positionV>
                      <wp:extent cx="75565" cy="75565"/>
                      <wp:effectExtent l="10160" t="7620" r="9525" b="12065"/>
                      <wp:wrapNone/>
                      <wp:docPr id="93" name="椭圆 9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8.5pt;margin-top:2.75pt;height:5.95pt;width:5.95pt;z-index:251692032;mso-width-relative:page;mso-height-relative:page;" fillcolor="#FFFFFF" filled="t" stroked="t" coordsize="21600,21600" o:gfxdata="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TGdW1gAAAAYBAAAPAAAAAAAAAAEAIAAAACIAAABkcnMvZG93bnJldi54bWxQ&#10;SwECFAAUAAAACACHTuJAdg0vnzICAABvBAAADgAAAAAAAAABACAAAAAlAQAAZHJzL2Uyb0RvYy54&#10;bWxQSwUGAAAAAAYABgBZAQAAyQUAAAAA&#10;">
                      <v:fill on="t" focussize="0,0"/>
                      <v:stroke color="#000000" joinstyle="round"/>
                      <v:imagedata o:title=""/>
                      <o:lock v:ext="edit" aspectratio="f"/>
                    </v:shape>
                  </w:pict>
                </mc:Fallback>
              </mc:AlternateConten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7872" behindDoc="0" locked="0" layoutInCell="1" allowOverlap="1">
                      <wp:simplePos x="0" y="0"/>
                      <wp:positionH relativeFrom="column">
                        <wp:posOffset>137795</wp:posOffset>
                      </wp:positionH>
                      <wp:positionV relativeFrom="paragraph">
                        <wp:posOffset>25400</wp:posOffset>
                      </wp:positionV>
                      <wp:extent cx="76200" cy="85725"/>
                      <wp:effectExtent l="20955" t="17145" r="17145" b="11430"/>
                      <wp:wrapNone/>
                      <wp:docPr id="92" name="等腰三角形 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2pt;height:6.75pt;width:6pt;z-index:251727872;mso-width-relative:page;mso-height-relative:page;" filled="f" stroked="t" coordsize="21600,21600" o:gfxdata="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yQFu1QAAAAYB&#10;AAAPAAAAAAAAAAEAIAAAACIAAABkcnMvZG93bnJldi54bWxQSwECFAAUAAAACACHTuJAj2rgol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车辆运输</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5344" behindDoc="0" locked="0" layoutInCell="1" allowOverlap="1">
                      <wp:simplePos x="0" y="0"/>
                      <wp:positionH relativeFrom="column">
                        <wp:posOffset>93980</wp:posOffset>
                      </wp:positionH>
                      <wp:positionV relativeFrom="paragraph">
                        <wp:posOffset>17780</wp:posOffset>
                      </wp:positionV>
                      <wp:extent cx="76200" cy="85725"/>
                      <wp:effectExtent l="4445" t="8255" r="5080" b="1270"/>
                      <wp:wrapNone/>
                      <wp:docPr id="91" name="等腰三角形 9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pt;margin-top:1.4pt;height:6.75pt;width:6pt;z-index:251705344;mso-width-relative:page;mso-height-relative:page;" fillcolor="#000000" filled="t" stroked="f" coordsize="21600,21600" o:gfxdata="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hoA5PRAAAABgEAAA8AAAAAAAAAAQAgAAAAIgAAAGRycy9k&#10;b3ducmV2LnhtbFBLAQIUABQAAAAIAIdO4kAXIAcq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1552" behindDoc="0" locked="0" layoutInCell="1" allowOverlap="1">
                      <wp:simplePos x="0" y="0"/>
                      <wp:positionH relativeFrom="column">
                        <wp:posOffset>125730</wp:posOffset>
                      </wp:positionH>
                      <wp:positionV relativeFrom="paragraph">
                        <wp:posOffset>46355</wp:posOffset>
                      </wp:positionV>
                      <wp:extent cx="75565" cy="75565"/>
                      <wp:effectExtent l="12065" t="8255" r="7620" b="11430"/>
                      <wp:wrapNone/>
                      <wp:docPr id="90" name="椭圆 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9pt;margin-top:3.65pt;height:5.95pt;width:5.95pt;z-index:251671552;mso-width-relative:page;mso-height-relative:page;" fillcolor="#FFFFFF" filled="t" stroked="t" coordsize="21600,21600" o:gfxdata="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iHfS7TAAAABgEAAA8AAAAAAAAAAQAgAAAAIgAAAGRycy9kb3ducmV2LnhtbFBLAQIU&#10;ABQAAAAIAIdO4kAVE6poMQIAAG8EAAAOAAAAAAAAAAEAIAAAACIBAABkcnMvZTJvRG9jLnhtbFBL&#10;BQYAAAAABgAGAFkBAADFBQ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8720" behindDoc="0" locked="0" layoutInCell="1" allowOverlap="1">
                      <wp:simplePos x="0" y="0"/>
                      <wp:positionH relativeFrom="column">
                        <wp:posOffset>169545</wp:posOffset>
                      </wp:positionH>
                      <wp:positionV relativeFrom="paragraph">
                        <wp:posOffset>65405</wp:posOffset>
                      </wp:positionV>
                      <wp:extent cx="75565" cy="75565"/>
                      <wp:effectExtent l="11430" t="8255" r="8255" b="11430"/>
                      <wp:wrapNone/>
                      <wp:docPr id="89" name="椭圆 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5.15pt;height:5.95pt;width:5.95pt;z-index:251678720;mso-width-relative:page;mso-height-relative:page;" fillcolor="#FFFFFF" filled="t" stroked="t" coordsize="21600,21600" o:gfxdata="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RwmyNQAAAAHAQAADwAAAAAAAAABACAAAAAiAAAAZHJzL2Rvd25yZXYueG1sUEsB&#10;AhQAFAAAAAgAh07iQKvRmY8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0464" behindDoc="0" locked="0" layoutInCell="1" allowOverlap="1">
                      <wp:simplePos x="0" y="0"/>
                      <wp:positionH relativeFrom="column">
                        <wp:posOffset>130810</wp:posOffset>
                      </wp:positionH>
                      <wp:positionV relativeFrom="paragraph">
                        <wp:posOffset>17780</wp:posOffset>
                      </wp:positionV>
                      <wp:extent cx="76200" cy="85725"/>
                      <wp:effectExtent l="3175" t="8255" r="6350" b="1270"/>
                      <wp:wrapNone/>
                      <wp:docPr id="88" name="等腰三角形 8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3pt;margin-top:1.4pt;height:6.75pt;width:6pt;z-index:251710464;mso-width-relative:page;mso-height-relative:page;" fillcolor="#000000" filled="t" stroked="f" coordsize="21600,21600" o:gfxdata="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3miSNMAAAAGAQAADwAAAAAAAAABACAAAAAiAAAAZHJz&#10;L2Rvd25yZXYueG1sUEsBAhQAFAAAAAgAh07iQAL3U+hCAgAAXgQAAA4AAAAAAAAAAQAgAAAAIgEA&#10;AGRycy9lMm9Eb2MueG1sUEsFBgAAAAAGAAYAWQEAANYFA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6912" behindDoc="0" locked="0" layoutInCell="1" allowOverlap="1">
                      <wp:simplePos x="0" y="0"/>
                      <wp:positionH relativeFrom="column">
                        <wp:posOffset>184785</wp:posOffset>
                      </wp:positionH>
                      <wp:positionV relativeFrom="paragraph">
                        <wp:posOffset>46355</wp:posOffset>
                      </wp:positionV>
                      <wp:extent cx="75565" cy="75565"/>
                      <wp:effectExtent l="11430" t="8255" r="8255" b="11430"/>
                      <wp:wrapNone/>
                      <wp:docPr id="87" name="椭圆 8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3.65pt;height:5.95pt;width:5.95pt;z-index:251686912;mso-width-relative:page;mso-height-relative:page;" fillcolor="#FFFFFF" filled="t" stroked="t" coordsize="21600,21600" o:gfxdata="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wwFNjVAAAABgEAAA8AAAAAAAAAAQAgAAAAIgAAAGRycy9kb3ducmV2LnhtbFBL&#10;AQIUABQAAAAIAIdO4kDnsGlC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3056" behindDoc="0" locked="0" layoutInCell="1" allowOverlap="1">
                      <wp:simplePos x="0" y="0"/>
                      <wp:positionH relativeFrom="column">
                        <wp:posOffset>244475</wp:posOffset>
                      </wp:positionH>
                      <wp:positionV relativeFrom="paragraph">
                        <wp:posOffset>36830</wp:posOffset>
                      </wp:positionV>
                      <wp:extent cx="75565" cy="75565"/>
                      <wp:effectExtent l="10160" t="8255" r="9525" b="11430"/>
                      <wp:wrapNone/>
                      <wp:docPr id="86" name="椭圆 8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2.9pt;height:5.95pt;width:5.95pt;z-index:251693056;mso-width-relative:page;mso-height-relative:page;" fillcolor="#FFFFFF" filled="t" stroked="t" coordsize="21600,21600" o:gfxdata="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he3cjVAAAABgEAAA8AAAAAAAAAAQAgAAAAIgAAAGRycy9kb3ducmV2LnhtbFBL&#10;AQIUABQAAAAIAIdO4kDGuuoQ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3536" behindDoc="0" locked="0" layoutInCell="1" allowOverlap="1">
                      <wp:simplePos x="0" y="0"/>
                      <wp:positionH relativeFrom="column">
                        <wp:posOffset>128270</wp:posOffset>
                      </wp:positionH>
                      <wp:positionV relativeFrom="paragraph">
                        <wp:posOffset>-1270</wp:posOffset>
                      </wp:positionV>
                      <wp:extent cx="76200" cy="85725"/>
                      <wp:effectExtent l="1905" t="8255" r="7620" b="1270"/>
                      <wp:wrapNone/>
                      <wp:docPr id="85" name="等腰三角形 8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pt;margin-top:-0.1pt;height:6.75pt;width:6pt;z-index:251713536;mso-width-relative:page;mso-height-relative:page;" fillcolor="#000000" filled="t" stroked="f" coordsize="21600,21600" o:gfxdata="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0Wo0gAAAAYBAAAPAAAAAAAAAAEAIAAAACIAAABkcnMv&#10;ZG93bnJldi54bWxQSwECFAAUAAAACACHTuJAeQ34rkICAABeBAAADgAAAAAAAAABACAAAAAh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restar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运行期</w:t>
            </w:r>
          </w:p>
        </w:tc>
        <w:tc>
          <w:tcPr>
            <w:tcW w:w="391" w:type="pct"/>
            <w:gridSpan w:val="2"/>
            <w:vMerge w:val="restar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场区</w:t>
            </w:r>
          </w:p>
        </w:tc>
        <w:tc>
          <w:tcPr>
            <w:tcW w:w="576" w:type="pct"/>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工程废水</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6368" behindDoc="0" locked="0" layoutInCell="1" allowOverlap="1">
                      <wp:simplePos x="0" y="0"/>
                      <wp:positionH relativeFrom="column">
                        <wp:posOffset>113030</wp:posOffset>
                      </wp:positionH>
                      <wp:positionV relativeFrom="paragraph">
                        <wp:posOffset>19685</wp:posOffset>
                      </wp:positionV>
                      <wp:extent cx="76200" cy="85725"/>
                      <wp:effectExtent l="4445" t="8255" r="5080" b="1270"/>
                      <wp:wrapNone/>
                      <wp:docPr id="84" name="等腰三角形 8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1.55pt;height:6.75pt;width:6pt;z-index:251706368;mso-width-relative:page;mso-height-relative:page;" fillcolor="#000000" filled="t" stroked="f" coordsize="21600,21600" o:gfxdata="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h7D90gAAAAYBAAAPAAAAAAAAAAEAIAAAACIAAABkcnMv&#10;ZG93bnJldi54bWxQSwECFAAUAAAACACHTuJAFSJJc0ICAABeBAAADgAAAAAAAAABACAAAAAh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2576" behindDoc="0" locked="0" layoutInCell="1" allowOverlap="1">
                      <wp:simplePos x="0" y="0"/>
                      <wp:positionH relativeFrom="column">
                        <wp:posOffset>144780</wp:posOffset>
                      </wp:positionH>
                      <wp:positionV relativeFrom="paragraph">
                        <wp:posOffset>38735</wp:posOffset>
                      </wp:positionV>
                      <wp:extent cx="75565" cy="75565"/>
                      <wp:effectExtent l="12065" t="8255" r="7620" b="11430"/>
                      <wp:wrapNone/>
                      <wp:docPr id="83" name="椭圆 8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05pt;height:5.95pt;width:5.95pt;z-index:251672576;mso-width-relative:page;mso-height-relative:page;" fillcolor="#FFFFFF" filled="t" stroked="t" coordsize="21600,21600" o:gfxdata="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oLEL1QAAAAYBAAAPAAAAAAAAAAEAIAAAACIAAABkcnMvZG93bnJldi54bWxQ&#10;SwECFAAUAAAACACHTuJAIp4U0zMCAABv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7632" behindDoc="0" locked="0" layoutInCell="1" allowOverlap="1">
                      <wp:simplePos x="0" y="0"/>
                      <wp:positionH relativeFrom="column">
                        <wp:posOffset>94615</wp:posOffset>
                      </wp:positionH>
                      <wp:positionV relativeFrom="paragraph">
                        <wp:posOffset>19685</wp:posOffset>
                      </wp:positionV>
                      <wp:extent cx="76200" cy="85725"/>
                      <wp:effectExtent l="12700" t="17780" r="15875" b="10795"/>
                      <wp:wrapNone/>
                      <wp:docPr id="82" name="等腰三角形 8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5pt;margin-top:1.55pt;height:6.75pt;width:6pt;z-index:251717632;mso-width-relative:page;mso-height-relative:page;" filled="f" stroked="t" coordsize="21600,21600" o:gfxdata="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9aGabV&#10;AAAABgEAAA8AAAAAAAAAAQAgAAAAIgAAAGRycy9kb3ducmV2LnhtbFBLAQIUABQAAAAIAIdO4kCb&#10;TMZiXAIAAJcEAAAOAAAAAAAAAAEAIAAAACQBAABkcnMvZTJvRG9jLnhtbFBLBQYAAAAABgAGAFkB&#10;AADyBQ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3840" behindDoc="0" locked="0" layoutInCell="1" allowOverlap="1">
                      <wp:simplePos x="0" y="0"/>
                      <wp:positionH relativeFrom="column">
                        <wp:posOffset>205740</wp:posOffset>
                      </wp:positionH>
                      <wp:positionV relativeFrom="paragraph">
                        <wp:posOffset>38735</wp:posOffset>
                      </wp:positionV>
                      <wp:extent cx="75565" cy="75565"/>
                      <wp:effectExtent l="11430" t="8255" r="8255" b="11430"/>
                      <wp:wrapNone/>
                      <wp:docPr id="81" name="椭圆 8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3.05pt;height:5.95pt;width:5.95pt;z-index:251683840;mso-width-relative:page;mso-height-relative:page;" fillcolor="#FFFFFF" filled="t" stroked="t" coordsize="21600,21600" o:gfxdata="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XUFLVAAAABgEAAA8AAAAAAAAAAQAgAAAAIgAAAGRycy9kb3ducmV2LnhtbFBL&#10;AQIUABQAAAAIAIdO4kBgihJ2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3776" behindDoc="0" locked="0" layoutInCell="1" allowOverlap="1">
                      <wp:simplePos x="0" y="0"/>
                      <wp:positionH relativeFrom="column">
                        <wp:posOffset>128905</wp:posOffset>
                      </wp:positionH>
                      <wp:positionV relativeFrom="paragraph">
                        <wp:posOffset>19685</wp:posOffset>
                      </wp:positionV>
                      <wp:extent cx="76200" cy="85725"/>
                      <wp:effectExtent l="12700" t="17780" r="15875" b="10795"/>
                      <wp:wrapNone/>
                      <wp:docPr id="80" name="等腰三角形 8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5pt;margin-top:1.55pt;height:6.75pt;width:6pt;z-index:251723776;mso-width-relative:page;mso-height-relative:page;" filled="f" stroked="t" coordsize="21600,21600" o:gfxdata="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5jPXUAAAABgEA&#10;AA8AAAAAAAAAAQAgAAAAIgAAAGRycy9kb3ducmV2LnhtbFBLAQIUABQAAAAIAIdO4kBJQw9FVwIA&#10;AIkEAAAOAAAAAAAAAAEAIAAAACMBAABkcnMvZTJvRG9jLnhtbFBLBQYAAAAABgAGAFkBAADsBQAA&#10;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4800" behindDoc="0" locked="0" layoutInCell="1" allowOverlap="1">
                      <wp:simplePos x="0" y="0"/>
                      <wp:positionH relativeFrom="column">
                        <wp:posOffset>170180</wp:posOffset>
                      </wp:positionH>
                      <wp:positionV relativeFrom="paragraph">
                        <wp:posOffset>635</wp:posOffset>
                      </wp:positionV>
                      <wp:extent cx="76200" cy="85725"/>
                      <wp:effectExtent l="21590" t="17780" r="16510" b="10795"/>
                      <wp:wrapNone/>
                      <wp:docPr id="79" name="等腰三角形 7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4pt;margin-top:0.05pt;height:6.75pt;width:6pt;z-index:251724800;mso-width-relative:page;mso-height-relative:page;" filled="f" stroked="t" coordsize="21600,21600" o:gfxdata="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WYwbdMAAAAFAQAA&#10;DwAAAAAAAAABACAAAAAiAAAAZHJzL2Rvd25yZXYueG1sUEsBAhQAFAAAAAgAh07iQH43yBBXAgAA&#10;iQQAAA4AAAAAAAAAAQAgAAAAIgEAAGRycy9lMm9Eb2MueG1sUEsFBgAAAAAGAAYAWQEAAOsFAAAA&#10;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4320" behindDoc="0" locked="0" layoutInCell="1" allowOverlap="1">
                      <wp:simplePos x="0" y="0"/>
                      <wp:positionH relativeFrom="column">
                        <wp:posOffset>137795</wp:posOffset>
                      </wp:positionH>
                      <wp:positionV relativeFrom="paragraph">
                        <wp:posOffset>28575</wp:posOffset>
                      </wp:positionV>
                      <wp:extent cx="95250" cy="95250"/>
                      <wp:effectExtent l="1905" t="7620" r="7620" b="1905"/>
                      <wp:wrapNone/>
                      <wp:docPr id="70" name="菱形 70"/>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0.85pt;margin-top:2.25pt;height:7.5pt;width:7.5pt;z-index:251704320;mso-width-relative:page;mso-height-relative:page;" fillcolor="#000000" filled="t" stroked="f" coordsize="21600,21600" o:gfxdata="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LB551gAAAAYBAAAPAAAA&#10;AAAAAAEAIAAAACIAAABkcnMvZG93bnJldi54bWxQSwECFAAUAAAACACHTuJAaiC75hcCAAAoBAAA&#10;DgAAAAAAAAABACAAAAAlAQAAZHJzL2Uyb0RvYy54bWxQSwUGAAAAAAYABgBZAQAArgU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391" w:type="pct"/>
            <w:gridSpan w:val="2"/>
            <w:vMerge w:val="continue"/>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576" w:type="pct"/>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生产恶臭</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7392" behindDoc="0" locked="0" layoutInCell="1" allowOverlap="1">
                      <wp:simplePos x="0" y="0"/>
                      <wp:positionH relativeFrom="column">
                        <wp:posOffset>113030</wp:posOffset>
                      </wp:positionH>
                      <wp:positionV relativeFrom="paragraph">
                        <wp:posOffset>11430</wp:posOffset>
                      </wp:positionV>
                      <wp:extent cx="76200" cy="85725"/>
                      <wp:effectExtent l="4445" t="7620" r="5080" b="1905"/>
                      <wp:wrapNone/>
                      <wp:docPr id="69" name="等腰三角形 6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0.9pt;height:6.75pt;width:6pt;z-index:251707392;mso-width-relative:page;mso-height-relative:page;" fillcolor="#000000" filled="t" stroked="f" coordsize="21600,21600" o:gfxdata="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pe2JjRAAAABgEAAA8AAAAAAAAAAQAgAAAAIgAAAGRycy9k&#10;b3ducmV2LnhtbFBLAQIUABQAAAAIAIdO4kDEfxk/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4624" behindDoc="0" locked="0" layoutInCell="1" allowOverlap="1">
                      <wp:simplePos x="0" y="0"/>
                      <wp:positionH relativeFrom="column">
                        <wp:posOffset>144780</wp:posOffset>
                      </wp:positionH>
                      <wp:positionV relativeFrom="paragraph">
                        <wp:posOffset>49530</wp:posOffset>
                      </wp:positionV>
                      <wp:extent cx="75565" cy="75565"/>
                      <wp:effectExtent l="12065" t="7620" r="7620" b="12065"/>
                      <wp:wrapNone/>
                      <wp:docPr id="68" name="椭圆 6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9pt;height:5.95pt;width:5.95pt;z-index:251674624;mso-width-relative:page;mso-height-relative:page;" fillcolor="#FFFFFF" filled="t" stroked="t" coordsize="21600,21600" o:gfxdata="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6jvVrTU8V8/&#10;7n9+/8bogNTpnM8p6M7dYuTn3Q3Iz55ZWDbC1uoaEbpGiZJqGsX47NGFaHi6yjbdOygJW2wDJKH2&#10;FbYRkCRg+9SPw6kfah+YpMOL6XQ25UySp99GfJE/XHXowxsFLYubgitjqPVRL5GL3Y0PffRDVKoe&#10;jC7X2phkYL1ZGmQ7QbOxTl8iQCTPw4xlXcEvp+NYSetIKW/rlORRmD9HG6bvX2gIW1v2hRl7VCsK&#10;1Au9gfJAYiH0c0qvlDYN4FfOOppRSv1lK1BxZt5aEvxyNJnEoU7GZHox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yQ7TVAAAABgEAAA8AAAAAAAAAAQAgAAAAIgAAAGRycy9kb3ducmV2LnhtbFBL&#10;AQIUABQAAAAIAIdO4kBQJr2i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9744" behindDoc="0" locked="0" layoutInCell="1" allowOverlap="1">
                      <wp:simplePos x="0" y="0"/>
                      <wp:positionH relativeFrom="column">
                        <wp:posOffset>169545</wp:posOffset>
                      </wp:positionH>
                      <wp:positionV relativeFrom="paragraph">
                        <wp:posOffset>59055</wp:posOffset>
                      </wp:positionV>
                      <wp:extent cx="75565" cy="75565"/>
                      <wp:effectExtent l="11430" t="7620" r="8255" b="12065"/>
                      <wp:wrapNone/>
                      <wp:docPr id="67" name="椭圆 6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65pt;height:5.95pt;width:5.95pt;z-index:251679744;mso-width-relative:page;mso-height-relative:page;" fillcolor="#FFFFFF" filled="t" stroked="t" coordsize="21600,21600" o:gfxdata="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Q7l7tQAAAAGAQAADwAAAAAAAAABACAAAAAiAAAAZHJzL2Rvd25yZXYueG1sUEsB&#10;AhQAFAAAAAgAh07iQD1Nzj0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30480</wp:posOffset>
                      </wp:positionV>
                      <wp:extent cx="75565" cy="75565"/>
                      <wp:effectExtent l="11430" t="7620" r="8255" b="12065"/>
                      <wp:wrapNone/>
                      <wp:docPr id="66" name="椭圆 6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2.4pt;height:5.95pt;width:5.95pt;z-index:251684864;mso-width-relative:page;mso-height-relative:page;" fillcolor="#FFFFFF" filled="t" stroked="t" coordsize="21600,21600" o:gfxdata="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2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4O3fXVAAAABgEAAA8AAAAAAAAAAQAgAAAAIgAAAGRycy9kb3ducmV2LnhtbFBL&#10;AQIUABQAAAAIAIdO4kAcR01v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7936" behindDoc="0" locked="0" layoutInCell="1" allowOverlap="1">
                      <wp:simplePos x="0" y="0"/>
                      <wp:positionH relativeFrom="column">
                        <wp:posOffset>184785</wp:posOffset>
                      </wp:positionH>
                      <wp:positionV relativeFrom="paragraph">
                        <wp:posOffset>30480</wp:posOffset>
                      </wp:positionV>
                      <wp:extent cx="75565" cy="75565"/>
                      <wp:effectExtent l="11430" t="7620" r="8255" b="12065"/>
                      <wp:wrapNone/>
                      <wp:docPr id="65" name="椭圆 6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2.4pt;height:5.95pt;width:5.95pt;z-index:251687936;mso-width-relative:page;mso-height-relative:page;" fillcolor="#FFFFFF" filled="t" stroked="t" coordsize="21600,21600" o:gfxdata="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Sl3v9UAAAAGAQAADwAAAAAAAAABACAAAAAiAAAAZHJzL2Rvd25yZXYueG1sUEsB&#10;AhQAFAAAAAgAh07iQH9ZyJgxAgAAbwQAAA4AAAAAAAAAAQAgAAAAJAEAAGRycy9lMm9Eb2MueG1s&#10;UEsFBgAAAAAGAAYAWQEAAMcFAAAAAA==&#10;">
                      <v:fill on="t" focussize="0,0"/>
                      <v:stroke color="#000000" joinstyle="round"/>
                      <v:imagedata o:title=""/>
                      <o:lock v:ext="edit" aspectratio="f"/>
                    </v:shape>
                  </w:pict>
                </mc:Fallback>
              </mc:AlternateConten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4080" behindDoc="0" locked="0" layoutInCell="1" allowOverlap="1">
                      <wp:simplePos x="0" y="0"/>
                      <wp:positionH relativeFrom="column">
                        <wp:posOffset>196850</wp:posOffset>
                      </wp:positionH>
                      <wp:positionV relativeFrom="paragraph">
                        <wp:posOffset>49530</wp:posOffset>
                      </wp:positionV>
                      <wp:extent cx="75565" cy="75565"/>
                      <wp:effectExtent l="10160" t="7620" r="9525" b="12065"/>
                      <wp:wrapNone/>
                      <wp:docPr id="64" name="椭圆 6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5pt;margin-top:3.9pt;height:5.95pt;width:5.95pt;z-index:251694080;mso-width-relative:page;mso-height-relative:page;" fillcolor="#FFFFFF" filled="t" stroked="t" coordsize="21600,21600" o:gfxdata="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y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HpxdfVAAAABgEAAA8AAAAAAAAAAQAgAAAAIgAAAGRycy9kb3ducmV2LnhtbFBL&#10;AQIUABQAAAAIAIdO4kBeU0vK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4560" behindDoc="0" locked="0" layoutInCell="1" allowOverlap="1">
                      <wp:simplePos x="0" y="0"/>
                      <wp:positionH relativeFrom="column">
                        <wp:posOffset>118745</wp:posOffset>
                      </wp:positionH>
                      <wp:positionV relativeFrom="paragraph">
                        <wp:posOffset>11430</wp:posOffset>
                      </wp:positionV>
                      <wp:extent cx="76200" cy="85725"/>
                      <wp:effectExtent l="1905" t="7620" r="7620" b="1905"/>
                      <wp:wrapNone/>
                      <wp:docPr id="31" name="等腰三角形 3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0.9pt;height:6.75pt;width:6pt;z-index:251714560;mso-width-relative:page;mso-height-relative:page;" fillcolor="#000000" filled="t" stroked="f" coordsize="21600,21600" o:gfxdata="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fQWTRAAAABgEAAA8AAAAAAAAAAQAgAAAAIgAAAGRycy9k&#10;b3ducmV2LnhtbFBLAQIUABQAAAAIAIdO4kCM8Ovo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391" w:type="pct"/>
            <w:gridSpan w:val="2"/>
            <w:vMerge w:val="continue"/>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576" w:type="pct"/>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生产噪声</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6672" behindDoc="0" locked="0" layoutInCell="1" allowOverlap="1">
                      <wp:simplePos x="0" y="0"/>
                      <wp:positionH relativeFrom="column">
                        <wp:posOffset>159385</wp:posOffset>
                      </wp:positionH>
                      <wp:positionV relativeFrom="paragraph">
                        <wp:posOffset>51435</wp:posOffset>
                      </wp:positionV>
                      <wp:extent cx="75565" cy="75565"/>
                      <wp:effectExtent l="12700" t="8255" r="6985" b="11430"/>
                      <wp:wrapNone/>
                      <wp:docPr id="30" name="椭圆 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55pt;margin-top:4.05pt;height:5.95pt;width:5.95pt;z-index:251676672;mso-width-relative:page;mso-height-relative:page;" fillcolor="#FFFFFF" filled="t" stroked="t" coordsize="21600,21600" o:gfxdata="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FtyLVAAAABgEAAA8AAAAAAAAAAQAgAAAAIgAAAGRycy9kb3ducmV2LnhtbFBL&#10;AQIUABQAAAAIAIdO4kDepZL8MgIAAG8EAAAOAAAAAAAAAAEAIAAAACQ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3600" behindDoc="0" locked="0" layoutInCell="1" allowOverlap="1">
                      <wp:simplePos x="0" y="0"/>
                      <wp:positionH relativeFrom="column">
                        <wp:posOffset>163830</wp:posOffset>
                      </wp:positionH>
                      <wp:positionV relativeFrom="paragraph">
                        <wp:posOffset>32385</wp:posOffset>
                      </wp:positionV>
                      <wp:extent cx="75565" cy="75565"/>
                      <wp:effectExtent l="12065" t="8255" r="7620" b="11430"/>
                      <wp:wrapNone/>
                      <wp:docPr id="29" name="椭圆 2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9pt;margin-top:2.55pt;height:5.95pt;width:5.95pt;z-index:251673600;mso-width-relative:page;mso-height-relative:page;" fillcolor="#FFFFFF" filled="t" stroked="t" coordsize="21600,21600" o:gfxdata="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moaH9QAAAAGAQAADwAAAAAAAAABACAAAAAiAAAAZHJzL2Rvd25yZXYueG1sUEsB&#10;AhQAFAAAAAgAh07iQGBnoRsyAgAAbwQAAA4AAAAAAAAAAQAgAAAAIwEAAGRycy9lMm9Eb2MueG1s&#10;UEsFBgAAAAAGAAYAWQEAAMcFA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0768" behindDoc="0" locked="0" layoutInCell="1" allowOverlap="1">
                      <wp:simplePos x="0" y="0"/>
                      <wp:positionH relativeFrom="column">
                        <wp:posOffset>179070</wp:posOffset>
                      </wp:positionH>
                      <wp:positionV relativeFrom="paragraph">
                        <wp:posOffset>41910</wp:posOffset>
                      </wp:positionV>
                      <wp:extent cx="75565" cy="75565"/>
                      <wp:effectExtent l="11430" t="8255" r="8255" b="11430"/>
                      <wp:wrapNone/>
                      <wp:docPr id="28" name="椭圆 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1pt;margin-top:3.3pt;height:5.95pt;width:5.95pt;z-index:251680768;mso-width-relative:page;mso-height-relative:page;" fillcolor="#FFFFFF" filled="t" stroked="t" coordsize="21600,21600" o:gfxdata="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Ut+t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soNdQAAAAGAQAADwAAAAAAAAABACAAAAAiAAAAZHJzL2Rvd25yZXYueG1sUEsB&#10;AhQAFAAAAAgAh07iQEFtIkk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1248" behindDoc="0" locked="0" layoutInCell="1" allowOverlap="1">
                      <wp:simplePos x="0" y="0"/>
                      <wp:positionH relativeFrom="column">
                        <wp:posOffset>102235</wp:posOffset>
                      </wp:positionH>
                      <wp:positionV relativeFrom="paragraph">
                        <wp:posOffset>31750</wp:posOffset>
                      </wp:positionV>
                      <wp:extent cx="95250" cy="95250"/>
                      <wp:effectExtent l="3175" t="7620" r="6350" b="1905"/>
                      <wp:wrapNone/>
                      <wp:docPr id="27" name="菱形 27"/>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8.05pt;margin-top:2.5pt;height:7.5pt;width:7.5pt;z-index:251701248;mso-width-relative:page;mso-height-relative:page;" fillcolor="#000000" filled="t" stroked="f" coordsize="21600,21600" o:gfxdata="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ZoF67VAAAABgEAAA8AAAAA&#10;AAAAAQAgAAAAIgAAAGRycy9kb3ducmV2LnhtbFBLAQIUABQAAAAIAIdO4kC+HJda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8960" behindDoc="0" locked="0" layoutInCell="1" allowOverlap="1">
                      <wp:simplePos x="0" y="0"/>
                      <wp:positionH relativeFrom="column">
                        <wp:posOffset>194310</wp:posOffset>
                      </wp:positionH>
                      <wp:positionV relativeFrom="paragraph">
                        <wp:posOffset>41910</wp:posOffset>
                      </wp:positionV>
                      <wp:extent cx="75565" cy="75565"/>
                      <wp:effectExtent l="11430" t="8255" r="8255" b="11430"/>
                      <wp:wrapNone/>
                      <wp:docPr id="26" name="椭圆 2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3.3pt;height:5.95pt;width:5.95pt;z-index:251688960;mso-width-relative:page;mso-height-relative:page;" fillcolor="#FFFFFF" filled="t" stroked="t" coordsize="21600,21600" o:gfxdata="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j2e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eGU8HVAAAABgEAAA8AAAAAAAAAAQAgAAAAIgAAAGRycy9kb3ducmV2LnhtbFBL&#10;AQIUABQAAAAIAIdO4kANDNKE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5104" behindDoc="0" locked="0" layoutInCell="1" allowOverlap="1">
                      <wp:simplePos x="0" y="0"/>
                      <wp:positionH relativeFrom="column">
                        <wp:posOffset>244475</wp:posOffset>
                      </wp:positionH>
                      <wp:positionV relativeFrom="paragraph">
                        <wp:posOffset>41910</wp:posOffset>
                      </wp:positionV>
                      <wp:extent cx="75565" cy="75565"/>
                      <wp:effectExtent l="10160" t="8255" r="9525" b="11430"/>
                      <wp:wrapNone/>
                      <wp:docPr id="25" name="椭圆 2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3.3pt;height:5.95pt;width:5.95pt;z-index:251695104;mso-width-relative:page;mso-height-relative:page;" fillcolor="#FFFFFF" filled="t" stroked="t" coordsize="21600,21600" o:gfxdata="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IiEotQAAAAGAQAADwAAAAAAAAABACAAAAAiAAAAZHJzL2Rvd25yZXYueG1sUEsB&#10;AhQAFAAAAAgAh07iQG4SV3MyAgAAbwQAAA4AAAAAAAAAAQAgAAAAIwEAAGRycy9lMm9Eb2MueG1s&#10;UEsFBgAAAAAGAAYAWQEAAMcFAAAAAA==&#10;">
                      <v:fill on="t" focussize="0,0"/>
                      <v:stroke color="#000000" joinstyle="round"/>
                      <v:imagedata o:title=""/>
                      <o:lock v:ext="edit" aspectratio="f"/>
                    </v:shape>
                  </w:pict>
                </mc:Fallback>
              </mc:AlternateConten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5584" behindDoc="0" locked="0" layoutInCell="1" allowOverlap="1">
                      <wp:simplePos x="0" y="0"/>
                      <wp:positionH relativeFrom="column">
                        <wp:posOffset>118745</wp:posOffset>
                      </wp:positionH>
                      <wp:positionV relativeFrom="paragraph">
                        <wp:posOffset>13335</wp:posOffset>
                      </wp:positionV>
                      <wp:extent cx="76200" cy="85725"/>
                      <wp:effectExtent l="1905" t="8255" r="7620" b="1270"/>
                      <wp:wrapNone/>
                      <wp:docPr id="24" name="等腰三角形 2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1.05pt;height:6.75pt;width:6pt;z-index:251715584;mso-width-relative:page;mso-height-relative:page;" fillcolor="#000000" filled="t" stroked="f" coordsize="21600,21600" o:gfxdata="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wO9IAAAAGAQAADwAAAAAAAAABACAAAAAiAAAAZHJz&#10;L2Rvd25yZXYueG1sUEsBAhQAFAAAAAgAh07iQI7ypbFDAgAAXgQAAA4AAAAAAAAAAQAgAAAAIQEA&#10;AGRycy9lMm9Eb2MueG1sUEsFBgAAAAAGAAYAWQEAANYFA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固废综合利用</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9200" behindDoc="0" locked="0" layoutInCell="1" allowOverlap="1">
                      <wp:simplePos x="0" y="0"/>
                      <wp:positionH relativeFrom="column">
                        <wp:posOffset>63500</wp:posOffset>
                      </wp:positionH>
                      <wp:positionV relativeFrom="paragraph">
                        <wp:posOffset>24130</wp:posOffset>
                      </wp:positionV>
                      <wp:extent cx="95250" cy="95250"/>
                      <wp:effectExtent l="2540" t="7620" r="6985" b="1905"/>
                      <wp:wrapNone/>
                      <wp:docPr id="23" name="菱形 2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5pt;margin-top:1.9pt;height:7.5pt;width:7.5pt;z-index:251699200;mso-width-relative:page;mso-height-relative:page;" fillcolor="#000000" filled="t" stroked="f" coordsize="21600,21600" o:gfxdata="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1iqHVAAAABgEAAA8AAAAA&#10;AAAAAQAgAAAAIgAAAGRycy9kb3ducmV2LnhtbFBLAQIUABQAAAAIAIdO4kA7JPJf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8656" behindDoc="0" locked="0" layoutInCell="1" allowOverlap="1">
                      <wp:simplePos x="0" y="0"/>
                      <wp:positionH relativeFrom="column">
                        <wp:posOffset>117475</wp:posOffset>
                      </wp:positionH>
                      <wp:positionV relativeFrom="paragraph">
                        <wp:posOffset>24765</wp:posOffset>
                      </wp:positionV>
                      <wp:extent cx="76200" cy="85725"/>
                      <wp:effectExtent l="13335" t="17780" r="15240" b="10795"/>
                      <wp:wrapNone/>
                      <wp:docPr id="22" name="等腰三角形 2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25pt;margin-top:1.95pt;height:6.75pt;width:6pt;z-index:251718656;mso-width-relative:page;mso-height-relative:page;" filled="f" stroked="t" coordsize="21600,21600" o:gfxdata="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uErytYAAAAG&#10;AQAADwAAAAAAAAABACAAAAAiAAAAZHJzL2Rvd25yZXYueG1sUEsBAhQAFAAAAAgAh07iQFz1ihtX&#10;AgAAiQQAAA4AAAAAAAAAAQAgAAAAJQEAAGRycy9lMm9Eb2MueG1sUEsFBgAAAAAGAAYAWQEAAO4F&#10;A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9680" behindDoc="0" locked="0" layoutInCell="1" allowOverlap="1">
                      <wp:simplePos x="0" y="0"/>
                      <wp:positionH relativeFrom="column">
                        <wp:posOffset>104140</wp:posOffset>
                      </wp:positionH>
                      <wp:positionV relativeFrom="paragraph">
                        <wp:posOffset>34290</wp:posOffset>
                      </wp:positionV>
                      <wp:extent cx="76200" cy="85725"/>
                      <wp:effectExtent l="12700" t="17780" r="15875" b="10795"/>
                      <wp:wrapNone/>
                      <wp:docPr id="21" name="等腰三角形 2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2pt;margin-top:2.7pt;height:6.75pt;width:6pt;z-index:251719680;mso-width-relative:page;mso-height-relative:page;" filled="f" stroked="t" coordsize="21600,21600" o:gfxdata="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AWeNQAAAAG&#10;AQAADwAAAAAAAAABACAAAAAiAAAAZHJzL2Rvd25yZXYueG1sUEsBAhQAFAAAAAgAh07iQJ8z7o5Z&#10;AgAAiQQAAA4AAAAAAAAAAQAgAAAAIwEAAGRycy9lMm9Eb2MueG1sUEsFBgAAAAAGAAYAWQEAAO4F&#10;A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5888" behindDoc="0" locked="0" layoutInCell="1" allowOverlap="1">
                      <wp:simplePos x="0" y="0"/>
                      <wp:positionH relativeFrom="column">
                        <wp:posOffset>196215</wp:posOffset>
                      </wp:positionH>
                      <wp:positionV relativeFrom="paragraph">
                        <wp:posOffset>24765</wp:posOffset>
                      </wp:positionV>
                      <wp:extent cx="75565" cy="75565"/>
                      <wp:effectExtent l="11430" t="8255" r="8255" b="11430"/>
                      <wp:wrapNone/>
                      <wp:docPr id="20" name="椭圆 2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45pt;margin-top:1.95pt;height:5.95pt;width:5.95pt;z-index:251685888;mso-width-relative:page;mso-height-relative:page;" fillcolor="#FFFFFF" filled="t" stroked="t" coordsize="21600,21600" o:gfxdata="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hQnzHVAAAABgEAAA8AAAAAAAAAAQAgAAAAIgAAAGRycy9kb3ducmV2LnhtbFBL&#10;AQIUABQAAAAIAIdO4kCKNqmw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9984" behindDoc="0" locked="0" layoutInCell="1" allowOverlap="1">
                      <wp:simplePos x="0" y="0"/>
                      <wp:positionH relativeFrom="column">
                        <wp:posOffset>203835</wp:posOffset>
                      </wp:positionH>
                      <wp:positionV relativeFrom="paragraph">
                        <wp:posOffset>43815</wp:posOffset>
                      </wp:positionV>
                      <wp:extent cx="75565" cy="75565"/>
                      <wp:effectExtent l="11430" t="8255" r="8255" b="11430"/>
                      <wp:wrapNone/>
                      <wp:docPr id="19" name="椭圆 1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5pt;margin-top:3.45pt;height:5.95pt;width:5.95pt;z-index:251689984;mso-width-relative:page;mso-height-relative:page;" fillcolor="#FFFFFF" filled="t" stroked="t" coordsize="21600,21600" o:gfxdata="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0CTPOrGip479+&#10;3P/8/o3RAanTOZ9T0J27xcjPuxuQnz2zsGyErdU1InSNEiXVNIrx2aML0fB0lW26d1ASttgGSELt&#10;K2wjIEnA9qkfh1M/1D4wSYeX0+nFlDNJnn4b8UX+cNWhD28UtCxuCq6ModZHvUQudjc+9NEPUal6&#10;MLpca2OSgfVmaZDtBM3GOn2JAJE8DzOWdQWfTcexktaRUt7WKcmjMH+ONkzfv9AQtrbsCzP2qFYU&#10;qBd6A+WBxELo55ReKW0awK+cdTSjlPrLVqDizLy1JPhsNJnEoU7GZHo5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LbbGrVAAAABgEAAA8AAAAAAAAAAQAgAAAAIgAAAGRycy9kb3ducmV2LnhtbFBL&#10;AQIUABQAAAAIAIdO4kCc0u3P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31968" behindDoc="0" locked="0" layoutInCell="1" allowOverlap="1">
                      <wp:simplePos x="0" y="0"/>
                      <wp:positionH relativeFrom="column">
                        <wp:posOffset>151130</wp:posOffset>
                      </wp:positionH>
                      <wp:positionV relativeFrom="paragraph">
                        <wp:posOffset>15240</wp:posOffset>
                      </wp:positionV>
                      <wp:extent cx="76200" cy="85725"/>
                      <wp:effectExtent l="21590" t="17780" r="16510" b="10795"/>
                      <wp:wrapNone/>
                      <wp:docPr id="18" name="等腰三角形 1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2pt;height:6.75pt;width:6pt;z-index:251731968;mso-width-relative:page;mso-height-relative:page;" filled="f" stroked="t" coordsize="21600,21600" o:gfxdata="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5FRtUAAAAGAQAA&#10;DwAAAAAAAAABACAAAAAiAAAAZHJzL2Rvd25yZXYueG1sUEsBAhQAFAAAAAgAh07iQJiYytBVAgAA&#10;iQQAAA4AAAAAAAAAAQAgAAAAJAEAAGRycy9lMm9Eb2MueG1sUEsFBgAAAAAGAAYAWQEAAOsFAAAA&#10;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7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8896" behindDoc="0" locked="0" layoutInCell="1" allowOverlap="1">
                      <wp:simplePos x="0" y="0"/>
                      <wp:positionH relativeFrom="column">
                        <wp:posOffset>137795</wp:posOffset>
                      </wp:positionH>
                      <wp:positionV relativeFrom="paragraph">
                        <wp:posOffset>15240</wp:posOffset>
                      </wp:positionV>
                      <wp:extent cx="76200" cy="85725"/>
                      <wp:effectExtent l="20955" t="17780" r="17145" b="10795"/>
                      <wp:wrapNone/>
                      <wp:docPr id="17" name="等腰三角形 1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2pt;height:6.75pt;width:6pt;z-index:251728896;mso-width-relative:page;mso-height-relative:page;" filled="f" stroked="t" coordsize="21600,21600" o:gfxdata="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ULXAXVAAAABgEA&#10;AA8AAAAAAAAAAQAgAAAAIgAAAGRycy9kb3ducmV2LnhtbFBLAQIUABQAAAAIAIdO4kCUT659VgIA&#10;AIkEAAAOAAAAAAAAAAEAIAAAACQBAABkcnMvZTJvRG9jLnhtbFBLBQYAAAAABgAGAFkBAADsBQAA&#10;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车辆运输</w:t>
            </w:r>
          </w:p>
        </w:tc>
        <w:tc>
          <w:tcPr>
            <w:tcW w:w="50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8416" behindDoc="0" locked="0" layoutInCell="1" allowOverlap="1">
                      <wp:simplePos x="0" y="0"/>
                      <wp:positionH relativeFrom="column">
                        <wp:posOffset>103505</wp:posOffset>
                      </wp:positionH>
                      <wp:positionV relativeFrom="paragraph">
                        <wp:posOffset>16510</wp:posOffset>
                      </wp:positionV>
                      <wp:extent cx="76200" cy="85725"/>
                      <wp:effectExtent l="4445" t="7620" r="5080" b="1905"/>
                      <wp:wrapNone/>
                      <wp:docPr id="16" name="等腰三角形 16"/>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15pt;margin-top:1.3pt;height:6.75pt;width:6pt;z-index:251708416;mso-width-relative:page;mso-height-relative:page;" fillcolor="#000000" filled="t" stroked="f" coordsize="21600,21600" o:gfxdata="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6pyfRAAAABgEAAA8AAAAAAAAAAQAgAAAAIgAAAGRycy9k&#10;b3ducmV2LnhtbFBLAQIUABQAAAAIAIdO4kDzDtwc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5648" behindDoc="0" locked="0" layoutInCell="1" allowOverlap="1">
                      <wp:simplePos x="0" y="0"/>
                      <wp:positionH relativeFrom="column">
                        <wp:posOffset>144780</wp:posOffset>
                      </wp:positionH>
                      <wp:positionV relativeFrom="paragraph">
                        <wp:posOffset>26035</wp:posOffset>
                      </wp:positionV>
                      <wp:extent cx="75565" cy="75565"/>
                      <wp:effectExtent l="12065" t="7620" r="7620" b="12065"/>
                      <wp:wrapNone/>
                      <wp:docPr id="15" name="椭圆 1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2.05pt;height:5.95pt;width:5.95pt;z-index:251675648;mso-width-relative:page;mso-height-relative:page;" fillcolor="#FFFFFF" filled="t" stroked="t" coordsize="21600,21600" o:gfxdata="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E2ePVAAAABgEAAA8AAAAAAAAAAQAgAAAAIgAAAGRycy9kb3ducmV2LnhtbFBL&#10;AQIUABQAAAAIAIdO4kCSpxun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1792" behindDoc="0" locked="0" layoutInCell="1" allowOverlap="1">
                      <wp:simplePos x="0" y="0"/>
                      <wp:positionH relativeFrom="column">
                        <wp:posOffset>160020</wp:posOffset>
                      </wp:positionH>
                      <wp:positionV relativeFrom="paragraph">
                        <wp:posOffset>45085</wp:posOffset>
                      </wp:positionV>
                      <wp:extent cx="75565" cy="75565"/>
                      <wp:effectExtent l="11430" t="7620" r="8255" b="12065"/>
                      <wp:wrapNone/>
                      <wp:docPr id="14" name="椭圆 1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6pt;margin-top:3.55pt;height:5.95pt;width:5.95pt;z-index:251681792;mso-width-relative:page;mso-height-relative:page;" fillcolor="#FFFFFF" filled="t" stroked="t" coordsize="21600,21600" o:gfxdata="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M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iy29QAAAAGAQAADwAAAAAAAAABACAAAAAiAAAAZHJzL2Rvd25yZXYueG1sUEsB&#10;AhQAFAAAAAgAh07iQLOtmPU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1488" behindDoc="0" locked="0" layoutInCell="1" allowOverlap="1">
                      <wp:simplePos x="0" y="0"/>
                      <wp:positionH relativeFrom="column">
                        <wp:posOffset>83185</wp:posOffset>
                      </wp:positionH>
                      <wp:positionV relativeFrom="paragraph">
                        <wp:posOffset>35560</wp:posOffset>
                      </wp:positionV>
                      <wp:extent cx="76200" cy="85725"/>
                      <wp:effectExtent l="3175" t="7620" r="6350" b="1905"/>
                      <wp:wrapNone/>
                      <wp:docPr id="13" name="等腰三角形 1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6.55pt;margin-top:2.8pt;height:6.75pt;width:6pt;z-index:251711488;mso-width-relative:page;mso-height-relative:page;" fillcolor="#000000" filled="t" stroked="f" coordsize="21600,21600" o:gfxdata="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acsnRAAAABgEAAA8AAAAAAAAAAQAgAAAAIgAAAGRycy9k&#10;b3ducmV2LnhtbFBLAQIUABQAAAAIAIdO4kCtkEsB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2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1008" behindDoc="0" locked="0" layoutInCell="1" allowOverlap="1">
                      <wp:simplePos x="0" y="0"/>
                      <wp:positionH relativeFrom="column">
                        <wp:posOffset>194310</wp:posOffset>
                      </wp:positionH>
                      <wp:positionV relativeFrom="paragraph">
                        <wp:posOffset>26035</wp:posOffset>
                      </wp:positionV>
                      <wp:extent cx="75565" cy="75565"/>
                      <wp:effectExtent l="11430" t="7620" r="8255" b="12065"/>
                      <wp:wrapNone/>
                      <wp:docPr id="12" name="椭圆 1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2.05pt;height:5.95pt;width:5.95pt;z-index:251691008;mso-width-relative:page;mso-height-relative:page;" fillcolor="#FFFFFF" filled="t" stroked="t" coordsize="21600,21600" o:gfxdata="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U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oL4FNQAAAAGAQAADwAAAAAAAAABACAAAAAiAAAAZHJzL2Rvd25yZXYueG1sUEsB&#10;AhQAFAAAAAgAh07iQDSX48EyAgAAbwQAAA4AAAAAAAAAAQAgAAAAIwEAAGRycy9lMm9Eb2MueG1s&#10;UEsFBgAAAAAGAAYAWQEAAMcFAAAAAA==&#10;">
                      <v:fill on="t" focussize="0,0"/>
                      <v:stroke color="#000000" joinstyle="round"/>
                      <v:imagedata o:title=""/>
                      <o:lock v:ext="edit" aspectratio="f"/>
                    </v:shape>
                  </w:pict>
                </mc:Fallback>
              </mc:AlternateContent>
            </w:r>
          </w:p>
        </w:tc>
        <w:tc>
          <w:tcPr>
            <w:tcW w:w="582" w:type="pct"/>
            <w:tcBorders>
              <w:righ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6128" behindDoc="0" locked="0" layoutInCell="1" allowOverlap="1">
                      <wp:simplePos x="0" y="0"/>
                      <wp:positionH relativeFrom="column">
                        <wp:posOffset>215900</wp:posOffset>
                      </wp:positionH>
                      <wp:positionV relativeFrom="paragraph">
                        <wp:posOffset>35560</wp:posOffset>
                      </wp:positionV>
                      <wp:extent cx="75565" cy="75565"/>
                      <wp:effectExtent l="10160" t="7620" r="9525" b="12065"/>
                      <wp:wrapNone/>
                      <wp:docPr id="11" name="椭圆 1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7pt;margin-top:2.8pt;height:5.95pt;width:5.95pt;z-index:251696128;mso-width-relative:page;mso-height-relative:page;" fillcolor="#FFFFFF" filled="t" stroked="t" coordsize="21600,21600" o:gfxdata="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8Ir8nVAAAABgEAAA8AAAAAAAAAAQAgAAAAIgAAAGRycy9kb3ducmV2LnhtbFBL&#10;AQIUABQAAAAIAIdO4kBXiWY2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left w:val="single" w:color="auto" w:sz="4" w:space="0"/>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6608" behindDoc="0" locked="0" layoutInCell="1" allowOverlap="1">
                      <wp:simplePos x="0" y="0"/>
                      <wp:positionH relativeFrom="column">
                        <wp:posOffset>118745</wp:posOffset>
                      </wp:positionH>
                      <wp:positionV relativeFrom="paragraph">
                        <wp:posOffset>45085</wp:posOffset>
                      </wp:positionV>
                      <wp:extent cx="76200" cy="85725"/>
                      <wp:effectExtent l="1905" t="7620" r="7620" b="1905"/>
                      <wp:wrapNone/>
                      <wp:docPr id="10" name="等腰三角形 1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3.55pt;height:6.75pt;width:6pt;z-index:251716608;mso-width-relative:page;mso-height-relative:page;" fillcolor="#000000" filled="t" stroked="f" coordsize="21600,21600" o:gfxdata="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RBRMbSAAAABgEAAA8AAAAAAAAAAQAgAAAAIgAAAGRycy9k&#10;b3ducmV2LnhtbFBLAQIUABQAAAAIAIdO4kBY5+m8QQIAAF4EAAAOAAAAAAAAAAEAIAAAACE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4963" w:type="pct"/>
            <w:gridSpan w:val="11"/>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36064" behindDoc="0" locked="0" layoutInCell="1" allowOverlap="1">
                      <wp:simplePos x="0" y="0"/>
                      <wp:positionH relativeFrom="column">
                        <wp:posOffset>2688590</wp:posOffset>
                      </wp:positionH>
                      <wp:positionV relativeFrom="paragraph">
                        <wp:posOffset>37465</wp:posOffset>
                      </wp:positionV>
                      <wp:extent cx="75565" cy="75565"/>
                      <wp:effectExtent l="10795" t="8255" r="8890" b="11430"/>
                      <wp:wrapNone/>
                      <wp:docPr id="9" name="椭圆 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11.7pt;margin-top:2.95pt;height:5.95pt;width:5.95pt;z-index:251736064;mso-width-relative:page;mso-height-relative:page;" fillcolor="#FFFFFF" filled="t" stroked="t" coordsize="21600,21600" o:gfxdata="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viQm7XAAAACAEAAA8AAAAAAAAAAQAgAAAAIgAAAGRycy9kb3ducmV2LnhtbFBL&#10;AQIUABQAAAAIAIdO4kD+c32SMAIAAG0EAAAOAAAAAAAAAAEAIAAAACYBAABkcnMvZTJvRG9jLnht&#10;bFBLBQYAAAAABgAGAFkBAADIBQAAAAA=&#10;">
                      <v:fill on="t" focussize="0,0"/>
                      <v:stroke color="#000000" joinstyle="round"/>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5040" behindDoc="0" locked="0" layoutInCell="1" allowOverlap="1">
                      <wp:simplePos x="0" y="0"/>
                      <wp:positionH relativeFrom="column">
                        <wp:posOffset>1679575</wp:posOffset>
                      </wp:positionH>
                      <wp:positionV relativeFrom="paragraph">
                        <wp:posOffset>37465</wp:posOffset>
                      </wp:positionV>
                      <wp:extent cx="76200" cy="85725"/>
                      <wp:effectExtent l="20955" t="17780" r="17145" b="10795"/>
                      <wp:wrapNone/>
                      <wp:docPr id="8" name="等腰三角形 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2.25pt;margin-top:2.95pt;height:6.75pt;width:6pt;z-index:251735040;mso-width-relative:page;mso-height-relative:page;" filled="f" stroked="t" coordsize="21600,21600" o:gfxdata="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CVOw2AAAAAgB&#10;AAAPAAAAAAAAAAEAIAAAACIAAABkcnMvZG93bnJldi54bWxQSwECFAAUAAAACACHTuJAZmu2blQC&#10;AACHBAAADgAAAAAAAAABACAAAAAnAQAAZHJzL2Uyb0RvYy54bWxQSwUGAAAAAAYABgBZAQAA7QUA&#10;AAAA&#10;" adj="10800">
                      <v:fill on="f" focussize="0,0"/>
                      <v:stroke weight="0.5pt" color="#000000" miterlimit="8" joinstyle="miter"/>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4016" behindDoc="0" locked="0" layoutInCell="1" allowOverlap="1">
                      <wp:simplePos x="0" y="0"/>
                      <wp:positionH relativeFrom="column">
                        <wp:posOffset>718820</wp:posOffset>
                      </wp:positionH>
                      <wp:positionV relativeFrom="paragraph">
                        <wp:posOffset>37465</wp:posOffset>
                      </wp:positionV>
                      <wp:extent cx="76200" cy="85725"/>
                      <wp:effectExtent l="3175" t="8255" r="6350" b="1270"/>
                      <wp:wrapNone/>
                      <wp:docPr id="7" name="等腰三角形 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6.6pt;margin-top:2.95pt;height:6.75pt;width:6pt;z-index:251734016;mso-width-relative:page;mso-height-relative:page;" fillcolor="#000000" filled="t" stroked="f" coordsize="21600,21600" o:gfxdata="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7nvNQAAAAIAQAADwAAAAAAAAABACAAAAAiAAAAZHJz&#10;L2Rvd25yZXYueG1sUEsBAhQAFAAAAAgAh07iQJZSXmRBAgAAXAQAAA4AAAAAAAAAAQAgAAAAIwEA&#10;AGRycy9lMm9Eb2MueG1sUEsFBgAAAAAGAAYAWQEAANYFAAAAAA==&#10;" adj="10800">
                      <v:fill on="t" focussize="0,0"/>
                      <v:stroke on="f"/>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2992" behindDoc="0" locked="0" layoutInCell="1" allowOverlap="1">
                      <wp:simplePos x="0" y="0"/>
                      <wp:positionH relativeFrom="column">
                        <wp:posOffset>12700</wp:posOffset>
                      </wp:positionH>
                      <wp:positionV relativeFrom="paragraph">
                        <wp:posOffset>17780</wp:posOffset>
                      </wp:positionV>
                      <wp:extent cx="95250" cy="95250"/>
                      <wp:effectExtent l="1905" t="7620" r="7620" b="1905"/>
                      <wp:wrapNone/>
                      <wp:docPr id="6" name="菱形 6"/>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pt;margin-top:1.4pt;height:7.5pt;width:7.5pt;z-index:251732992;mso-width-relative:page;mso-height-relative:page;" fillcolor="#000000" filled="t" stroked="f" coordsize="21600,21600" o:gfxdata="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jQJRdQAAAAFAQAADwAAAAAA&#10;AAABACAAAAAiAAAAZHJzL2Rvd25yZXYueG1sUEsBAhQAFAAAAAgAh07iQKzZfS4XAgAAJgQAAA4A&#10;AAAAAAAAAQAgAAAAIwEAAGRycy9lMm9Eb2MueG1sUEsFBgAAAAAGAAYAWQEAAKwFA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：有影响，：有轻微影响，：可能有影响，：没有影响，S短期影响，L长期影响</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项目施工期对环境空气及水环境、声环境等均有短期的不利影响，但其会随着施工期的结束而消失。运营期的影响为长期影响，其主要环境影响要素为环境空气及水环境，其次为声环境、固体废物。</w:t>
      </w:r>
    </w:p>
    <w:p>
      <w:pPr>
        <w:pStyle w:val="5"/>
        <w:rPr>
          <w:rFonts w:ascii="Times New Roman" w:hAnsi="Times New Roman" w:eastAsia="宋体"/>
          <w:color w:val="auto"/>
          <w:highlight w:val="none"/>
        </w:rPr>
      </w:pPr>
      <w:bookmarkStart w:id="49" w:name="_Toc106663437"/>
      <w:r>
        <w:rPr>
          <w:rFonts w:hint="eastAsia" w:ascii="Times New Roman" w:hAnsi="Times New Roman" w:eastAsia="宋体"/>
          <w:color w:val="auto"/>
          <w:highlight w:val="none"/>
        </w:rPr>
        <w:t>2.4.2评价因子筛选</w:t>
      </w:r>
      <w:bookmarkEnd w:id="4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根据本项目污染物的产生及排放情况，确定的本项目常规污染物和特征污染物表2.4-2。</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表2.4-2常规污染物和特征污染物确定情况一览表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12"/>
        <w:gridCol w:w="2889"/>
        <w:gridCol w:w="173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评价项目</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现状评价因子</w:t>
            </w:r>
          </w:p>
        </w:tc>
        <w:tc>
          <w:tcPr>
            <w:tcW w:w="173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影响评价因子</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总量控制因子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w:t>
            </w:r>
          </w:p>
        </w:tc>
        <w:tc>
          <w:tcPr>
            <w:tcW w:w="2889" w:type="dxa"/>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SO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、NO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、PM</w:t>
            </w:r>
            <w:r>
              <w:rPr>
                <w:rFonts w:hint="eastAsia" w:ascii="Times New Roman" w:hAnsi="Times New Roman" w:eastAsia="宋体"/>
                <w:color w:val="auto"/>
                <w:sz w:val="21"/>
                <w:szCs w:val="21"/>
                <w:highlight w:val="none"/>
                <w:vertAlign w:val="subscript"/>
              </w:rPr>
              <w:t>10</w:t>
            </w:r>
            <w:r>
              <w:rPr>
                <w:rFonts w:hint="eastAsia" w:ascii="Times New Roman" w:hAnsi="Times New Roman" w:eastAsia="宋体"/>
                <w:color w:val="auto"/>
                <w:sz w:val="21"/>
                <w:szCs w:val="21"/>
                <w:highlight w:val="none"/>
              </w:rPr>
              <w:t>、PM</w:t>
            </w:r>
            <w:r>
              <w:rPr>
                <w:rFonts w:hint="eastAsia" w:ascii="Times New Roman" w:hAnsi="Times New Roman" w:eastAsia="宋体"/>
                <w:color w:val="auto"/>
                <w:sz w:val="21"/>
                <w:szCs w:val="21"/>
                <w:highlight w:val="none"/>
                <w:vertAlign w:val="subscript"/>
              </w:rPr>
              <w:t>2.5</w:t>
            </w:r>
            <w:r>
              <w:rPr>
                <w:rFonts w:hint="eastAsia" w:ascii="Times New Roman" w:hAnsi="Times New Roman" w:eastAsia="宋体"/>
                <w:color w:val="auto"/>
                <w:sz w:val="21"/>
                <w:szCs w:val="21"/>
                <w:highlight w:val="none"/>
              </w:rPr>
              <w:t>、CO、O</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S、NH</w:t>
            </w:r>
            <w:r>
              <w:rPr>
                <w:rFonts w:hint="eastAsia" w:ascii="Times New Roman" w:hAnsi="Times New Roman" w:eastAsia="宋体"/>
                <w:color w:val="auto"/>
                <w:sz w:val="21"/>
                <w:szCs w:val="21"/>
                <w:highlight w:val="none"/>
                <w:vertAlign w:val="subscript"/>
              </w:rPr>
              <w:t>3</w:t>
            </w:r>
          </w:p>
        </w:tc>
        <w:tc>
          <w:tcPr>
            <w:tcW w:w="1734" w:type="dxa"/>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S、NH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臭气浓度</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pH、总硬度、硫酸盐、耗氧量、氨氮、挥发酚、总硬度、硝酸盐、氟化物、铁、锰、汞、铅、钾、铜、锌、硒、砷、镉、铬（六价）、氰化物、总大肠菌群、溶解性总固体、阴离子表面活性剂</w:t>
            </w:r>
          </w:p>
        </w:tc>
        <w:tc>
          <w:tcPr>
            <w:tcW w:w="173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pH、COD</w:t>
            </w:r>
            <w:r>
              <w:rPr>
                <w:rFonts w:hint="eastAsia" w:ascii="Times New Roman" w:hAnsi="Times New Roman" w:eastAsia="宋体"/>
                <w:color w:val="auto"/>
                <w:sz w:val="21"/>
                <w:szCs w:val="21"/>
                <w:highlight w:val="none"/>
                <w:vertAlign w:val="subscript"/>
              </w:rPr>
              <w:t>cr</w:t>
            </w:r>
            <w:r>
              <w:rPr>
                <w:rFonts w:hint="eastAsia" w:ascii="Times New Roman" w:hAnsi="Times New Roman" w:eastAsia="宋体"/>
                <w:color w:val="auto"/>
                <w:sz w:val="21"/>
                <w:szCs w:val="21"/>
                <w:highlight w:val="none"/>
              </w:rPr>
              <w:t>、BOD</w:t>
            </w:r>
            <w:r>
              <w:rPr>
                <w:rFonts w:hint="eastAsia" w:ascii="Times New Roman" w:hAnsi="Times New Roman" w:eastAsia="宋体"/>
                <w:color w:val="auto"/>
                <w:sz w:val="21"/>
                <w:szCs w:val="21"/>
                <w:highlight w:val="none"/>
                <w:vertAlign w:val="subscript"/>
              </w:rPr>
              <w:t>5</w:t>
            </w:r>
            <w:r>
              <w:rPr>
                <w:rFonts w:hint="eastAsia" w:ascii="Times New Roman" w:hAnsi="Times New Roman" w:eastAsia="宋体"/>
                <w:color w:val="auto"/>
                <w:sz w:val="21"/>
                <w:szCs w:val="21"/>
                <w:highlight w:val="none"/>
              </w:rPr>
              <w:t>、NH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-N等</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等效连续A声级</w:t>
            </w:r>
          </w:p>
        </w:tc>
        <w:tc>
          <w:tcPr>
            <w:tcW w:w="173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等效连续A声级</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固体废物</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734" w:type="dxa"/>
            <w:vAlign w:val="center"/>
          </w:tcPr>
          <w:p>
            <w:pPr>
              <w:spacing w:line="240" w:lineRule="auto"/>
              <w:ind w:firstLine="0" w:firstLineChars="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鸡粪及散落羽毛、病死鸡只、废弃包装物、生活垃圾、医疗垃圾等固体废物处置措施与处理效率</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土壤环境</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《土壤环境质量农业用地土壤污染物风险管控标准》p</w:t>
            </w:r>
            <w:r>
              <w:rPr>
                <w:rFonts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rPr>
              <w:t>、砷、镉、铬、铜、锌、铅、汞、镍、六六六，滴滴涕，共计</w:t>
            </w:r>
            <w:r>
              <w:rPr>
                <w:rFonts w:ascii="Times New Roman" w:hAnsi="Times New Roman" w:eastAsia="宋体"/>
                <w:color w:val="auto"/>
                <w:sz w:val="21"/>
                <w:szCs w:val="21"/>
                <w:highlight w:val="none"/>
              </w:rPr>
              <w:t>11</w:t>
            </w:r>
            <w:r>
              <w:rPr>
                <w:rFonts w:hint="eastAsia" w:ascii="Times New Roman" w:hAnsi="Times New Roman" w:eastAsia="宋体"/>
                <w:color w:val="auto"/>
                <w:sz w:val="21"/>
                <w:szCs w:val="21"/>
                <w:highlight w:val="none"/>
              </w:rPr>
              <w:t>项</w:t>
            </w:r>
          </w:p>
        </w:tc>
        <w:tc>
          <w:tcPr>
            <w:tcW w:w="1734" w:type="dxa"/>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rPr>
              <w:t>、砷、镉、铬、铜、锌、铅、汞、镍</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生态环境</w:t>
            </w:r>
          </w:p>
        </w:tc>
        <w:tc>
          <w:tcPr>
            <w:tcW w:w="2889" w:type="dxa"/>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土地利用、土壤、植被、野生动物</w:t>
            </w:r>
          </w:p>
        </w:tc>
        <w:tc>
          <w:tcPr>
            <w:tcW w:w="173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土地利用、土壤、植被、水土流失</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151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环境风险评价</w:t>
            </w:r>
          </w:p>
        </w:tc>
        <w:tc>
          <w:tcPr>
            <w:tcW w:w="2889"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73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火灾、爆炸</w:t>
            </w:r>
          </w:p>
        </w:tc>
        <w:tc>
          <w:tcPr>
            <w:tcW w:w="14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bl>
    <w:p>
      <w:pPr>
        <w:pStyle w:val="4"/>
        <w:rPr>
          <w:rFonts w:ascii="Times New Roman" w:hAnsi="Times New Roman" w:eastAsia="宋体"/>
          <w:color w:val="auto"/>
          <w:highlight w:val="none"/>
        </w:rPr>
      </w:pPr>
      <w:bookmarkStart w:id="50" w:name="_Toc106663438"/>
      <w:bookmarkStart w:id="51" w:name="_Toc89619328"/>
      <w:r>
        <w:rPr>
          <w:rFonts w:hint="eastAsia" w:ascii="Times New Roman" w:hAnsi="Times New Roman" w:eastAsia="宋体"/>
          <w:color w:val="auto"/>
          <w:highlight w:val="none"/>
        </w:rPr>
        <w:t>2.5环境功能区划及评价标准</w:t>
      </w:r>
      <w:bookmarkEnd w:id="50"/>
      <w:bookmarkEnd w:id="51"/>
    </w:p>
    <w:p>
      <w:pPr>
        <w:pStyle w:val="5"/>
        <w:rPr>
          <w:rFonts w:ascii="Times New Roman" w:hAnsi="Times New Roman" w:eastAsia="宋体"/>
          <w:color w:val="auto"/>
          <w:highlight w:val="none"/>
        </w:rPr>
      </w:pPr>
      <w:bookmarkStart w:id="52" w:name="_Toc106663439"/>
      <w:r>
        <w:rPr>
          <w:rFonts w:hint="eastAsia" w:ascii="Times New Roman" w:hAnsi="Times New Roman" w:eastAsia="宋体"/>
          <w:color w:val="auto"/>
          <w:highlight w:val="none"/>
        </w:rPr>
        <w:t>2.5.1环境功能区划</w:t>
      </w:r>
      <w:bookmarkEnd w:id="52"/>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2.5.1.1环境空气功能区划</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本项目位于玛纳斯县广东地乡苇坝村东侧1.6km处，周边无自然保护区、风景名胜区和其他需要特殊保护的区域。根据环境空气功能区分类，评价区环境空气功能区为二类区，执行《环境空气质量标准》</w:t>
      </w:r>
      <w:r>
        <w:rPr>
          <w:rFonts w:hint="eastAsia"/>
          <w:color w:val="auto"/>
          <w:highlight w:val="none"/>
          <w:lang w:eastAsia="zh-CN"/>
        </w:rPr>
        <w:t>（</w:t>
      </w:r>
      <w:r>
        <w:rPr>
          <w:rFonts w:ascii="Times New Roman" w:hAnsi="Times New Roman" w:eastAsia="宋体"/>
          <w:color w:val="auto"/>
          <w:highlight w:val="none"/>
        </w:rPr>
        <w:t>GB3095-2012</w:t>
      </w:r>
      <w:r>
        <w:rPr>
          <w:rFonts w:hint="eastAsia"/>
          <w:color w:val="auto"/>
          <w:highlight w:val="none"/>
          <w:lang w:eastAsia="zh-CN"/>
        </w:rPr>
        <w:t>）</w:t>
      </w:r>
      <w:r>
        <w:rPr>
          <w:rFonts w:ascii="Times New Roman" w:hAnsi="Times New Roman" w:eastAsia="宋体"/>
          <w:color w:val="auto"/>
          <w:highlight w:val="none"/>
        </w:rPr>
        <w:t>中二级标准。</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2.5.1.2水环境功能区划</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根据《地下水质量标准》</w:t>
      </w:r>
      <w:r>
        <w:rPr>
          <w:rFonts w:hint="eastAsia"/>
          <w:color w:val="auto"/>
          <w:highlight w:val="none"/>
          <w:lang w:eastAsia="zh-CN"/>
        </w:rPr>
        <w:t>（</w:t>
      </w:r>
      <w:r>
        <w:rPr>
          <w:rFonts w:ascii="Times New Roman" w:hAnsi="Times New Roman" w:eastAsia="宋体"/>
          <w:color w:val="auto"/>
          <w:highlight w:val="none"/>
        </w:rPr>
        <w:t>GB/T14848-2017</w:t>
      </w:r>
      <w:r>
        <w:rPr>
          <w:rFonts w:hint="eastAsia"/>
          <w:color w:val="auto"/>
          <w:highlight w:val="none"/>
          <w:lang w:eastAsia="zh-CN"/>
        </w:rPr>
        <w:t>）</w:t>
      </w:r>
      <w:r>
        <w:rPr>
          <w:rFonts w:ascii="Times New Roman" w:hAnsi="Times New Roman" w:eastAsia="宋体"/>
          <w:color w:val="auto"/>
          <w:highlight w:val="none"/>
        </w:rPr>
        <w:t>中地下水质量分类</w:t>
      </w:r>
      <w:r>
        <w:rPr>
          <w:rFonts w:hint="eastAsia"/>
          <w:color w:val="auto"/>
          <w:highlight w:val="none"/>
          <w:lang w:eastAsia="zh-CN"/>
        </w:rPr>
        <w:t>”</w:t>
      </w:r>
      <w:r>
        <w:rPr>
          <w:rFonts w:ascii="Times New Roman" w:hAnsi="Times New Roman" w:eastAsia="宋体"/>
          <w:color w:val="auto"/>
          <w:highlight w:val="none"/>
        </w:rPr>
        <w:t>以人体健康基准值为依据</w:t>
      </w:r>
      <w:r>
        <w:rPr>
          <w:rFonts w:hint="eastAsia"/>
          <w:color w:val="auto"/>
          <w:highlight w:val="none"/>
          <w:lang w:eastAsia="zh-CN"/>
        </w:rPr>
        <w:t>”</w:t>
      </w:r>
      <w:r>
        <w:rPr>
          <w:rFonts w:ascii="Times New Roman" w:hAnsi="Times New Roman" w:eastAsia="宋体"/>
          <w:color w:val="auto"/>
          <w:highlight w:val="none"/>
        </w:rPr>
        <w:t>的要求，主要适用于集中式生活饮用水水源及工、农业用水的地下水为Ⅲ类水质。本项目所在区域地下水执行《地下水质量标准》</w:t>
      </w:r>
      <w:r>
        <w:rPr>
          <w:rFonts w:hint="eastAsia"/>
          <w:color w:val="auto"/>
          <w:highlight w:val="none"/>
          <w:lang w:eastAsia="zh-CN"/>
        </w:rPr>
        <w:t>（</w:t>
      </w:r>
      <w:r>
        <w:rPr>
          <w:rFonts w:ascii="Times New Roman" w:hAnsi="Times New Roman" w:eastAsia="宋体"/>
          <w:color w:val="auto"/>
          <w:highlight w:val="none"/>
        </w:rPr>
        <w:t>GB/T14848-2017</w:t>
      </w:r>
      <w:r>
        <w:rPr>
          <w:rFonts w:hint="eastAsia"/>
          <w:color w:val="auto"/>
          <w:highlight w:val="none"/>
          <w:lang w:eastAsia="zh-CN"/>
        </w:rPr>
        <w:t>）</w:t>
      </w:r>
      <w:r>
        <w:rPr>
          <w:rFonts w:ascii="Times New Roman" w:hAnsi="Times New Roman" w:eastAsia="宋体"/>
          <w:color w:val="auto"/>
          <w:highlight w:val="none"/>
        </w:rPr>
        <w:t>中的Ⅲ类标准。</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2.5.1.3声环境功能区划</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根据声环境功能区划分，项目所在地为2类声环境功能区，执行《声环境质量标准》</w:t>
      </w:r>
      <w:r>
        <w:rPr>
          <w:rFonts w:hint="eastAsia"/>
          <w:color w:val="auto"/>
          <w:highlight w:val="none"/>
          <w:lang w:eastAsia="zh-CN"/>
        </w:rPr>
        <w:t>（</w:t>
      </w:r>
      <w:r>
        <w:rPr>
          <w:rFonts w:ascii="Times New Roman" w:hAnsi="Times New Roman" w:eastAsia="宋体"/>
          <w:color w:val="auto"/>
          <w:highlight w:val="none"/>
        </w:rPr>
        <w:t>GB3096-2008</w:t>
      </w:r>
      <w:r>
        <w:rPr>
          <w:rFonts w:hint="eastAsia"/>
          <w:color w:val="auto"/>
          <w:highlight w:val="none"/>
          <w:lang w:eastAsia="zh-CN"/>
        </w:rPr>
        <w:t>）</w:t>
      </w:r>
      <w:r>
        <w:rPr>
          <w:rFonts w:ascii="Times New Roman" w:hAnsi="Times New Roman" w:eastAsia="宋体"/>
          <w:color w:val="auto"/>
          <w:highlight w:val="none"/>
        </w:rPr>
        <w:t>中2类标准要求。</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2.5.1.4生态环境功能区划</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根据《新疆生态功能区划》，本项目所在区域属于</w:t>
      </w:r>
      <w:r>
        <w:rPr>
          <w:rFonts w:hint="eastAsia"/>
          <w:color w:val="auto"/>
          <w:highlight w:val="none"/>
          <w:lang w:eastAsia="zh-CN"/>
        </w:rPr>
        <w:t>”</w:t>
      </w:r>
      <w:r>
        <w:rPr>
          <w:rFonts w:ascii="Times New Roman" w:hAnsi="Times New Roman" w:eastAsia="宋体"/>
          <w:color w:val="auto"/>
          <w:highlight w:val="none"/>
        </w:rPr>
        <w:t>准噶尔盆地温性荒漠与绿洲农业生态区</w:t>
      </w:r>
      <w:r>
        <w:rPr>
          <w:rFonts w:hint="eastAsia"/>
          <w:color w:val="auto"/>
          <w:highlight w:val="none"/>
          <w:lang w:eastAsia="zh-CN"/>
        </w:rPr>
        <w:t>（</w:t>
      </w:r>
      <w:r>
        <w:rPr>
          <w:rFonts w:ascii="Times New Roman" w:hAnsi="Times New Roman" w:eastAsia="宋体"/>
          <w:color w:val="auto"/>
          <w:highlight w:val="none"/>
        </w:rPr>
        <w:t>Ⅱ</w:t>
      </w:r>
      <w:r>
        <w:rPr>
          <w:rFonts w:hint="eastAsia"/>
          <w:color w:val="auto"/>
          <w:highlight w:val="none"/>
          <w:lang w:eastAsia="zh-CN"/>
        </w:rPr>
        <w:t>）</w:t>
      </w:r>
      <w:r>
        <w:rPr>
          <w:rFonts w:ascii="Times New Roman" w:hAnsi="Times New Roman" w:eastAsia="宋体"/>
          <w:color w:val="auto"/>
          <w:highlight w:val="none"/>
        </w:rPr>
        <w:t>准噶尔盆地南部荒漠绿洲农业生态亚区</w:t>
      </w:r>
      <w:r>
        <w:rPr>
          <w:rFonts w:hint="eastAsia"/>
          <w:color w:val="auto"/>
          <w:highlight w:val="none"/>
          <w:lang w:eastAsia="zh-CN"/>
        </w:rPr>
        <w:t>（</w:t>
      </w:r>
      <w:r>
        <w:rPr>
          <w:rFonts w:ascii="Times New Roman" w:hAnsi="Times New Roman" w:eastAsia="宋体"/>
          <w:color w:val="auto"/>
          <w:highlight w:val="none"/>
        </w:rPr>
        <w:t>Ⅱ</w:t>
      </w:r>
      <w:r>
        <w:rPr>
          <w:rFonts w:ascii="Times New Roman" w:hAnsi="Times New Roman" w:eastAsia="宋体"/>
          <w:color w:val="auto"/>
          <w:highlight w:val="none"/>
          <w:vertAlign w:val="subscript"/>
        </w:rPr>
        <w:t>3</w:t>
      </w:r>
      <w:r>
        <w:rPr>
          <w:rFonts w:hint="eastAsia"/>
          <w:color w:val="auto"/>
          <w:highlight w:val="none"/>
          <w:lang w:eastAsia="zh-CN"/>
        </w:rPr>
        <w:t>）</w:t>
      </w:r>
      <w:r>
        <w:rPr>
          <w:rFonts w:ascii="Times New Roman" w:hAnsi="Times New Roman" w:eastAsia="宋体"/>
          <w:color w:val="auto"/>
          <w:highlight w:val="none"/>
        </w:rPr>
        <w:t>23古尔班通古特沙漠化敏感及植被保护生态功能区</w:t>
      </w:r>
      <w:r>
        <w:rPr>
          <w:rFonts w:hint="eastAsia"/>
          <w:color w:val="auto"/>
          <w:highlight w:val="none"/>
          <w:lang w:eastAsia="zh-CN"/>
        </w:rPr>
        <w:t>”</w:t>
      </w:r>
      <w:r>
        <w:rPr>
          <w:rFonts w:ascii="Times New Roman" w:hAnsi="Times New Roman" w:eastAsia="宋体"/>
          <w:color w:val="auto"/>
          <w:highlight w:val="none"/>
        </w:rPr>
        <w:t>。</w:t>
      </w:r>
    </w:p>
    <w:p>
      <w:pPr>
        <w:pStyle w:val="5"/>
        <w:rPr>
          <w:rFonts w:ascii="Times New Roman" w:hAnsi="Times New Roman" w:eastAsia="宋体"/>
          <w:color w:val="auto"/>
          <w:highlight w:val="none"/>
        </w:rPr>
      </w:pPr>
      <w:bookmarkStart w:id="53" w:name="_Toc106663440"/>
      <w:r>
        <w:rPr>
          <w:rFonts w:hint="eastAsia" w:ascii="Times New Roman" w:hAnsi="Times New Roman" w:eastAsia="宋体"/>
          <w:color w:val="auto"/>
          <w:highlight w:val="none"/>
        </w:rPr>
        <w:t>2.5.2评价标准</w:t>
      </w:r>
      <w:bookmarkEnd w:id="53"/>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2.5.2.1环境质量标准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（1）环境空气质量标准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所在地点所属环境空气区域为二类区。故评价区域大气环境质量常规污染物选用《环境空气质量标准》（GB3095-2012）中的二级标准；氨和硫化氢选用《环境影响评价技术导则-大气环境》（HJ2.2-2018）中附录D氨和硫化氢的1h浓度限值。标准值见表2.5-1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表2.5-1环境空气污染物浓度限值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853"/>
        <w:gridCol w:w="1985"/>
        <w:gridCol w:w="992"/>
        <w:gridCol w:w="851"/>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85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污染物项目</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平均时间</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浓度限值</w:t>
            </w:r>
          </w:p>
        </w:tc>
        <w:tc>
          <w:tcPr>
            <w:tcW w:w="851"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c>
          <w:tcPr>
            <w:tcW w:w="2318"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二氧化硫（SO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60</w:t>
            </w:r>
          </w:p>
        </w:tc>
        <w:tc>
          <w:tcPr>
            <w:tcW w:w="851"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c>
          <w:tcPr>
            <w:tcW w:w="2318" w:type="dxa"/>
            <w:vMerge w:val="restart"/>
            <w:vAlign w:val="center"/>
          </w:tcPr>
          <w:p>
            <w:pPr>
              <w:spacing w:line="240" w:lineRule="auto"/>
              <w:ind w:left="-120" w:leftChars="-50" w:right="-120" w:rightChars="-50"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150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500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二氧化氮（</w:t>
            </w:r>
            <w:r>
              <w:rPr>
                <w:rFonts w:ascii="Times New Roman" w:hAnsi="Times New Roman" w:eastAsia="宋体"/>
                <w:color w:val="auto"/>
                <w:sz w:val="21"/>
                <w:szCs w:val="21"/>
                <w:highlight w:val="none"/>
              </w:rPr>
              <w:t>NO</w:t>
            </w:r>
            <w:r>
              <w:rPr>
                <w:rFonts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80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200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一氧化碳（CO）</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851"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臭氧（O</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日最大8小时平均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160</w:t>
            </w:r>
          </w:p>
        </w:tc>
        <w:tc>
          <w:tcPr>
            <w:tcW w:w="851"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200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颗粒物（粒径小于等于10</w:t>
            </w:r>
            <w:r>
              <w:rPr>
                <w:rFonts w:ascii="Times New Roman" w:hAnsi="Times New Roman" w:eastAsia="宋体"/>
                <w:color w:val="auto"/>
                <w:sz w:val="21"/>
                <w:szCs w:val="21"/>
                <w:highlight w:val="none"/>
              </w:rPr>
              <w:t>μm</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150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颗粒物（粒径小于等于2.5</w:t>
            </w:r>
            <w:r>
              <w:rPr>
                <w:rFonts w:ascii="Times New Roman" w:hAnsi="Times New Roman" w:eastAsia="宋体"/>
                <w:color w:val="auto"/>
                <w:sz w:val="21"/>
                <w:szCs w:val="21"/>
                <w:highlight w:val="none"/>
              </w:rPr>
              <w:t>μm</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35</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75</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1853"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总悬浮颗粒物（TSP）</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185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硫化氢（</w:t>
            </w:r>
            <w:r>
              <w:rPr>
                <w:rFonts w:ascii="Times New Roman" w:hAnsi="Times New Roman" w:eastAsia="宋体"/>
                <w:color w:val="auto"/>
                <w:sz w:val="21"/>
                <w:szCs w:val="21"/>
                <w:highlight w:val="none"/>
              </w:rPr>
              <w:t>H</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S</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c>
          <w:tcPr>
            <w:tcW w:w="851"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p>
        </w:tc>
        <w:tc>
          <w:tcPr>
            <w:tcW w:w="2318" w:type="dxa"/>
            <w:vMerge w:val="restart"/>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1853"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氨（NH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p>
        </w:tc>
        <w:tc>
          <w:tcPr>
            <w:tcW w:w="1985"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0.20</w:t>
            </w:r>
          </w:p>
        </w:tc>
        <w:tc>
          <w:tcPr>
            <w:tcW w:w="851"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）地下水执行《地下水质量标准》（GB/T14848-2017）中的Ⅲ类标准，标准值见表2.5-2。</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表2.5-2地下水质量指标及标准限值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473"/>
        <w:gridCol w:w="2474"/>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2473"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w:t>
            </w:r>
          </w:p>
        </w:tc>
        <w:tc>
          <w:tcPr>
            <w:tcW w:w="247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c>
          <w:tcPr>
            <w:tcW w:w="2474"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pH</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6.5</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氨氮</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挥发酚</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六价铬</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个/L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亚硝酸盐</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硝酸盐氮</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氰化物</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溶解性总固体</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硫酸盐</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氯化物</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总硬度</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12</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砷</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13</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汞</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铅</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镉</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16</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氟化物</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17</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耗氧量</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18</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铁</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19</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锰</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铜</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21</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锌</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22</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铝</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23</w:t>
            </w:r>
          </w:p>
        </w:tc>
        <w:tc>
          <w:tcPr>
            <w:tcW w:w="2473"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总大肠菌群</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MPN/100ml</w:t>
            </w:r>
          </w:p>
        </w:tc>
        <w:tc>
          <w:tcPr>
            <w:tcW w:w="2474" w:type="dxa"/>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）声环境质量标准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根据声环境功能区划分，项目所在地为2类声环境功能区，执行《声环境质量标准》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的2类标准标准限值见表2.5-3。</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表2.5-3声环境质量标准限值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声环境功能区类别</w:t>
            </w:r>
          </w:p>
        </w:tc>
        <w:tc>
          <w:tcPr>
            <w:tcW w:w="5682" w:type="dxa"/>
            <w:gridSpan w:val="2"/>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84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昼间、dB（A）</w:t>
            </w:r>
          </w:p>
        </w:tc>
        <w:tc>
          <w:tcPr>
            <w:tcW w:w="284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类</w:t>
            </w:r>
          </w:p>
        </w:tc>
        <w:tc>
          <w:tcPr>
            <w:tcW w:w="2841" w:type="dxa"/>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2841" w:type="dxa"/>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）土壤环境质量标准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本项目土壤环境执行《土壤环境质量农用地土壤污染风险管控标准</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GB15618-2018</w:t>
      </w:r>
      <w:r>
        <w:rPr>
          <w:rFonts w:hint="eastAsia"/>
          <w:color w:val="auto"/>
          <w:highlight w:val="none"/>
          <w:lang w:eastAsia="zh-CN"/>
        </w:rPr>
        <w:t>）</w:t>
      </w:r>
      <w:r>
        <w:rPr>
          <w:rFonts w:hint="eastAsia" w:ascii="Times New Roman" w:hAnsi="Times New Roman" w:eastAsia="宋体"/>
          <w:color w:val="auto"/>
          <w:highlight w:val="none"/>
        </w:rPr>
        <w:t>中其他用地风险筛选值和《畜禽养殖产地环境评价规范》</w:t>
      </w:r>
      <w:r>
        <w:rPr>
          <w:rFonts w:hint="eastAsia"/>
          <w:color w:val="auto"/>
          <w:highlight w:val="none"/>
          <w:lang w:eastAsia="zh-CN"/>
        </w:rPr>
        <w:t>（</w:t>
      </w:r>
      <w:r>
        <w:rPr>
          <w:rFonts w:hint="eastAsia" w:ascii="Times New Roman" w:hAnsi="Times New Roman" w:eastAsia="宋体"/>
          <w:color w:val="auto"/>
          <w:highlight w:val="none"/>
        </w:rPr>
        <w:t>HJ568-2010</w:t>
      </w:r>
      <w:r>
        <w:rPr>
          <w:rFonts w:hint="eastAsia"/>
          <w:color w:val="auto"/>
          <w:highlight w:val="none"/>
          <w:lang w:eastAsia="zh-CN"/>
        </w:rPr>
        <w:t>）</w:t>
      </w:r>
      <w:r>
        <w:rPr>
          <w:rFonts w:hint="eastAsia" w:ascii="Times New Roman" w:hAnsi="Times New Roman" w:eastAsia="宋体"/>
          <w:color w:val="auto"/>
          <w:highlight w:val="none"/>
        </w:rPr>
        <w:t>中表4限值要求，其标准值见表2.5-4。</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表2.5-4GB15618-2018农用地土壤污染风险筛选值</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5"/>
        <w:gridCol w:w="1725"/>
        <w:gridCol w:w="1047"/>
        <w:gridCol w:w="1818"/>
        <w:gridCol w:w="1818"/>
        <w:gridCol w:w="1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103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污染物项目</w:t>
            </w:r>
          </w:p>
        </w:tc>
        <w:tc>
          <w:tcPr>
            <w:tcW w:w="3543"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筛选值</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mg/kg</w:t>
            </w:r>
            <w:r>
              <w:rPr>
                <w:rFonts w:hint="eastAsia" w:cs="宋体"/>
                <w:color w:val="auto"/>
                <w:spacing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038"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5.5</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5.5</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6.5</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6.5</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7.5</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镉</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汞</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1.3</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1.8</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2.4</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砷</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铅</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铬</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铜</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镍</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锌</w:t>
            </w:r>
          </w:p>
        </w:tc>
        <w:tc>
          <w:tcPr>
            <w:tcW w:w="63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10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250</w:t>
            </w:r>
          </w:p>
        </w:tc>
        <w:tc>
          <w:tcPr>
            <w:tcW w:w="7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六六六总量</w:t>
            </w:r>
          </w:p>
        </w:tc>
        <w:tc>
          <w:tcPr>
            <w:tcW w:w="3543"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c>
          <w:tcPr>
            <w:tcW w:w="103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滴滴涕总量</w:t>
            </w:r>
          </w:p>
        </w:tc>
        <w:tc>
          <w:tcPr>
            <w:tcW w:w="3543"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0.10</w:t>
            </w:r>
          </w:p>
        </w:tc>
      </w:tr>
    </w:tbl>
    <w:p>
      <w:pPr>
        <w:keepNext w:val="0"/>
        <w:keepLines w:val="0"/>
        <w:pageBreakBefore w:val="0"/>
        <w:widowControl w:val="0"/>
        <w:kinsoku/>
        <w:wordWrap/>
        <w:overflowPunct/>
        <w:topLinePunct w:val="0"/>
        <w:autoSpaceDE/>
        <w:autoSpaceDN/>
        <w:bidi w:val="0"/>
        <w:adjustRightInd/>
        <w:snapToGrid/>
        <w:spacing w:line="214" w:lineRule="auto"/>
        <w:ind w:left="0" w:firstLine="0" w:firstLineChars="0"/>
        <w:jc w:val="center"/>
        <w:textAlignment w:val="auto"/>
        <w:rPr>
          <w:rFonts w:hint="eastAsia" w:ascii="Times New Roman" w:hAnsi="Times New Roman" w:eastAsia="宋体" w:cstheme="majorBidi"/>
          <w:b/>
          <w:color w:val="auto"/>
          <w:sz w:val="21"/>
          <w:highlight w:val="none"/>
          <w:lang w:val="en-US" w:eastAsia="zh-CN" w:bidi="ar-SA"/>
        </w:rPr>
      </w:pPr>
      <w:r>
        <w:rPr>
          <w:rFonts w:hint="eastAsia" w:ascii="Times New Roman" w:hAnsi="Times New Roman" w:eastAsia="宋体" w:cstheme="majorBidi"/>
          <w:b/>
          <w:color w:val="auto"/>
          <w:sz w:val="21"/>
          <w:highlight w:val="none"/>
          <w:lang w:val="en-US" w:eastAsia="zh-CN" w:bidi="ar-SA"/>
        </w:rPr>
        <w:t>表2.5-5HJ568-2010畜禽养殖产地环境评价规范</w:t>
      </w:r>
    </w:p>
    <w:tbl>
      <w:tblPr>
        <w:tblStyle w:val="17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2608"/>
        <w:gridCol w:w="42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污染物项目</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标准限值</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mg/kg</w:t>
            </w:r>
            <w:r>
              <w:rPr>
                <w:rFonts w:hint="eastAsia" w:cs="宋体"/>
                <w:color w:val="auto"/>
                <w:spacing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镉</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汞</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砷</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铜</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铅</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铬</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锌</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镍</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六六六</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44"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c>
          <w:tcPr>
            <w:tcW w:w="1569"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滴滴涕</w:t>
            </w:r>
          </w:p>
        </w:tc>
        <w:tc>
          <w:tcPr>
            <w:tcW w:w="2586" w:type="pct"/>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bl>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2.5.2.2污染物排放标准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（1）废气</w:t>
      </w:r>
    </w:p>
    <w:p>
      <w:pPr>
        <w:ind w:firstLine="480"/>
        <w:rPr>
          <w:rFonts w:ascii="Times New Roman" w:hAnsi="Times New Roman" w:eastAsia="宋体"/>
          <w:color w:val="auto"/>
          <w:highlight w:val="none"/>
        </w:rPr>
      </w:pPr>
      <w:r>
        <w:rPr>
          <w:rFonts w:hint="eastAsia"/>
          <w:color w:val="auto"/>
          <w:highlight w:val="none"/>
          <w:lang w:val="en-US" w:eastAsia="zh-CN"/>
        </w:rPr>
        <w:t>①</w:t>
      </w:r>
      <w:r>
        <w:rPr>
          <w:rFonts w:hint="eastAsia" w:ascii="Times New Roman" w:hAnsi="Times New Roman" w:eastAsia="宋体"/>
          <w:color w:val="auto"/>
          <w:highlight w:val="none"/>
        </w:rPr>
        <w:t>施工期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项目施工期施工场地扬尘排放执行《大气污染物综合排放标准》（GB16297-1996）表2中无组织排放监控浓度限值（周界外浓度最高点≤1.0mg/m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val="en-US" w:eastAsia="zh-CN"/>
        </w:rPr>
        <w:t>②</w:t>
      </w:r>
      <w:r>
        <w:rPr>
          <w:rFonts w:hint="eastAsia" w:ascii="Times New Roman" w:hAnsi="Times New Roman" w:eastAsia="宋体"/>
          <w:color w:val="auto"/>
          <w:highlight w:val="none"/>
        </w:rPr>
        <w:t>运营期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养殖场</w:t>
      </w:r>
      <w:r>
        <w:rPr>
          <w:rFonts w:hint="eastAsia" w:ascii="Times New Roman" w:hAnsi="Times New Roman" w:eastAsia="宋体"/>
          <w:color w:val="auto"/>
          <w:highlight w:val="none"/>
        </w:rPr>
        <w:t>界恶臭污染物排放标准执行《恶臭污染物排放标准》（GB14554-1993）表1恶臭污染物厂界标准二级标准；臭气浓度无组织排放执行《畜禽养殖业污染物排放标准》（GB18596-2001）中集约化畜禽养殖业恶臭污染物排放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大气污染物排放限值见表2.5-</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大气污染物排放限值</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3826"/>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污染物种类</w:t>
            </w:r>
          </w:p>
        </w:tc>
        <w:tc>
          <w:tcPr>
            <w:tcW w:w="3855" w:type="pct"/>
            <w:gridSpan w:val="2"/>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24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610"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浓度限值</w:t>
            </w:r>
          </w:p>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臭气浓度</w:t>
            </w:r>
          </w:p>
        </w:tc>
        <w:tc>
          <w:tcPr>
            <w:tcW w:w="224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《畜禽养殖业污染物排放标准》（GB18596-2001）表7中的标准</w:t>
            </w:r>
          </w:p>
        </w:tc>
        <w:tc>
          <w:tcPr>
            <w:tcW w:w="1610"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H</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S</w:t>
            </w:r>
            <w:r>
              <w:rPr>
                <w:rFonts w:hint="eastAsia" w:ascii="Times New Roman" w:hAnsi="Times New Roman" w:eastAsia="宋体"/>
                <w:color w:val="auto"/>
                <w:sz w:val="21"/>
                <w:szCs w:val="21"/>
                <w:highlight w:val="none"/>
              </w:rPr>
              <w:t>（厂界）</w:t>
            </w:r>
          </w:p>
        </w:tc>
        <w:tc>
          <w:tcPr>
            <w:tcW w:w="2244" w:type="pct"/>
            <w:vMerge w:val="restart"/>
            <w:vAlign w:val="center"/>
          </w:tcPr>
          <w:p>
            <w:pPr>
              <w:spacing w:line="240" w:lineRule="auto"/>
              <w:ind w:firstLine="42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《恶臭污染物排放标准》（GB14554-1993）表1中二级新改扩建标准</w:t>
            </w:r>
          </w:p>
        </w:tc>
        <w:tc>
          <w:tcPr>
            <w:tcW w:w="1610" w:type="pct"/>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（厂界）</w:t>
            </w:r>
          </w:p>
        </w:tc>
        <w:tc>
          <w:tcPr>
            <w:tcW w:w="2244" w:type="pct"/>
            <w:vMerge w:val="continue"/>
            <w:vAlign w:val="center"/>
          </w:tcPr>
          <w:p>
            <w:pPr>
              <w:spacing w:line="240" w:lineRule="auto"/>
              <w:ind w:firstLine="420"/>
              <w:jc w:val="center"/>
              <w:rPr>
                <w:rFonts w:ascii="Times New Roman" w:hAnsi="Times New Roman" w:eastAsia="宋体"/>
                <w:color w:val="auto"/>
                <w:sz w:val="21"/>
                <w:szCs w:val="21"/>
                <w:highlight w:val="none"/>
              </w:rPr>
            </w:pPr>
          </w:p>
        </w:tc>
        <w:tc>
          <w:tcPr>
            <w:tcW w:w="1610"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（2）废水污染物排放标准</w:t>
      </w:r>
    </w:p>
    <w:p>
      <w:pPr>
        <w:ind w:firstLine="480"/>
        <w:rPr>
          <w:rFonts w:ascii="Times New Roman" w:hAnsi="Times New Roman" w:eastAsia="宋体"/>
          <w:color w:val="auto"/>
          <w:highlight w:val="none"/>
        </w:rPr>
      </w:pPr>
      <w:r>
        <w:rPr>
          <w:rFonts w:ascii="Times New Roman" w:hAnsi="Times New Roman" w:eastAsia="宋体"/>
          <w:color w:val="auto"/>
          <w:highlight w:val="none"/>
        </w:rPr>
        <w:t>生活污水直接排入下水管网，最终进入玛纳斯县城污水处理厂；鸡舍冲洗废水排入</w:t>
      </w:r>
      <w:r>
        <w:rPr>
          <w:rFonts w:hint="eastAsia"/>
          <w:color w:val="auto"/>
          <w:highlight w:val="none"/>
          <w:lang w:val="en-US" w:eastAsia="zh-CN"/>
        </w:rPr>
        <w:t>废水收集池经过预处理处理后用作农肥</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（3）噪声排放标准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本项目运营期厂界噪声排放执行《工业企业厂界环境噪声排放标准》（GB12348-2008）</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类标准；建设期施工噪声排放执行《建筑施工厂界环境噪声排放标准》（GB12523-2011）。标准限值见表2.5-</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表2.5-</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噪声排放标准单位：dB（A）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319"/>
        <w:gridCol w:w="3457"/>
        <w:gridCol w:w="1231"/>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排放口/源</w:t>
            </w:r>
          </w:p>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774"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污染物种类</w:t>
            </w:r>
          </w:p>
        </w:tc>
        <w:tc>
          <w:tcPr>
            <w:tcW w:w="3472" w:type="pct"/>
            <w:gridSpan w:val="3"/>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5"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774"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028"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443" w:type="pct"/>
            <w:gridSpan w:val="2"/>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5"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774"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028"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72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昼间</w:t>
            </w:r>
          </w:p>
        </w:tc>
        <w:tc>
          <w:tcPr>
            <w:tcW w:w="72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55" w:type="pct"/>
            <w:vMerge w:val="restart"/>
            <w:tcBorders>
              <w:bottom w:val="single" w:color="auto" w:sz="4" w:space="0"/>
            </w:tcBorders>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厂界噪声</w:t>
            </w:r>
          </w:p>
        </w:tc>
        <w:tc>
          <w:tcPr>
            <w:tcW w:w="7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2028" w:type="pct"/>
            <w:tcBorders>
              <w:bottom w:val="single" w:color="auto" w:sz="4" w:space="0"/>
            </w:tcBorders>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《建筑施工场界环境噪声排放标准》（GB12523-2011）</w:t>
            </w:r>
          </w:p>
        </w:tc>
        <w:tc>
          <w:tcPr>
            <w:tcW w:w="722" w:type="pct"/>
            <w:tcBorders>
              <w:bottom w:val="single" w:color="auto" w:sz="4" w:space="0"/>
            </w:tcBorders>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721" w:type="pct"/>
            <w:tcBorders>
              <w:bottom w:val="single" w:color="auto" w:sz="4" w:space="0"/>
            </w:tcBorders>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7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202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《工业企业厂界环境噪声排放标准》（GB12348-2008）中</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类标准</w:t>
            </w:r>
          </w:p>
        </w:tc>
        <w:tc>
          <w:tcPr>
            <w:tcW w:w="722" w:type="pct"/>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721" w:type="pct"/>
            <w:vAlign w:val="center"/>
          </w:tcPr>
          <w:p>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（4）固体废物</w:t>
      </w:r>
    </w:p>
    <w:p>
      <w:pPr>
        <w:ind w:firstLine="480"/>
        <w:rPr>
          <w:rFonts w:ascii="Times New Roman" w:hAnsi="Times New Roman" w:eastAsia="宋体"/>
          <w:color w:val="auto"/>
          <w:highlight w:val="none"/>
        </w:rPr>
      </w:pPr>
      <w:r>
        <w:rPr>
          <w:rFonts w:ascii="Times New Roman" w:hAnsi="Times New Roman" w:eastAsia="宋体"/>
          <w:color w:val="auto"/>
          <w:highlight w:val="none"/>
        </w:rPr>
        <w:t>一般工业固体废物执行《一般工业固体废物贮存和填埋污染控制标准》</w:t>
      </w:r>
      <w:r>
        <w:rPr>
          <w:rFonts w:hint="eastAsia"/>
          <w:color w:val="auto"/>
          <w:highlight w:val="none"/>
          <w:lang w:eastAsia="zh-CN"/>
        </w:rPr>
        <w:t>（</w:t>
      </w:r>
      <w:r>
        <w:rPr>
          <w:rFonts w:ascii="Times New Roman" w:hAnsi="Times New Roman" w:eastAsia="宋体"/>
          <w:color w:val="auto"/>
          <w:highlight w:val="none"/>
        </w:rPr>
        <w:t>GB18599-2020</w:t>
      </w:r>
      <w:r>
        <w:rPr>
          <w:rFonts w:hint="eastAsia"/>
          <w:color w:val="auto"/>
          <w:highlight w:val="none"/>
          <w:lang w:eastAsia="zh-CN"/>
        </w:rPr>
        <w:t>）</w:t>
      </w:r>
      <w:r>
        <w:rPr>
          <w:rFonts w:ascii="Times New Roman" w:hAnsi="Times New Roman" w:eastAsia="宋体"/>
          <w:color w:val="auto"/>
          <w:highlight w:val="none"/>
        </w:rPr>
        <w:t>中有关规定。危险废物执行《危险废物贮存污染控制标准》</w:t>
      </w:r>
      <w:r>
        <w:rPr>
          <w:rFonts w:hint="eastAsia"/>
          <w:color w:val="auto"/>
          <w:highlight w:val="none"/>
          <w:lang w:eastAsia="zh-CN"/>
        </w:rPr>
        <w:t>（</w:t>
      </w:r>
      <w:r>
        <w:rPr>
          <w:rFonts w:ascii="Times New Roman" w:hAnsi="Times New Roman" w:eastAsia="宋体"/>
          <w:color w:val="auto"/>
          <w:highlight w:val="none"/>
        </w:rPr>
        <w:t>GB18597-</w:t>
      </w:r>
      <w:r>
        <w:rPr>
          <w:rFonts w:hint="eastAsia" w:ascii="Times New Roman" w:hAnsi="Times New Roman" w:eastAsia="宋体"/>
          <w:color w:val="auto"/>
          <w:highlight w:val="none"/>
          <w:lang w:val="en-US" w:eastAsia="zh-CN"/>
        </w:rPr>
        <w:t>2023</w:t>
      </w:r>
      <w:r>
        <w:rPr>
          <w:rFonts w:hint="eastAsia"/>
          <w:color w:val="auto"/>
          <w:highlight w:val="none"/>
          <w:lang w:eastAsia="zh-CN"/>
        </w:rPr>
        <w:t>）</w:t>
      </w:r>
      <w:r>
        <w:rPr>
          <w:rFonts w:ascii="Times New Roman" w:hAnsi="Times New Roman" w:eastAsia="宋体"/>
          <w:color w:val="auto"/>
          <w:highlight w:val="none"/>
        </w:rPr>
        <w:t>中要求。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病死鸡只参照执行《畜禽养殖业污染防治技术规范》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和《病死及病害动物无害化处理技术规范》</w:t>
      </w:r>
      <w:r>
        <w:rPr>
          <w:rFonts w:hint="eastAsia"/>
          <w:color w:val="auto"/>
          <w:highlight w:val="none"/>
          <w:lang w:eastAsia="zh-CN"/>
        </w:rPr>
        <w:t>（</w:t>
      </w:r>
      <w:r>
        <w:rPr>
          <w:rFonts w:ascii="Times New Roman" w:hAnsi="Times New Roman" w:eastAsia="宋体"/>
          <w:color w:val="auto"/>
          <w:highlight w:val="none"/>
        </w:rPr>
        <w:t>农医发〔2017〕25号</w:t>
      </w:r>
      <w:r>
        <w:rPr>
          <w:rFonts w:hint="eastAsia"/>
          <w:color w:val="auto"/>
          <w:highlight w:val="none"/>
          <w:lang w:eastAsia="zh-CN"/>
        </w:rPr>
        <w:t>）</w:t>
      </w:r>
      <w:r>
        <w:rPr>
          <w:rFonts w:ascii="Times New Roman" w:hAnsi="Times New Roman" w:eastAsia="宋体"/>
          <w:color w:val="auto"/>
          <w:highlight w:val="none"/>
        </w:rPr>
        <w:t>中相关规定。</w:t>
      </w:r>
    </w:p>
    <w:p>
      <w:pPr>
        <w:pStyle w:val="4"/>
        <w:rPr>
          <w:rFonts w:ascii="Times New Roman" w:hAnsi="Times New Roman" w:eastAsia="宋体"/>
          <w:color w:val="auto"/>
          <w:highlight w:val="none"/>
        </w:rPr>
      </w:pPr>
      <w:bookmarkStart w:id="54" w:name="_Toc89619329"/>
      <w:bookmarkStart w:id="55" w:name="_Toc106663441"/>
      <w:r>
        <w:rPr>
          <w:rFonts w:hint="eastAsia" w:ascii="Times New Roman" w:hAnsi="Times New Roman" w:eastAsia="宋体"/>
          <w:color w:val="auto"/>
          <w:highlight w:val="none"/>
        </w:rPr>
        <w:t>2.6评价等级及评价范围</w:t>
      </w:r>
      <w:bookmarkEnd w:id="54"/>
      <w:bookmarkEnd w:id="55"/>
    </w:p>
    <w:p>
      <w:pPr>
        <w:pStyle w:val="5"/>
        <w:rPr>
          <w:rFonts w:ascii="Times New Roman" w:hAnsi="Times New Roman" w:eastAsia="宋体"/>
          <w:color w:val="auto"/>
          <w:highlight w:val="none"/>
        </w:rPr>
      </w:pPr>
      <w:bookmarkStart w:id="56" w:name="_Toc106663442"/>
      <w:r>
        <w:rPr>
          <w:rFonts w:hint="eastAsia" w:ascii="Times New Roman" w:hAnsi="Times New Roman" w:eastAsia="宋体"/>
          <w:color w:val="auto"/>
          <w:highlight w:val="none"/>
        </w:rPr>
        <w:t>2.6.1评价等级</w:t>
      </w:r>
      <w:bookmarkEnd w:id="56"/>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2.6.1.1大气环境影响评价等级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（1）判定依据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根据《环境影响评价技术导则大气环境》（HJ2.2-2018）中</w:t>
      </w:r>
      <w:r>
        <w:rPr>
          <w:rFonts w:hint="eastAsia"/>
          <w:color w:val="auto"/>
          <w:highlight w:val="none"/>
          <w:lang w:eastAsia="zh-CN"/>
        </w:rPr>
        <w:t>”</w:t>
      </w:r>
      <w:r>
        <w:rPr>
          <w:rFonts w:hint="eastAsia" w:ascii="Times New Roman" w:hAnsi="Times New Roman" w:eastAsia="宋体"/>
          <w:color w:val="auto"/>
          <w:highlight w:val="none"/>
        </w:rPr>
        <w:t>5.3评价标准确定</w:t>
      </w:r>
      <w:r>
        <w:rPr>
          <w:rFonts w:hint="eastAsia"/>
          <w:color w:val="auto"/>
          <w:highlight w:val="none"/>
          <w:lang w:eastAsia="zh-CN"/>
        </w:rPr>
        <w:t>”</w:t>
      </w:r>
      <w:r>
        <w:rPr>
          <w:rFonts w:hint="eastAsia" w:ascii="Times New Roman" w:hAnsi="Times New Roman" w:eastAsia="宋体"/>
          <w:color w:val="auto"/>
          <w:highlight w:val="none"/>
        </w:rPr>
        <w:t>的规定，选择项目污染源正常排放的主要污染物及排放参数，采用附录A推荐模型中估算模型分别计算项目污染源的最大环境影响，然后按评价工作分级判据进行分级。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根据项目污染源初步调查结果，计算项目排放主要污染物的最大地面空气质量浓度占标率P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w:t>
      </w:r>
    </w:p>
    <w:p>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27"/>
          <w:highlight w:val="none"/>
        </w:rPr>
        <w:object>
          <v:shape id="_x0000_i1026" o:spt="75" type="#_x0000_t75" style="height:34.1pt;width:88.25pt;" o:ole="t" filled="f" o:preferrelative="t" stroked="f" coordsize="21600,21600">
            <v:path/>
            <v:fill on="f" focussize="0,0"/>
            <v:stroke on="f" joinstyle="miter"/>
            <v:imagedata r:id="rId34" o:title=""/>
            <o:lock v:ext="edit" aspectratio="t"/>
            <w10:wrap type="none"/>
            <w10:anchorlock/>
          </v:shape>
          <o:OLEObject Type="Embed" ProgID="Equation.AxMath" ShapeID="_x0000_i1026" DrawAspect="Content" ObjectID="_1468075726" r:id="rId33">
            <o:LockedField>false</o:LockedField>
          </o:OLEObject>
        </w:object>
      </w:r>
    </w:p>
    <w:p>
      <w:pPr>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——第i个污染物的最大地面空气质量浓度占标率，%；</w:t>
      </w:r>
    </w:p>
    <w:p>
      <w:pPr>
        <w:ind w:firstLine="708" w:firstLineChars="295"/>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——采用估算模型计算出的第i个污染物的最大1h地面空气质量浓度，</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708" w:firstLineChars="295"/>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——第i个污染物的环境空气质量浓度标准，μg/m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一般选用GB3095中1h平均质量浓度的二级浓度限值，如项目位于一类环境空气功能区，应选择相应的一级浓度限值；对该标准中未包含的污染物，使用《环境影响评价技术导则大气环境》（HJ2.2-2018）中5.2确定的各评价因子1h平均质量浓度限值。对仅有8h平均质量浓度限值、日平均质量浓度限值或年平均质量浓度限值的，可分别按2倍、3倍、6倍折算为1h平均质量浓度限值。</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评价等级按表2.6-1的分级判据进行划分，如污染物数i大于1，取P值中最大者P</w:t>
      </w:r>
      <w:r>
        <w:rPr>
          <w:rFonts w:hint="eastAsia" w:ascii="Times New Roman" w:hAnsi="Times New Roman" w:eastAsia="宋体"/>
          <w:color w:val="auto"/>
          <w:highlight w:val="none"/>
          <w:vertAlign w:val="subscript"/>
        </w:rPr>
        <w:t>max</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表2.6-1评价等级判别表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评价工作等级</w:t>
            </w:r>
          </w:p>
        </w:tc>
        <w:tc>
          <w:tcPr>
            <w:tcW w:w="529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一级评价</w:t>
            </w:r>
          </w:p>
        </w:tc>
        <w:tc>
          <w:tcPr>
            <w:tcW w:w="529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二级评价</w:t>
            </w:r>
          </w:p>
        </w:tc>
        <w:tc>
          <w:tcPr>
            <w:tcW w:w="529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三级评价</w:t>
            </w:r>
          </w:p>
        </w:tc>
        <w:tc>
          <w:tcPr>
            <w:tcW w:w="529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﹤1%</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评价等级的确定还应符合以下规定：</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同一项目有多个污染源（两个及以上）时，则按各污染源分别确定评价等级，并取评价等级最高者作为项目的评价等级。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（2）判别估算过程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本次评价预测采用《环境影响评价技术导则大气环境》（HJ2.2-2018）推荐的ARESCREEN估算模式，估算污染物的最大落地浓度和距离，估算模型参数见表2.6-2。</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表2.6-2估算模型参数表</w:t>
      </w:r>
    </w:p>
    <w:tbl>
      <w:tblPr>
        <w:tblStyle w:val="176"/>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14"/>
        <w:gridCol w:w="191"/>
        <w:gridCol w:w="2375"/>
        <w:gridCol w:w="3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75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参数</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326"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城市</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农村选项</w:t>
            </w:r>
          </w:p>
        </w:tc>
        <w:tc>
          <w:tcPr>
            <w:tcW w:w="1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城市</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农村</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32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人口数</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城市选项时</w:t>
            </w:r>
            <w:r>
              <w:rPr>
                <w:rFonts w:hint="eastAsia" w:cs="宋体"/>
                <w:color w:val="auto"/>
                <w:spacing w:val="0"/>
                <w:sz w:val="21"/>
                <w:szCs w:val="21"/>
                <w:highlight w:val="none"/>
                <w:lang w:eastAsia="zh-CN"/>
              </w:rPr>
              <w:t>）</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75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最高环境温度</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75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最低环境温度</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jc w:val="center"/>
        </w:trPr>
        <w:tc>
          <w:tcPr>
            <w:tcW w:w="275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土地利用类型</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农作地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75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区域湿度条件</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干燥气候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3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是否考虑地形</w:t>
            </w:r>
          </w:p>
        </w:tc>
        <w:tc>
          <w:tcPr>
            <w:tcW w:w="1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考虑地形</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MS Gothic"/>
                <w:color w:val="auto"/>
                <w:spacing w:val="0"/>
                <w:sz w:val="21"/>
                <w:szCs w:val="21"/>
                <w:highlight w:val="none"/>
              </w:rPr>
              <w:t>☑</w:t>
            </w:r>
            <w:r>
              <w:rPr>
                <w:rFonts w:ascii="Times New Roman" w:hAnsi="Times New Roman" w:eastAsia="宋体" w:cs="宋体"/>
                <w:color w:val="auto"/>
                <w:spacing w:val="0"/>
                <w:sz w:val="21"/>
                <w:szCs w:val="21"/>
                <w:highlight w:val="none"/>
              </w:rPr>
              <w:t>是□否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2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是否考虑岸线熏烟</w:t>
            </w:r>
          </w:p>
        </w:tc>
        <w:tc>
          <w:tcPr>
            <w:tcW w:w="154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地形数据分辨率</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2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p>
        </w:tc>
        <w:tc>
          <w:tcPr>
            <w:tcW w:w="154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考虑岸线熏烟</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w:t>
            </w:r>
            <w:r>
              <w:rPr>
                <w:rFonts w:ascii="Times New Roman" w:hAnsi="Times New Roman" w:eastAsia="宋体" w:cs="MS Gothic"/>
                <w:color w:val="auto"/>
                <w:spacing w:val="0"/>
                <w:sz w:val="21"/>
                <w:szCs w:val="21"/>
                <w:highlight w:val="none"/>
              </w:rPr>
              <w:t>☑</w:t>
            </w:r>
            <w:r>
              <w:rPr>
                <w:rFonts w:ascii="Times New Roman" w:hAnsi="Times New Roman" w:eastAsia="宋体" w:cs="宋体"/>
                <w:color w:val="auto"/>
                <w:spacing w:val="0"/>
                <w:sz w:val="21"/>
                <w:szCs w:val="21"/>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2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54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岸线距离</w:t>
            </w:r>
            <w:r>
              <w:rPr>
                <w:rFonts w:ascii="Times New Roman" w:hAnsi="Times New Roman" w:eastAsia="宋体" w:cs="Times New Roman"/>
                <w:color w:val="auto"/>
                <w:spacing w:val="0"/>
                <w:sz w:val="21"/>
                <w:szCs w:val="21"/>
                <w:highlight w:val="none"/>
              </w:rPr>
              <w:t>/m</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2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54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岸线方向</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本项目无组织废气污染源一览表见表2.6-</w:t>
      </w:r>
      <w:r>
        <w:rPr>
          <w:rFonts w:ascii="Times New Roman" w:hAnsi="Times New Roman" w:eastAsia="宋体"/>
          <w:color w:val="auto"/>
          <w:highlight w:val="none"/>
        </w:rPr>
        <w:t>3</w:t>
      </w:r>
      <w:r>
        <w:rPr>
          <w:rFonts w:hint="eastAsia" w:ascii="Times New Roman" w:hAnsi="Times New Roman" w:eastAsia="宋体"/>
          <w:color w:val="auto"/>
          <w:highlight w:val="none"/>
        </w:rPr>
        <w:t>。</w:t>
      </w:r>
    </w:p>
    <w:p>
      <w:pPr>
        <w:pStyle w:val="1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表2.6-</w:t>
      </w:r>
      <w:r>
        <w:rPr>
          <w:rFonts w:ascii="Times New Roman" w:hAnsi="Times New Roman" w:eastAsia="宋体"/>
          <w:color w:val="auto"/>
          <w:highlight w:val="none"/>
        </w:rPr>
        <w:t>3</w:t>
      </w:r>
      <w:r>
        <w:rPr>
          <w:rFonts w:hint="eastAsia" w:ascii="Times New Roman" w:hAnsi="Times New Roman" w:eastAsia="宋体"/>
          <w:color w:val="auto"/>
          <w:highlight w:val="none"/>
        </w:rPr>
        <w:t>无组织废气污染源一览表</w:t>
      </w:r>
      <w:r>
        <w:rPr>
          <w:rFonts w:hint="eastAsia"/>
          <w:color w:val="auto"/>
          <w:highlight w:val="none"/>
          <w:lang w:eastAsia="zh-CN"/>
        </w:rPr>
        <w:t>（</w:t>
      </w:r>
      <w:r>
        <w:rPr>
          <w:rFonts w:hint="eastAsia" w:ascii="Times New Roman" w:hAnsi="Times New Roman" w:eastAsia="宋体"/>
          <w:color w:val="auto"/>
          <w:highlight w:val="none"/>
        </w:rPr>
        <w:t>面源</w:t>
      </w:r>
      <w:r>
        <w:rPr>
          <w:rFonts w:hint="eastAsia"/>
          <w:color w:val="auto"/>
          <w:highlight w:val="none"/>
          <w:lang w:eastAsia="zh-CN"/>
        </w:rPr>
        <w:t>）</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41"/>
        <w:gridCol w:w="1534"/>
        <w:gridCol w:w="44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污染源名称</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厂区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面源中心坐标</w:t>
            </w:r>
            <w:r>
              <w:rPr>
                <w:rFonts w:ascii="Times New Roman" w:hAnsi="Times New Roman" w:eastAsia="宋体" w:cs="Times New Roman"/>
                <w:color w:val="auto"/>
                <w:spacing w:val="0"/>
                <w:sz w:val="21"/>
                <w:szCs w:val="21"/>
                <w:highlight w:val="none"/>
              </w:rPr>
              <w:t>/m</w:t>
            </w: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X</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446728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0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Y</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4910317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面源中心海拔高度</w:t>
            </w:r>
            <w:r>
              <w:rPr>
                <w:rFonts w:ascii="Times New Roman" w:hAnsi="Times New Roman" w:eastAsia="宋体" w:cs="Times New Roman"/>
                <w:color w:val="auto"/>
                <w:spacing w:val="0"/>
                <w:sz w:val="21"/>
                <w:szCs w:val="21"/>
                <w:highlight w:val="none"/>
              </w:rPr>
              <w:t>/m</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面源长度</w:t>
            </w:r>
            <w:r>
              <w:rPr>
                <w:rFonts w:ascii="Times New Roman" w:hAnsi="Times New Roman" w:eastAsia="宋体" w:cs="Times New Roman"/>
                <w:color w:val="auto"/>
                <w:spacing w:val="0"/>
                <w:sz w:val="21"/>
                <w:szCs w:val="21"/>
                <w:highlight w:val="none"/>
              </w:rPr>
              <w:t>/m</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面源宽度</w:t>
            </w:r>
            <w:r>
              <w:rPr>
                <w:rFonts w:ascii="Times New Roman" w:hAnsi="Times New Roman" w:eastAsia="宋体" w:cs="Times New Roman"/>
                <w:color w:val="auto"/>
                <w:spacing w:val="0"/>
                <w:sz w:val="21"/>
                <w:szCs w:val="21"/>
                <w:highlight w:val="none"/>
              </w:rPr>
              <w:t>/m</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面源有效排放高度</w:t>
            </w:r>
            <w:r>
              <w:rPr>
                <w:rFonts w:ascii="Times New Roman" w:hAnsi="Times New Roman" w:eastAsia="宋体" w:cs="Times New Roman"/>
                <w:color w:val="auto"/>
                <w:spacing w:val="0"/>
                <w:sz w:val="21"/>
                <w:szCs w:val="21"/>
                <w:highlight w:val="none"/>
              </w:rPr>
              <w:t>/m</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与正北方向夹角</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年排放小时</w:t>
            </w:r>
            <w:r>
              <w:rPr>
                <w:rFonts w:ascii="Times New Roman" w:hAnsi="Times New Roman" w:eastAsia="宋体" w:cs="Times New Roman"/>
                <w:color w:val="auto"/>
                <w:spacing w:val="0"/>
                <w:sz w:val="21"/>
                <w:szCs w:val="21"/>
                <w:highlight w:val="none"/>
              </w:rPr>
              <w:t>/h</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排放工况</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污染物排放速率</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kg/h</w:t>
            </w:r>
            <w:r>
              <w:rPr>
                <w:rFonts w:hint="eastAsia" w:cs="宋体"/>
                <w:color w:val="auto"/>
                <w:spacing w:val="0"/>
                <w:sz w:val="21"/>
                <w:szCs w:val="21"/>
                <w:highlight w:val="none"/>
                <w:lang w:eastAsia="zh-CN"/>
              </w:rPr>
              <w:t>）</w:t>
            </w: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0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266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0.007</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本项目选取主要的面源废气污染物作为等级判定的依据，其最大地面浓度占标率P</w:t>
      </w:r>
      <w:r>
        <w:rPr>
          <w:rFonts w:hint="eastAsia" w:ascii="Times New Roman" w:hAnsi="Times New Roman" w:eastAsia="宋体"/>
          <w:color w:val="auto"/>
          <w:highlight w:val="none"/>
          <w:vertAlign w:val="subscript"/>
        </w:rPr>
        <w:t>max</w:t>
      </w:r>
      <w:r>
        <w:rPr>
          <w:rFonts w:hint="eastAsia" w:ascii="Times New Roman" w:hAnsi="Times New Roman" w:eastAsia="宋体"/>
          <w:color w:val="auto"/>
          <w:highlight w:val="none"/>
        </w:rPr>
        <w:t>计算结果见表2.6-</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各污染物Pi计算结果</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42"/>
        <w:gridCol w:w="1987"/>
        <w:gridCol w:w="1701"/>
        <w:gridCol w:w="1416"/>
        <w:gridCol w:w="13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230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参数名称</w:t>
            </w:r>
          </w:p>
        </w:tc>
        <w:tc>
          <w:tcPr>
            <w:tcW w:w="10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最大落地浓度</w:t>
            </w:r>
          </w:p>
        </w:tc>
        <w:tc>
          <w:tcPr>
            <w:tcW w:w="85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w:t>
            </w:r>
            <w:r>
              <w:rPr>
                <w:rFonts w:ascii="Times New Roman" w:hAnsi="Times New Roman" w:eastAsia="宋体" w:cs="Times New Roman"/>
                <w:color w:val="auto"/>
                <w:spacing w:val="0"/>
                <w:sz w:val="21"/>
                <w:szCs w:val="21"/>
                <w:highlight w:val="none"/>
                <w:vertAlign w:val="subscript"/>
              </w:rPr>
              <w:t>max</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最大落地点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11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w:t>
            </w:r>
          </w:p>
        </w:tc>
        <w:tc>
          <w:tcPr>
            <w:tcW w:w="10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sz w:val="21"/>
                <w:szCs w:val="14"/>
                <w:highlight w:val="none"/>
                <w:vertAlign w:val="superscript"/>
                <w:lang w:val="en-US" w:eastAsia="zh-CN"/>
              </w:rPr>
            </w:pPr>
            <w:r>
              <w:rPr>
                <w:rFonts w:hint="eastAsia" w:cs="Times New Roman"/>
                <w:color w:val="auto"/>
                <w:spacing w:val="0"/>
                <w:sz w:val="21"/>
                <w:szCs w:val="21"/>
                <w:highlight w:val="none"/>
                <w:lang w:val="en-US" w:eastAsia="zh-CN"/>
              </w:rPr>
              <w:t>u</w:t>
            </w:r>
            <w:r>
              <w:rPr>
                <w:rFonts w:ascii="Times New Roman" w:hAnsi="Times New Roman" w:eastAsia="宋体" w:cs="Times New Roman"/>
                <w:color w:val="auto"/>
                <w:spacing w:val="0"/>
                <w:sz w:val="21"/>
                <w:szCs w:val="21"/>
                <w:highlight w:val="none"/>
              </w:rPr>
              <w:t>g/m</w:t>
            </w:r>
            <w:r>
              <w:rPr>
                <w:rFonts w:hint="eastAsia" w:ascii="Times New Roman" w:hAnsi="Times New Roman" w:eastAsia="宋体" w:cs="Times New Roman"/>
                <w:color w:val="auto"/>
                <w:spacing w:val="0"/>
                <w:sz w:val="21"/>
                <w:szCs w:val="21"/>
                <w:highlight w:val="none"/>
                <w:vertAlign w:val="superscript"/>
                <w:lang w:val="en-US" w:eastAsia="zh-CN"/>
              </w:rPr>
              <w:t>3</w:t>
            </w:r>
          </w:p>
        </w:tc>
        <w:tc>
          <w:tcPr>
            <w:tcW w:w="85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无组织</w:t>
            </w:r>
          </w:p>
        </w:tc>
        <w:tc>
          <w:tcPr>
            <w:tcW w:w="11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10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11.68</w:t>
            </w:r>
          </w:p>
        </w:tc>
        <w:tc>
          <w:tcPr>
            <w:tcW w:w="85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5.84</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0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1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102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0.93</w:t>
            </w:r>
          </w:p>
        </w:tc>
        <w:tc>
          <w:tcPr>
            <w:tcW w:w="85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（3）确定评价等级</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根据估算结果表明，NH</w:t>
      </w:r>
      <w:r>
        <w:rPr>
          <w:rFonts w:ascii="Times New Roman" w:hAnsi="Times New Roman" w:eastAsia="宋体"/>
          <w:color w:val="auto"/>
          <w:highlight w:val="none"/>
          <w:vertAlign w:val="subscript"/>
        </w:rPr>
        <w:t>3</w:t>
      </w:r>
      <w:r>
        <w:rPr>
          <w:rFonts w:ascii="Times New Roman" w:hAnsi="Times New Roman" w:eastAsia="宋体"/>
          <w:color w:val="auto"/>
          <w:highlight w:val="none"/>
        </w:rPr>
        <w:t>最大地面空气质量浓度占标率为</w:t>
      </w:r>
      <w:r>
        <w:rPr>
          <w:rFonts w:hint="eastAsia"/>
          <w:color w:val="auto"/>
          <w:highlight w:val="none"/>
          <w:lang w:val="en-US" w:eastAsia="zh-CN"/>
        </w:rPr>
        <w:t>5.84</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S最大地面空气质量浓度占标率为</w:t>
      </w:r>
      <w:r>
        <w:rPr>
          <w:rFonts w:hint="eastAsia"/>
          <w:color w:val="auto"/>
          <w:highlight w:val="none"/>
          <w:lang w:val="en-US" w:eastAsia="zh-CN"/>
        </w:rPr>
        <w:t>9.3</w:t>
      </w:r>
      <w:r>
        <w:rPr>
          <w:rFonts w:ascii="Times New Roman" w:hAnsi="Times New Roman" w:eastAsia="宋体"/>
          <w:color w:val="auto"/>
          <w:highlight w:val="none"/>
        </w:rPr>
        <w:t>%，根据表</w:t>
      </w:r>
      <w:r>
        <w:rPr>
          <w:rFonts w:hint="eastAsia" w:ascii="Times New Roman" w:hAnsi="Times New Roman" w:eastAsia="宋体"/>
          <w:color w:val="auto"/>
          <w:highlight w:val="none"/>
          <w:lang w:val="en-US" w:eastAsia="zh-CN"/>
        </w:rPr>
        <w:t>2.6-1</w:t>
      </w:r>
      <w:r>
        <w:rPr>
          <w:rFonts w:ascii="Times New Roman" w:hAnsi="Times New Roman" w:eastAsia="宋体"/>
          <w:color w:val="auto"/>
          <w:highlight w:val="none"/>
        </w:rPr>
        <w:t>评价等级判别表，确定本项目大气环境评价等级为二级。</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2.6.1.2水环境评价等级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（1）地表水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根据《环境影响评价技术导则地表水环境》（HJ2.3-2018），地表水评价等级分级表见表2.6-</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地表水评价等级分级表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2269"/>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评价等级</w:t>
            </w:r>
          </w:p>
        </w:tc>
        <w:tc>
          <w:tcPr>
            <w:tcW w:w="3939" w:type="pct"/>
            <w:gridSpan w:val="2"/>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133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排放方式</w:t>
            </w:r>
          </w:p>
        </w:tc>
        <w:tc>
          <w:tcPr>
            <w:tcW w:w="260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废水排放量Q/（m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d）；</w:t>
            </w:r>
          </w:p>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水污染物当量数W/（量纲一）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133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133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三级A</w:t>
            </w:r>
          </w:p>
        </w:tc>
        <w:tc>
          <w:tcPr>
            <w:tcW w:w="133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三级B</w:t>
            </w:r>
          </w:p>
        </w:tc>
        <w:tc>
          <w:tcPr>
            <w:tcW w:w="1331"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间接排放</w:t>
            </w:r>
          </w:p>
        </w:tc>
        <w:tc>
          <w:tcPr>
            <w:tcW w:w="2608"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注：建设项目生产工艺中有废水产生，但作为回水利用，不排放到外环境的，按三级B评价</w:t>
            </w: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本项目生活污水直接排入下水管网，最终进入玛纳斯县城污水处理厂；鸡舍冲洗废水排入</w:t>
      </w:r>
      <w:r>
        <w:rPr>
          <w:rFonts w:hint="eastAsia"/>
          <w:color w:val="auto"/>
          <w:highlight w:val="none"/>
          <w:lang w:val="en-US" w:eastAsia="zh-CN"/>
        </w:rPr>
        <w:t>废水收集池经过预处理后用作农肥</w:t>
      </w:r>
      <w:r>
        <w:rPr>
          <w:rFonts w:ascii="Times New Roman" w:hAnsi="Times New Roman" w:eastAsia="宋体"/>
          <w:color w:val="auto"/>
          <w:highlight w:val="none"/>
        </w:rPr>
        <w:t>。评价范围内无地表水径流，与地表水体不发生水力联系。因此判定本项目地面水环境影响评价工作等级为三级B。</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参照《环境影响评价技术导则地表水环境》（HJ2.3-2018）中地表水环境影响评价范围要求，根据评价等级、工程特点、影响方式及程度、地表水环境质量管理要求等确定。项目运营期间生活污水、生产废水不外排。因此，本项目地表水评价不设评价范围，重点分析项目生产废水、生活污水的处理及去向等的可行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（2）地下水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根据《环境影响技术评价技术导则地下水环境》（HJ610-2016）附录A地下水环境影响评价行业分类表，本项目属于</w:t>
      </w:r>
      <w:r>
        <w:rPr>
          <w:rFonts w:hint="eastAsia"/>
          <w:color w:val="auto"/>
          <w:highlight w:val="none"/>
          <w:lang w:eastAsia="zh-CN"/>
        </w:rPr>
        <w:t>”</w:t>
      </w:r>
      <w:r>
        <w:rPr>
          <w:rFonts w:hint="eastAsia" w:ascii="Times New Roman" w:hAnsi="Times New Roman" w:eastAsia="宋体"/>
          <w:color w:val="auto"/>
          <w:highlight w:val="none"/>
        </w:rPr>
        <w:t>B、农、林、牧、渔、海洋——14、畜禽养殖场、养殖小区</w:t>
      </w:r>
      <w:r>
        <w:rPr>
          <w:rFonts w:hint="eastAsia"/>
          <w:color w:val="auto"/>
          <w:highlight w:val="none"/>
          <w:lang w:eastAsia="zh-CN"/>
        </w:rPr>
        <w:t>”</w:t>
      </w:r>
      <w:r>
        <w:rPr>
          <w:rFonts w:hint="eastAsia" w:ascii="Times New Roman" w:hAnsi="Times New Roman" w:eastAsia="宋体"/>
          <w:color w:val="auto"/>
          <w:highlight w:val="none"/>
        </w:rPr>
        <w:t>，故本项目属于Ⅲ类项目。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根据《环境影响技术评价技术导则地下水环境》（HJ610-2016）中6.2表1地下水环境敏感程度分级表，地下水环境敏感程度分级表见表2.6-</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地下水环境敏感程度分级表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敏感程度</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注：a</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环境敏感区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是指《建设项目环境影响评价分类管理名录》中所界定的涉及地下水的环境敏感区。</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地下水评价工作等级分级表见表2.6-</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评价工作等级分级表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l2br w:val="single" w:color="auto" w:sz="4" w:space="0"/>
            </w:tcBorders>
            <w:vAlign w:val="center"/>
          </w:tcPr>
          <w:p>
            <w:pPr>
              <w:spacing w:line="240" w:lineRule="auto"/>
              <w:ind w:firstLine="0" w:firstLineChars="0"/>
              <w:jc w:val="righ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项目类别</w:t>
            </w:r>
          </w:p>
          <w:p>
            <w:pPr>
              <w:spacing w:line="240" w:lineRule="auto"/>
              <w:ind w:firstLine="0" w:firstLineChars="0"/>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环境敏感程度</w:t>
            </w:r>
          </w:p>
        </w:tc>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Ⅰ类项目</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Ⅱ类项目</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213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c>
          <w:tcPr>
            <w:tcW w:w="2131"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未划定准保护区的集中水式饮用水水源，其保护区以外的补给径流区；分散式饮用水水源地；特殊地下水资源（如矿泉水、温泉等）保护区以外的分布区等其他未列入上述敏感分级的环境敏感区。本项目地下水环境为不敏感。根据《环境影响技术评价技术导则地下水环境》（HJ610-2016）确定本项目评价工作等级为三级。</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2.6.1.3声环境评价等级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规定，声环境影响评价工作等级一般分为三级，一级为详细评价，二级为一般性评价，三级为简要评价。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建设项目所处的声环境功能区为GB3096规定的1类、2类地区，或建设项目建设前后评价范围内敏感目标噪声级增高量达3~5dB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[含5dB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或受影响人口数量增加较多时，按二级评价。评价范围内有适用于GB3096规定的0类声环境功能区域，或建设项目建设前后评价范围内声环境保护目标噪声级增量达5dB（A）以上（不含5dB（A）），或受影响人口数量显著增加时，按一级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w:t>
      </w:r>
      <w:r>
        <w:rPr>
          <w:rFonts w:ascii="Times New Roman" w:hAnsi="Times New Roman" w:eastAsia="宋体"/>
          <w:color w:val="auto"/>
          <w:highlight w:val="none"/>
        </w:rPr>
        <w:t>GB3096</w:t>
      </w:r>
      <w:r>
        <w:rPr>
          <w:rFonts w:hint="eastAsia" w:ascii="Times New Roman" w:hAnsi="Times New Roman" w:eastAsia="宋体"/>
          <w:color w:val="auto"/>
          <w:highlight w:val="none"/>
        </w:rPr>
        <w:t>规定的</w:t>
      </w:r>
      <w:r>
        <w:rPr>
          <w:rFonts w:ascii="Times New Roman" w:hAnsi="Times New Roman" w:eastAsia="宋体"/>
          <w:color w:val="auto"/>
          <w:highlight w:val="none"/>
        </w:rPr>
        <w:t>1</w:t>
      </w:r>
      <w:r>
        <w:rPr>
          <w:rFonts w:hint="eastAsia" w:ascii="Times New Roman" w:hAnsi="Times New Roman" w:eastAsia="宋体"/>
          <w:color w:val="auto"/>
          <w:highlight w:val="none"/>
        </w:rPr>
        <w:t>类、</w:t>
      </w:r>
      <w:r>
        <w:rPr>
          <w:rFonts w:ascii="Times New Roman" w:hAnsi="Times New Roman" w:eastAsia="宋体"/>
          <w:color w:val="auto"/>
          <w:highlight w:val="none"/>
        </w:rPr>
        <w:t>2</w:t>
      </w:r>
      <w:r>
        <w:rPr>
          <w:rFonts w:hint="eastAsia" w:ascii="Times New Roman" w:hAnsi="Times New Roman" w:eastAsia="宋体"/>
          <w:color w:val="auto"/>
          <w:highlight w:val="none"/>
        </w:rPr>
        <w:t>类地区，或建设项目建设前后评价范围内声环境保护目标噪声级增量达</w:t>
      </w:r>
      <w:r>
        <w:rPr>
          <w:rFonts w:ascii="Times New Roman" w:hAnsi="Times New Roman" w:eastAsia="宋体"/>
          <w:color w:val="auto"/>
          <w:highlight w:val="none"/>
        </w:rPr>
        <w:t>3dB</w:t>
      </w:r>
      <w:r>
        <w:rPr>
          <w:rFonts w:hint="eastAsia" w:ascii="Times New Roman" w:hAnsi="Times New Roman" w:eastAsia="宋体"/>
          <w:color w:val="auto"/>
          <w:highlight w:val="none"/>
        </w:rPr>
        <w:t>（</w:t>
      </w:r>
      <w:r>
        <w:rPr>
          <w:rFonts w:ascii="Times New Roman" w:hAnsi="Times New Roman" w:eastAsia="宋体"/>
          <w:color w:val="auto"/>
          <w:highlight w:val="none"/>
        </w:rPr>
        <w:t>A</w:t>
      </w:r>
      <w:r>
        <w:rPr>
          <w:rFonts w:hint="eastAsia" w:ascii="Times New Roman" w:hAnsi="Times New Roman" w:eastAsia="宋体"/>
          <w:color w:val="auto"/>
          <w:highlight w:val="none"/>
        </w:rPr>
        <w:t>）</w:t>
      </w:r>
      <w:r>
        <w:rPr>
          <w:rFonts w:hint="eastAsia" w:ascii="Times New Roman" w:hAnsi="Times New Roman" w:eastAsia="宋体" w:cs="微软雅黑"/>
          <w:color w:val="auto"/>
          <w:highlight w:val="none"/>
        </w:rPr>
        <w:t>〜</w:t>
      </w:r>
      <w:r>
        <w:rPr>
          <w:rFonts w:ascii="Times New Roman" w:hAnsi="Times New Roman" w:eastAsia="宋体"/>
          <w:color w:val="auto"/>
          <w:highlight w:val="none"/>
        </w:rPr>
        <w:t>5dB</w:t>
      </w:r>
      <w:r>
        <w:rPr>
          <w:rFonts w:hint="eastAsia" w:ascii="Times New Roman" w:hAnsi="Times New Roman" w:eastAsia="宋体"/>
          <w:color w:val="auto"/>
          <w:highlight w:val="none"/>
        </w:rPr>
        <w:t>（</w:t>
      </w:r>
      <w:r>
        <w:rPr>
          <w:rFonts w:ascii="Times New Roman" w:hAnsi="Times New Roman" w:eastAsia="宋体"/>
          <w:color w:val="auto"/>
          <w:highlight w:val="none"/>
        </w:rPr>
        <w:t>A</w:t>
      </w:r>
      <w:r>
        <w:rPr>
          <w:rFonts w:hint="eastAsia" w:ascii="Times New Roman" w:hAnsi="Times New Roman" w:eastAsia="宋体"/>
          <w:color w:val="auto"/>
          <w:highlight w:val="none"/>
        </w:rPr>
        <w:t>），或受噪声影响人口数量增加较多时，按二级评价。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建设项目所处的声环境功能区为GB3096规定的3类、4类地区，或建设项目建设前后评价范围内声环境保护目标噪声级增量在3dB（A）以下（不含3dB（A）），且受影响人口数量变化不大时，按三级评价。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在确定评价等级时，如果建设项目符合两个等级的划分原则，按较高等级评价。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机场建设项目航空器噪声影响评价等级为一级。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根据《声环境质量标准》（GB3096-2008）声环境功能区分类，本项目所在地为声环境功能区</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类地区。根据《环境影响评价技术导则声环境》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规定，确定声环境评价工作等级为二级评价。</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2.6.1.4土壤环境评价等级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根据《环境影响评价技术导则土壤环境（试行）》（HJ964-2018）评价工作分级规定，项目属于污染影响型，根据污染影响型建设项目类别判定评价等级。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项目占地面积约</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，约为</w:t>
      </w:r>
      <w:r>
        <w:rPr>
          <w:rFonts w:hint="eastAsia" w:ascii="Times New Roman" w:hAnsi="Times New Roman" w:eastAsia="宋体"/>
          <w:color w:val="auto"/>
          <w:highlight w:val="none"/>
          <w:lang w:val="en-US" w:eastAsia="zh-CN"/>
        </w:rPr>
        <w:t>7.58</w:t>
      </w:r>
      <w:r>
        <w:rPr>
          <w:rFonts w:hint="eastAsia" w:ascii="Times New Roman" w:hAnsi="Times New Roman" w:eastAsia="宋体"/>
          <w:color w:val="auto"/>
          <w:highlight w:val="none"/>
        </w:rPr>
        <w:t>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，占地规模为小型（5~50hm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）。根据《环境影响评价技术导则土壤环境（试行）》（HJ964-2018）附录A土壤环境影响评价项目类别，本项目属于</w:t>
      </w:r>
      <w:r>
        <w:rPr>
          <w:rFonts w:hint="eastAsia"/>
          <w:color w:val="auto"/>
          <w:highlight w:val="none"/>
          <w:lang w:eastAsia="zh-CN"/>
        </w:rPr>
        <w:t>”</w:t>
      </w:r>
      <w:r>
        <w:rPr>
          <w:rFonts w:hint="eastAsia" w:ascii="Times New Roman" w:hAnsi="Times New Roman" w:eastAsia="宋体"/>
          <w:color w:val="auto"/>
          <w:highlight w:val="none"/>
        </w:rPr>
        <w:t>农林牧渔业——年出栏生猪5000头（其他畜禽种类折合猪的养殖规模）及以上的畜禽养殖场或养殖小区</w:t>
      </w:r>
      <w:r>
        <w:rPr>
          <w:rFonts w:hint="eastAsia"/>
          <w:color w:val="auto"/>
          <w:highlight w:val="none"/>
          <w:lang w:eastAsia="zh-CN"/>
        </w:rPr>
        <w:t>”</w:t>
      </w:r>
      <w:r>
        <w:rPr>
          <w:rFonts w:hint="eastAsia" w:ascii="Times New Roman" w:hAnsi="Times New Roman" w:eastAsia="宋体"/>
          <w:color w:val="auto"/>
          <w:highlight w:val="none"/>
        </w:rPr>
        <w:t>，项目类别为Ⅲ类。</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建设项目所在地周边的土壤环境敏感程度分为敏感、较敏感、不敏感，判别依据见表</w:t>
      </w:r>
      <w:r>
        <w:rPr>
          <w:rFonts w:ascii="Times New Roman" w:hAnsi="Times New Roman" w:eastAsia="宋体"/>
          <w:color w:val="auto"/>
          <w:highlight w:val="none"/>
        </w:rPr>
        <w:t>2.6</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rPr>
        <w:t>所示。</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rPr>
        <w:t>污染影响性敏感程度分级表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敏感程度</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7280" w:type="dxa"/>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建设项目周边存在耕地、园地、牧草地、饮用水源地或居民区、学校、医院、疗养院、养老院等土壤环境敏感目标的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7280"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其他情况</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本项目四周均为农田（种植经济作物），敏感程度判别为敏感。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根据《环境影响评价技术导则土壤环境（试行）》（HJ964-2018），污染影响型评价工作等级划分表见表2.6-</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污染影响型评价工作等级划分表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04"/>
        <w:gridCol w:w="810"/>
        <w:gridCol w:w="811"/>
        <w:gridCol w:w="810"/>
        <w:gridCol w:w="808"/>
        <w:gridCol w:w="811"/>
        <w:gridCol w:w="808"/>
        <w:gridCol w:w="810"/>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占地规模</w:t>
            </w:r>
          </w:p>
        </w:tc>
        <w:tc>
          <w:tcPr>
            <w:tcW w:w="1423" w:type="pct"/>
            <w:gridSpan w:val="3"/>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I类</w:t>
            </w:r>
          </w:p>
        </w:tc>
        <w:tc>
          <w:tcPr>
            <w:tcW w:w="1425" w:type="pct"/>
            <w:gridSpan w:val="3"/>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II类</w:t>
            </w:r>
          </w:p>
        </w:tc>
        <w:tc>
          <w:tcPr>
            <w:tcW w:w="1423" w:type="pct"/>
            <w:gridSpan w:val="3"/>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47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47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47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47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6"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74"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表示可不开展土壤环境影响评价工作</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综上所述，根据《环境影响评价技术导则土壤环境（试行）》（HJ964-2018），确定本项目土壤环境评价工作等级为三级。</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2.6.1.5生态影响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根据《环境影响评价技术导则生态影响》（HJ1.9-2022），确定生态环境评价工作等级。根据生态影响评价工作等级划分内容。生态影响评价工作等级划分如下原则确定：</w:t>
      </w:r>
    </w:p>
    <w:p>
      <w:pPr>
        <w:ind w:firstLine="480"/>
        <w:rPr>
          <w:rFonts w:ascii="Times New Roman" w:hAnsi="Times New Roman" w:eastAsia="宋体"/>
          <w:color w:val="auto"/>
          <w:highlight w:val="none"/>
        </w:rPr>
      </w:pPr>
      <w:bookmarkStart w:id="57" w:name="_Hlk106660903"/>
      <w:r>
        <w:rPr>
          <w:rFonts w:hint="eastAsia" w:ascii="Times New Roman" w:hAnsi="Times New Roman" w:eastAsia="宋体"/>
          <w:color w:val="auto"/>
          <w:highlight w:val="none"/>
        </w:rPr>
        <w:t>a）</w:t>
      </w:r>
      <w:r>
        <w:rPr>
          <w:rFonts w:hint="eastAsia" w:ascii="Times New Roman" w:hAnsi="Times New Roman" w:eastAsia="宋体"/>
          <w:color w:val="auto"/>
          <w:highlight w:val="none"/>
        </w:rPr>
        <w:tab/>
      </w:r>
      <w:r>
        <w:rPr>
          <w:rFonts w:hint="eastAsia" w:ascii="Times New Roman" w:hAnsi="Times New Roman" w:eastAsia="宋体"/>
          <w:color w:val="auto"/>
          <w:highlight w:val="none"/>
        </w:rPr>
        <w:t>涉及国家公园、自然保护区、世界自然遗产、重要生境时，评价等级为一级；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b）涉及自然公园时，评价等级为二级；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c）涉及生态保护红线时，评价等级不低于二级：</w:t>
      </w:r>
    </w:p>
    <w:bookmarkEnd w:id="57"/>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d）根据HJ2.3判断属于水文要素影响型且地表水评价等级不低于二级的建设项目，生态影响评价等级不低于二级；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e）</w:t>
      </w:r>
      <w:r>
        <w:rPr>
          <w:rFonts w:hint="eastAsia" w:ascii="Times New Roman" w:hAnsi="Times New Roman" w:eastAsia="宋体"/>
          <w:color w:val="auto"/>
          <w:highlight w:val="none"/>
        </w:rPr>
        <w:tab/>
      </w:r>
      <w:r>
        <w:rPr>
          <w:rFonts w:hint="eastAsia" w:ascii="Times New Roman" w:hAnsi="Times New Roman" w:eastAsia="宋体"/>
          <w:color w:val="auto"/>
          <w:highlight w:val="none"/>
        </w:rPr>
        <w:t>根据HJ610、HJ964判断地下水水位或土壤影响范围内分布有天然林、公益林、湿地等生态保护目标的建设项目，生态影响评价等级不低于二级；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f）</w:t>
      </w:r>
      <w:r>
        <w:rPr>
          <w:rFonts w:hint="eastAsia" w:ascii="Times New Roman" w:hAnsi="Times New Roman" w:eastAsia="宋体"/>
          <w:color w:val="auto"/>
          <w:highlight w:val="none"/>
        </w:rPr>
        <w:tab/>
      </w:r>
      <w:r>
        <w:rPr>
          <w:rFonts w:hint="eastAsia" w:ascii="Times New Roman" w:hAnsi="Times New Roman" w:eastAsia="宋体"/>
          <w:color w:val="auto"/>
          <w:highlight w:val="none"/>
        </w:rPr>
        <w:t>当工程占地规模大于20km</w:t>
      </w:r>
      <w:r>
        <w:rPr>
          <w:rFonts w:ascii="Times New Roman" w:hAnsi="Times New Roman" w:eastAsia="宋体"/>
          <w:color w:val="auto"/>
          <w:highlight w:val="none"/>
          <w:vertAlign w:val="superscript"/>
        </w:rPr>
        <w:t>2</w:t>
      </w:r>
      <w:r>
        <w:rPr>
          <w:rFonts w:hint="eastAsia" w:ascii="Times New Roman" w:hAnsi="Times New Roman" w:eastAsia="宋体"/>
          <w:color w:val="auto"/>
          <w:highlight w:val="none"/>
        </w:rPr>
        <w:t>时（包括永久和临时占用陆域和水域），评价等级不低于二级：改扩建项目的占地范围以新增占地（包括陆域和水域）确定；</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g）除本条a）、b）、c）、d）、e）、f）以外的情况，评价等级为三级；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h）当评价等级判定同时符合上述多种情况时，应采用其中最高的评价等级。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（2）工程占地范围及环境敏感情况</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本项目总占地面积</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（折</w:t>
      </w:r>
      <w:r>
        <w:rPr>
          <w:rFonts w:hint="eastAsia" w:ascii="Times New Roman" w:hAnsi="Times New Roman" w:eastAsia="宋体"/>
          <w:color w:val="auto"/>
          <w:highlight w:val="none"/>
          <w:lang w:val="en-US" w:eastAsia="zh-CN"/>
        </w:rPr>
        <w:t>0.0757789</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），小于2</w:t>
      </w:r>
      <w:r>
        <w:rPr>
          <w:rFonts w:ascii="Times New Roman" w:hAnsi="Times New Roman" w:eastAsia="宋体"/>
          <w:color w:val="auto"/>
          <w:highlight w:val="none"/>
        </w:rPr>
        <w:t>0</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。本项目周边不涉及国家公园、自然保护区、世界自然遗产、重要生境时，不涉及自然公园，不涉及生态保护红线。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综上所述，本项目生态影响评价等级为三级。</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2.6.1.6环境风险</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2.6-1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评价工作等级划分表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环境风险潜势</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Ⅳ、Ⅳ</w:t>
            </w:r>
            <w:r>
              <w:rPr>
                <w:rFonts w:hint="eastAsia" w:ascii="Times New Roman" w:hAnsi="Times New Roman" w:eastAsia="宋体"/>
                <w:color w:val="auto"/>
                <w:sz w:val="21"/>
                <w:highlight w:val="none"/>
                <w:vertAlign w:val="superscript"/>
              </w:rPr>
              <w:t>+</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Ⅲ</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Ⅱ</w:t>
            </w:r>
          </w:p>
        </w:tc>
        <w:tc>
          <w:tcPr>
            <w:tcW w:w="1001"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评价工作等级</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一</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二</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三</w:t>
            </w:r>
          </w:p>
        </w:tc>
        <w:tc>
          <w:tcPr>
            <w:tcW w:w="1001" w:type="pct"/>
            <w:shd w:val="clear" w:color="auto" w:fill="auto"/>
            <w:vAlign w:val="center"/>
          </w:tcPr>
          <w:p>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简单分析</w:t>
            </w:r>
            <w:r>
              <w:rPr>
                <w:rFonts w:hint="eastAsia" w:ascii="Times New Roman" w:hAnsi="Times New Roman" w:eastAsia="宋体"/>
                <w:color w:val="auto"/>
                <w:sz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pPr>
              <w:spacing w:line="240" w:lineRule="auto"/>
              <w:ind w:firstLine="0" w:firstLineChars="0"/>
              <w:rPr>
                <w:rFonts w:ascii="Times New Roman" w:hAnsi="Times New Roman" w:eastAsia="宋体"/>
                <w:color w:val="auto"/>
                <w:sz w:val="21"/>
                <w:highlight w:val="none"/>
              </w:rPr>
            </w:pPr>
            <w:r>
              <w:rPr>
                <w:rFonts w:hint="eastAsia" w:ascii="Times New Roman" w:hAnsi="Times New Roman" w:eastAsia="宋体"/>
                <w:color w:val="auto"/>
                <w:sz w:val="21"/>
                <w:highlight w:val="none"/>
              </w:rPr>
              <w:t>a是相对于详细评价工作内容而言，在描述危险物质、环境影响途径、环境危害后果、风险防范措施等方面给出定性的说明。</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本项目不涉及附录B中的危险化学品，则存储量和临界量比值</w:t>
      </w:r>
      <w:r>
        <w:rPr>
          <w:rFonts w:hint="eastAsia"/>
          <w:color w:val="auto"/>
          <w:highlight w:val="none"/>
          <w:lang w:eastAsia="zh-CN"/>
        </w:rPr>
        <w:t>（</w:t>
      </w:r>
      <w:r>
        <w:rPr>
          <w:rFonts w:hint="eastAsia" w:ascii="Times New Roman" w:hAnsi="Times New Roman" w:eastAsia="宋体"/>
          <w:color w:val="auto"/>
          <w:highlight w:val="none"/>
        </w:rPr>
        <w:t>Q</w:t>
      </w:r>
      <w:r>
        <w:rPr>
          <w:rFonts w:hint="eastAsia"/>
          <w:color w:val="auto"/>
          <w:highlight w:val="none"/>
          <w:lang w:eastAsia="zh-CN"/>
        </w:rPr>
        <w:t>）</w:t>
      </w:r>
      <w:r>
        <w:rPr>
          <w:rFonts w:hint="eastAsia" w:ascii="Times New Roman" w:hAnsi="Times New Roman" w:eastAsia="宋体"/>
          <w:color w:val="auto"/>
          <w:highlight w:val="none"/>
        </w:rPr>
        <w:t>＜1，该项目环境风险潜势为I，环境风险评价工作级别确定为简单分析。</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2.6.1.7小结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本项目环境影响评级等级见表2.6-1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环境影响评价等级表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597"/>
        <w:gridCol w:w="2468"/>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专题</w:t>
            </w:r>
          </w:p>
        </w:tc>
        <w:tc>
          <w:tcPr>
            <w:tcW w:w="6065" w:type="dxa"/>
            <w:gridSpan w:val="2"/>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等级判别依据</w:t>
            </w:r>
          </w:p>
        </w:tc>
        <w:tc>
          <w:tcPr>
            <w:tcW w:w="115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污染物最大地面质量浓度占标率</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7.61</w:t>
            </w:r>
            <w:r>
              <w:rPr>
                <w:rFonts w:hint="eastAsia" w:ascii="Times New Roman" w:hAnsi="Times New Roman" w:eastAsia="宋体"/>
                <w:color w:val="auto"/>
                <w:sz w:val="21"/>
                <w:szCs w:val="21"/>
                <w:highlight w:val="none"/>
              </w:rPr>
              <w:t>%</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二</w:t>
            </w:r>
            <w:r>
              <w:rPr>
                <w:rFonts w:hint="eastAsia" w:ascii="Times New Roman" w:hAnsi="Times New Roman" w:eastAsia="宋体"/>
                <w:color w:val="auto"/>
                <w:sz w:val="21"/>
                <w:szCs w:val="21"/>
                <w:highlight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主要评价因子的环境质量现状</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满足（GB3095-2012）二级标准</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当地环境空气质量功能类别</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二类</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区域空气环境敏感程度</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地表水</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排放方式</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间接排放</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生产废水</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综合利用，不外排</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建设项目行业分类</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Ⅲ类行业</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区域地下水敏感程度分级</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项目所在地声环境功能区类别</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2类</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区域声环境敏感程度</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一般区域</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项目建设前后敏感目标噪声级的变化程度</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噪声级增高量3~5dB（A）</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建设项目行业分类</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Ⅲ类行业</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建设项目占地规模</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小</w:t>
            </w:r>
            <w:r>
              <w:rPr>
                <w:rFonts w:hint="eastAsia" w:ascii="Times New Roman" w:hAnsi="Times New Roman" w:eastAsia="宋体"/>
                <w:color w:val="auto"/>
                <w:sz w:val="21"/>
                <w:szCs w:val="21"/>
                <w:highlight w:val="none"/>
              </w:rPr>
              <w:t>型</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区域土壤敏感程度</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生态环境</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区域生态环境敏感程度</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一般区域</w:t>
            </w:r>
          </w:p>
        </w:tc>
        <w:tc>
          <w:tcPr>
            <w:tcW w:w="1155" w:type="dxa"/>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工程占地范围</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厂区占地面积约</w:t>
            </w:r>
            <w:r>
              <w:rPr>
                <w:rFonts w:hint="eastAsia" w:ascii="Times New Roman" w:hAnsi="Times New Roman" w:eastAsia="宋体"/>
                <w:color w:val="auto"/>
                <w:sz w:val="21"/>
                <w:szCs w:val="21"/>
                <w:highlight w:val="none"/>
                <w:lang w:eastAsia="zh-CN"/>
              </w:rPr>
              <w:t>70119.07</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2</w:t>
            </w:r>
          </w:p>
        </w:tc>
        <w:tc>
          <w:tcPr>
            <w:tcW w:w="1155" w:type="dxa"/>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环境风险</w:t>
            </w:r>
          </w:p>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w:t>
            </w:r>
          </w:p>
        </w:tc>
        <w:tc>
          <w:tcPr>
            <w:tcW w:w="3597"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危险物质数量与临界量比值</w:t>
            </w:r>
          </w:p>
        </w:tc>
        <w:tc>
          <w:tcPr>
            <w:tcW w:w="2468"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不</w:t>
            </w:r>
            <w:r>
              <w:rPr>
                <w:rFonts w:hint="eastAsia" w:ascii="Times New Roman" w:hAnsi="Times New Roman" w:eastAsia="宋体"/>
                <w:color w:val="auto"/>
                <w:sz w:val="21"/>
                <w:szCs w:val="21"/>
                <w:highlight w:val="none"/>
              </w:rPr>
              <w:t>涉及附录B中的</w:t>
            </w:r>
            <w:r>
              <w:rPr>
                <w:rFonts w:hint="eastAsia" w:ascii="Times New Roman" w:hAnsi="Times New Roman" w:eastAsia="宋体"/>
                <w:color w:val="auto"/>
                <w:sz w:val="21"/>
                <w:szCs w:val="21"/>
                <w:highlight w:val="none"/>
                <w:lang w:val="en-US" w:eastAsia="zh-CN"/>
              </w:rPr>
              <w:t>化学品</w:t>
            </w:r>
            <w:r>
              <w:rPr>
                <w:rFonts w:hint="eastAsia" w:ascii="Times New Roman" w:hAnsi="Times New Roman" w:eastAsia="宋体"/>
                <w:color w:val="auto"/>
                <w:sz w:val="21"/>
                <w:szCs w:val="21"/>
                <w:highlight w:val="none"/>
              </w:rPr>
              <w:t>，Q＜1</w:t>
            </w:r>
          </w:p>
        </w:tc>
        <w:tc>
          <w:tcPr>
            <w:tcW w:w="1155" w:type="dxa"/>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简单分析</w:t>
            </w:r>
          </w:p>
        </w:tc>
      </w:tr>
    </w:tbl>
    <w:p>
      <w:pPr>
        <w:pStyle w:val="5"/>
        <w:rPr>
          <w:rFonts w:ascii="Times New Roman" w:hAnsi="Times New Roman" w:eastAsia="宋体"/>
          <w:color w:val="auto"/>
          <w:highlight w:val="none"/>
        </w:rPr>
      </w:pPr>
      <w:bookmarkStart w:id="58" w:name="_Toc106663443"/>
      <w:r>
        <w:rPr>
          <w:rFonts w:hint="eastAsia" w:ascii="Times New Roman" w:hAnsi="Times New Roman" w:eastAsia="宋体"/>
          <w:color w:val="auto"/>
          <w:highlight w:val="none"/>
        </w:rPr>
        <w:t>2.6.2评价范围</w:t>
      </w:r>
      <w:bookmarkEnd w:id="5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根据评价工作等级及当地气象条件、自然环境状况确定各环境要素评价范围如下：</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2.6.2.1环境空气</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根据《环境影响评价技术导则大气环境》</w:t>
      </w:r>
      <w:r>
        <w:rPr>
          <w:rFonts w:hint="eastAsia"/>
          <w:color w:val="auto"/>
          <w:highlight w:val="none"/>
          <w:lang w:eastAsia="zh-CN"/>
        </w:rPr>
        <w:t>（</w:t>
      </w:r>
      <w:r>
        <w:rPr>
          <w:rFonts w:ascii="Times New Roman" w:hAnsi="Times New Roman" w:eastAsia="宋体"/>
          <w:color w:val="auto"/>
          <w:highlight w:val="none"/>
        </w:rPr>
        <w:t>HJ2.2-2018</w:t>
      </w:r>
      <w:r>
        <w:rPr>
          <w:rFonts w:hint="eastAsia"/>
          <w:color w:val="auto"/>
          <w:highlight w:val="none"/>
          <w:lang w:eastAsia="zh-CN"/>
        </w:rPr>
        <w:t>）</w:t>
      </w:r>
      <w:r>
        <w:rPr>
          <w:rFonts w:ascii="Times New Roman" w:hAnsi="Times New Roman" w:eastAsia="宋体"/>
          <w:color w:val="auto"/>
          <w:highlight w:val="none"/>
        </w:rPr>
        <w:t>，二级评价项目大气环境影响范围边长取5km。</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2.6.2.2地下水环境</w:t>
      </w:r>
    </w:p>
    <w:p>
      <w:pPr>
        <w:ind w:firstLine="480"/>
        <w:rPr>
          <w:rFonts w:ascii="Times New Roman" w:hAnsi="Times New Roman" w:eastAsia="宋体"/>
          <w:color w:val="auto"/>
          <w:highlight w:val="none"/>
        </w:rPr>
      </w:pPr>
      <w:r>
        <w:rPr>
          <w:rFonts w:ascii="Times New Roman" w:hAnsi="Times New Roman" w:eastAsia="宋体"/>
          <w:color w:val="auto"/>
          <w:highlight w:val="none"/>
        </w:rPr>
        <w:t>评价区地下水由西南向北东径流，故本次地下水评价范围以厂址为中心，向西南500m、向北东2500m，西北、东南向各1000m、面积6km</w:t>
      </w:r>
      <w:r>
        <w:rPr>
          <w:rFonts w:ascii="Times New Roman" w:hAnsi="Times New Roman" w:eastAsia="宋体"/>
          <w:color w:val="auto"/>
          <w:highlight w:val="none"/>
          <w:vertAlign w:val="superscript"/>
        </w:rPr>
        <w:t>2</w:t>
      </w:r>
      <w:r>
        <w:rPr>
          <w:rFonts w:ascii="Times New Roman" w:hAnsi="Times New Roman" w:eastAsia="宋体"/>
          <w:color w:val="auto"/>
          <w:highlight w:val="none"/>
        </w:rPr>
        <w:t>的矩形区域，包括了地下水流向的上游、下游和侧向范围。</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2.6.2.3声环境</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项目噪声评价范围为厂区周围200m区域。</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2.6.2.4土壤环境</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项目土壤评价范围为项目区范围和占地范围外50m范围内。</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2.6.2.5生态影响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本项目评价范围为本项目活动直接影响区域和间接影响区域，根据本项目的特点，本项目的生态影响范围为本项目的占地区域。</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2.6.2.6环境风险</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项目风险评价等级为简单分析，从风险源、环境影响途径、环境危害后果、风险防范措施等方面给出定性的说明。</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本项目环境影响评价范围一览表见表2.6-1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，项目评价范围图见附图2.6-1。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环境影响评价范围一览表</w:t>
      </w:r>
    </w:p>
    <w:tbl>
      <w:tblPr>
        <w:tblStyle w:val="17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7"/>
        <w:gridCol w:w="1277"/>
        <w:gridCol w:w="1311"/>
        <w:gridCol w:w="5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类别</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评价等级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环境空气</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以项目厂区为中心，边长为</w:t>
            </w:r>
            <w:r>
              <w:rPr>
                <w:rFonts w:ascii="Times New Roman" w:hAnsi="Times New Roman" w:eastAsia="宋体" w:cs="Times New Roman"/>
                <w:color w:val="auto"/>
                <w:spacing w:val="0"/>
                <w:sz w:val="21"/>
                <w:szCs w:val="21"/>
                <w:highlight w:val="none"/>
              </w:rPr>
              <w:t>5km×5km</w:t>
            </w:r>
            <w:r>
              <w:rPr>
                <w:rFonts w:ascii="Times New Roman" w:hAnsi="Times New Roman" w:eastAsia="宋体" w:cs="宋体"/>
                <w:color w:val="auto"/>
                <w:spacing w:val="0"/>
                <w:sz w:val="21"/>
                <w:szCs w:val="21"/>
                <w:highlight w:val="none"/>
              </w:rPr>
              <w:t>的正方形。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声环境</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项目厂界外</w:t>
            </w:r>
            <w:r>
              <w:rPr>
                <w:rFonts w:ascii="Times New Roman" w:hAnsi="Times New Roman" w:eastAsia="宋体" w:cs="Times New Roman"/>
                <w:color w:val="auto"/>
                <w:spacing w:val="0"/>
                <w:sz w:val="21"/>
                <w:szCs w:val="21"/>
                <w:highlight w:val="none"/>
              </w:rPr>
              <w:t>200m</w:t>
            </w:r>
            <w:r>
              <w:rPr>
                <w:rFonts w:ascii="Times New Roman" w:hAnsi="Times New Roman" w:eastAsia="宋体" w:cs="宋体"/>
                <w:color w:val="auto"/>
                <w:spacing w:val="0"/>
                <w:sz w:val="21"/>
                <w:szCs w:val="21"/>
                <w:highlight w:val="none"/>
              </w:rPr>
              <w:t>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地下水环境</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74"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围以厂址为中心，向西南</w:t>
            </w:r>
            <w:r>
              <w:rPr>
                <w:rFonts w:ascii="Times New Roman" w:hAnsi="Times New Roman" w:eastAsia="宋体" w:cs="Times New Roman"/>
                <w:color w:val="auto"/>
                <w:spacing w:val="0"/>
                <w:sz w:val="21"/>
                <w:szCs w:val="21"/>
                <w:highlight w:val="none"/>
              </w:rPr>
              <w:t>500m</w:t>
            </w:r>
            <w:r>
              <w:rPr>
                <w:rFonts w:ascii="Times New Roman" w:hAnsi="Times New Roman" w:eastAsia="宋体" w:cs="宋体"/>
                <w:color w:val="auto"/>
                <w:spacing w:val="0"/>
                <w:sz w:val="21"/>
                <w:szCs w:val="21"/>
                <w:highlight w:val="none"/>
              </w:rPr>
              <w:t>、向北东</w:t>
            </w:r>
            <w:r>
              <w:rPr>
                <w:rFonts w:ascii="Times New Roman" w:hAnsi="Times New Roman" w:eastAsia="宋体" w:cs="Times New Roman"/>
                <w:color w:val="auto"/>
                <w:spacing w:val="0"/>
                <w:sz w:val="21"/>
                <w:szCs w:val="21"/>
                <w:highlight w:val="none"/>
              </w:rPr>
              <w:t>2500m</w:t>
            </w:r>
            <w:r>
              <w:rPr>
                <w:rFonts w:ascii="Times New Roman" w:hAnsi="Times New Roman" w:eastAsia="宋体" w:cs="宋体"/>
                <w:color w:val="auto"/>
                <w:spacing w:val="0"/>
                <w:sz w:val="21"/>
                <w:szCs w:val="21"/>
                <w:highlight w:val="none"/>
              </w:rPr>
              <w:t>，西北、东南向各</w:t>
            </w:r>
            <w:r>
              <w:rPr>
                <w:rFonts w:ascii="Times New Roman" w:hAnsi="Times New Roman" w:eastAsia="宋体" w:cs="Times New Roman"/>
                <w:color w:val="auto"/>
                <w:spacing w:val="0"/>
                <w:sz w:val="21"/>
                <w:szCs w:val="21"/>
                <w:highlight w:val="none"/>
              </w:rPr>
              <w:t>1000m</w:t>
            </w:r>
            <w:r>
              <w:rPr>
                <w:rFonts w:ascii="Times New Roman" w:hAnsi="Times New Roman" w:eastAsia="宋体" w:cs="宋体"/>
                <w:color w:val="auto"/>
                <w:spacing w:val="0"/>
                <w:sz w:val="21"/>
                <w:szCs w:val="21"/>
                <w:highlight w:val="none"/>
              </w:rPr>
              <w:t>、面积</w:t>
            </w:r>
            <w:r>
              <w:rPr>
                <w:rFonts w:ascii="Times New Roman" w:hAnsi="Times New Roman" w:eastAsia="宋体" w:cs="Times New Roman"/>
                <w:color w:val="auto"/>
                <w:spacing w:val="0"/>
                <w:sz w:val="21"/>
                <w:szCs w:val="21"/>
                <w:highlight w:val="none"/>
              </w:rPr>
              <w:t>6km</w:t>
            </w:r>
            <w:r>
              <w:rPr>
                <w:rFonts w:hint="eastAsia" w:ascii="Times New Roman" w:hAnsi="Times New Roman" w:eastAsia="宋体" w:cs="Times New Roman"/>
                <w:color w:val="auto"/>
                <w:spacing w:val="0"/>
                <w:sz w:val="21"/>
                <w:szCs w:val="21"/>
                <w:highlight w:val="none"/>
                <w:vertAlign w:val="superscript"/>
                <w:lang w:val="en-US" w:eastAsia="zh-CN"/>
              </w:rPr>
              <w:t>2</w:t>
            </w:r>
            <w:r>
              <w:rPr>
                <w:rFonts w:ascii="Times New Roman" w:hAnsi="Times New Roman" w:eastAsia="宋体" w:cs="宋体"/>
                <w:color w:val="auto"/>
                <w:spacing w:val="0"/>
                <w:sz w:val="21"/>
                <w:szCs w:val="21"/>
                <w:highlight w:val="none"/>
              </w:rPr>
              <w:t>的矩形区域。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三级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项目区范围和占地范围外</w:t>
            </w:r>
            <w:r>
              <w:rPr>
                <w:rFonts w:ascii="Times New Roman" w:hAnsi="Times New Roman" w:eastAsia="宋体" w:cs="Times New Roman"/>
                <w:color w:val="auto"/>
                <w:spacing w:val="0"/>
                <w:sz w:val="21"/>
                <w:szCs w:val="21"/>
                <w:highlight w:val="none"/>
              </w:rPr>
              <w:t>50m</w:t>
            </w:r>
            <w:r>
              <w:rPr>
                <w:rFonts w:ascii="Times New Roman" w:hAnsi="Times New Roman" w:eastAsia="宋体" w:cs="宋体"/>
                <w:color w:val="auto"/>
                <w:spacing w:val="0"/>
                <w:sz w:val="21"/>
                <w:szCs w:val="21"/>
                <w:highlight w:val="none"/>
              </w:rPr>
              <w:t>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2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76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生态环境</w:t>
            </w:r>
          </w:p>
        </w:tc>
        <w:tc>
          <w:tcPr>
            <w:tcW w:w="788"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三级</w:t>
            </w:r>
          </w:p>
        </w:tc>
        <w:tc>
          <w:tcPr>
            <w:tcW w:w="3017"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厂界外</w:t>
            </w:r>
            <w:r>
              <w:rPr>
                <w:rFonts w:ascii="Times New Roman" w:hAnsi="Times New Roman" w:eastAsia="宋体" w:cs="Times New Roman"/>
                <w:color w:val="auto"/>
                <w:spacing w:val="0"/>
                <w:sz w:val="21"/>
                <w:szCs w:val="21"/>
                <w:highlight w:val="none"/>
              </w:rPr>
              <w:t>1km</w:t>
            </w:r>
            <w:r>
              <w:rPr>
                <w:rFonts w:ascii="Times New Roman" w:hAnsi="Times New Roman" w:eastAsia="宋体" w:cs="宋体"/>
                <w:color w:val="auto"/>
                <w:spacing w:val="0"/>
                <w:sz w:val="21"/>
                <w:szCs w:val="21"/>
                <w:highlight w:val="none"/>
              </w:rPr>
              <w:t>范围内区域</w:t>
            </w:r>
          </w:p>
        </w:tc>
      </w:tr>
    </w:tbl>
    <w:p>
      <w:pPr>
        <w:pStyle w:val="4"/>
        <w:rPr>
          <w:rFonts w:ascii="Times New Roman" w:hAnsi="Times New Roman" w:eastAsia="宋体"/>
          <w:color w:val="auto"/>
          <w:highlight w:val="none"/>
        </w:rPr>
      </w:pPr>
      <w:bookmarkStart w:id="59" w:name="_Toc106663444"/>
      <w:bookmarkStart w:id="60" w:name="_Toc89619330"/>
      <w:r>
        <w:rPr>
          <w:rFonts w:hint="eastAsia" w:ascii="Times New Roman" w:hAnsi="Times New Roman" w:eastAsia="宋体"/>
          <w:color w:val="auto"/>
          <w:highlight w:val="none"/>
        </w:rPr>
        <w:t>2.7环境保护目标及敏感点</w:t>
      </w:r>
      <w:bookmarkEnd w:id="59"/>
      <w:bookmarkEnd w:id="60"/>
    </w:p>
    <w:p>
      <w:pPr>
        <w:ind w:firstLine="480"/>
        <w:rPr>
          <w:rFonts w:hint="eastAsia" w:ascii="Times New Roman" w:hAnsi="Times New Roman" w:eastAsia="宋体"/>
          <w:color w:val="auto"/>
          <w:highlight w:val="none"/>
        </w:rPr>
      </w:pPr>
      <w:bookmarkStart w:id="61" w:name="_Toc106663451"/>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环境空气</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控制本项目大气污染物达标排放，确保本项目实施后评价区域的空气质量符合《环境空气质量标准》</w:t>
      </w:r>
      <w:r>
        <w:rPr>
          <w:rFonts w:hint="eastAsia"/>
          <w:color w:val="auto"/>
          <w:highlight w:val="none"/>
          <w:lang w:eastAsia="zh-CN"/>
        </w:rPr>
        <w:t>（</w:t>
      </w:r>
      <w:r>
        <w:rPr>
          <w:rFonts w:hint="eastAsia" w:ascii="Times New Roman" w:hAnsi="Times New Roman" w:eastAsia="宋体"/>
          <w:color w:val="auto"/>
          <w:highlight w:val="none"/>
        </w:rPr>
        <w:t>GB3095-2012</w:t>
      </w:r>
      <w:r>
        <w:rPr>
          <w:rFonts w:hint="eastAsia"/>
          <w:color w:val="auto"/>
          <w:highlight w:val="none"/>
          <w:lang w:eastAsia="zh-CN"/>
        </w:rPr>
        <w:t>）</w:t>
      </w:r>
      <w:r>
        <w:rPr>
          <w:rFonts w:hint="eastAsia" w:ascii="Times New Roman" w:hAnsi="Times New Roman" w:eastAsia="宋体"/>
          <w:color w:val="auto"/>
          <w:highlight w:val="none"/>
        </w:rPr>
        <w:t>二级标准要求。</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地下水环境</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做好厂区地面硬化，鸡舍、医疗废物暂存间做好防渗，确保项目所在区域地下水满足《地下水质量标准》</w:t>
      </w:r>
      <w:r>
        <w:rPr>
          <w:rFonts w:hint="eastAsia"/>
          <w:color w:val="auto"/>
          <w:highlight w:val="none"/>
          <w:lang w:eastAsia="zh-CN"/>
        </w:rPr>
        <w:t>（</w:t>
      </w:r>
      <w:r>
        <w:rPr>
          <w:rFonts w:hint="eastAsia" w:ascii="Times New Roman" w:hAnsi="Times New Roman" w:eastAsia="宋体"/>
          <w:color w:val="auto"/>
          <w:highlight w:val="none"/>
        </w:rPr>
        <w:t>GB/T14848-2017</w:t>
      </w:r>
      <w:r>
        <w:rPr>
          <w:rFonts w:hint="eastAsia"/>
          <w:color w:val="auto"/>
          <w:highlight w:val="none"/>
          <w:lang w:eastAsia="zh-CN"/>
        </w:rPr>
        <w:t>）</w:t>
      </w:r>
      <w:r>
        <w:rPr>
          <w:rFonts w:hint="eastAsia" w:ascii="Times New Roman" w:hAnsi="Times New Roman" w:eastAsia="宋体"/>
          <w:color w:val="auto"/>
          <w:highlight w:val="none"/>
        </w:rPr>
        <w:t>中的Ⅲ类标准要求。</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3</w:t>
      </w:r>
      <w:r>
        <w:rPr>
          <w:rFonts w:hint="eastAsia"/>
          <w:color w:val="auto"/>
          <w:highlight w:val="none"/>
          <w:lang w:eastAsia="zh-CN"/>
        </w:rPr>
        <w:t>）</w:t>
      </w:r>
      <w:r>
        <w:rPr>
          <w:rFonts w:hint="eastAsia" w:ascii="Times New Roman" w:hAnsi="Times New Roman" w:eastAsia="宋体"/>
          <w:color w:val="auto"/>
          <w:highlight w:val="none"/>
        </w:rPr>
        <w:t>声环境</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确保区域声环境满足《声环境质量标准》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中2类标准要求。</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4</w:t>
      </w:r>
      <w:r>
        <w:rPr>
          <w:rFonts w:hint="eastAsia"/>
          <w:color w:val="auto"/>
          <w:highlight w:val="none"/>
          <w:lang w:eastAsia="zh-CN"/>
        </w:rPr>
        <w:t>）</w:t>
      </w:r>
      <w:r>
        <w:rPr>
          <w:rFonts w:hint="eastAsia" w:ascii="Times New Roman" w:hAnsi="Times New Roman" w:eastAsia="宋体"/>
          <w:color w:val="auto"/>
          <w:highlight w:val="none"/>
        </w:rPr>
        <w:t>生态环境</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固体废物污染防治目标：确保项目所产生的固体废弃物均得到妥善处置，最大限度地减小固体废物对周围环境的影响，避免二次污染。</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本项目环境保护目标见表</w:t>
      </w:r>
      <w:r>
        <w:rPr>
          <w:rFonts w:hint="eastAsia" w:ascii="Times New Roman" w:hAnsi="Times New Roman" w:eastAsia="宋体"/>
          <w:color w:val="auto"/>
          <w:highlight w:val="none"/>
          <w:lang w:val="en-US" w:eastAsia="zh-CN"/>
        </w:rPr>
        <w:t>2.7-1</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219" w:lineRule="auto"/>
        <w:ind w:left="0" w:firstLine="0" w:firstLineChars="0"/>
        <w:jc w:val="center"/>
        <w:textAlignment w:val="auto"/>
        <w:rPr>
          <w:rFonts w:hint="eastAsia" w:ascii="Times New Roman" w:hAnsi="Times New Roman" w:eastAsia="宋体" w:cstheme="majorBidi"/>
          <w:b/>
          <w:color w:val="auto"/>
          <w:sz w:val="21"/>
          <w:highlight w:val="none"/>
          <w:lang w:val="en-US" w:eastAsia="zh-CN" w:bidi="ar-SA"/>
        </w:rPr>
      </w:pPr>
      <w:r>
        <w:rPr>
          <w:rFonts w:hint="eastAsia" w:ascii="Times New Roman" w:hAnsi="Times New Roman" w:eastAsia="宋体" w:cstheme="majorBidi"/>
          <w:b/>
          <w:color w:val="auto"/>
          <w:sz w:val="21"/>
          <w:highlight w:val="none"/>
          <w:lang w:val="en-US" w:eastAsia="zh-CN" w:bidi="ar-SA"/>
        </w:rPr>
        <w:t>表2.7-1主要环境保护目标一览表</w:t>
      </w: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09"/>
        <w:gridCol w:w="683"/>
        <w:gridCol w:w="798"/>
        <w:gridCol w:w="909"/>
        <w:gridCol w:w="909"/>
        <w:gridCol w:w="1135"/>
        <w:gridCol w:w="1361"/>
        <w:gridCol w:w="16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环境要素</w:t>
            </w:r>
          </w:p>
        </w:tc>
        <w:tc>
          <w:tcPr>
            <w:tcW w:w="891"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坐标</w:t>
            </w:r>
            <w:r>
              <w:rPr>
                <w:rFonts w:ascii="Times New Roman" w:hAnsi="Times New Roman" w:eastAsia="宋体" w:cs="Times New Roman"/>
                <w:color w:val="auto"/>
                <w:spacing w:val="0"/>
                <w:position w:val="0"/>
                <w:sz w:val="21"/>
                <w:szCs w:val="21"/>
                <w:highlight w:val="none"/>
              </w:rPr>
              <w:t>/m</w:t>
            </w:r>
          </w:p>
        </w:tc>
        <w:tc>
          <w:tcPr>
            <w:tcW w:w="547"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保护对象</w:t>
            </w:r>
          </w:p>
        </w:tc>
        <w:tc>
          <w:tcPr>
            <w:tcW w:w="547"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保护内容</w:t>
            </w:r>
          </w:p>
        </w:tc>
        <w:tc>
          <w:tcPr>
            <w:tcW w:w="68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环境功能区</w:t>
            </w:r>
          </w:p>
        </w:tc>
        <w:tc>
          <w:tcPr>
            <w:tcW w:w="81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相对厂址方位</w:t>
            </w:r>
          </w:p>
        </w:tc>
        <w:tc>
          <w:tcPr>
            <w:tcW w:w="96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相对厂界距离</w:t>
            </w:r>
            <w:r>
              <w:rPr>
                <w:rFonts w:ascii="Times New Roman" w:hAnsi="Times New Roman" w:eastAsia="宋体" w:cs="Times New Roman"/>
                <w:color w:val="auto"/>
                <w:spacing w:val="0"/>
                <w:position w:val="0"/>
                <w:sz w:val="21"/>
                <w:szCs w:val="21"/>
                <w:highlight w:val="none"/>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47"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环境空气</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X</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Y</w:t>
            </w:r>
          </w:p>
        </w:tc>
        <w:tc>
          <w:tcPr>
            <w:tcW w:w="54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54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68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81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96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47"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444881</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4910256</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苇坝村</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人群健康</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二类区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w:t>
            </w:r>
          </w:p>
        </w:tc>
        <w:tc>
          <w:tcPr>
            <w:tcW w:w="9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声环境</w:t>
            </w:r>
          </w:p>
        </w:tc>
        <w:tc>
          <w:tcPr>
            <w:tcW w:w="1438"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厂址区域及周围声环境</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声环境</w:t>
            </w:r>
          </w:p>
        </w:tc>
        <w:tc>
          <w:tcPr>
            <w:tcW w:w="6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二类区</w:t>
            </w:r>
          </w:p>
        </w:tc>
        <w:tc>
          <w:tcPr>
            <w:tcW w:w="1782"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w:t>
            </w:r>
          </w:p>
        </w:tc>
        <w:tc>
          <w:tcPr>
            <w:tcW w:w="1438"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厂址区域及附近地下水</w:t>
            </w:r>
          </w:p>
        </w:tc>
        <w:tc>
          <w:tcPr>
            <w:tcW w:w="3013"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w:t>
            </w:r>
          </w:p>
        </w:tc>
        <w:tc>
          <w:tcPr>
            <w:tcW w:w="1438"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w:t>
            </w:r>
          </w:p>
        </w:tc>
        <w:tc>
          <w:tcPr>
            <w:tcW w:w="3013"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保护区域生态环境</w:t>
            </w:r>
          </w:p>
        </w:tc>
      </w:tr>
      <w:bookmarkEnd w:id="61"/>
    </w:tbl>
    <w:p>
      <w:pPr>
        <w:pStyle w:val="4"/>
        <w:rPr>
          <w:rFonts w:ascii="Times New Roman" w:hAnsi="Times New Roman" w:eastAsia="宋体"/>
          <w:color w:val="auto"/>
          <w:highlight w:val="none"/>
        </w:rPr>
      </w:pPr>
      <w:bookmarkStart w:id="62" w:name="_Toc106663452"/>
      <w:bookmarkStart w:id="63" w:name="_Toc89619331"/>
      <w:r>
        <w:rPr>
          <w:rFonts w:hint="eastAsia" w:ascii="Times New Roman" w:hAnsi="Times New Roman" w:eastAsia="宋体"/>
          <w:color w:val="auto"/>
          <w:highlight w:val="none"/>
        </w:rPr>
        <w:t>2.9选址合理性分析</w:t>
      </w:r>
      <w:bookmarkEnd w:id="62"/>
      <w:bookmarkEnd w:id="63"/>
    </w:p>
    <w:p>
      <w:pPr>
        <w:pStyle w:val="5"/>
        <w:rPr>
          <w:rFonts w:ascii="Times New Roman" w:hAnsi="Times New Roman" w:eastAsia="宋体"/>
          <w:color w:val="auto"/>
          <w:highlight w:val="none"/>
        </w:rPr>
      </w:pPr>
      <w:bookmarkStart w:id="64" w:name="_Toc106663453"/>
      <w:r>
        <w:rPr>
          <w:rFonts w:hint="eastAsia" w:ascii="Times New Roman" w:hAnsi="Times New Roman" w:eastAsia="宋体"/>
          <w:color w:val="auto"/>
          <w:highlight w:val="none"/>
        </w:rPr>
        <w:t>2.9.1选址合理性</w:t>
      </w:r>
      <w:bookmarkEnd w:id="6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本项目建设位于广东地乡苇坝村东侧1.6km处，项目北侧为空地，西侧为乡村道路，</w:t>
      </w:r>
      <w:r>
        <w:rPr>
          <w:rFonts w:hint="eastAsia"/>
          <w:color w:val="auto"/>
          <w:highlight w:val="none"/>
          <w:lang w:eastAsia="zh-CN"/>
        </w:rPr>
        <w:t>南侧为农田</w:t>
      </w:r>
      <w:r>
        <w:rPr>
          <w:rFonts w:hint="eastAsia" w:ascii="Times New Roman" w:hAnsi="Times New Roman" w:eastAsia="宋体"/>
          <w:color w:val="auto"/>
          <w:highlight w:val="none"/>
        </w:rPr>
        <w:t>，东侧为棉花地，用地类型为设施农用地。经分析，项目选址符合《畜禽养殖业污染防治技术规范》</w:t>
      </w:r>
      <w:r>
        <w:rPr>
          <w:rFonts w:hint="eastAsia"/>
          <w:color w:val="auto"/>
          <w:highlight w:val="none"/>
          <w:lang w:eastAsia="zh-CN"/>
        </w:rPr>
        <w:t>（</w:t>
      </w:r>
      <w:r>
        <w:rPr>
          <w:rFonts w:hint="eastAsia" w:ascii="Times New Roman" w:hAnsi="Times New Roman" w:eastAsia="宋体"/>
          <w:color w:val="auto"/>
          <w:highlight w:val="none"/>
        </w:rPr>
        <w:t>HJ/T81-2001</w:t>
      </w:r>
      <w:r>
        <w:rPr>
          <w:rFonts w:hint="eastAsia"/>
          <w:color w:val="auto"/>
          <w:highlight w:val="none"/>
          <w:lang w:eastAsia="zh-CN"/>
        </w:rPr>
        <w:t>）</w:t>
      </w:r>
      <w:r>
        <w:rPr>
          <w:rFonts w:hint="eastAsia" w:ascii="Times New Roman" w:hAnsi="Times New Roman" w:eastAsia="宋体"/>
          <w:color w:val="auto"/>
          <w:highlight w:val="none"/>
        </w:rPr>
        <w:t>、《动物防疫条件审查办法》</w:t>
      </w:r>
      <w:r>
        <w:rPr>
          <w:rFonts w:hint="eastAsia"/>
          <w:color w:val="auto"/>
          <w:highlight w:val="none"/>
          <w:lang w:eastAsia="zh-CN"/>
        </w:rPr>
        <w:t>（</w:t>
      </w:r>
      <w:r>
        <w:rPr>
          <w:rFonts w:hint="eastAsia" w:ascii="Times New Roman" w:hAnsi="Times New Roman" w:eastAsia="宋体"/>
          <w:color w:val="auto"/>
          <w:highlight w:val="none"/>
        </w:rPr>
        <w:t>农业部令2010年第7号</w:t>
      </w:r>
      <w:r>
        <w:rPr>
          <w:rFonts w:hint="eastAsia"/>
          <w:color w:val="auto"/>
          <w:highlight w:val="none"/>
          <w:lang w:eastAsia="zh-CN"/>
        </w:rPr>
        <w:t>）</w:t>
      </w:r>
      <w:r>
        <w:rPr>
          <w:rFonts w:hint="eastAsia" w:ascii="Times New Roman" w:hAnsi="Times New Roman" w:eastAsia="宋体"/>
          <w:color w:val="auto"/>
          <w:highlight w:val="none"/>
        </w:rPr>
        <w:t>、《畜禽养殖业污染治理工程技术规范》</w:t>
      </w:r>
      <w:r>
        <w:rPr>
          <w:rFonts w:hint="eastAsia"/>
          <w:color w:val="auto"/>
          <w:highlight w:val="none"/>
          <w:lang w:eastAsia="zh-CN"/>
        </w:rPr>
        <w:t>（</w:t>
      </w:r>
      <w:r>
        <w:rPr>
          <w:rFonts w:hint="eastAsia" w:ascii="Times New Roman" w:hAnsi="Times New Roman" w:eastAsia="宋体"/>
          <w:color w:val="auto"/>
          <w:highlight w:val="none"/>
        </w:rPr>
        <w:t>HJ497-2009</w:t>
      </w:r>
      <w:r>
        <w:rPr>
          <w:rFonts w:hint="eastAsia"/>
          <w:color w:val="auto"/>
          <w:highlight w:val="none"/>
          <w:lang w:eastAsia="zh-CN"/>
        </w:rPr>
        <w:t>）</w:t>
      </w:r>
      <w:r>
        <w:rPr>
          <w:rFonts w:hint="eastAsia" w:ascii="Times New Roman" w:hAnsi="Times New Roman" w:eastAsia="宋体"/>
          <w:color w:val="auto"/>
          <w:highlight w:val="none"/>
        </w:rPr>
        <w:t>和《玛纳斯县畜禽养殖禁养区和限养区划定工作实施方案》</w:t>
      </w:r>
      <w:r>
        <w:rPr>
          <w:rFonts w:hint="eastAsia"/>
          <w:color w:val="auto"/>
          <w:highlight w:val="none"/>
          <w:lang w:eastAsia="zh-CN"/>
        </w:rPr>
        <w:t>（</w:t>
      </w:r>
      <w:r>
        <w:rPr>
          <w:rFonts w:hint="eastAsia" w:ascii="Times New Roman" w:hAnsi="Times New Roman" w:eastAsia="宋体"/>
          <w:color w:val="auto"/>
          <w:highlight w:val="none"/>
        </w:rPr>
        <w:t>玛政办发〔2017〕20号</w:t>
      </w:r>
      <w:r>
        <w:rPr>
          <w:rFonts w:hint="eastAsia"/>
          <w:color w:val="auto"/>
          <w:highlight w:val="none"/>
          <w:lang w:eastAsia="zh-CN"/>
        </w:rPr>
        <w:t>）</w:t>
      </w:r>
      <w:r>
        <w:rPr>
          <w:rFonts w:hint="eastAsia" w:ascii="Times New Roman" w:hAnsi="Times New Roman" w:eastAsia="宋体"/>
          <w:color w:val="auto"/>
          <w:highlight w:val="none"/>
        </w:rPr>
        <w:t>等规范文件对畜禽养殖场的选址要求。因此，本项目选址合理可行。</w:t>
      </w:r>
    </w:p>
    <w:p>
      <w:pPr>
        <w:pStyle w:val="5"/>
        <w:rPr>
          <w:rFonts w:ascii="Times New Roman" w:hAnsi="Times New Roman" w:eastAsia="宋体"/>
          <w:color w:val="auto"/>
          <w:highlight w:val="none"/>
        </w:rPr>
      </w:pPr>
      <w:bookmarkStart w:id="65" w:name="_Toc106663454"/>
      <w:r>
        <w:rPr>
          <w:rFonts w:hint="eastAsia" w:ascii="Times New Roman" w:hAnsi="Times New Roman" w:eastAsia="宋体"/>
          <w:color w:val="auto"/>
          <w:highlight w:val="none"/>
        </w:rPr>
        <w:t>2.9.2环境容量</w:t>
      </w:r>
      <w:bookmarkEnd w:id="6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项目区域SO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10</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2.5</w:t>
      </w:r>
      <w:r>
        <w:rPr>
          <w:rFonts w:hint="eastAsia" w:ascii="Times New Roman" w:hAnsi="Times New Roman" w:eastAsia="宋体"/>
          <w:color w:val="auto"/>
          <w:highlight w:val="none"/>
        </w:rPr>
        <w:t>、CO和O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等基本污染物浓度满足《环境空气质量标准》（GB3095-2012）二级浓度限值，NH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和H</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S满足《环境影响评价技术导则大气环境》（HJ2.2-2018）附录D中的参考限值；区域内地下水体均满足水环境功能区划要求，评价指标均符合评价标准中的Ⅲ类标准，尚有一定环境容量；评价区声环境质量现状满足《声环境质量标准》（GB3096-2008）中的</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类标准，且厂区周围无声环境敏感目标。</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本项目区域水、气、声环境质量现状良好，尚有一定的环境容量，运营后污染物达标排放，对区域环境影响不大，区域环境仍可保持现有功能水平。因此，项目选址从环境容量角度分析是可行的。</w:t>
      </w:r>
    </w:p>
    <w:p>
      <w:pPr>
        <w:pStyle w:val="5"/>
        <w:rPr>
          <w:rFonts w:ascii="Times New Roman" w:hAnsi="Times New Roman" w:eastAsia="宋体"/>
          <w:color w:val="auto"/>
          <w:highlight w:val="none"/>
        </w:rPr>
      </w:pPr>
      <w:bookmarkStart w:id="66" w:name="_Toc106663455"/>
      <w:r>
        <w:rPr>
          <w:rFonts w:hint="eastAsia" w:ascii="Times New Roman" w:hAnsi="Times New Roman" w:eastAsia="宋体"/>
          <w:color w:val="auto"/>
          <w:highlight w:val="none"/>
        </w:rPr>
        <w:t>2.9.3区域主导风向及防护距离</w:t>
      </w:r>
      <w:bookmarkEnd w:id="66"/>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主导风向为南风、偶尔出现西风或西北风，本项目位于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，生活区位于项目区西南侧，</w:t>
      </w:r>
      <w:r>
        <w:rPr>
          <w:rFonts w:hint="eastAsia"/>
          <w:color w:val="auto"/>
          <w:highlight w:val="none"/>
          <w:lang w:eastAsia="zh-CN"/>
        </w:rPr>
        <w:t>废水收集池</w:t>
      </w:r>
      <w:r>
        <w:rPr>
          <w:rFonts w:hint="eastAsia" w:ascii="Times New Roman" w:hAnsi="Times New Roman" w:eastAsia="宋体"/>
          <w:color w:val="auto"/>
          <w:highlight w:val="none"/>
        </w:rPr>
        <w:t>位于项目区东北侧，项目运营过程中产生的废气对生活区有一定的影响。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估算结果可知厂界外大气污染物短期贡献浓度不超过环境质量浓度限值。项目区内均无居民区、学校、医院等环境敏感区。为了降低项目区大气污染物排放对周围敏感目标的影响，环评要求在项目区周围设置500m限制区，并做出如下要求：严格控制人口导入，不再批准建设新的居住项目，限制区内已规划但尚未动工的项目应停止建设。不再批准建设新的集中居住区、医院、学校等敏感目标。</w:t>
      </w:r>
    </w:p>
    <w:p>
      <w:pPr>
        <w:pStyle w:val="5"/>
        <w:rPr>
          <w:rFonts w:ascii="Times New Roman" w:hAnsi="Times New Roman" w:eastAsia="宋体"/>
          <w:color w:val="auto"/>
          <w:highlight w:val="none"/>
        </w:rPr>
      </w:pPr>
      <w:bookmarkStart w:id="67" w:name="_Toc106663456"/>
      <w:r>
        <w:rPr>
          <w:rFonts w:hint="eastAsia" w:ascii="Times New Roman" w:hAnsi="Times New Roman" w:eastAsia="宋体"/>
          <w:color w:val="auto"/>
          <w:highlight w:val="none"/>
        </w:rPr>
        <w:t>2.9.4环境敏感性分析</w:t>
      </w:r>
      <w:bookmarkEnd w:id="6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从环境敏感性看，评价区无国家及省级确定的风景名胜、历史遗迹等保护区；无饮用水水源保护区；厂区内无特殊自然观赏价值较高的景观，也不属于土地荒漠化地区；项目区周围无居民区，学校等敏感点。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按照《建设项目环境影响评价分类管理名录》（2021年版）中关于环境敏感因素的界定原则，经调查本项目选址地区不属于特殊保护地区、社会关注区和特殊地貌景观区，也无重点保护生态品种及濒危生物物种，文物古迹等，区域环境敏感因素较少。</w:t>
      </w:r>
    </w:p>
    <w:p>
      <w:pPr>
        <w:pStyle w:val="5"/>
        <w:rPr>
          <w:rFonts w:ascii="Times New Roman" w:hAnsi="Times New Roman" w:eastAsia="宋体"/>
          <w:color w:val="auto"/>
          <w:highlight w:val="none"/>
        </w:rPr>
      </w:pPr>
      <w:bookmarkStart w:id="68" w:name="_Toc106663457"/>
      <w:r>
        <w:rPr>
          <w:rFonts w:hint="eastAsia" w:ascii="Times New Roman" w:hAnsi="Times New Roman" w:eastAsia="宋体"/>
          <w:color w:val="auto"/>
          <w:highlight w:val="none"/>
        </w:rPr>
        <w:t>2.9.5小结</w:t>
      </w:r>
      <w:bookmarkEnd w:id="6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项目厂址位于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，用地性质为设施农业用地。项目厂址未选择在环境敏感区域，厂址附近无国家公园、自然保护区、风景名胜区和自然保护区等需要特殊保护的区域。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符合国家及地方的产业政策和发展规划，建设区域环境质量现状良好，区域环境敏感程度较低，有一定的区域环境容量，项目正常运行对环境的影响不大，环境风险水平可接受，卫生防护距离满足要求，结合环境影响预测评价结果综合分析，厂址选择是合理可行的。</w:t>
      </w:r>
    </w:p>
    <w:p>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rPr>
          <w:rFonts w:ascii="Times New Roman" w:hAnsi="Times New Roman" w:eastAsia="宋体"/>
          <w:color w:val="auto"/>
          <w:highlight w:val="none"/>
        </w:rPr>
      </w:pPr>
      <w:bookmarkStart w:id="69" w:name="_Toc89619332"/>
      <w:bookmarkStart w:id="70" w:name="_Toc106663458"/>
      <w:r>
        <w:rPr>
          <w:rFonts w:hint="eastAsia" w:ascii="Times New Roman" w:hAnsi="Times New Roman" w:eastAsia="宋体"/>
          <w:color w:val="auto"/>
          <w:highlight w:val="none"/>
        </w:rPr>
        <w:t>3、工程分析</w:t>
      </w:r>
      <w:bookmarkEnd w:id="69"/>
      <w:bookmarkEnd w:id="70"/>
    </w:p>
    <w:p>
      <w:pPr>
        <w:pStyle w:val="4"/>
        <w:rPr>
          <w:rFonts w:ascii="Times New Roman" w:hAnsi="Times New Roman" w:eastAsia="宋体"/>
          <w:color w:val="auto"/>
          <w:highlight w:val="none"/>
        </w:rPr>
      </w:pPr>
      <w:bookmarkStart w:id="71" w:name="_Toc89619333"/>
      <w:bookmarkStart w:id="72" w:name="_Toc106663459"/>
      <w:r>
        <w:rPr>
          <w:rFonts w:hint="eastAsia" w:ascii="Times New Roman" w:hAnsi="Times New Roman" w:eastAsia="宋体"/>
          <w:color w:val="auto"/>
          <w:highlight w:val="none"/>
        </w:rPr>
        <w:t>3.1工程概况</w:t>
      </w:r>
      <w:bookmarkEnd w:id="71"/>
      <w:bookmarkEnd w:id="72"/>
    </w:p>
    <w:p>
      <w:pPr>
        <w:pStyle w:val="5"/>
        <w:rPr>
          <w:rFonts w:ascii="Times New Roman" w:hAnsi="Times New Roman" w:eastAsia="宋体"/>
          <w:color w:val="auto"/>
          <w:highlight w:val="none"/>
        </w:rPr>
      </w:pPr>
      <w:bookmarkStart w:id="73" w:name="_Toc106663460"/>
      <w:r>
        <w:rPr>
          <w:rFonts w:hint="eastAsia" w:ascii="Times New Roman" w:hAnsi="Times New Roman" w:eastAsia="宋体"/>
          <w:color w:val="auto"/>
          <w:highlight w:val="none"/>
        </w:rPr>
        <w:t>3.1.1项目基本情况</w:t>
      </w:r>
      <w:bookmarkEnd w:id="73"/>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（1）项目名称：</w:t>
      </w:r>
      <w:r>
        <w:rPr>
          <w:rFonts w:hint="eastAsia" w:ascii="Times New Roman" w:hAnsi="Times New Roman" w:eastAsia="宋体"/>
          <w:color w:val="auto"/>
          <w:highlight w:val="none"/>
          <w:lang w:eastAsia="zh-CN"/>
        </w:rPr>
        <w:t>玛纳斯县蛋鸡育成鸡圈舍建设及设备采购项目</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（2）建设单位：</w:t>
      </w:r>
      <w:r>
        <w:rPr>
          <w:rFonts w:hint="eastAsia" w:ascii="Times New Roman" w:hAnsi="Times New Roman" w:eastAsia="宋体"/>
          <w:color w:val="auto"/>
          <w:highlight w:val="none"/>
          <w:lang w:eastAsia="zh-CN"/>
        </w:rPr>
        <w:t>玛纳斯县广东地乡人民政府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（3）项目性质：新建</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（4）建设地点：</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，项目北侧为空地，西侧为乡村道路，</w:t>
      </w:r>
      <w:r>
        <w:rPr>
          <w:rFonts w:hint="eastAsia"/>
          <w:color w:val="auto"/>
          <w:highlight w:val="none"/>
          <w:lang w:eastAsia="zh-CN"/>
        </w:rPr>
        <w:t>南侧为农田</w:t>
      </w:r>
      <w:r>
        <w:rPr>
          <w:rFonts w:hint="eastAsia" w:ascii="Times New Roman" w:hAnsi="Times New Roman" w:eastAsia="宋体"/>
          <w:color w:val="auto"/>
          <w:highlight w:val="none"/>
        </w:rPr>
        <w:t>，东侧为棉花地，用地类型为设施农用地。中心地理坐标：86</w:t>
      </w:r>
      <w:r>
        <w:rPr>
          <w:rFonts w:ascii="Times New Roman" w:hAnsi="Times New Roman" w:eastAsia="宋体"/>
          <w:color w:val="auto"/>
          <w:highlight w:val="none"/>
        </w:rPr>
        <w:t>°</w:t>
      </w:r>
      <w:r>
        <w:rPr>
          <w:rFonts w:hint="eastAsia" w:ascii="Times New Roman" w:hAnsi="Times New Roman" w:eastAsia="宋体"/>
          <w:color w:val="auto"/>
          <w:highlight w:val="none"/>
        </w:rPr>
        <w:t>53</w:t>
      </w:r>
      <w:r>
        <w:rPr>
          <w:rFonts w:ascii="Times New Roman" w:hAnsi="Times New Roman" w:eastAsia="宋体"/>
          <w:color w:val="auto"/>
          <w:highlight w:val="none"/>
        </w:rPr>
        <w:t>′</w:t>
      </w:r>
      <w:r>
        <w:rPr>
          <w:rFonts w:hint="eastAsia" w:ascii="Times New Roman" w:hAnsi="Times New Roman" w:eastAsia="宋体"/>
          <w:color w:val="auto"/>
          <w:highlight w:val="none"/>
        </w:rPr>
        <w:t>19.83</w:t>
      </w:r>
      <w:r>
        <w:rPr>
          <w:rFonts w:ascii="Times New Roman" w:hAnsi="Times New Roman" w:eastAsia="宋体"/>
          <w:color w:val="auto"/>
          <w:highlight w:val="none"/>
        </w:rPr>
        <w:t>″E，44°22′8.60″N</w:t>
      </w:r>
      <w:r>
        <w:rPr>
          <w:rFonts w:hint="eastAsia" w:ascii="Times New Roman" w:hAnsi="Times New Roman" w:eastAsia="宋体"/>
          <w:color w:val="auto"/>
          <w:highlight w:val="none"/>
        </w:rPr>
        <w:t>。项目区地理位置示意图见附图3.1-1，项目周边关系卫星图见附图3.1-2。</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（5）项目投资：项目总投资</w:t>
      </w:r>
      <w:bookmarkStart w:id="74" w:name="_Hlk106715992"/>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w:t>
      </w:r>
      <w:bookmarkEnd w:id="74"/>
      <w:r>
        <w:rPr>
          <w:rFonts w:hint="eastAsia" w:ascii="Times New Roman" w:hAnsi="Times New Roman" w:eastAsia="宋体"/>
          <w:color w:val="auto"/>
          <w:highlight w:val="none"/>
        </w:rPr>
        <w:t>元，</w:t>
      </w:r>
      <w:r>
        <w:rPr>
          <w:rFonts w:hint="eastAsia" w:ascii="Times New Roman" w:hAnsi="Times New Roman" w:eastAsia="宋体"/>
          <w:color w:val="auto"/>
          <w:highlight w:val="none"/>
          <w:lang w:val="en-US" w:eastAsia="zh-CN"/>
        </w:rPr>
        <w:t>其中：中央衔接资金1126万元，自治区衔接资金744万元</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（6）占地面积：总占地面积为</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（7）生产规模：</w:t>
      </w:r>
      <w:r>
        <w:rPr>
          <w:rFonts w:hint="eastAsia" w:ascii="Times New Roman" w:hAnsi="Times New Roman" w:eastAsia="宋体"/>
          <w:color w:val="auto"/>
          <w:highlight w:val="none"/>
          <w:lang w:val="en-US" w:eastAsia="zh-CN"/>
        </w:rPr>
        <w:t>建设育成鸡圈舍6栋</w:t>
      </w:r>
      <w:r>
        <w:rPr>
          <w:rFonts w:hint="eastAsia" w:ascii="Times New Roman" w:hAnsi="Times New Roman" w:eastAsia="宋体"/>
          <w:color w:val="auto"/>
          <w:highlight w:val="none"/>
        </w:rPr>
        <w:t>，4万只一个批次，一年3批次</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共72万只。</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（8）劳动定员：本项目工作人员共20人，年工作时间为365天，采用两班制，每班工作12h。</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（9）项目实施规划：计划202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月开工，2</w:t>
      </w:r>
      <w:r>
        <w:rPr>
          <w:rFonts w:ascii="Times New Roman" w:hAnsi="Times New Roman" w:eastAsia="宋体"/>
          <w:color w:val="auto"/>
          <w:highlight w:val="none"/>
        </w:rPr>
        <w:t>02</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月建成投产。</w:t>
      </w:r>
    </w:p>
    <w:p>
      <w:pPr>
        <w:pStyle w:val="5"/>
        <w:rPr>
          <w:rFonts w:ascii="Times New Roman" w:hAnsi="Times New Roman" w:eastAsia="宋体"/>
          <w:color w:val="auto"/>
          <w:highlight w:val="none"/>
        </w:rPr>
      </w:pPr>
      <w:bookmarkStart w:id="75" w:name="_Toc106663461"/>
      <w:r>
        <w:rPr>
          <w:rFonts w:hint="eastAsia" w:ascii="Times New Roman" w:hAnsi="Times New Roman" w:eastAsia="宋体"/>
          <w:color w:val="auto"/>
          <w:highlight w:val="none"/>
        </w:rPr>
        <w:t>3.1.2主要建设内容</w:t>
      </w:r>
      <w:bookmarkEnd w:id="75"/>
    </w:p>
    <w:p>
      <w:pPr>
        <w:ind w:firstLine="480"/>
        <w:rPr>
          <w:rFonts w:ascii="Times New Roman" w:hAnsi="Times New Roman" w:eastAsia="宋体"/>
          <w:color w:val="auto"/>
          <w:highlight w:val="none"/>
        </w:rPr>
      </w:pPr>
      <w:r>
        <w:rPr>
          <w:rFonts w:ascii="Times New Roman" w:hAnsi="Times New Roman" w:eastAsia="宋体"/>
          <w:color w:val="auto"/>
          <w:highlight w:val="none"/>
        </w:rPr>
        <w:t>本项目建设内容主要包括标准蛋鸡育雏舍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栋，管理用房、配电室和供排水管线。</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表3.1-1项目工程组成一览表</w:t>
      </w:r>
    </w:p>
    <w:tbl>
      <w:tblPr>
        <w:tblStyle w:val="176"/>
        <w:tblW w:w="50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1"/>
        <w:gridCol w:w="1333"/>
        <w:gridCol w:w="4089"/>
        <w:gridCol w:w="25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工程分类</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项目名称</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建设规模</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主体工程</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标准蛋鸡育雏舍</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新建标准蛋鸡育雏舍</w:t>
            </w:r>
            <w:r>
              <w:rPr>
                <w:rFonts w:hint="eastAsia" w:ascii="Times New Roman" w:hAnsi="Times New Roman" w:eastAsia="宋体" w:cs="宋体"/>
                <w:color w:val="auto"/>
                <w:spacing w:val="0"/>
                <w:position w:val="0"/>
                <w:sz w:val="21"/>
                <w:szCs w:val="21"/>
                <w:highlight w:val="none"/>
                <w:lang w:val="en-US" w:eastAsia="zh-CN"/>
              </w:rPr>
              <w:t>6</w:t>
            </w:r>
            <w:r>
              <w:rPr>
                <w:rFonts w:ascii="Times New Roman" w:hAnsi="Times New Roman" w:eastAsia="宋体" w:cs="宋体"/>
                <w:color w:val="auto"/>
                <w:spacing w:val="0"/>
                <w:position w:val="0"/>
                <w:sz w:val="21"/>
                <w:szCs w:val="21"/>
                <w:highlight w:val="none"/>
              </w:rPr>
              <w:t>栋，每栋鸡舍占地面积为</w:t>
            </w:r>
            <w:r>
              <w:rPr>
                <w:rFonts w:hint="eastAsia" w:ascii="Times New Roman" w:hAnsi="Times New Roman" w:eastAsia="宋体" w:cs="宋体"/>
                <w:color w:val="auto"/>
                <w:spacing w:val="0"/>
                <w:position w:val="0"/>
                <w:sz w:val="21"/>
                <w:szCs w:val="21"/>
                <w:highlight w:val="none"/>
                <w:lang w:val="en-US" w:eastAsia="zh-CN"/>
              </w:rPr>
              <w:t>1080</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Times New Roman"/>
                <w:color w:val="auto"/>
                <w:spacing w:val="0"/>
                <w:position w:val="0"/>
                <w:sz w:val="21"/>
                <w:szCs w:val="14"/>
                <w:highlight w:val="none"/>
                <w:vertAlign w:val="superscript"/>
              </w:rPr>
              <w:t>2</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hint="eastAsia" w:ascii="Times New Roman" w:hAnsi="Times New Roman" w:eastAsia="宋体" w:cs="宋体"/>
                <w:color w:val="auto"/>
                <w:spacing w:val="0"/>
                <w:position w:val="0"/>
                <w:sz w:val="21"/>
                <w:szCs w:val="21"/>
                <w:highlight w:val="none"/>
                <w:lang w:val="en-US" w:eastAsia="zh-CN"/>
              </w:rPr>
              <w:t>安装智能育成鸡设备6套，每栋圈舍主要设备：笼架系统、行车喂料系统、饮水系统、自动清粪系统、自动通风降温系统、照明系统、自动控制系统、消毒系统、报警系统等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jc w:val="center"/>
        </w:trPr>
        <w:tc>
          <w:tcPr>
            <w:tcW w:w="2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配套工程</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管理用房</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管理用房为砖混结构，每栋鸡舍均配套设置</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个管理用房，建筑面积均为</w:t>
            </w:r>
            <w:r>
              <w:rPr>
                <w:rFonts w:ascii="Times New Roman" w:hAnsi="Times New Roman" w:eastAsia="宋体" w:cs="Times New Roman"/>
                <w:color w:val="auto"/>
                <w:spacing w:val="0"/>
                <w:position w:val="0"/>
                <w:sz w:val="21"/>
                <w:szCs w:val="21"/>
                <w:highlight w:val="none"/>
              </w:rPr>
              <w:t>6m</w:t>
            </w:r>
            <w:r>
              <w:rPr>
                <w:rFonts w:ascii="Times New Roman" w:hAnsi="Times New Roman" w:eastAsia="宋体" w:cs="Times New Roman"/>
                <w:color w:val="auto"/>
                <w:spacing w:val="0"/>
                <w:position w:val="0"/>
                <w:sz w:val="21"/>
                <w:szCs w:val="14"/>
                <w:highlight w:val="none"/>
                <w:vertAlign w:val="superscript"/>
              </w:rPr>
              <w:t>2</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供排水管线</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修建</w:t>
            </w:r>
            <w:r>
              <w:rPr>
                <w:rFonts w:ascii="Times New Roman" w:hAnsi="Times New Roman" w:eastAsia="宋体" w:cs="Times New Roman"/>
                <w:color w:val="auto"/>
                <w:spacing w:val="0"/>
                <w:position w:val="0"/>
                <w:sz w:val="21"/>
                <w:szCs w:val="21"/>
                <w:highlight w:val="none"/>
              </w:rPr>
              <w:t>6km</w:t>
            </w:r>
            <w:r>
              <w:rPr>
                <w:rFonts w:ascii="Times New Roman" w:hAnsi="Times New Roman" w:eastAsia="宋体" w:cs="宋体"/>
                <w:color w:val="auto"/>
                <w:spacing w:val="0"/>
                <w:position w:val="0"/>
                <w:sz w:val="21"/>
                <w:szCs w:val="21"/>
                <w:highlight w:val="none"/>
              </w:rPr>
              <w:t>的供水管线，</w:t>
            </w:r>
            <w:r>
              <w:rPr>
                <w:rFonts w:ascii="Times New Roman" w:hAnsi="Times New Roman" w:eastAsia="宋体" w:cs="Times New Roman"/>
                <w:color w:val="auto"/>
                <w:spacing w:val="0"/>
                <w:position w:val="0"/>
                <w:sz w:val="21"/>
                <w:szCs w:val="21"/>
                <w:highlight w:val="none"/>
              </w:rPr>
              <w:t>6km</w:t>
            </w:r>
            <w:r>
              <w:rPr>
                <w:rFonts w:ascii="Times New Roman" w:hAnsi="Times New Roman" w:eastAsia="宋体" w:cs="宋体"/>
                <w:color w:val="auto"/>
                <w:spacing w:val="0"/>
                <w:position w:val="0"/>
                <w:sz w:val="21"/>
                <w:szCs w:val="21"/>
                <w:highlight w:val="none"/>
              </w:rPr>
              <w:t>的排水管线沿道路敷设。</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ascii="Times New Roman" w:hAnsi="Times New Roman" w:eastAsia="宋体" w:cs="宋体"/>
                <w:color w:val="auto"/>
                <w:spacing w:val="0"/>
                <w:positio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公用工程</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供水</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生产、生活用水水源来自玛纳斯县广东地</w:t>
            </w:r>
            <w:r>
              <w:rPr>
                <w:rFonts w:hint="eastAsia" w:ascii="Times New Roman" w:hAnsi="Times New Roman" w:eastAsia="宋体" w:cs="宋体"/>
                <w:color w:val="auto"/>
                <w:spacing w:val="0"/>
                <w:position w:val="0"/>
                <w:sz w:val="21"/>
                <w:szCs w:val="21"/>
                <w:highlight w:val="none"/>
                <w:lang w:val="en-US" w:eastAsia="zh-CN"/>
              </w:rPr>
              <w:t>村</w:t>
            </w:r>
            <w:r>
              <w:rPr>
                <w:rFonts w:ascii="Times New Roman" w:hAnsi="Times New Roman" w:eastAsia="宋体" w:cs="宋体"/>
                <w:color w:val="auto"/>
                <w:spacing w:val="0"/>
                <w:position w:val="0"/>
                <w:sz w:val="21"/>
                <w:szCs w:val="21"/>
                <w:highlight w:val="none"/>
              </w:rPr>
              <w:t>管网接入</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5"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排水</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生活污水直接排入下水管网，最终进入玛纳斯县城污水处理厂；鸡舍冲洗废水排入</w:t>
            </w:r>
            <w:r>
              <w:rPr>
                <w:rFonts w:hint="eastAsia" w:cs="宋体"/>
                <w:color w:val="auto"/>
                <w:spacing w:val="0"/>
                <w:position w:val="0"/>
                <w:sz w:val="21"/>
                <w:szCs w:val="21"/>
                <w:highlight w:val="none"/>
                <w:lang w:val="en-US" w:eastAsia="zh-CN"/>
              </w:rPr>
              <w:t>废水收集池（150m</w:t>
            </w:r>
            <w:r>
              <w:rPr>
                <w:rFonts w:hint="eastAsia" w:cs="宋体"/>
                <w:color w:val="auto"/>
                <w:spacing w:val="0"/>
                <w:position w:val="0"/>
                <w:sz w:val="21"/>
                <w:szCs w:val="21"/>
                <w:highlight w:val="none"/>
                <w:vertAlign w:val="superscript"/>
                <w:lang w:val="en-US" w:eastAsia="zh-CN"/>
              </w:rPr>
              <w:t>3</w:t>
            </w:r>
            <w:r>
              <w:rPr>
                <w:rFonts w:hint="eastAsia" w:cs="宋体"/>
                <w:color w:val="auto"/>
                <w:spacing w:val="0"/>
                <w:position w:val="0"/>
                <w:sz w:val="21"/>
                <w:szCs w:val="21"/>
                <w:highlight w:val="none"/>
                <w:lang w:val="en-US" w:eastAsia="zh-CN"/>
              </w:rPr>
              <w:t>）经过预处理后用作农肥。</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供电</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由项目区外电网接入</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供暖</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夏季办公区采用空调制冷，禽舍降温采用水帘降温系统，冬季通过</w:t>
            </w:r>
            <w:r>
              <w:rPr>
                <w:rFonts w:hint="eastAsia" w:ascii="Times New Roman" w:hAnsi="Times New Roman" w:eastAsia="宋体" w:cs="宋体"/>
                <w:color w:val="auto"/>
                <w:spacing w:val="0"/>
                <w:position w:val="0"/>
                <w:sz w:val="21"/>
                <w:szCs w:val="21"/>
                <w:highlight w:val="none"/>
                <w:lang w:val="en-US" w:eastAsia="zh-CN"/>
              </w:rPr>
              <w:t>电水暖锅炉供暖</w:t>
            </w:r>
            <w:r>
              <w:rPr>
                <w:rFonts w:ascii="Times New Roman" w:hAnsi="Times New Roman" w:eastAsia="宋体" w:cs="宋体"/>
                <w:color w:val="auto"/>
                <w:spacing w:val="0"/>
                <w:position w:val="0"/>
                <w:sz w:val="21"/>
                <w:szCs w:val="21"/>
                <w:highlight w:val="none"/>
              </w:rPr>
              <w:t>。</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2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环保工程</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固废处置</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鸡粪及散落羽毛收集外售做有机肥，病死尸体在项目区东北角设置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全填埋井卫生填埋</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填埋井为混凝土结构，</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防渗，深度大于</w:t>
            </w:r>
            <w:r>
              <w:rPr>
                <w:rFonts w:ascii="Times New Roman" w:hAnsi="Times New Roman" w:eastAsia="宋体" w:cs="Times New Roman"/>
                <w:color w:val="auto"/>
                <w:spacing w:val="0"/>
                <w:position w:val="0"/>
                <w:sz w:val="21"/>
                <w:szCs w:val="21"/>
                <w:highlight w:val="none"/>
              </w:rPr>
              <w:t>3m</w:t>
            </w:r>
            <w:r>
              <w:rPr>
                <w:rFonts w:ascii="Times New Roman" w:hAnsi="Times New Roman" w:eastAsia="宋体" w:cs="宋体"/>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直径</w:t>
            </w:r>
            <w:r>
              <w:rPr>
                <w:rFonts w:ascii="Times New Roman" w:hAnsi="Times New Roman" w:eastAsia="宋体" w:cs="Times New Roman"/>
                <w:color w:val="auto"/>
                <w:spacing w:val="0"/>
                <w:position w:val="0"/>
                <w:sz w:val="21"/>
                <w:szCs w:val="21"/>
                <w:highlight w:val="none"/>
              </w:rPr>
              <w:t>1m</w:t>
            </w:r>
            <w:r>
              <w:rPr>
                <w:rFonts w:ascii="Times New Roman" w:hAnsi="Times New Roman" w:eastAsia="宋体" w:cs="宋体"/>
                <w:color w:val="auto"/>
                <w:spacing w:val="0"/>
                <w:position w:val="0"/>
                <w:sz w:val="21"/>
                <w:szCs w:val="21"/>
                <w:highlight w:val="none"/>
              </w:rPr>
              <w:t>以上，井口加盖密封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废水治理</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生活污水直接排入下水管网，最终进</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入玛纳斯县城污水处理厂；鸡舍冲洗</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废水排入鸡舍冲洗废水排入</w:t>
            </w:r>
            <w:r>
              <w:rPr>
                <w:rFonts w:hint="eastAsia" w:cs="宋体"/>
                <w:color w:val="auto"/>
                <w:spacing w:val="0"/>
                <w:position w:val="0"/>
                <w:sz w:val="21"/>
                <w:szCs w:val="21"/>
                <w:highlight w:val="none"/>
                <w:lang w:val="en-US" w:eastAsia="zh-CN"/>
              </w:rPr>
              <w:t>废水收集池（150m</w:t>
            </w:r>
            <w:r>
              <w:rPr>
                <w:rFonts w:hint="eastAsia" w:cs="宋体"/>
                <w:color w:val="auto"/>
                <w:spacing w:val="0"/>
                <w:position w:val="0"/>
                <w:sz w:val="21"/>
                <w:szCs w:val="21"/>
                <w:highlight w:val="none"/>
                <w:vertAlign w:val="superscript"/>
                <w:lang w:val="en-US" w:eastAsia="zh-CN"/>
              </w:rPr>
              <w:t>3</w:t>
            </w:r>
            <w:r>
              <w:rPr>
                <w:rFonts w:hint="eastAsia" w:cs="宋体"/>
                <w:color w:val="auto"/>
                <w:spacing w:val="0"/>
                <w:position w:val="0"/>
                <w:sz w:val="21"/>
                <w:szCs w:val="21"/>
                <w:highlight w:val="none"/>
                <w:lang w:val="en-US" w:eastAsia="zh-CN"/>
              </w:rPr>
              <w:t>）经过预处理后用作农肥。</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噪声治理</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定期投喂，避免人为扰动蛋鸡；对产</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生噪声的设备采取消音、厂房屏蔽及</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隔声措施</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jc w:val="center"/>
        </w:trPr>
        <w:tc>
          <w:tcPr>
            <w:tcW w:w="2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废气治理</w:t>
            </w:r>
          </w:p>
        </w:tc>
        <w:tc>
          <w:tcPr>
            <w:tcW w:w="2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主要为鸡舍和</w:t>
            </w:r>
            <w:r>
              <w:rPr>
                <w:rFonts w:hint="eastAsia" w:cs="宋体"/>
                <w:color w:val="auto"/>
                <w:spacing w:val="0"/>
                <w:position w:val="0"/>
                <w:sz w:val="21"/>
                <w:szCs w:val="21"/>
                <w:highlight w:val="none"/>
                <w:lang w:eastAsia="zh-CN"/>
              </w:rPr>
              <w:t>废水收集池</w:t>
            </w:r>
            <w:r>
              <w:rPr>
                <w:rFonts w:ascii="Times New Roman" w:hAnsi="Times New Roman" w:eastAsia="宋体" w:cs="宋体"/>
                <w:color w:val="auto"/>
                <w:spacing w:val="0"/>
                <w:position w:val="0"/>
                <w:sz w:val="21"/>
                <w:szCs w:val="21"/>
                <w:highlight w:val="none"/>
              </w:rPr>
              <w:t>产生的恶臭，通过定期清扫鸡粪及散落羽毛，使用除臭剂，在鸡舍四周种植高大乔</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木吸收阻隔恶臭扩散</w:t>
            </w:r>
          </w:p>
        </w:tc>
        <w:tc>
          <w:tcPr>
            <w:tcW w:w="1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pPr>
        <w:pStyle w:val="5"/>
        <w:rPr>
          <w:rFonts w:ascii="Times New Roman" w:hAnsi="Times New Roman" w:eastAsia="宋体"/>
          <w:color w:val="auto"/>
          <w:highlight w:val="none"/>
        </w:rPr>
      </w:pPr>
      <w:bookmarkStart w:id="76" w:name="_Toc106663462"/>
      <w:r>
        <w:rPr>
          <w:rFonts w:hint="eastAsia" w:ascii="Times New Roman" w:hAnsi="Times New Roman" w:eastAsia="宋体"/>
          <w:color w:val="auto"/>
          <w:highlight w:val="none"/>
        </w:rPr>
        <w:t>3.1.3主要原辅材料</w:t>
      </w:r>
      <w:bookmarkEnd w:id="76"/>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本项目原辅材料耗情况见下表3.1-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表3.1-本项目原辅材料用量情况一览表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6"/>
        <w:gridCol w:w="1156"/>
        <w:gridCol w:w="1172"/>
        <w:gridCol w:w="2929"/>
        <w:gridCol w:w="2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15"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名称</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数量</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来源</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鸡的饲养</w:t>
            </w: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雏鸡</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72</w:t>
            </w:r>
            <w:r>
              <w:rPr>
                <w:rFonts w:ascii="Times New Roman" w:hAnsi="Times New Roman" w:eastAsia="宋体" w:cs="宋体"/>
                <w:color w:val="auto"/>
                <w:spacing w:val="0"/>
                <w:sz w:val="21"/>
                <w:szCs w:val="21"/>
                <w:highlight w:val="none"/>
              </w:rPr>
              <w:t>万羽</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92"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ascii="Times New Roman" w:hAnsi="Times New Roman" w:eastAsia="宋体" w:cs="宋体"/>
                <w:color w:val="auto"/>
                <w:spacing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防疫药品</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2.6t/a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39"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消毒药品</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3.4t/a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37"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主要复合酚、来苏尔、氯制剂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成品饲料</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39420t/a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辅料</w:t>
            </w: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除臭剂</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500kg</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68"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主要为戊二醛、聚维酮碘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熟石灰</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2t/a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能源</w:t>
            </w: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水</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eastAsia="zh-CN"/>
              </w:rPr>
              <w:t>22903.32</w:t>
            </w:r>
            <w:r>
              <w:rPr>
                <w:rFonts w:ascii="Times New Roman" w:hAnsi="Times New Roman" w:eastAsia="宋体" w:cs="Times New Roman"/>
                <w:color w:val="auto"/>
                <w:spacing w:val="0"/>
                <w:sz w:val="21"/>
                <w:szCs w:val="21"/>
                <w:highlight w:val="none"/>
              </w:rPr>
              <w:t>m³/a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39"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从玛纳斯县广东地</w:t>
            </w:r>
            <w:r>
              <w:rPr>
                <w:rFonts w:hint="eastAsia" w:ascii="Times New Roman" w:hAnsi="Times New Roman" w:eastAsia="宋体" w:cs="宋体"/>
                <w:color w:val="auto"/>
                <w:spacing w:val="0"/>
                <w:sz w:val="21"/>
                <w:szCs w:val="21"/>
                <w:highlight w:val="none"/>
                <w:lang w:val="en-US" w:eastAsia="zh-CN"/>
              </w:rPr>
              <w:t>村</w:t>
            </w:r>
            <w:r>
              <w:rPr>
                <w:rFonts w:ascii="Times New Roman" w:hAnsi="Times New Roman" w:eastAsia="宋体" w:cs="宋体"/>
                <w:color w:val="auto"/>
                <w:spacing w:val="0"/>
                <w:sz w:val="21"/>
                <w:szCs w:val="21"/>
                <w:highlight w:val="none"/>
              </w:rPr>
              <w:t>预留接口接入</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22"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电</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KWh/a</w:t>
            </w:r>
            <w:r>
              <w:rPr>
                <w:rFonts w:hint="eastAsia" w:cs="宋体"/>
                <w:color w:val="auto"/>
                <w:spacing w:val="0"/>
                <w:sz w:val="21"/>
                <w:szCs w:val="21"/>
                <w:highlight w:val="none"/>
                <w:lang w:eastAsia="zh-CN"/>
              </w:rPr>
              <w:t>）</w:t>
            </w:r>
          </w:p>
        </w:tc>
        <w:tc>
          <w:tcPr>
            <w:tcW w:w="7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16</w:t>
            </w:r>
            <w:r>
              <w:rPr>
                <w:rFonts w:ascii="Times New Roman" w:hAnsi="Times New Roman" w:eastAsia="宋体" w:cs="宋体"/>
                <w:color w:val="auto"/>
                <w:spacing w:val="0"/>
                <w:sz w:val="21"/>
                <w:szCs w:val="21"/>
                <w:highlight w:val="none"/>
              </w:rPr>
              <w:t>万</w:t>
            </w:r>
            <w:r>
              <w:rPr>
                <w:rFonts w:ascii="Times New Roman" w:hAnsi="Times New Roman" w:eastAsia="宋体" w:cs="Times New Roman"/>
                <w:color w:val="auto"/>
                <w:spacing w:val="0"/>
                <w:sz w:val="21"/>
                <w:szCs w:val="21"/>
                <w:highlight w:val="none"/>
              </w:rPr>
              <w:t>kWh/a</w:t>
            </w:r>
          </w:p>
        </w:tc>
        <w:tc>
          <w:tcPr>
            <w:tcW w:w="17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玛纳斯县供电网</w:t>
            </w:r>
          </w:p>
        </w:tc>
        <w:tc>
          <w:tcPr>
            <w:tcW w:w="1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bl>
    <w:p>
      <w:pPr>
        <w:pStyle w:val="5"/>
        <w:rPr>
          <w:rFonts w:ascii="Times New Roman" w:hAnsi="Times New Roman" w:eastAsia="宋体"/>
          <w:color w:val="auto"/>
          <w:highlight w:val="none"/>
        </w:rPr>
      </w:pPr>
      <w:bookmarkStart w:id="77" w:name="_Toc106663463"/>
      <w:r>
        <w:rPr>
          <w:rFonts w:hint="eastAsia" w:ascii="Times New Roman" w:hAnsi="Times New Roman" w:eastAsia="宋体"/>
          <w:color w:val="auto"/>
          <w:highlight w:val="none"/>
        </w:rPr>
        <w:t>3.1.4主要设备</w:t>
      </w:r>
      <w:bookmarkEnd w:id="7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本项目主要生产设备见表3.1-</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表3.1-</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主要设备一览表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3"/>
        <w:gridCol w:w="3261"/>
        <w:gridCol w:w="780"/>
        <w:gridCol w:w="1076"/>
        <w:gridCol w:w="2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设备名称</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单位</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数量</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套</w:t>
            </w:r>
            <w:r>
              <w:rPr>
                <w:rFonts w:hint="eastAsia" w:cs="宋体"/>
                <w:color w:val="auto"/>
                <w:spacing w:val="0"/>
                <w:position w:val="0"/>
                <w:sz w:val="21"/>
                <w:szCs w:val="21"/>
                <w:highlight w:val="none"/>
                <w:lang w:eastAsia="zh-CN"/>
              </w:rPr>
              <w:t>）</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7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笼具、喂料、饮水、通风、清粪及温湿度自动控制系统</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6</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olor w:val="auto"/>
                <w:spacing w:val="0"/>
                <w:position w:val="0"/>
                <w:sz w:val="21"/>
                <w:highlight w:val="none"/>
                <w:lang w:val="en-US" w:eastAsia="zh-CN"/>
              </w:rPr>
            </w:pPr>
            <w:r>
              <w:rPr>
                <w:rFonts w:hint="eastAsia" w:ascii="Times New Roman" w:hAnsi="Times New Roman" w:eastAsia="宋体"/>
                <w:color w:val="auto"/>
                <w:spacing w:val="0"/>
                <w:position w:val="0"/>
                <w:sz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生产用供电设备</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257"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包括变压器预装、地下高压线缆、</w:t>
            </w:r>
            <w:r>
              <w:rPr>
                <w:rFonts w:ascii="Times New Roman" w:hAnsi="Times New Roman" w:eastAsia="宋体" w:cs="Times New Roman"/>
                <w:color w:val="auto"/>
                <w:spacing w:val="0"/>
                <w:position w:val="0"/>
                <w:sz w:val="21"/>
                <w:szCs w:val="21"/>
                <w:highlight w:val="none"/>
              </w:rPr>
              <w:t>1000KW</w:t>
            </w:r>
            <w:r>
              <w:rPr>
                <w:rFonts w:ascii="Times New Roman" w:hAnsi="Times New Roman" w:eastAsia="宋体" w:cs="宋体"/>
                <w:color w:val="auto"/>
                <w:spacing w:val="0"/>
                <w:position w:val="0"/>
                <w:sz w:val="21"/>
                <w:szCs w:val="21"/>
                <w:highlight w:val="none"/>
              </w:rPr>
              <w:t>发电机组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生产用给排水系统</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6</w:t>
            </w:r>
            <w:r>
              <w:rPr>
                <w:rFonts w:ascii="Times New Roman" w:hAnsi="Times New Roman" w:eastAsia="宋体" w:cs="宋体"/>
                <w:color w:val="auto"/>
                <w:spacing w:val="0"/>
                <w:position w:val="0"/>
                <w:sz w:val="21"/>
                <w:szCs w:val="21"/>
                <w:highlight w:val="none"/>
              </w:rPr>
              <w:t>栋鸡舍供水系统、水泵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办公给配套设施供水水供电</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82"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管理区及其他配套附属设施水电设备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w:t>
            </w:r>
          </w:p>
        </w:tc>
        <w:tc>
          <w:tcPr>
            <w:tcW w:w="196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鸡粪及散落羽毛周转车辆</w:t>
            </w:r>
          </w:p>
        </w:tc>
        <w:tc>
          <w:tcPr>
            <w:tcW w:w="46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辆</w:t>
            </w:r>
          </w:p>
        </w:tc>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pPr>
        <w:pStyle w:val="5"/>
        <w:rPr>
          <w:rFonts w:ascii="Times New Roman" w:hAnsi="Times New Roman" w:eastAsia="宋体"/>
          <w:color w:val="auto"/>
          <w:highlight w:val="none"/>
        </w:rPr>
      </w:pPr>
      <w:bookmarkStart w:id="78" w:name="_Toc106663464"/>
      <w:r>
        <w:rPr>
          <w:rFonts w:hint="eastAsia" w:ascii="Times New Roman" w:hAnsi="Times New Roman" w:eastAsia="宋体"/>
          <w:color w:val="auto"/>
          <w:highlight w:val="none"/>
        </w:rPr>
        <w:t>3.1.5平面布置</w:t>
      </w:r>
      <w:bookmarkEnd w:id="78"/>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3.1.5.</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总平面布置</w:t>
      </w:r>
    </w:p>
    <w:p>
      <w:pPr>
        <w:ind w:firstLine="480"/>
        <w:rPr>
          <w:rFonts w:ascii="Times New Roman" w:hAnsi="Times New Roman" w:eastAsia="宋体"/>
          <w:color w:val="auto"/>
          <w:highlight w:val="none"/>
        </w:rPr>
      </w:pPr>
      <w:r>
        <w:rPr>
          <w:rFonts w:ascii="Times New Roman" w:hAnsi="Times New Roman" w:eastAsia="宋体"/>
          <w:color w:val="auto"/>
          <w:highlight w:val="none"/>
        </w:rPr>
        <w:t>生产区位于场区北部。主要包括</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栋育雏鸡舍、危险废物暂存间和污水处理池，育雏鸡舍分别由北向南布置，每栋鸡舍均设置管理区和</w:t>
      </w:r>
      <w:r>
        <w:rPr>
          <w:rFonts w:hint="eastAsia"/>
          <w:color w:val="auto"/>
          <w:highlight w:val="none"/>
          <w:lang w:eastAsia="zh-CN"/>
        </w:rPr>
        <w:t>废水收集池</w:t>
      </w:r>
      <w:r>
        <w:rPr>
          <w:rFonts w:ascii="Times New Roman" w:hAnsi="Times New Roman" w:eastAsia="宋体"/>
          <w:color w:val="auto"/>
          <w:highlight w:val="none"/>
        </w:rPr>
        <w:t>，管理区和</w:t>
      </w:r>
      <w:r>
        <w:rPr>
          <w:rFonts w:hint="eastAsia"/>
          <w:color w:val="auto"/>
          <w:highlight w:val="none"/>
          <w:lang w:eastAsia="zh-CN"/>
        </w:rPr>
        <w:t>废水收集池</w:t>
      </w:r>
      <w:r>
        <w:rPr>
          <w:rFonts w:ascii="Times New Roman" w:hAnsi="Times New Roman" w:eastAsia="宋体"/>
          <w:color w:val="auto"/>
          <w:highlight w:val="none"/>
        </w:rPr>
        <w:t>均位于鸡舍北侧；</w:t>
      </w:r>
      <w:r>
        <w:rPr>
          <w:rFonts w:hint="eastAsia"/>
          <w:color w:val="auto"/>
          <w:highlight w:val="none"/>
          <w:lang w:eastAsia="zh-CN"/>
        </w:rPr>
        <w:t>医疗废物暂存间</w:t>
      </w:r>
      <w:r>
        <w:rPr>
          <w:rFonts w:ascii="Times New Roman" w:hAnsi="Times New Roman" w:eastAsia="宋体"/>
          <w:color w:val="auto"/>
          <w:highlight w:val="none"/>
        </w:rPr>
        <w:t>和填埋井均位于厂区东北角。</w:t>
      </w:r>
    </w:p>
    <w:p>
      <w:pPr>
        <w:ind w:firstLine="480"/>
        <w:rPr>
          <w:rFonts w:ascii="Times New Roman" w:hAnsi="Times New Roman" w:eastAsia="宋体"/>
          <w:color w:val="auto"/>
          <w:highlight w:val="none"/>
        </w:rPr>
      </w:pPr>
      <w:r>
        <w:rPr>
          <w:rFonts w:ascii="Times New Roman" w:hAnsi="Times New Roman" w:eastAsia="宋体"/>
          <w:color w:val="auto"/>
          <w:highlight w:val="none"/>
        </w:rPr>
        <w:t>生活办公区位于场区南侧，位于养殖区、</w:t>
      </w:r>
      <w:r>
        <w:rPr>
          <w:rFonts w:hint="eastAsia"/>
          <w:color w:val="auto"/>
          <w:highlight w:val="none"/>
          <w:lang w:eastAsia="zh-CN"/>
        </w:rPr>
        <w:t>废水收集池</w:t>
      </w:r>
      <w:r>
        <w:rPr>
          <w:rFonts w:ascii="Times New Roman" w:hAnsi="Times New Roman" w:eastAsia="宋体"/>
          <w:color w:val="auto"/>
          <w:highlight w:val="none"/>
        </w:rPr>
        <w:t>常年主导风向的侧风向，主要包括宿舍，办公室、疫苗药品室和兽医室。生活办公区由北向南依次为宿舍、疫苗药品室、办公室和兽医室。</w:t>
      </w:r>
    </w:p>
    <w:p>
      <w:pPr>
        <w:ind w:firstLine="480"/>
        <w:rPr>
          <w:rFonts w:ascii="Times New Roman" w:hAnsi="Times New Roman" w:eastAsia="宋体"/>
          <w:color w:val="auto"/>
          <w:highlight w:val="none"/>
        </w:rPr>
      </w:pPr>
      <w:r>
        <w:rPr>
          <w:rFonts w:ascii="Times New Roman" w:hAnsi="Times New Roman" w:eastAsia="宋体"/>
          <w:color w:val="auto"/>
          <w:highlight w:val="none"/>
        </w:rPr>
        <w:t>厂区设置2座大门，主出入口为净道出入口，位于场区西南侧，供管理人员进出；次入口污道出入口，位于场区北侧，主要为鸡粪及散落羽毛、淘汰鸡拉运出入口。实现人畜分离。</w:t>
      </w:r>
    </w:p>
    <w:p>
      <w:pPr>
        <w:ind w:firstLine="480"/>
        <w:rPr>
          <w:rFonts w:ascii="Times New Roman" w:hAnsi="Times New Roman" w:eastAsia="宋体"/>
          <w:color w:val="auto"/>
          <w:highlight w:val="none"/>
        </w:rPr>
      </w:pPr>
      <w:r>
        <w:rPr>
          <w:rFonts w:ascii="Times New Roman" w:hAnsi="Times New Roman" w:eastAsia="宋体"/>
          <w:color w:val="auto"/>
          <w:highlight w:val="none"/>
        </w:rPr>
        <w:t>因此，本项目厂区平面布置合理。本项目厂区平面布置图详见图</w:t>
      </w:r>
      <w:r>
        <w:rPr>
          <w:rFonts w:hint="eastAsia" w:ascii="Times New Roman" w:hAnsi="Times New Roman" w:eastAsia="宋体"/>
          <w:color w:val="auto"/>
          <w:highlight w:val="none"/>
          <w:lang w:val="en-US" w:eastAsia="zh-CN"/>
        </w:rPr>
        <w:t>3.1-</w:t>
      </w:r>
      <w:r>
        <w:rPr>
          <w:rFonts w:hint="eastAsia"/>
          <w:color w:val="auto"/>
          <w:highlight w:val="none"/>
          <w:lang w:val="en-US" w:eastAsia="zh-CN"/>
        </w:rPr>
        <w:t>3</w:t>
      </w:r>
      <w:r>
        <w:rPr>
          <w:rFonts w:ascii="Times New Roman" w:hAnsi="Times New Roman" w:eastAsia="宋体"/>
          <w:color w:val="auto"/>
          <w:highlight w:val="none"/>
        </w:rPr>
        <w:t>。</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3.1.5.</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平面布置与相关规范符合性分析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（1）与《畜禽养殖业污染防治技术规范》（HJ/T81-2001）符合性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根据《畜禽养殖业污染防治技术规范》（HJ/T81-2001）中场区布局有关要求，本项目场区平面布置与其符合性分析见表3.1-4。</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表3.1-4场区布局与《畜禽养殖业污染防治技术规范》（HJ/T81-2001）符合性</w:t>
      </w:r>
    </w:p>
    <w:tbl>
      <w:tblPr>
        <w:tblStyle w:val="176"/>
        <w:tblW w:w="8302"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6"/>
        <w:gridCol w:w="3832"/>
        <w:gridCol w:w="3367"/>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376" w:type="dxa"/>
            <w:textDirection w:val="tbRlV"/>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3832"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《畜禽养殖业污染防治技术规范》</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HJ/T81-2001</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中要求</w:t>
            </w:r>
          </w:p>
        </w:tc>
        <w:tc>
          <w:tcPr>
            <w:tcW w:w="3367"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本项目情况</w:t>
            </w:r>
          </w:p>
        </w:tc>
        <w:tc>
          <w:tcPr>
            <w:tcW w:w="727"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02" w:type="dxa"/>
            <w:gridSpan w:val="4"/>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根据该规范，畜禽养殖场厂区布局如下：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76"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3832"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新建、改建、扩建的畜禽养殖场应实现生</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产区、生活管理区的隔离，粪便污水处理</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设施和畜禽尸体焚烧炉应设在养殖场的</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生产区、生活管理区的常年主导风向的下</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风向或侧风向处。</w:t>
            </w:r>
          </w:p>
        </w:tc>
        <w:tc>
          <w:tcPr>
            <w:tcW w:w="3367"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办公生活区设在场区南侧，位于养殖区、</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常年主导风向的侧风向，并设通道通向场外，办公生活区和生产区、</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之间有一</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定的距离，实现了人畜分离。在场界、鸡舍间采用树木作为隔离林带。</w:t>
            </w:r>
          </w:p>
        </w:tc>
        <w:tc>
          <w:tcPr>
            <w:tcW w:w="727" w:type="dxa"/>
            <w:vMerge w:val="restart"/>
            <w:tcBorders>
              <w:bottom w:val="nil"/>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right="4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布局可行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376"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3832"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养殖场的排水系统应实现雨水和污水收集输送系统分离，在厂区内外设置的污水收集输送系统，不得采取明沟布设。</w:t>
            </w:r>
          </w:p>
        </w:tc>
        <w:tc>
          <w:tcPr>
            <w:tcW w:w="3367" w:type="dxa"/>
            <w:vAlign w:val="top"/>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养殖场排水采用雨、污分流的形</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式，在鸡舍外设置污水收集输送管道</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暗管</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w:t>
            </w:r>
          </w:p>
        </w:tc>
        <w:tc>
          <w:tcPr>
            <w:tcW w:w="727" w:type="dxa"/>
            <w:vMerge w:val="continue"/>
            <w:tcBorders>
              <w:top w:val="nil"/>
            </w:tcBorders>
            <w:vAlign w:val="top"/>
          </w:tcPr>
          <w:p>
            <w:pPr>
              <w:rPr>
                <w:rFonts w:ascii="Times New Roman" w:hAnsi="Times New Roman" w:eastAsia="宋体"/>
                <w:color w:val="auto"/>
                <w:sz w:val="21"/>
                <w:highlight w:val="none"/>
              </w:rPr>
            </w:pPr>
          </w:p>
        </w:tc>
      </w:tr>
    </w:tbl>
    <w:p>
      <w:pPr>
        <w:ind w:firstLine="480"/>
        <w:rPr>
          <w:rFonts w:ascii="Times New Roman" w:hAnsi="Times New Roman" w:eastAsia="宋体"/>
          <w:color w:val="auto"/>
          <w:highlight w:val="none"/>
        </w:rPr>
      </w:pPr>
      <w:r>
        <w:rPr>
          <w:rFonts w:ascii="Times New Roman" w:hAnsi="Times New Roman" w:eastAsia="宋体"/>
          <w:color w:val="auto"/>
          <w:highlight w:val="none"/>
        </w:rPr>
        <w:t>综上所述，整个厂区布置根据现代养殖技术要求，进行了合理规划布局，配备必要的设备设施。净道和污道分开，减少不必要的交叉，切断疫病的传播途径。在鸡舍周围、道路两边和鸡舍之间栽种树木，种植花草，净化空气，绿化环境，减少对周围环境的影响。</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根据项目建构筑物的平面布置图，结合区域风玫瑰，本项目将办公生活区位于养殖区、</w:t>
      </w:r>
      <w:r>
        <w:rPr>
          <w:rFonts w:hint="eastAsia"/>
          <w:color w:val="auto"/>
          <w:highlight w:val="none"/>
          <w:lang w:eastAsia="zh-CN"/>
        </w:rPr>
        <w:t>废水收集池</w:t>
      </w:r>
      <w:r>
        <w:rPr>
          <w:rFonts w:ascii="Times New Roman" w:hAnsi="Times New Roman" w:eastAsia="宋体"/>
          <w:color w:val="auto"/>
          <w:highlight w:val="none"/>
        </w:rPr>
        <w:t>常年主导风向的侧风向，办公生活区与生产区、污水处理区之间以种植绿化区隔开，有效的避免了项目运行产生的恶臭气体对生活办公的影响。</w:t>
      </w:r>
    </w:p>
    <w:p>
      <w:pPr>
        <w:ind w:firstLine="480"/>
        <w:rPr>
          <w:rFonts w:ascii="Times New Roman" w:hAnsi="Times New Roman" w:eastAsia="宋体"/>
          <w:color w:val="auto"/>
          <w:highlight w:val="none"/>
        </w:rPr>
      </w:pPr>
      <w:r>
        <w:rPr>
          <w:rFonts w:ascii="Times New Roman" w:hAnsi="Times New Roman" w:eastAsia="宋体"/>
          <w:color w:val="auto"/>
          <w:highlight w:val="none"/>
        </w:rPr>
        <w:t>综上，本项目总平面布置功能分区清晰，工艺流程顺畅，物流短捷，人流、物流互不交叉干扰，协调了生产和环保的关系，从环保角度分析其平面布局基本合理，项目布局符合《畜禽养殖业污染防治技术规范》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要求。</w:t>
      </w:r>
    </w:p>
    <w:p>
      <w:pPr>
        <w:pStyle w:val="5"/>
        <w:rPr>
          <w:rFonts w:ascii="Times New Roman" w:hAnsi="Times New Roman" w:eastAsia="宋体"/>
          <w:color w:val="auto"/>
          <w:highlight w:val="none"/>
        </w:rPr>
      </w:pPr>
      <w:bookmarkStart w:id="79" w:name="_Toc106663466"/>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公用工程</w:t>
      </w:r>
      <w:bookmarkEnd w:id="79"/>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.1给水系统</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本项目生产、生活用水水源来自玛纳斯县广东地</w:t>
      </w:r>
      <w:r>
        <w:rPr>
          <w:rFonts w:hint="eastAsia" w:ascii="Times New Roman" w:hAnsi="Times New Roman" w:eastAsia="宋体"/>
          <w:color w:val="auto"/>
          <w:highlight w:val="none"/>
          <w:lang w:eastAsia="zh-CN"/>
        </w:rPr>
        <w:t>村</w:t>
      </w:r>
      <w:r>
        <w:rPr>
          <w:rFonts w:ascii="Times New Roman" w:hAnsi="Times New Roman" w:eastAsia="宋体"/>
          <w:color w:val="auto"/>
          <w:highlight w:val="none"/>
        </w:rPr>
        <w:t>管网接入，由厂区西侧接入。本项目总用水量</w:t>
      </w:r>
      <w:r>
        <w:rPr>
          <w:rFonts w:hint="eastAsia" w:ascii="Times New Roman" w:hAnsi="Times New Roman" w:eastAsia="宋体"/>
          <w:color w:val="auto"/>
          <w:highlight w:val="none"/>
          <w:lang w:eastAsia="zh-CN"/>
        </w:rPr>
        <w:t>22903.32</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/a，主要用于鸡用水、鸡舍冲洗用水及员工生活用水、消毒用水、水帘降温补充水及绿化用水。</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鸡饮水</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本项目蛋鸡年出栏量为</w:t>
      </w:r>
      <w:r>
        <w:rPr>
          <w:rFonts w:hint="eastAsia" w:ascii="Times New Roman" w:hAnsi="Times New Roman" w:eastAsia="宋体"/>
          <w:color w:val="auto"/>
          <w:highlight w:val="none"/>
          <w:lang w:val="en-US" w:eastAsia="zh-CN"/>
        </w:rPr>
        <w:t>72</w:t>
      </w:r>
      <w:r>
        <w:rPr>
          <w:rFonts w:ascii="Times New Roman" w:hAnsi="Times New Roman" w:eastAsia="宋体"/>
          <w:color w:val="auto"/>
          <w:highlight w:val="none"/>
        </w:rPr>
        <w:t>万羽，购买外购出壳鸡苗，0-6周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转至育成舍进行养殖，饲养16周左右外售。本次环评按照达产年最大养殖规模进行计算，即</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栋鸡舍全年全部运营，每4个月出一批，每年出3批，每批</w:t>
      </w:r>
      <w:r>
        <w:rPr>
          <w:rFonts w:hint="eastAsia" w:ascii="Times New Roman" w:hAnsi="Times New Roman" w:eastAsia="宋体"/>
          <w:color w:val="auto"/>
          <w:highlight w:val="none"/>
          <w:lang w:val="en-US" w:eastAsia="zh-CN"/>
        </w:rPr>
        <w:t>12</w:t>
      </w:r>
      <w:r>
        <w:rPr>
          <w:rFonts w:ascii="Times New Roman" w:hAnsi="Times New Roman" w:eastAsia="宋体"/>
          <w:color w:val="auto"/>
          <w:highlight w:val="none"/>
        </w:rPr>
        <w:t>万羽。结合建设单位提供数据及类比其他同类型蛋鸡养殖场实际生产经验，建成后全场鸡只饮用水量见表</w:t>
      </w:r>
      <w:r>
        <w:rPr>
          <w:rFonts w:hint="eastAsia" w:ascii="Times New Roman" w:hAnsi="Times New Roman" w:eastAsia="宋体"/>
          <w:color w:val="auto"/>
          <w:highlight w:val="none"/>
          <w:lang w:val="en-US" w:eastAsia="zh-CN"/>
        </w:rPr>
        <w:t>3.1</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highlight w:val="none"/>
        </w:rPr>
      </w:pPr>
      <w:r>
        <w:rPr>
          <w:rFonts w:hint="eastAsia" w:ascii="Times New Roman" w:hAnsi="Times New Roman" w:eastAsia="宋体" w:cstheme="majorBidi"/>
          <w:b/>
          <w:color w:val="auto"/>
          <w:sz w:val="21"/>
          <w:highlight w:val="none"/>
          <w:lang w:val="en-US" w:eastAsia="zh-CN" w:bidi="ar-SA"/>
        </w:rPr>
        <w:t>表3.1-5鸡只用水量一览表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44"/>
        <w:gridCol w:w="1967"/>
        <w:gridCol w:w="2657"/>
        <w:gridCol w:w="1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类别</w:t>
            </w:r>
          </w:p>
        </w:tc>
        <w:tc>
          <w:tcPr>
            <w:tcW w:w="11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存栏量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万羽/年</w:t>
            </w:r>
            <w:r>
              <w:rPr>
                <w:rFonts w:hint="eastAsia"/>
                <w:color w:val="auto"/>
                <w:sz w:val="21"/>
                <w:highlight w:val="none"/>
                <w:lang w:eastAsia="zh-CN"/>
              </w:rPr>
              <w:t>）</w:t>
            </w:r>
          </w:p>
        </w:tc>
        <w:tc>
          <w:tcPr>
            <w:tcW w:w="159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单位饮水量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L/只▪d</w:t>
            </w:r>
            <w:r>
              <w:rPr>
                <w:rFonts w:hint="eastAsia"/>
                <w:color w:val="auto"/>
                <w:sz w:val="21"/>
                <w:highlight w:val="none"/>
                <w:lang w:eastAsia="zh-CN"/>
              </w:rPr>
              <w:t>）</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年饮用水量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/a</w:t>
            </w:r>
            <w:r>
              <w:rPr>
                <w:rFonts w:hint="eastAsia"/>
                <w:color w:val="auto"/>
                <w:sz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雏鸡</w:t>
            </w:r>
          </w:p>
        </w:tc>
        <w:tc>
          <w:tcPr>
            <w:tcW w:w="11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w:t>
            </w:r>
          </w:p>
        </w:tc>
        <w:tc>
          <w:tcPr>
            <w:tcW w:w="159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0.25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3780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10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育成鸡</w:t>
            </w:r>
          </w:p>
        </w:tc>
        <w:tc>
          <w:tcPr>
            <w:tcW w:w="11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w:t>
            </w:r>
          </w:p>
        </w:tc>
        <w:tc>
          <w:tcPr>
            <w:tcW w:w="159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0.50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合计</w:t>
            </w:r>
          </w:p>
        </w:tc>
        <w:tc>
          <w:tcPr>
            <w:tcW w:w="1183"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p>
        </w:tc>
        <w:tc>
          <w:tcPr>
            <w:tcW w:w="1598"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16380</w:t>
            </w:r>
          </w:p>
        </w:tc>
      </w:tr>
    </w:tbl>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职工生活用水</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根据《新疆维吾尔自治区工业和生活用水定额》中相关数据，工作人员用水约80L/人·d，本项目劳动定员共20人，则工作人员的生活用水量为584m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按365天计</w:t>
      </w:r>
      <w:r>
        <w:rPr>
          <w:rFonts w:hint="eastAsia"/>
          <w:color w:val="auto"/>
          <w:highlight w:val="none"/>
          <w:lang w:eastAsia="zh-CN"/>
        </w:rPr>
        <w:t>）</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鸡舍冲洗用水</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本项目每年从天康公司的现代化专业蛋鸡育雏场购买出壳鸡苗，饲养方式采取全进全出制，0-6周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转至育成舍进行养殖，饲养16周左右外售给头工乡蛋鸡产业园。根据《无公害食品畜禽饲养兽医防疫准则》</w:t>
      </w:r>
      <w:r>
        <w:rPr>
          <w:rFonts w:hint="eastAsia"/>
          <w:color w:val="auto"/>
          <w:highlight w:val="none"/>
          <w:lang w:eastAsia="zh-CN"/>
        </w:rPr>
        <w:t>（</w:t>
      </w:r>
      <w:r>
        <w:rPr>
          <w:rFonts w:ascii="Times New Roman" w:hAnsi="Times New Roman" w:eastAsia="宋体"/>
          <w:color w:val="auto"/>
          <w:highlight w:val="none"/>
        </w:rPr>
        <w:t>NY/T5339-2017</w:t>
      </w:r>
      <w:r>
        <w:rPr>
          <w:rFonts w:hint="eastAsia"/>
          <w:color w:val="auto"/>
          <w:highlight w:val="none"/>
          <w:lang w:eastAsia="zh-CN"/>
        </w:rPr>
        <w:t>）</w:t>
      </w:r>
      <w:r>
        <w:rPr>
          <w:rFonts w:ascii="Times New Roman" w:hAnsi="Times New Roman" w:eastAsia="宋体"/>
          <w:color w:val="auto"/>
          <w:highlight w:val="none"/>
        </w:rPr>
        <w:t>中相关规定，</w:t>
      </w:r>
      <w:r>
        <w:rPr>
          <w:rFonts w:hint="eastAsia"/>
          <w:color w:val="auto"/>
          <w:highlight w:val="none"/>
          <w:lang w:eastAsia="zh-CN"/>
        </w:rPr>
        <w:t>”</w:t>
      </w:r>
      <w:r>
        <w:rPr>
          <w:rFonts w:ascii="Times New Roman" w:hAnsi="Times New Roman" w:eastAsia="宋体"/>
          <w:color w:val="auto"/>
          <w:highlight w:val="none"/>
        </w:rPr>
        <w:t>畜禽转舍、售出后，应对空舍进行严格清洁和消毒，消毒后至少空舍一周后，再引入畜禽饲养</w:t>
      </w:r>
      <w:r>
        <w:rPr>
          <w:rFonts w:hint="eastAsia"/>
          <w:color w:val="auto"/>
          <w:highlight w:val="none"/>
          <w:lang w:eastAsia="zh-CN"/>
        </w:rPr>
        <w:t>”</w:t>
      </w:r>
      <w:r>
        <w:rPr>
          <w:rFonts w:ascii="Times New Roman" w:hAnsi="Times New Roman" w:eastAsia="宋体"/>
          <w:color w:val="auto"/>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/100m</w:t>
      </w:r>
      <w:r>
        <w:rPr>
          <w:rFonts w:ascii="Times New Roman" w:hAnsi="Times New Roman" w:eastAsia="宋体"/>
          <w:color w:val="auto"/>
          <w:highlight w:val="none"/>
          <w:vertAlign w:val="superscript"/>
        </w:rPr>
        <w:t>2</w:t>
      </w:r>
      <w:r>
        <w:rPr>
          <w:rFonts w:ascii="Times New Roman" w:hAnsi="Times New Roman" w:eastAsia="宋体"/>
          <w:color w:val="auto"/>
          <w:highlight w:val="none"/>
        </w:rPr>
        <w:t>计，项目区计划设置鸡舍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栋，每栋鸡舍建筑面积为</w:t>
      </w:r>
      <w:r>
        <w:rPr>
          <w:rFonts w:hint="eastAsia" w:ascii="Times New Roman" w:hAnsi="Times New Roman" w:eastAsia="宋体"/>
          <w:color w:val="auto"/>
          <w:highlight w:val="none"/>
          <w:lang w:val="en-US" w:eastAsia="zh-CN"/>
        </w:rPr>
        <w:t>1080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共</w:t>
      </w:r>
      <w:r>
        <w:rPr>
          <w:rFonts w:hint="eastAsia" w:ascii="Times New Roman" w:hAnsi="Times New Roman" w:eastAsia="宋体"/>
          <w:color w:val="auto"/>
          <w:highlight w:val="none"/>
          <w:lang w:val="en-US" w:eastAsia="zh-CN"/>
        </w:rPr>
        <w:t>6480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，则项目区每栋鸡舍冲洗用水量为21.6m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/次，</w:t>
      </w:r>
      <w:r>
        <w:rPr>
          <w:rFonts w:hint="eastAsia" w:ascii="Times New Roman" w:hAnsi="Times New Roman" w:eastAsia="宋体"/>
          <w:color w:val="auto"/>
          <w:highlight w:val="none"/>
          <w:lang w:val="en-US" w:eastAsia="zh-CN"/>
        </w:rPr>
        <w:t>64.8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全场共</w:t>
      </w:r>
      <w:r>
        <w:rPr>
          <w:rFonts w:hint="eastAsia" w:ascii="Times New Roman" w:hAnsi="Times New Roman" w:eastAsia="宋体"/>
          <w:color w:val="auto"/>
          <w:highlight w:val="none"/>
          <w:lang w:val="en-US" w:eastAsia="zh-CN"/>
        </w:rPr>
        <w:t>388.8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消毒用水</w:t>
      </w:r>
    </w:p>
    <w:p>
      <w:pPr>
        <w:ind w:firstLine="480"/>
        <w:rPr>
          <w:rFonts w:ascii="Times New Roman" w:hAnsi="Times New Roman" w:eastAsia="宋体"/>
          <w:color w:val="auto"/>
          <w:highlight w:val="none"/>
        </w:rPr>
      </w:pPr>
      <w:r>
        <w:rPr>
          <w:rFonts w:ascii="Times New Roman" w:hAnsi="Times New Roman" w:eastAsia="宋体"/>
          <w:color w:val="auto"/>
          <w:highlight w:val="none"/>
        </w:rPr>
        <w:t>鸡舍养殖期间需进行消毒，类比其他同类型蛋鸡养殖场实际生产经验，每栋鸡舍消毒用水量为1.5m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/批</w:t>
      </w:r>
      <w:r>
        <w:rPr>
          <w:rFonts w:hint="eastAsia"/>
          <w:color w:val="auto"/>
          <w:highlight w:val="none"/>
          <w:lang w:eastAsia="zh-CN"/>
        </w:rPr>
        <w:t>（</w:t>
      </w:r>
      <w:r>
        <w:rPr>
          <w:rFonts w:ascii="Times New Roman" w:hAnsi="Times New Roman" w:eastAsia="宋体"/>
          <w:color w:val="auto"/>
          <w:highlight w:val="none"/>
        </w:rPr>
        <w:t>消毒3批/a</w:t>
      </w:r>
      <w:r>
        <w:rPr>
          <w:rFonts w:hint="eastAsia"/>
          <w:color w:val="auto"/>
          <w:highlight w:val="none"/>
          <w:lang w:eastAsia="zh-CN"/>
        </w:rPr>
        <w:t>）</w:t>
      </w:r>
      <w:r>
        <w:rPr>
          <w:rFonts w:ascii="Times New Roman" w:hAnsi="Times New Roman" w:eastAsia="宋体"/>
          <w:color w:val="auto"/>
          <w:highlight w:val="none"/>
        </w:rPr>
        <w:t>，则</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栋鸡舍消耗水量共</w:t>
      </w:r>
      <w:r>
        <w:rPr>
          <w:rFonts w:hint="eastAsia" w:ascii="Times New Roman" w:hAnsi="Times New Roman" w:eastAsia="宋体"/>
          <w:color w:val="auto"/>
          <w:highlight w:val="none"/>
          <w:lang w:val="en-US" w:eastAsia="zh-CN"/>
        </w:rPr>
        <w:t>27</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水帘降温补充水</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项目鸡舍均配备有水帘降温装置，能够确保鸡舍温度适宜，水帘通风装置用水循环利用，不外排。运行过程中会有一定的蒸发损耗量。比同类鸡场实际运行情况，每栋鸡舍冷却循环水量约为1.2m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/h，蒸发损耗约为用水量的10%，全年预计降温时间为6月~8月，每天约为6小时降温，则全年补充水量为</w:t>
      </w:r>
      <w:r>
        <w:rPr>
          <w:rFonts w:hint="eastAsia" w:ascii="Times New Roman" w:hAnsi="Times New Roman" w:eastAsia="宋体"/>
          <w:color w:val="auto"/>
          <w:highlight w:val="none"/>
          <w:lang w:val="en-US" w:eastAsia="zh-CN"/>
        </w:rPr>
        <w:t>263.52</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绿化用水</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本项目占地面积为</w:t>
      </w:r>
      <w:r>
        <w:rPr>
          <w:rFonts w:hint="eastAsia" w:ascii="Times New Roman" w:hAnsi="Times New Roman" w:eastAsia="宋体"/>
          <w:color w:val="auto"/>
          <w:highlight w:val="none"/>
          <w:lang w:val="en-US" w:eastAsia="zh-CN"/>
        </w:rPr>
        <w:t>105.2</w:t>
      </w:r>
      <w:r>
        <w:rPr>
          <w:rFonts w:ascii="Times New Roman" w:hAnsi="Times New Roman" w:eastAsia="宋体"/>
          <w:color w:val="auto"/>
          <w:highlight w:val="none"/>
        </w:rPr>
        <w:t>亩</w:t>
      </w:r>
      <w:r>
        <w:rPr>
          <w:rFonts w:hint="eastAsia"/>
          <w:color w:val="auto"/>
          <w:highlight w:val="none"/>
          <w:lang w:eastAsia="zh-CN"/>
        </w:rPr>
        <w:t>（</w:t>
      </w:r>
      <w:r>
        <w:rPr>
          <w:rFonts w:ascii="Times New Roman" w:hAnsi="Times New Roman" w:eastAsia="宋体"/>
          <w:color w:val="auto"/>
          <w:highlight w:val="none"/>
        </w:rPr>
        <w:t>即</w:t>
      </w:r>
      <w:r>
        <w:rPr>
          <w:rFonts w:hint="eastAsia" w:ascii="Times New Roman" w:hAnsi="Times New Roman" w:eastAsia="宋体"/>
          <w:color w:val="auto"/>
          <w:highlight w:val="none"/>
          <w:lang w:val="en-US" w:eastAsia="zh-CN"/>
        </w:rPr>
        <w:t>70119.07</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，绿化率为10%，绿化面积为</w:t>
      </w:r>
      <w:r>
        <w:rPr>
          <w:rFonts w:hint="eastAsia" w:ascii="Times New Roman" w:hAnsi="Times New Roman" w:eastAsia="宋体"/>
          <w:color w:val="auto"/>
          <w:highlight w:val="none"/>
          <w:lang w:val="en-US" w:eastAsia="zh-CN"/>
        </w:rPr>
        <w:t>7011.907</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ascii="Times New Roman" w:hAnsi="Times New Roman" w:eastAsia="宋体"/>
          <w:color w:val="auto"/>
          <w:highlight w:val="none"/>
        </w:rPr>
        <w:t>。根据《新疆维吾尔自治区生活用水定额》项目所在区域绿化用水指标为400~500m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/亩▪a，本项目按500m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/亩▪a计，则项目绿化用水量为</w:t>
      </w:r>
      <w:r>
        <w:rPr>
          <w:rFonts w:hint="eastAsia" w:ascii="Times New Roman" w:hAnsi="Times New Roman" w:eastAsia="宋体"/>
          <w:color w:val="auto"/>
          <w:highlight w:val="none"/>
          <w:lang w:val="en-US" w:eastAsia="zh-CN"/>
        </w:rPr>
        <w:t>5260</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项目用水量估算表见表3.1-6。</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表3.1-6项目用水量估算表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31"/>
        <w:gridCol w:w="4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用水量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Times New Roman"/>
                <w:color w:val="auto"/>
                <w:spacing w:val="0"/>
                <w:position w:val="0"/>
                <w:sz w:val="21"/>
                <w:szCs w:val="14"/>
                <w:highlight w:val="none"/>
                <w:vertAlign w:val="superscript"/>
              </w:rPr>
              <w:t>3</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鸡只饮用水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olor w:val="auto"/>
                <w:sz w:val="21"/>
                <w:highlight w:val="none"/>
                <w:lang w:val="en-US" w:eastAsia="zh-CN"/>
              </w:rPr>
              <w:t>16380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职工生活用水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鸡舍冲洗用水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388.8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消毒用水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水帘降温补充水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263.52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绿化用水</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5260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合计</w:t>
            </w:r>
          </w:p>
        </w:tc>
        <w:tc>
          <w:tcPr>
            <w:tcW w:w="299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22903.32</w:t>
            </w:r>
          </w:p>
        </w:tc>
      </w:tr>
    </w:tbl>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.2排水系统</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本项目排水主要为职工生活污水、鸡舍冲洗废水。</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职工生活污水</w:t>
      </w:r>
    </w:p>
    <w:p>
      <w:pPr>
        <w:ind w:firstLine="480"/>
        <w:rPr>
          <w:rFonts w:ascii="Times New Roman" w:hAnsi="Times New Roman" w:eastAsia="宋体"/>
          <w:color w:val="auto"/>
          <w:highlight w:val="none"/>
        </w:rPr>
      </w:pPr>
      <w:r>
        <w:rPr>
          <w:rFonts w:ascii="Times New Roman" w:hAnsi="Times New Roman" w:eastAsia="宋体"/>
          <w:color w:val="auto"/>
          <w:highlight w:val="none"/>
        </w:rPr>
        <w:t>职工生活污水按照用水量的80%计算，则生活污水产生量约为467.2m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/a。生活污水直接排入下水管网，最终进入玛纳斯县城污水处理厂</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鸡舍冲洗废水</w:t>
      </w:r>
    </w:p>
    <w:p>
      <w:pPr>
        <w:ind w:firstLine="480"/>
        <w:rPr>
          <w:rFonts w:ascii="Times New Roman" w:hAnsi="Times New Roman" w:eastAsia="宋体"/>
          <w:color w:val="auto"/>
          <w:highlight w:val="none"/>
        </w:rPr>
      </w:pPr>
      <w:r>
        <w:rPr>
          <w:rFonts w:ascii="Times New Roman" w:hAnsi="Times New Roman" w:eastAsia="宋体"/>
          <w:color w:val="auto"/>
          <w:highlight w:val="none"/>
        </w:rPr>
        <w:t>鸡舍冲洗废水按照用水量的80%计算，则产生量约为</w:t>
      </w:r>
      <w:r>
        <w:rPr>
          <w:rFonts w:hint="eastAsia" w:ascii="Times New Roman" w:hAnsi="Times New Roman" w:eastAsia="宋体"/>
          <w:color w:val="auto"/>
          <w:highlight w:val="none"/>
          <w:lang w:val="en-US" w:eastAsia="zh-CN"/>
        </w:rPr>
        <w:t>311.04</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/a。鸡舍冲洗废水排入</w:t>
      </w:r>
      <w:r>
        <w:rPr>
          <w:rFonts w:hint="eastAsia" w:ascii="Times New Roman" w:hAnsi="Times New Roman" w:eastAsia="宋体"/>
          <w:color w:val="auto"/>
          <w:highlight w:val="none"/>
          <w:lang w:val="en-US" w:eastAsia="zh-CN"/>
        </w:rPr>
        <w:t>废水收集池（150m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）经过预处理后用作农肥。</w:t>
      </w:r>
      <w:r>
        <w:rPr>
          <w:rFonts w:hint="eastAsia" w:ascii="Times New Roman" w:hAnsi="Times New Roman" w:eastAsia="宋体"/>
          <w:color w:val="auto"/>
          <w:highlight w:val="none"/>
        </w:rPr>
        <w:t>，项目水平衡图见图3.1-4。</w:t>
      </w:r>
    </w:p>
    <w:p>
      <w:pPr>
        <w:pStyle w:val="10"/>
        <w:spacing w:line="240" w:lineRule="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6690" cy="3709035"/>
            <wp:effectExtent l="0" t="0" r="0" b="0"/>
            <wp:docPr id="152" name="ECB019B1-382A-4266-B25C-5B523AA43C14-1" descr="C:/Users/清风源/AppData/Local/Temp/wps.UOYvA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ECB019B1-382A-4266-B25C-5B523AA43C14-1" descr="C:/Users/清风源/AppData/Local/Temp/wps.UOYvAKwps"/>
                    <pic:cNvPicPr>
                      <a:picLocks noChangeAspect="1"/>
                    </pic:cNvPicPr>
                  </pic:nvPicPr>
                  <pic:blipFill>
                    <a:blip r:embed="rId35"/>
                    <a:stretch>
                      <a:fillRect/>
                    </a:stretch>
                  </pic:blipFill>
                  <pic:spPr>
                    <a:xfrm>
                      <a:off x="0" y="0"/>
                      <a:ext cx="5266690" cy="3709035"/>
                    </a:xfrm>
                    <a:prstGeom prst="rect">
                      <a:avLst/>
                    </a:prstGeom>
                  </pic:spPr>
                </pic:pic>
              </a:graphicData>
            </a:graphic>
          </wp:inline>
        </w:drawing>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图3.1-4项目水平衡示意图单位：m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ascii="Times New Roman" w:hAnsi="Times New Roman" w:eastAsia="宋体"/>
          <w:color w:val="auto"/>
          <w:highlight w:val="none"/>
        </w:rPr>
        <w:t>.3供电</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本项目所在地供电由项目区外电网接入，场区内设变配电室，供电采用树干式与放射式相结合供电方式。对主要供电负荷，采用单独回路供电。</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ascii="Times New Roman" w:hAnsi="Times New Roman" w:eastAsia="宋体"/>
          <w:color w:val="auto"/>
          <w:highlight w:val="none"/>
        </w:rPr>
        <w:t>.4供热</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本项目圈舍采用电热水锅炉供暖，夏季（6-9月）采用水帘降温，能够满足圈舍饲养温度的需要；办公生活区采用</w:t>
      </w:r>
      <w:bookmarkStart w:id="380" w:name="_GoBack"/>
      <w:bookmarkEnd w:id="380"/>
      <w:r>
        <w:rPr>
          <w:rFonts w:hint="eastAsia" w:ascii="Times New Roman" w:hAnsi="Times New Roman" w:eastAsia="宋体"/>
          <w:color w:val="auto"/>
          <w:highlight w:val="none"/>
        </w:rPr>
        <w:t>电热水锅炉供暖，能够满足办公生活区的冬季采暖需要。</w:t>
      </w:r>
    </w:p>
    <w:p>
      <w:pPr>
        <w:pStyle w:val="6"/>
        <w:ind w:firstLine="482"/>
        <w:rPr>
          <w:rFonts w:ascii="Times New Roman" w:hAnsi="Times New Roman" w:eastAsia="宋体"/>
          <w:color w:val="auto"/>
          <w:highlight w:val="none"/>
        </w:rPr>
      </w:pPr>
      <w:bookmarkStart w:id="80" w:name="_Toc46066266"/>
      <w:bookmarkStart w:id="81" w:name="_Toc29350463"/>
      <w:bookmarkStart w:id="82" w:name="_Toc536265806"/>
      <w:bookmarkStart w:id="83" w:name="_Toc117518166"/>
      <w:bookmarkStart w:id="84" w:name="_Toc2258924"/>
      <w:bookmarkStart w:id="85" w:name="_Toc29350521"/>
      <w:bookmarkStart w:id="86" w:name="_Toc117518251"/>
      <w:bookmarkStart w:id="87" w:name="_Toc2320728"/>
      <w:bookmarkStart w:id="88" w:name="_Toc2156134"/>
      <w:bookmarkStart w:id="89" w:name="_Toc113254136"/>
      <w:bookmarkStart w:id="90" w:name="_Toc117518536"/>
      <w:bookmarkStart w:id="91" w:name="_Toc3455645"/>
      <w:bookmarkStart w:id="92" w:name="_Toc112970974"/>
      <w:bookmarkStart w:id="93" w:name="_Toc3038754"/>
      <w:bookmarkStart w:id="94" w:name="_Toc117518085"/>
      <w:bookmarkStart w:id="95" w:name="_Toc117518331"/>
      <w:bookmarkStart w:id="96" w:name="_Toc29631758"/>
      <w:bookmarkStart w:id="97" w:name="_Toc113278807"/>
      <w:bookmarkStart w:id="98" w:name="_Toc113254406"/>
      <w:bookmarkStart w:id="99" w:name="_Toc24776864"/>
      <w:bookmarkStart w:id="100" w:name="_Toc112970910"/>
      <w:bookmarkStart w:id="101" w:name="_Toc224388007"/>
      <w:bookmarkStart w:id="102" w:name="_Toc3038841"/>
      <w:bookmarkStart w:id="103" w:name="_Toc15704"/>
      <w:bookmarkStart w:id="104" w:name="_Toc324245525"/>
      <w:bookmarkStart w:id="105" w:name="_Toc117517821"/>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绿化工程</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采用乔木、灌木、花卉、经济林等方式进行场区绿化。场界四周种植两排乔木，加强绿化，乔灌草结合。场区内道路两侧种植灌木，生活区种植花卉、绿色植被及灌木。生产区与生活区用灌木和乔木相结合的方式进行分隔。</w:t>
      </w:r>
      <w:r>
        <w:rPr>
          <w:rFonts w:ascii="Times New Roman" w:hAnsi="Times New Roman" w:eastAsia="宋体"/>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-5439410</wp:posOffset>
                </wp:positionH>
                <wp:positionV relativeFrom="paragraph">
                  <wp:posOffset>16820515</wp:posOffset>
                </wp:positionV>
                <wp:extent cx="9719945" cy="1905514985"/>
                <wp:effectExtent l="0" t="38100" r="33655" b="18415"/>
                <wp:wrapNone/>
                <wp:docPr id="71" name="组合 71"/>
                <wp:cNvGraphicFramePr/>
                <a:graphic xmlns:a="http://schemas.openxmlformats.org/drawingml/2006/main">
                  <a:graphicData uri="http://schemas.microsoft.com/office/word/2010/wordprocessingGroup">
                    <wpg:wgp>
                      <wpg:cNvGrpSpPr/>
                      <wpg:grpSpPr>
                        <a:xfrm>
                          <a:off x="0" y="0"/>
                          <a:ext cx="9719945" cy="1905514985"/>
                          <a:chOff x="7146" y="-2279651"/>
                          <a:chExt cx="15307" cy="3000811"/>
                        </a:xfrm>
                      </wpg:grpSpPr>
                      <wps:wsp>
                        <wps:cNvPr id="72" name="文本框 79"/>
                        <wps:cNvSpPr txBox="1"/>
                        <wps:spPr>
                          <a:xfrm>
                            <a:off x="12872" y="719796"/>
                            <a:ext cx="1072" cy="468"/>
                          </a:xfrm>
                          <a:prstGeom prst="rect">
                            <a:avLst/>
                          </a:prstGeom>
                          <a:noFill/>
                          <a:ln>
                            <a:noFill/>
                          </a:ln>
                        </wps:spPr>
                        <wps:txbx>
                          <w:txbxContent>
                            <w:p>
                              <w:pPr>
                                <w:ind w:firstLine="480"/>
                              </w:pPr>
                              <w:r>
                                <w:rPr>
                                  <w:rFonts w:hint="eastAsia"/>
                                </w:rPr>
                                <w:t>边角料</w:t>
                              </w:r>
                            </w:p>
                          </w:txbxContent>
                        </wps:txbx>
                        <wps:bodyPr upright="1"/>
                      </wps:wsp>
                      <wps:wsp>
                        <wps:cNvPr id="73" name="文本框 80"/>
                        <wps:cNvSpPr txBox="1"/>
                        <wps:spPr>
                          <a:xfrm>
                            <a:off x="9496" y="720669"/>
                            <a:ext cx="11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挤出</w:t>
                              </w:r>
                            </w:p>
                          </w:txbxContent>
                        </wps:txbx>
                        <wps:bodyPr upright="1"/>
                      </wps:wsp>
                      <wps:wsp>
                        <wps:cNvPr id="74" name="直接连接符 81"/>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s:wsp>
                        <wps:cNvPr id="75" name="文本框 82"/>
                        <wps:cNvSpPr txBox="1"/>
                        <wps:spPr>
                          <a:xfrm>
                            <a:off x="11210" y="720690"/>
                            <a:ext cx="114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冷却</w:t>
                              </w:r>
                            </w:p>
                          </w:txbxContent>
                        </wps:txbx>
                        <wps:bodyPr upright="1"/>
                      </wps:wsp>
                      <wps:wsp>
                        <wps:cNvPr id="76" name="直接连接符 83"/>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77" name="文本框 84"/>
                        <wps:cNvSpPr txBox="1"/>
                        <wps:spPr>
                          <a:xfrm>
                            <a:off x="12801" y="720669"/>
                            <a:ext cx="1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定型</w:t>
                              </w:r>
                            </w:p>
                          </w:txbxContent>
                        </wps:txbx>
                        <wps:bodyPr upright="1"/>
                      </wps:wsp>
                      <wps:wsp>
                        <wps:cNvPr id="78" name="直接连接符 85"/>
                        <wps:cNvCnPr/>
                        <wps:spPr>
                          <a:xfrm flipV="1">
                            <a:off x="21886" y="-2279651"/>
                            <a:ext cx="1" cy="405"/>
                          </a:xfrm>
                          <a:prstGeom prst="line">
                            <a:avLst/>
                          </a:prstGeom>
                          <a:ln w="9525" cap="flat" cmpd="sng">
                            <a:solidFill>
                              <a:srgbClr val="000000"/>
                            </a:solidFill>
                            <a:prstDash val="solid"/>
                            <a:headEnd type="none" w="med" len="med"/>
                            <a:tailEnd type="triangle" w="med" len="med"/>
                          </a:ln>
                        </wps:spPr>
                        <wps:bodyPr/>
                      </wps:wsp>
                      <wps:wsp>
                        <wps:cNvPr id="192" name="文本框 86"/>
                        <wps:cNvSpPr txBox="1"/>
                        <wps:spPr>
                          <a:xfrm>
                            <a:off x="9211" y="719879"/>
                            <a:ext cx="1815" cy="468"/>
                          </a:xfrm>
                          <a:prstGeom prst="rect">
                            <a:avLst/>
                          </a:prstGeom>
                          <a:noFill/>
                          <a:ln>
                            <a:noFill/>
                          </a:ln>
                        </wps:spPr>
                        <wps:txbx>
                          <w:txbxContent>
                            <w:p>
                              <w:pPr>
                                <w:ind w:firstLine="240" w:firstLineChars="100"/>
                              </w:pPr>
                              <w:r>
                                <w:rPr>
                                  <w:rFonts w:hint="eastAsia"/>
                                </w:rPr>
                                <w:t>废气、噪声</w:t>
                              </w:r>
                            </w:p>
                          </w:txbxContent>
                        </wps:txbx>
                        <wps:bodyPr upright="1"/>
                      </wps:wsp>
                      <wps:wsp>
                        <wps:cNvPr id="193" name="直接箭头连接符 87"/>
                        <wps:cNvCnPr/>
                        <wps:spPr>
                          <a:xfrm>
                            <a:off x="21886" y="-2279246"/>
                            <a:ext cx="0" cy="432"/>
                          </a:xfrm>
                          <a:prstGeom prst="straightConnector1">
                            <a:avLst/>
                          </a:prstGeom>
                          <a:ln w="9525" cap="flat" cmpd="sng">
                            <a:solidFill>
                              <a:srgbClr val="000000"/>
                            </a:solidFill>
                            <a:prstDash val="solid"/>
                            <a:headEnd type="none" w="med" len="med"/>
                            <a:tailEnd type="triangle" w="med" len="med"/>
                          </a:ln>
                        </wps:spPr>
                        <wps:bodyPr/>
                      </wps:wsp>
                      <wps:wsp>
                        <wps:cNvPr id="194" name="直接连接符 88"/>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5" name="直接连接符 89"/>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196" name="文本框 90"/>
                        <wps:cNvSpPr txBox="1"/>
                        <wps:spPr>
                          <a:xfrm>
                            <a:off x="14446" y="720669"/>
                            <a:ext cx="116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包装</w:t>
                              </w:r>
                            </w:p>
                          </w:txbxContent>
                        </wps:txbx>
                        <wps:bodyPr upright="1"/>
                      </wps:wsp>
                      <wps:wsp>
                        <wps:cNvPr id="197" name="直接连接符 91"/>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8" name="文本框 92"/>
                        <wps:cNvSpPr txBox="1"/>
                        <wps:spPr>
                          <a:xfrm>
                            <a:off x="7146" y="720692"/>
                            <a:ext cx="182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聚乙烯颗粒料</w:t>
                              </w:r>
                            </w:p>
                          </w:txbxContent>
                        </wps:txbx>
                        <wps:bodyPr upright="1"/>
                      </wps:wsp>
                      <wps:wsp>
                        <wps:cNvPr id="199" name="文本框 93"/>
                        <wps:cNvSpPr txBox="1"/>
                        <wps:spPr>
                          <a:xfrm>
                            <a:off x="11133" y="719781"/>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pPr>
                              <w:r>
                                <w:rPr>
                                  <w:rFonts w:hint="eastAsia"/>
                                </w:rPr>
                                <w:t>循环池</w:t>
                              </w:r>
                            </w:p>
                          </w:txbxContent>
                        </wps:txbx>
                        <wps:bodyPr upright="1"/>
                      </wps:wsp>
                      <wps:wsp>
                        <wps:cNvPr id="200" name="直接连接符 94"/>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28.3pt;margin-top:1324.45pt;height:150040.55pt;width:765.35pt;z-index:251659264;mso-width-relative:page;mso-height-relative:page;" coordorigin="7146,-2279651" coordsize="15307,3000811" o:gfxdata="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I+ucW/gAAAAEAEAAA8AAAAAAAAAAQAgAAAAIgAAAGRycy9kb3ducmV2LnhtbFBLAQIUABQA&#10;AAAIAIdO4kDJQXzZBgUAAKYkAAAOAAAAAAAAAAEAIAAAAC8BAABkcnMvZTJvRG9jLnhtbFBLBQYA&#10;AAAABgAGAFkBAACnCAAAAAA=&#10;">
                <o:lock v:ext="edit" aspectratio="f"/>
                <v:shape id="文本框 79" o:spid="_x0000_s1026" o:spt="202" type="#_x0000_t202" style="position:absolute;left:12872;top:719796;height:468;width:1072;"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80"/>
                        </w:pPr>
                        <w:r>
                          <w:rPr>
                            <w:rFonts w:hint="eastAsia"/>
                          </w:rPr>
                          <w:t>边角料</w:t>
                        </w:r>
                      </w:p>
                    </w:txbxContent>
                  </v:textbox>
                </v:shape>
                <v:shape id="文本框 80" o:spid="_x0000_s1026" o:spt="202" type="#_x0000_t202" style="position:absolute;left:9496;top:720669;height:468;width:1141;"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480"/>
                          <w:jc w:val="center"/>
                        </w:pPr>
                        <w:r>
                          <w:rPr>
                            <w:rFonts w:hint="eastAsia"/>
                          </w:rPr>
                          <w:t>挤出</w:t>
                        </w:r>
                      </w:p>
                    </w:txbxContent>
                  </v:textbox>
                </v:shape>
                <v:line id="直接连接符 81" o:spid="_x0000_s1026" o:spt="20" style="position:absolute;left:21886;top:-2279246;height:1;width:567;"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2" o:spid="_x0000_s1026" o:spt="202" type="#_x0000_t202" style="position:absolute;left:11210;top:720690;height:468;width:1144;"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480"/>
                          <w:jc w:val="center"/>
                        </w:pPr>
                        <w:r>
                          <w:rPr>
                            <w:rFonts w:hint="eastAsia"/>
                          </w:rPr>
                          <w:t>冷却</w:t>
                        </w:r>
                      </w:p>
                    </w:txbxContent>
                  </v:textbox>
                </v:shape>
                <v:line id="直接连接符 83" o:spid="_x0000_s1026" o:spt="20" style="position:absolute;left:21886;top:-2279246;height:0;width:454;"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84" o:spid="_x0000_s1026" o:spt="202" type="#_x0000_t202" style="position:absolute;left:12801;top:720669;height:468;width:1160;"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480"/>
                          <w:jc w:val="center"/>
                        </w:pPr>
                        <w:r>
                          <w:rPr>
                            <w:rFonts w:hint="eastAsia"/>
                          </w:rPr>
                          <w:t>定型</w:t>
                        </w:r>
                      </w:p>
                    </w:txbxContent>
                  </v:textbox>
                </v:shape>
                <v:line id="直接连接符 85" o:spid="_x0000_s1026" o:spt="20" style="position:absolute;left:21886;top:-2279651;flip:y;height:405;width:1;" filled="f" stroked="t" coordsize="21600,21600" o:gfxdata="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M9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86" o:spid="_x0000_s1026" o:spt="202" type="#_x0000_t202" style="position:absolute;left:9211;top:719879;height:468;width:1815;"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240" w:firstLineChars="100"/>
                        </w:pPr>
                        <w:r>
                          <w:rPr>
                            <w:rFonts w:hint="eastAsia"/>
                          </w:rPr>
                          <w:t>废气、噪声</w:t>
                        </w:r>
                      </w:p>
                    </w:txbxContent>
                  </v:textbox>
                </v:shape>
                <v:shape id="直接箭头连接符 87" o:spid="_x0000_s1026" o:spt="32" type="#_x0000_t32" style="position:absolute;left:21886;top:-2279246;height:432;width:0;"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直接连接符 88" o:spid="_x0000_s1026" o:spt="20" style="position:absolute;left:21886;top:-2279651;flip:y;height:405;width:1;" filled="f" stroked="t" coordsize="21600,21600" o:gfxdata="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i5hL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line id="直接连接符 89" o:spid="_x0000_s1026" o:spt="20" style="position:absolute;left:21886;top:-2279246;height:0;width:454;"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90" o:spid="_x0000_s1026" o:spt="202" type="#_x0000_t202" style="position:absolute;left:14446;top:720669;height:468;width:1161;"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480"/>
                          <w:jc w:val="center"/>
                        </w:pPr>
                        <w:r>
                          <w:rPr>
                            <w:rFonts w:hint="eastAsia"/>
                          </w:rPr>
                          <w:t>包装</w:t>
                        </w:r>
                      </w:p>
                    </w:txbxContent>
                  </v:textbox>
                </v:shape>
                <v:line id="直接连接符 91" o:spid="_x0000_s1026" o:spt="20" style="position:absolute;left:21886;top:-2279651;flip:y;height:405;width:1;" filled="f" stroked="t" coordsize="21600,21600" o:gfxdata="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on87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shape id="文本框 92" o:spid="_x0000_s1026" o:spt="202" type="#_x0000_t202" style="position:absolute;left:7146;top:720692;height:468;width:1828;"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480"/>
                          <w:jc w:val="center"/>
                        </w:pPr>
                        <w:r>
                          <w:rPr>
                            <w:rFonts w:hint="eastAsia"/>
                          </w:rPr>
                          <w:t>聚乙烯颗粒料</w:t>
                        </w:r>
                      </w:p>
                    </w:txbxContent>
                  </v:textbox>
                </v:shape>
                <v:shape id="文本框 93" o:spid="_x0000_s1026" o:spt="202" type="#_x0000_t202" style="position:absolute;left:11133;top:719781;height:468;width:1440;"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480"/>
                          <w:jc w:val="center"/>
                        </w:pPr>
                        <w:r>
                          <w:rPr>
                            <w:rFonts w:hint="eastAsia"/>
                          </w:rPr>
                          <w:t>循环池</w:t>
                        </w:r>
                      </w:p>
                    </w:txbxContent>
                  </v:textbox>
                </v:shape>
                <v:line id="直接连接符 94" o:spid="_x0000_s1026" o:spt="20" style="position:absolute;left:21886;top:-2279246;height:1;width:567;"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pStyle w:val="4"/>
        <w:rPr>
          <w:rFonts w:ascii="Times New Roman" w:hAnsi="Times New Roman" w:eastAsia="宋体"/>
          <w:color w:val="auto"/>
          <w:highlight w:val="none"/>
        </w:rPr>
      </w:pPr>
      <w:bookmarkStart w:id="106" w:name="_Toc106663467"/>
      <w:bookmarkStart w:id="107" w:name="_Toc14719"/>
      <w:bookmarkStart w:id="108" w:name="_Toc89619334"/>
      <w:r>
        <w:rPr>
          <w:rFonts w:ascii="Times New Roman" w:hAnsi="Times New Roman" w:eastAsia="宋体"/>
          <w:color w:val="auto"/>
          <w:highlight w:val="none"/>
        </w:rPr>
        <w:t>3.2</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ascii="Times New Roman" w:hAnsi="Times New Roman" w:eastAsia="宋体"/>
          <w:color w:val="auto"/>
          <w:highlight w:val="none"/>
        </w:rPr>
        <w:t>生产工艺流程</w:t>
      </w:r>
      <w:bookmarkEnd w:id="106"/>
      <w:bookmarkEnd w:id="107"/>
      <w:bookmarkEnd w:id="108"/>
    </w:p>
    <w:p>
      <w:pPr>
        <w:pStyle w:val="5"/>
        <w:rPr>
          <w:rFonts w:ascii="Times New Roman" w:hAnsi="Times New Roman" w:eastAsia="宋体"/>
          <w:color w:val="auto"/>
          <w:highlight w:val="none"/>
        </w:rPr>
      </w:pPr>
      <w:bookmarkStart w:id="109" w:name="_Toc106663468"/>
      <w:r>
        <w:rPr>
          <w:rFonts w:ascii="Times New Roman" w:hAnsi="Times New Roman" w:eastAsia="宋体"/>
          <w:color w:val="auto"/>
          <w:highlight w:val="none"/>
        </w:rPr>
        <w:t>3.2.1</w:t>
      </w:r>
      <w:r>
        <w:rPr>
          <w:rFonts w:hint="eastAsia" w:ascii="Times New Roman" w:hAnsi="Times New Roman" w:eastAsia="宋体"/>
          <w:color w:val="auto"/>
          <w:highlight w:val="none"/>
        </w:rPr>
        <w:t>施工期工艺流程及产污节点</w:t>
      </w:r>
      <w:bookmarkEnd w:id="10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过程分为土方阶段（包括场地平整、开挖土石方）、基础施工阶段（包括打桩，构筑基础等）、主体工程阶段（包括钢筋、砖混结构施工、管线施工等）及装修阶段、场地清理（包括回填土石方、修路、清理场地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w:t>
      </w:r>
      <w:r>
        <w:rPr>
          <w:rFonts w:ascii="Times New Roman" w:hAnsi="Times New Roman" w:eastAsia="宋体"/>
          <w:color w:val="auto"/>
          <w:highlight w:val="none"/>
        </w:rPr>
        <w:t>施工期工艺流程及产污</w:t>
      </w:r>
      <w:r>
        <w:rPr>
          <w:rFonts w:hint="eastAsia" w:ascii="Times New Roman" w:hAnsi="Times New Roman" w:eastAsia="宋体"/>
          <w:color w:val="auto"/>
          <w:highlight w:val="none"/>
        </w:rPr>
        <w:t>环节图</w:t>
      </w:r>
      <w:r>
        <w:rPr>
          <w:rFonts w:ascii="Times New Roman" w:hAnsi="Times New Roman" w:eastAsia="宋体"/>
          <w:color w:val="auto"/>
          <w:highlight w:val="none"/>
        </w:rPr>
        <w:t>见图</w:t>
      </w:r>
      <w:r>
        <w:rPr>
          <w:rFonts w:hint="eastAsia" w:ascii="Times New Roman" w:hAnsi="Times New Roman" w:eastAsia="宋体"/>
          <w:color w:val="auto"/>
          <w:highlight w:val="none"/>
        </w:rPr>
        <w:t>3.2-1</w:t>
      </w:r>
      <w:r>
        <w:rPr>
          <w:rFonts w:ascii="Times New Roman" w:hAnsi="Times New Roman" w:eastAsia="宋体"/>
          <w:color w:val="auto"/>
          <w:highlight w:val="none"/>
        </w:rPr>
        <w:t>。</w:t>
      </w:r>
    </w:p>
    <w:p>
      <w:pPr>
        <w:topLinePunct/>
        <w:adjustRightInd w:val="0"/>
        <w:snapToGrid w:val="0"/>
        <w:spacing w:line="240" w:lineRule="auto"/>
        <w:ind w:firstLine="0" w:firstLineChars="0"/>
        <w:jc w:val="center"/>
        <w:rPr>
          <w:rFonts w:ascii="Times New Roman" w:hAnsi="Times New Roman" w:eastAsia="宋体"/>
          <w:snapToGrid w:val="0"/>
          <w:color w:val="auto"/>
          <w:sz w:val="28"/>
          <w:szCs w:val="28"/>
          <w:highlight w:val="none"/>
        </w:rPr>
      </w:pPr>
      <w:r>
        <w:rPr>
          <w:rFonts w:ascii="Times New Roman" w:hAnsi="Times New Roman" w:eastAsia="宋体"/>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344170</wp:posOffset>
                </wp:positionH>
                <wp:positionV relativeFrom="paragraph">
                  <wp:posOffset>26670</wp:posOffset>
                </wp:positionV>
                <wp:extent cx="4912995" cy="1814830"/>
                <wp:effectExtent l="0" t="0" r="20955" b="13970"/>
                <wp:wrapNone/>
                <wp:docPr id="299" name="组合 299"/>
                <wp:cNvGraphicFramePr/>
                <a:graphic xmlns:a="http://schemas.openxmlformats.org/drawingml/2006/main">
                  <a:graphicData uri="http://schemas.microsoft.com/office/word/2010/wordprocessingGroup">
                    <wpg:wgp>
                      <wpg:cNvGrpSpPr/>
                      <wpg:grpSpPr>
                        <a:xfrm>
                          <a:off x="0" y="0"/>
                          <a:ext cx="4912995" cy="1814830"/>
                          <a:chOff x="2061" y="3103"/>
                          <a:chExt cx="7737" cy="2858"/>
                        </a:xfrm>
                      </wpg:grpSpPr>
                      <wps:wsp>
                        <wps:cNvPr id="300" name="文本框 354"/>
                        <wps:cNvSpPr txBox="1">
                          <a:spLocks noChangeArrowheads="1"/>
                        </wps:cNvSpPr>
                        <wps:spPr bwMode="auto">
                          <a:xfrm>
                            <a:off x="4116" y="5663"/>
                            <a:ext cx="3420" cy="298"/>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建筑垃圾、生活垃圾、生活废水</w:t>
                              </w:r>
                            </w:p>
                            <w:p>
                              <w:pPr>
                                <w:ind w:firstLine="480"/>
                              </w:pPr>
                            </w:p>
                          </w:txbxContent>
                        </wps:txbx>
                        <wps:bodyPr rot="0" vert="horz" wrap="square" lIns="18000" tIns="0" rIns="18000" bIns="0" anchor="t" anchorCtr="0" upright="1">
                          <a:noAutofit/>
                        </wps:bodyPr>
                      </wps:wsp>
                      <wps:wsp>
                        <wps:cNvPr id="301" name="文本框 355"/>
                        <wps:cNvSpPr txBox="1">
                          <a:spLocks noChangeArrowheads="1"/>
                        </wps:cNvSpPr>
                        <wps:spPr bwMode="auto">
                          <a:xfrm>
                            <a:off x="3471" y="4678"/>
                            <a:ext cx="1260" cy="312"/>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土方开挖</w:t>
                              </w:r>
                            </w:p>
                          </w:txbxContent>
                        </wps:txbx>
                        <wps:bodyPr rot="0" vert="horz" wrap="square" lIns="18000" tIns="0" rIns="18000" bIns="0" anchor="t" anchorCtr="0" upright="1">
                          <a:noAutofit/>
                        </wps:bodyPr>
                      </wps:wsp>
                      <wps:wsp>
                        <wps:cNvPr id="302" name="文本框 356"/>
                        <wps:cNvSpPr txBox="1">
                          <a:spLocks noChangeArrowheads="1"/>
                        </wps:cNvSpPr>
                        <wps:spPr bwMode="auto">
                          <a:xfrm>
                            <a:off x="5436" y="4672"/>
                            <a:ext cx="1260" cy="298"/>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道路修筑</w:t>
                              </w:r>
                            </w:p>
                          </w:txbxContent>
                        </wps:txbx>
                        <wps:bodyPr rot="0" vert="horz" wrap="square" lIns="18000" tIns="0" rIns="18000" bIns="0" anchor="t" anchorCtr="0" upright="1">
                          <a:noAutofit/>
                        </wps:bodyPr>
                      </wps:wsp>
                      <wps:wsp>
                        <wps:cNvPr id="303" name="文本框 357"/>
                        <wps:cNvSpPr txBox="1">
                          <a:spLocks noChangeArrowheads="1"/>
                        </wps:cNvSpPr>
                        <wps:spPr bwMode="auto">
                          <a:xfrm>
                            <a:off x="7146" y="4687"/>
                            <a:ext cx="1260" cy="298"/>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房屋建筑</w:t>
                              </w:r>
                            </w:p>
                          </w:txbxContent>
                        </wps:txbx>
                        <wps:bodyPr rot="0" vert="horz" wrap="square" lIns="18000" tIns="0" rIns="18000" bIns="0" anchor="t" anchorCtr="0" upright="1">
                          <a:noAutofit/>
                        </wps:bodyPr>
                      </wps:wsp>
                      <wps:wsp>
                        <wps:cNvPr id="304" name="文本框 358"/>
                        <wps:cNvSpPr txBox="1">
                          <a:spLocks noChangeArrowheads="1"/>
                        </wps:cNvSpPr>
                        <wps:spPr bwMode="auto">
                          <a:xfrm>
                            <a:off x="8856" y="4702"/>
                            <a:ext cx="720" cy="296"/>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装修</w:t>
                              </w:r>
                            </w:p>
                          </w:txbxContent>
                        </wps:txbx>
                        <wps:bodyPr rot="0" vert="horz" wrap="square" lIns="18000" tIns="0" rIns="18000" bIns="0" anchor="t" anchorCtr="0" upright="1">
                          <a:noAutofit/>
                        </wps:bodyPr>
                      </wps:wsp>
                      <wps:wsp>
                        <wps:cNvPr id="305" name="文本框 359"/>
                        <wps:cNvSpPr txBox="1">
                          <a:spLocks noChangeArrowheads="1"/>
                        </wps:cNvSpPr>
                        <wps:spPr bwMode="auto">
                          <a:xfrm>
                            <a:off x="2061" y="4672"/>
                            <a:ext cx="1080" cy="312"/>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场地平整</w:t>
                              </w:r>
                            </w:p>
                          </w:txbxContent>
                        </wps:txbx>
                        <wps:bodyPr rot="0" vert="horz" wrap="square" lIns="18000" tIns="0" rIns="18000" bIns="0" anchor="t" anchorCtr="0" upright="1">
                          <a:noAutofit/>
                        </wps:bodyPr>
                      </wps:wsp>
                      <wps:wsp>
                        <wps:cNvPr id="306" name="文本框 360"/>
                        <wps:cNvSpPr txBox="1">
                          <a:spLocks noChangeArrowheads="1"/>
                        </wps:cNvSpPr>
                        <wps:spPr bwMode="auto">
                          <a:xfrm>
                            <a:off x="5109" y="3481"/>
                            <a:ext cx="960" cy="462"/>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噪声</w:t>
                              </w:r>
                            </w:p>
                          </w:txbxContent>
                        </wps:txbx>
                        <wps:bodyPr rot="0" vert="horz" wrap="square" lIns="91440" tIns="45720" rIns="91440" bIns="45720" anchor="t" anchorCtr="0" upright="1">
                          <a:noAutofit/>
                        </wps:bodyPr>
                      </wps:wsp>
                      <wps:wsp>
                        <wps:cNvPr id="307" name="文本框 361"/>
                        <wps:cNvSpPr txBox="1">
                          <a:spLocks noChangeArrowheads="1"/>
                        </wps:cNvSpPr>
                        <wps:spPr bwMode="auto">
                          <a:xfrm>
                            <a:off x="2556" y="3475"/>
                            <a:ext cx="1080" cy="468"/>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扬尘</w:t>
                              </w:r>
                            </w:p>
                          </w:txbxContent>
                        </wps:txbx>
                        <wps:bodyPr rot="0" vert="horz" wrap="square" lIns="91440" tIns="45720" rIns="91440" bIns="45720" anchor="t" anchorCtr="0" upright="1">
                          <a:noAutofit/>
                        </wps:bodyPr>
                      </wps:wsp>
                      <wps:wsp>
                        <wps:cNvPr id="308" name="文本框 362"/>
                        <wps:cNvSpPr txBox="1">
                          <a:spLocks noChangeArrowheads="1"/>
                        </wps:cNvSpPr>
                        <wps:spPr bwMode="auto">
                          <a:xfrm>
                            <a:off x="7356" y="3481"/>
                            <a:ext cx="2442" cy="468"/>
                          </a:xfrm>
                          <a:prstGeom prst="rect">
                            <a:avLst/>
                          </a:prstGeom>
                          <a:solidFill>
                            <a:srgbClr val="FFFFFF"/>
                          </a:solidFill>
                          <a:ln w="9525" cmpd="sng">
                            <a:solidFill>
                              <a:srgbClr val="000000"/>
                            </a:solidFill>
                            <a:miter lim="800000"/>
                          </a:ln>
                        </wps:spPr>
                        <wps:txbx>
                          <w:txbxContent>
                            <w:p>
                              <w:pPr>
                                <w:spacing w:line="240" w:lineRule="auto"/>
                                <w:ind w:firstLine="0" w:firstLineChars="0"/>
                                <w:jc w:val="center"/>
                              </w:pPr>
                              <w:r>
                                <w:rPr>
                                  <w:rFonts w:hint="eastAsia"/>
                                </w:rPr>
                                <w:t>建筑材料堆放、运输</w:t>
                              </w:r>
                            </w:p>
                          </w:txbxContent>
                        </wps:txbx>
                        <wps:bodyPr rot="0" vert="horz" wrap="square" lIns="91440" tIns="45720" rIns="91440" bIns="45720" anchor="t" anchorCtr="0" upright="1">
                          <a:noAutofit/>
                        </wps:bodyPr>
                      </wps:wsp>
                      <wps:wsp>
                        <wps:cNvPr id="309" name="直线 363"/>
                        <wps:cNvCnPr>
                          <a:cxnSpLocks noChangeShapeType="1"/>
                        </wps:cNvCnPr>
                        <wps:spPr bwMode="auto">
                          <a:xfrm flipH="1">
                            <a:off x="5441" y="4968"/>
                            <a:ext cx="641" cy="693"/>
                          </a:xfrm>
                          <a:prstGeom prst="line">
                            <a:avLst/>
                          </a:prstGeom>
                          <a:noFill/>
                          <a:ln w="9525" cmpd="sng">
                            <a:solidFill>
                              <a:srgbClr val="000000"/>
                            </a:solidFill>
                            <a:prstDash val="dash"/>
                            <a:round/>
                            <a:tailEnd type="triangle" w="med" len="med"/>
                          </a:ln>
                        </wps:spPr>
                        <wps:bodyPr/>
                      </wps:wsp>
                      <wps:wsp>
                        <wps:cNvPr id="310" name="直线 364"/>
                        <wps:cNvCnPr>
                          <a:cxnSpLocks noChangeShapeType="1"/>
                        </wps:cNvCnPr>
                        <wps:spPr bwMode="auto">
                          <a:xfrm flipH="1">
                            <a:off x="5888" y="4985"/>
                            <a:ext cx="1780" cy="659"/>
                          </a:xfrm>
                          <a:prstGeom prst="line">
                            <a:avLst/>
                          </a:prstGeom>
                          <a:noFill/>
                          <a:ln w="9525" cmpd="sng">
                            <a:solidFill>
                              <a:srgbClr val="000000"/>
                            </a:solidFill>
                            <a:prstDash val="dash"/>
                            <a:round/>
                            <a:tailEnd type="triangle" w="med" len="med"/>
                          </a:ln>
                        </wps:spPr>
                        <wps:bodyPr/>
                      </wps:wsp>
                      <wps:wsp>
                        <wps:cNvPr id="311" name="直线 365"/>
                        <wps:cNvCnPr>
                          <a:cxnSpLocks noChangeShapeType="1"/>
                        </wps:cNvCnPr>
                        <wps:spPr bwMode="auto">
                          <a:xfrm flipH="1">
                            <a:off x="6458" y="5002"/>
                            <a:ext cx="2697" cy="644"/>
                          </a:xfrm>
                          <a:prstGeom prst="line">
                            <a:avLst/>
                          </a:prstGeom>
                          <a:noFill/>
                          <a:ln w="9525" cmpd="sng">
                            <a:solidFill>
                              <a:srgbClr val="000000"/>
                            </a:solidFill>
                            <a:prstDash val="dash"/>
                            <a:round/>
                            <a:tailEnd type="triangle" w="med" len="med"/>
                          </a:ln>
                        </wps:spPr>
                        <wps:bodyPr/>
                      </wps:wsp>
                      <wps:wsp>
                        <wps:cNvPr id="312" name="直线 366"/>
                        <wps:cNvCnPr>
                          <a:cxnSpLocks noChangeShapeType="1"/>
                        </wps:cNvCnPr>
                        <wps:spPr bwMode="auto">
                          <a:xfrm flipH="1" flipV="1">
                            <a:off x="3458" y="3958"/>
                            <a:ext cx="2579" cy="705"/>
                          </a:xfrm>
                          <a:prstGeom prst="line">
                            <a:avLst/>
                          </a:prstGeom>
                          <a:noFill/>
                          <a:ln w="9525" cmpd="sng">
                            <a:solidFill>
                              <a:srgbClr val="000000"/>
                            </a:solidFill>
                            <a:prstDash val="dash"/>
                            <a:round/>
                            <a:tailEnd type="triangle" w="med" len="med"/>
                          </a:ln>
                        </wps:spPr>
                        <wps:bodyPr/>
                      </wps:wsp>
                      <wps:wsp>
                        <wps:cNvPr id="313" name="直线 367"/>
                        <wps:cNvCnPr>
                          <a:cxnSpLocks noChangeShapeType="1"/>
                        </wps:cNvCnPr>
                        <wps:spPr bwMode="auto">
                          <a:xfrm>
                            <a:off x="4170" y="5005"/>
                            <a:ext cx="1082" cy="662"/>
                          </a:xfrm>
                          <a:prstGeom prst="line">
                            <a:avLst/>
                          </a:prstGeom>
                          <a:noFill/>
                          <a:ln w="9525" cmpd="sng">
                            <a:solidFill>
                              <a:srgbClr val="000000"/>
                            </a:solidFill>
                            <a:prstDash val="dash"/>
                            <a:round/>
                            <a:tailEnd type="triangle" w="med" len="med"/>
                          </a:ln>
                        </wps:spPr>
                        <wps:bodyPr/>
                      </wps:wsp>
                      <wps:wsp>
                        <wps:cNvPr id="314" name="直线 368"/>
                        <wps:cNvCnPr>
                          <a:cxnSpLocks noChangeShapeType="1"/>
                        </wps:cNvCnPr>
                        <wps:spPr bwMode="auto">
                          <a:xfrm flipV="1">
                            <a:off x="8511" y="3103"/>
                            <a:ext cx="2" cy="371"/>
                          </a:xfrm>
                          <a:prstGeom prst="line">
                            <a:avLst/>
                          </a:prstGeom>
                          <a:noFill/>
                          <a:ln w="9525" cmpd="sng">
                            <a:solidFill>
                              <a:srgbClr val="000000"/>
                            </a:solidFill>
                            <a:prstDash val="dash"/>
                            <a:round/>
                          </a:ln>
                        </wps:spPr>
                        <wps:bodyPr/>
                      </wps:wsp>
                      <wps:wsp>
                        <wps:cNvPr id="315" name="直线 369"/>
                        <wps:cNvCnPr>
                          <a:cxnSpLocks noChangeShapeType="1"/>
                        </wps:cNvCnPr>
                        <wps:spPr bwMode="auto">
                          <a:xfrm>
                            <a:off x="7944" y="3959"/>
                            <a:ext cx="1" cy="735"/>
                          </a:xfrm>
                          <a:prstGeom prst="line">
                            <a:avLst/>
                          </a:prstGeom>
                          <a:noFill/>
                          <a:ln w="9525" cmpd="sng">
                            <a:solidFill>
                              <a:srgbClr val="000000"/>
                            </a:solidFill>
                            <a:round/>
                            <a:tailEnd type="triangle" w="med" len="med"/>
                          </a:ln>
                        </wps:spPr>
                        <wps:bodyPr/>
                      </wps:wsp>
                      <wps:wsp>
                        <wps:cNvPr id="316" name="直线 370"/>
                        <wps:cNvCnPr>
                          <a:cxnSpLocks noChangeShapeType="1"/>
                        </wps:cNvCnPr>
                        <wps:spPr bwMode="auto">
                          <a:xfrm flipH="1" flipV="1">
                            <a:off x="5975" y="3943"/>
                            <a:ext cx="3135" cy="750"/>
                          </a:xfrm>
                          <a:prstGeom prst="line">
                            <a:avLst/>
                          </a:prstGeom>
                          <a:noFill/>
                          <a:ln w="9525" cmpd="sng">
                            <a:solidFill>
                              <a:srgbClr val="000000"/>
                            </a:solidFill>
                            <a:prstDash val="dash"/>
                            <a:round/>
                            <a:tailEnd type="triangle" w="med" len="med"/>
                          </a:ln>
                        </wps:spPr>
                        <wps:bodyPr/>
                      </wps:wsp>
                      <wps:wsp>
                        <wps:cNvPr id="317" name="直线 371"/>
                        <wps:cNvCnPr>
                          <a:cxnSpLocks noChangeShapeType="1"/>
                        </wps:cNvCnPr>
                        <wps:spPr bwMode="auto">
                          <a:xfrm flipH="1" flipV="1">
                            <a:off x="5753" y="3958"/>
                            <a:ext cx="1755" cy="734"/>
                          </a:xfrm>
                          <a:prstGeom prst="line">
                            <a:avLst/>
                          </a:prstGeom>
                          <a:noFill/>
                          <a:ln w="9525" cmpd="sng">
                            <a:solidFill>
                              <a:srgbClr val="000000"/>
                            </a:solidFill>
                            <a:prstDash val="dash"/>
                            <a:round/>
                            <a:tailEnd type="triangle" w="med" len="med"/>
                          </a:ln>
                        </wps:spPr>
                        <wps:bodyPr/>
                      </wps:wsp>
                      <wps:wsp>
                        <wps:cNvPr id="318" name="直线 372"/>
                        <wps:cNvCnPr>
                          <a:cxnSpLocks noChangeShapeType="1"/>
                        </wps:cNvCnPr>
                        <wps:spPr bwMode="auto">
                          <a:xfrm flipH="1" flipV="1">
                            <a:off x="5454" y="3937"/>
                            <a:ext cx="617" cy="726"/>
                          </a:xfrm>
                          <a:prstGeom prst="line">
                            <a:avLst/>
                          </a:prstGeom>
                          <a:noFill/>
                          <a:ln w="9525" cmpd="sng">
                            <a:solidFill>
                              <a:srgbClr val="000000"/>
                            </a:solidFill>
                            <a:prstDash val="dash"/>
                            <a:round/>
                            <a:tailEnd type="triangle" w="med" len="med"/>
                          </a:ln>
                        </wps:spPr>
                        <wps:bodyPr/>
                      </wps:wsp>
                      <wps:wsp>
                        <wps:cNvPr id="319" name="直线 373"/>
                        <wps:cNvCnPr>
                          <a:cxnSpLocks noChangeShapeType="1"/>
                        </wps:cNvCnPr>
                        <wps:spPr bwMode="auto">
                          <a:xfrm flipH="1" flipV="1">
                            <a:off x="3023" y="3958"/>
                            <a:ext cx="1229" cy="720"/>
                          </a:xfrm>
                          <a:prstGeom prst="line">
                            <a:avLst/>
                          </a:prstGeom>
                          <a:noFill/>
                          <a:ln w="9525" cmpd="sng">
                            <a:solidFill>
                              <a:srgbClr val="000000"/>
                            </a:solidFill>
                            <a:prstDash val="dash"/>
                            <a:round/>
                            <a:tailEnd type="triangle" w="med" len="med"/>
                          </a:ln>
                        </wps:spPr>
                        <wps:bodyPr/>
                      </wps:wsp>
                      <wps:wsp>
                        <wps:cNvPr id="320" name="直线 374"/>
                        <wps:cNvCnPr>
                          <a:cxnSpLocks noChangeShapeType="1"/>
                        </wps:cNvCnPr>
                        <wps:spPr bwMode="auto">
                          <a:xfrm flipV="1">
                            <a:off x="2601" y="3943"/>
                            <a:ext cx="2702" cy="729"/>
                          </a:xfrm>
                          <a:prstGeom prst="line">
                            <a:avLst/>
                          </a:prstGeom>
                          <a:noFill/>
                          <a:ln w="9525" cmpd="sng">
                            <a:solidFill>
                              <a:srgbClr val="000000"/>
                            </a:solidFill>
                            <a:prstDash val="dash"/>
                            <a:round/>
                            <a:tailEnd type="triangle" w="med" len="med"/>
                          </a:ln>
                        </wps:spPr>
                        <wps:bodyPr/>
                      </wps:wsp>
                      <wps:wsp>
                        <wps:cNvPr id="321" name="直线 375"/>
                        <wps:cNvCnPr>
                          <a:cxnSpLocks noChangeShapeType="1"/>
                        </wps:cNvCnPr>
                        <wps:spPr bwMode="auto">
                          <a:xfrm>
                            <a:off x="2497" y="4985"/>
                            <a:ext cx="2386" cy="658"/>
                          </a:xfrm>
                          <a:prstGeom prst="line">
                            <a:avLst/>
                          </a:prstGeom>
                          <a:noFill/>
                          <a:ln w="9525" cmpd="sng">
                            <a:solidFill>
                              <a:srgbClr val="000000"/>
                            </a:solidFill>
                            <a:prstDash val="dash"/>
                            <a:round/>
                            <a:tailEnd type="triangle" w="med" len="med"/>
                          </a:ln>
                        </wps:spPr>
                        <wps:bodyPr/>
                      </wps:wsp>
                      <wps:wsp>
                        <wps:cNvPr id="322" name="直线 376"/>
                        <wps:cNvCnPr>
                          <a:cxnSpLocks noChangeShapeType="1"/>
                        </wps:cNvCnPr>
                        <wps:spPr bwMode="auto">
                          <a:xfrm>
                            <a:off x="3111" y="3103"/>
                            <a:ext cx="5400" cy="1"/>
                          </a:xfrm>
                          <a:prstGeom prst="line">
                            <a:avLst/>
                          </a:prstGeom>
                          <a:noFill/>
                          <a:ln w="9525" cmpd="sng">
                            <a:solidFill>
                              <a:srgbClr val="000000"/>
                            </a:solidFill>
                            <a:prstDash val="dash"/>
                            <a:round/>
                          </a:ln>
                        </wps:spPr>
                        <wps:bodyPr/>
                      </wps:wsp>
                      <wps:wsp>
                        <wps:cNvPr id="323" name="直线 377"/>
                        <wps:cNvCnPr>
                          <a:cxnSpLocks noChangeShapeType="1"/>
                        </wps:cNvCnPr>
                        <wps:spPr bwMode="auto">
                          <a:xfrm>
                            <a:off x="3096" y="3103"/>
                            <a:ext cx="2" cy="360"/>
                          </a:xfrm>
                          <a:prstGeom prst="line">
                            <a:avLst/>
                          </a:prstGeom>
                          <a:noFill/>
                          <a:ln w="9525" cmpd="sng">
                            <a:solidFill>
                              <a:srgbClr val="000000"/>
                            </a:solidFill>
                            <a:prstDash val="dash"/>
                            <a:round/>
                            <a:tailEnd type="triangle" w="med" len="med"/>
                          </a:ln>
                        </wps:spPr>
                        <wps:bodyPr/>
                      </wps:wsp>
                      <wps:wsp>
                        <wps:cNvPr id="324" name="直线 378"/>
                        <wps:cNvCnPr>
                          <a:cxnSpLocks noChangeShapeType="1"/>
                        </wps:cNvCnPr>
                        <wps:spPr bwMode="auto">
                          <a:xfrm flipV="1">
                            <a:off x="2679" y="3912"/>
                            <a:ext cx="43" cy="766"/>
                          </a:xfrm>
                          <a:prstGeom prst="line">
                            <a:avLst/>
                          </a:prstGeom>
                          <a:noFill/>
                          <a:ln w="9525" cmpd="sng">
                            <a:solidFill>
                              <a:srgbClr val="000000"/>
                            </a:solidFill>
                            <a:prstDash val="dash"/>
                            <a:round/>
                            <a:tailEnd type="triangle" w="med" len="med"/>
                          </a:ln>
                        </wps:spPr>
                        <wps:bodyPr/>
                      </wps:wsp>
                      <wps:wsp>
                        <wps:cNvPr id="325" name="直线 379"/>
                        <wps:cNvCnPr>
                          <a:cxnSpLocks noChangeShapeType="1"/>
                        </wps:cNvCnPr>
                        <wps:spPr bwMode="auto">
                          <a:xfrm flipH="1" flipV="1">
                            <a:off x="6098" y="3719"/>
                            <a:ext cx="1258" cy="3"/>
                          </a:xfrm>
                          <a:prstGeom prst="line">
                            <a:avLst/>
                          </a:prstGeom>
                          <a:noFill/>
                          <a:ln w="9525" cmpd="sng">
                            <a:solidFill>
                              <a:srgbClr val="000000"/>
                            </a:solidFill>
                            <a:prstDash val="dash"/>
                            <a:round/>
                            <a:tailEnd type="triangle" w="med" len="med"/>
                          </a:ln>
                        </wps:spPr>
                        <wps:bodyPr/>
                      </wps:wsp>
                      <wps:wsp>
                        <wps:cNvPr id="326" name="直线 380"/>
                        <wps:cNvCnPr>
                          <a:cxnSpLocks noChangeShapeType="1"/>
                        </wps:cNvCnPr>
                        <wps:spPr bwMode="auto">
                          <a:xfrm flipV="1">
                            <a:off x="4230" y="3924"/>
                            <a:ext cx="1200" cy="726"/>
                          </a:xfrm>
                          <a:prstGeom prst="line">
                            <a:avLst/>
                          </a:prstGeom>
                          <a:noFill/>
                          <a:ln w="9525" cmpd="sng">
                            <a:solidFill>
                              <a:srgbClr val="000000"/>
                            </a:solidFill>
                            <a:prstDash val="dash"/>
                            <a:round/>
                            <a:tailEnd type="triangle" w="med" len="med"/>
                          </a:ln>
                        </wps:spPr>
                        <wps:bodyPr/>
                      </wps:wsp>
                    </wpg:wgp>
                  </a:graphicData>
                </a:graphic>
              </wp:anchor>
            </w:drawing>
          </mc:Choice>
          <mc:Fallback>
            <w:pict>
              <v:group id="_x0000_s1026" o:spid="_x0000_s1026" o:spt="203" style="position:absolute;left:0pt;margin-left:27.1pt;margin-top:2.1pt;height:142.9pt;width:386.85pt;z-index:251660288;mso-width-relative:page;mso-height-relative:page;" coordorigin="2061,3103" coordsize="7737,2858" o:gfxdata="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jJurr9kAAAAIAQAA&#10;DwAAAAAAAAABACAAAAAiAAAAZHJzL2Rvd25yZXYueG1sUEsBAhQAFAAAAAgAh07iQDxIri7+BgAA&#10;nEEAAA4AAAAAAAAAAQAgAAAAKAEAAGRycy9lMm9Eb2MueG1sUEsFBgAAAAAGAAYAWQEAAJgKAAAA&#10;AA==&#10;">
                <o:lock v:ext="edit" aspectratio="f"/>
                <v:shape id="文本框 354" o:spid="_x0000_s1026" o:spt="202" type="#_x0000_t202" style="position:absolute;left:4116;top:5663;height:298;width:3420;" fillcolor="#FFFFFF" filled="t" stroked="t" coordsize="21600,21600" o:gfxdata="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VcC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建筑垃圾、生活垃圾、生活废水</w:t>
                        </w:r>
                      </w:p>
                      <w:p>
                        <w:pPr>
                          <w:ind w:firstLine="480"/>
                        </w:pPr>
                      </w:p>
                    </w:txbxContent>
                  </v:textbox>
                </v:shape>
                <v:shape id="文本框 355" o:spid="_x0000_s1026" o:spt="202" type="#_x0000_t202" style="position:absolute;left:3471;top:4678;height:312;width:1260;" fillcolor="#FFFFFF" filled="t" stroked="t" coordsize="21600,21600" o:gfxdata="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5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土方开挖</w:t>
                        </w:r>
                      </w:p>
                    </w:txbxContent>
                  </v:textbox>
                </v:shape>
                <v:shape id="文本框 356" o:spid="_x0000_s1026" o:spt="202" type="#_x0000_t202" style="position:absolute;left:5436;top:4672;height:298;width:1260;" fillcolor="#FFFFFF" filled="t" stroked="t" coordsize="21600,21600" o:gfxdata="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tn5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道路修筑</w:t>
                        </w:r>
                      </w:p>
                    </w:txbxContent>
                  </v:textbox>
                </v:shape>
                <v:shape id="文本框 357" o:spid="_x0000_s1026" o:spt="202" type="#_x0000_t202" style="position:absolute;left:7146;top:4687;height:298;width:1260;" fillcolor="#FFFFFF" filled="t" stroked="t" coordsize="21600,21600" o:gfxdata="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fCf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房屋建筑</w:t>
                        </w:r>
                      </w:p>
                    </w:txbxContent>
                  </v:textbox>
                </v:shape>
                <v:shape id="文本框 358" o:spid="_x0000_s1026" o:spt="202" type="#_x0000_t202" style="position:absolute;left:8856;top:4702;height:296;width:720;" fillcolor="#FFFFFF" filled="t" stroked="t" coordsize="21600,21600" o:gfxdata="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g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装修</w:t>
                        </w:r>
                      </w:p>
                    </w:txbxContent>
                  </v:textbox>
                </v:shape>
                <v:shape id="文本框 359" o:spid="_x0000_s1026" o:spt="202" type="#_x0000_t202" style="position:absolute;left:2061;top:4672;height:312;width:1080;" fillcolor="#FFFFFF" filled="t" stroked="t" coordsize="21600,21600" o:gfxdata="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L/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pPr>
                          <w:spacing w:line="240" w:lineRule="auto"/>
                          <w:ind w:firstLine="0" w:firstLineChars="0"/>
                          <w:jc w:val="center"/>
                        </w:pPr>
                        <w:r>
                          <w:rPr>
                            <w:rFonts w:hint="eastAsia"/>
                          </w:rPr>
                          <w:t>场地平整</w:t>
                        </w:r>
                      </w:p>
                    </w:txbxContent>
                  </v:textbox>
                </v:shape>
                <v:shape id="文本框 360" o:spid="_x0000_s1026" o:spt="202" type="#_x0000_t202" style="position:absolute;left:5109;top:3481;height:462;width:960;"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ind w:firstLine="0" w:firstLineChars="0"/>
                          <w:jc w:val="center"/>
                        </w:pPr>
                        <w:r>
                          <w:rPr>
                            <w:rFonts w:hint="eastAsia"/>
                          </w:rPr>
                          <w:t>噪声</w:t>
                        </w:r>
                      </w:p>
                    </w:txbxContent>
                  </v:textbox>
                </v:shape>
                <v:shape id="文本框 361" o:spid="_x0000_s1026" o:spt="202" type="#_x0000_t202" style="position:absolute;left:2556;top:3475;height:468;width:1080;" fillcolor="#FFFFFF" filled="t" stroked="t" coordsize="21600,21600" o:gfxdata="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PN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ind w:firstLine="0" w:firstLineChars="0"/>
                          <w:jc w:val="center"/>
                        </w:pPr>
                        <w:r>
                          <w:rPr>
                            <w:rFonts w:hint="eastAsia"/>
                          </w:rPr>
                          <w:t>扬尘</w:t>
                        </w:r>
                      </w:p>
                    </w:txbxContent>
                  </v:textbox>
                </v:shape>
                <v:shape id="文本框 362" o:spid="_x0000_s1026" o:spt="202" type="#_x0000_t202" style="position:absolute;left:7356;top:3481;height:468;width:2442;"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240" w:lineRule="auto"/>
                          <w:ind w:firstLine="0" w:firstLineChars="0"/>
                          <w:jc w:val="center"/>
                        </w:pPr>
                        <w:r>
                          <w:rPr>
                            <w:rFonts w:hint="eastAsia"/>
                          </w:rPr>
                          <w:t>建筑材料堆放、运输</w:t>
                        </w:r>
                      </w:p>
                    </w:txbxContent>
                  </v:textbox>
                </v:shape>
                <v:line id="直线 363" o:spid="_x0000_s1026" o:spt="20" style="position:absolute;left:5441;top:4968;flip:x;height:693;width:641;" filled="f" stroked="t" coordsize="21600,21600" o:gfxdata="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Cb6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364" o:spid="_x0000_s1026" o:spt="20" style="position:absolute;left:5888;top:4985;flip:x;height:659;width:1780;" filled="f" stroked="t" coordsize="21600,21600" o:gfxdata="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s2/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直线 365" o:spid="_x0000_s1026" o:spt="20" style="position:absolute;left:6458;top:5002;flip:x;height:644;width:2697;" filled="f" stroked="t" coordsize="21600,21600" o:gfxdata="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5N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6" o:spid="_x0000_s1026" o:spt="20" style="position:absolute;left:3458;top:3958;flip:x y;height:705;width:2579;" filled="f" stroked="t" coordsize="21600,21600" o:gfxdata="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F/V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7" o:spid="_x0000_s1026" o:spt="20" style="position:absolute;left:4170;top:5005;height:662;width:1082;" filled="f" stroked="t" coordsize="21600,21600" o:gfxdata="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Kd&#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368" o:spid="_x0000_s1026" o:spt="20" style="position:absolute;left:8511;top:3103;flip:y;height:371;width:2;" filled="f" stroked="t" coordsize="21600,21600" o:gfxdata="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oVx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线 369" o:spid="_x0000_s1026" o:spt="20" style="position:absolute;left:7944;top:3959;height:735;width:1;" filled="f" stroked="t" coordsize="21600,21600" o:gfxdata="UEsDBAoAAAAAAIdO4kAAAAAAAAAAAAAAAAAEAAAAZHJzL1BLAwQUAAAACACHTuJA3telEsAAAADc&#10;AAAADwAAAGRycy9kb3ducmV2LnhtbEWPT2vCQBTE74LfYXmCN91EaQ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16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0" o:spid="_x0000_s1026" o:spt="20" style="position:absolute;left:5975;top:3943;flip:x y;height:750;width:3135;" filled="f" stroked="t" coordsize="21600,21600" o:gfxdata="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31nW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1" o:spid="_x0000_s1026" o:spt="20" style="position:absolute;left:5753;top:3958;flip:x y;height:734;width:1755;" filled="f" stroked="t" coordsize="21600,21600" o:gfxdata="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x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2" o:spid="_x0000_s1026" o:spt="20" style="position:absolute;left:5454;top:3937;flip:x y;height:726;width:617;" filled="f" stroked="t" coordsize="21600,21600" o:gfxdata="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MaD+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直线 373" o:spid="_x0000_s1026" o:spt="20" style="position:absolute;left:3023;top:3958;flip:x y;height:720;width:1229;" filled="f" stroked="t" coordsize="21600,21600" o:gfxdata="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M2k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4" o:spid="_x0000_s1026" o:spt="20" style="position:absolute;left:2601;top:3943;flip:y;height:729;width:2702;" filled="f" stroked="t" coordsize="21600,21600" o:gfxdata="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yf8Q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线 375" o:spid="_x0000_s1026" o:spt="20" style="position:absolute;left:2497;top:4985;height:658;width:2386;" filled="f" stroked="t" coordsize="21600,21600" o:gfxdata="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ED&#10;z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6" o:spid="_x0000_s1026" o:spt="20" style="position:absolute;left:3111;top:3103;height:1;width:5400;" filled="f" stroked="t" coordsize="21600,21600" o:gfxdata="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89b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377" o:spid="_x0000_s1026" o:spt="20" style="position:absolute;left:3096;top:3103;height:360;width:2;" filled="f" stroked="t" coordsize="21600,21600" o:gfxdata="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4&#10;I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8" o:spid="_x0000_s1026" o:spt="20" style="position:absolute;left:2679;top:3912;flip:y;height:766;width:43;" filled="f" stroked="t" coordsize="21600,21600" o:gfxdata="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HPpA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379" o:spid="_x0000_s1026" o:spt="20" style="position:absolute;left:6098;top:3719;flip:x y;height:3;width:1258;" filled="f" stroked="t" coordsize="21600,21600" o:gfxdata="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Q0c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80" o:spid="_x0000_s1026" o:spt="20" style="position:absolute;left:4230;top:3924;flip:y;height:726;width:1200;" filled="f" stroked="t" coordsize="21600,21600" o:gfxdata="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sGs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group>
            </w:pict>
          </mc:Fallback>
        </mc:AlternateContent>
      </w:r>
    </w:p>
    <w:p>
      <w:pPr>
        <w:adjustRightInd w:val="0"/>
        <w:snapToGrid w:val="0"/>
        <w:spacing w:line="240" w:lineRule="auto"/>
        <w:ind w:firstLine="0" w:firstLineChars="0"/>
        <w:jc w:val="center"/>
        <w:rPr>
          <w:rFonts w:ascii="Times New Roman" w:hAnsi="Times New Roman" w:eastAsia="宋体"/>
          <w:b/>
          <w:bCs/>
          <w:color w:val="auto"/>
          <w:highlight w:val="none"/>
        </w:rPr>
      </w:pPr>
    </w:p>
    <w:p>
      <w:pPr>
        <w:adjustRightInd w:val="0"/>
        <w:snapToGrid w:val="0"/>
        <w:ind w:firstLine="482"/>
        <w:jc w:val="center"/>
        <w:rPr>
          <w:rFonts w:ascii="Times New Roman" w:hAnsi="Times New Roman" w:eastAsia="宋体"/>
          <w:b/>
          <w:bCs/>
          <w:color w:val="auto"/>
          <w:highlight w:val="none"/>
        </w:rPr>
      </w:pPr>
    </w:p>
    <w:p>
      <w:pPr>
        <w:adjustRightInd w:val="0"/>
        <w:snapToGrid w:val="0"/>
        <w:ind w:firstLine="482"/>
        <w:jc w:val="center"/>
        <w:rPr>
          <w:rFonts w:ascii="Times New Roman" w:hAnsi="Times New Roman" w:eastAsia="宋体"/>
          <w:b/>
          <w:bCs/>
          <w:color w:val="auto"/>
          <w:highlight w:val="none"/>
        </w:rPr>
      </w:pPr>
    </w:p>
    <w:p>
      <w:pPr>
        <w:adjustRightInd w:val="0"/>
        <w:snapToGrid w:val="0"/>
        <w:ind w:firstLine="482"/>
        <w:jc w:val="center"/>
        <w:rPr>
          <w:rFonts w:ascii="Times New Roman" w:hAnsi="Times New Roman" w:eastAsia="宋体"/>
          <w:b/>
          <w:bCs/>
          <w:color w:val="auto"/>
          <w:highlight w:val="none"/>
        </w:rPr>
      </w:pPr>
    </w:p>
    <w:p>
      <w:pPr>
        <w:adjustRightInd w:val="0"/>
        <w:snapToGrid w:val="0"/>
        <w:ind w:firstLine="482"/>
        <w:jc w:val="center"/>
        <w:rPr>
          <w:rFonts w:ascii="Times New Roman" w:hAnsi="Times New Roman" w:eastAsia="宋体"/>
          <w:b/>
          <w:bCs/>
          <w:color w:val="auto"/>
          <w:highlight w:val="none"/>
        </w:rPr>
      </w:pPr>
    </w:p>
    <w:p>
      <w:pPr>
        <w:adjustRightInd w:val="0"/>
        <w:snapToGrid w:val="0"/>
        <w:ind w:firstLine="482"/>
        <w:jc w:val="center"/>
        <w:rPr>
          <w:rFonts w:ascii="Times New Roman" w:hAnsi="Times New Roman" w:eastAsia="宋体"/>
          <w:b/>
          <w:bCs/>
          <w:color w:val="auto"/>
          <w:highlight w:val="none"/>
        </w:rPr>
      </w:pPr>
    </w:p>
    <w:p>
      <w:pPr>
        <w:spacing w:line="240" w:lineRule="auto"/>
        <w:ind w:firstLine="0" w:firstLineChars="0"/>
        <w:jc w:val="center"/>
        <w:rPr>
          <w:rFonts w:ascii="Times New Roman" w:hAnsi="Times New Roman" w:eastAsia="宋体"/>
          <w:color w:val="auto"/>
          <w:highlight w:val="none"/>
        </w:rPr>
      </w:pP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图3.2-1施工期工艺流程及产污环节图</w:t>
      </w:r>
    </w:p>
    <w:p>
      <w:pPr>
        <w:pStyle w:val="5"/>
        <w:rPr>
          <w:rFonts w:ascii="Times New Roman" w:hAnsi="Times New Roman" w:eastAsia="宋体"/>
          <w:color w:val="auto"/>
          <w:highlight w:val="none"/>
        </w:rPr>
      </w:pPr>
      <w:bookmarkStart w:id="110" w:name="_Toc106663469"/>
      <w:r>
        <w:rPr>
          <w:rFonts w:hint="eastAsia" w:ascii="Times New Roman" w:hAnsi="Times New Roman" w:eastAsia="宋体"/>
          <w:color w:val="auto"/>
          <w:highlight w:val="none"/>
        </w:rPr>
        <w:t>3.2.2运营期工艺流程及产污节点</w:t>
      </w:r>
      <w:bookmarkEnd w:id="110"/>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3.2.2.1养殖工艺流程及产污环节图</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、养殖工艺</w:t>
      </w:r>
    </w:p>
    <w:p>
      <w:pPr>
        <w:keepNext w:val="0"/>
        <w:keepLines w:val="0"/>
        <w:pageBreakBefore w:val="0"/>
        <w:widowControl w:val="0"/>
        <w:kinsoku/>
        <w:wordWrap/>
        <w:overflowPunct/>
        <w:topLinePunct w:val="0"/>
        <w:autoSpaceDE/>
        <w:autoSpaceDN/>
        <w:bidi w:val="0"/>
        <w:adjustRightInd/>
        <w:snapToGrid/>
        <w:spacing w:line="480" w:lineRule="exact"/>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选用规模化的养殖工艺和技术，采用全封闭式管理，鸡舍设置自动通风降温系统、喂料系统、供水系统、电控及电力系统等，鸡舍内温度、湿度、换气、饮水、上料全部采用自动化，鸡舍鸡粪采用自动清粪系统自动清理；项目养殖饲料外购成品饲料，不建设饲料加工车间。同时，在饲养区进口设有消毒设施，进场人员先进入消毒间消毒后再进入饲养区，饲养区设有围墙，隔绝与外界往来，内设清洁道和污道。清洁道为运输饲料人员的流动路线，污道专用于运出粪便及废弃物的流动路线。此外，养殖办公区还设置专职兽医，负责防疫、治疗、检疫等工作。</w:t>
      </w:r>
    </w:p>
    <w:p>
      <w:pPr>
        <w:keepNext w:val="0"/>
        <w:keepLines w:val="0"/>
        <w:pageBreakBefore w:val="0"/>
        <w:widowControl w:val="0"/>
        <w:tabs>
          <w:tab w:val="left" w:pos="165"/>
        </w:tabs>
        <w:kinsoku/>
        <w:wordWrap/>
        <w:overflowPunct/>
        <w:topLinePunct w:val="0"/>
        <w:autoSpaceDE/>
        <w:autoSpaceDN/>
        <w:bidi w:val="0"/>
        <w:adjustRightInd/>
        <w:snapToGrid/>
        <w:spacing w:line="480" w:lineRule="exact"/>
        <w:ind w:left="0" w:right="0" w:firstLine="484"/>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从专业孵化公司购进良种雏鸡在育雏育成舍内进行笼养，所引进的蛋鸡苗具有体质健壮，抗病力强，觅食力强，蛋质好，产蛋率高等特点。雏鸡育成期采用全密闭遮黑式鸡舍，人工控制光照，饲养过程中根据周龄将鸡群分为育雏区和育成区饲养，有利于人工控制体重和均匀度；根据免疫程序在育雏育成期通过加药器有计划的为鸡群添加抗生素和营养药物，保证了鸡群的健康生长。同时为了使小鸡舍保持平均</w:t>
      </w:r>
      <w:r>
        <w:rPr>
          <w:rFonts w:ascii="Times New Roman" w:hAnsi="Times New Roman" w:eastAsia="宋体" w:cs="Times New Roman"/>
          <w:color w:val="auto"/>
          <w:spacing w:val="0"/>
          <w:position w:val="0"/>
          <w:sz w:val="24"/>
          <w:szCs w:val="24"/>
          <w:highlight w:val="none"/>
        </w:rPr>
        <w:t>37-38</w:t>
      </w:r>
      <w:r>
        <w:rPr>
          <w:rFonts w:ascii="Times New Roman" w:hAnsi="Times New Roman" w:eastAsia="宋体" w:cs="宋体"/>
          <w:color w:val="auto"/>
          <w:spacing w:val="0"/>
          <w:position w:val="0"/>
          <w:sz w:val="24"/>
          <w:szCs w:val="24"/>
          <w:highlight w:val="none"/>
        </w:rPr>
        <w:t>℃左右的室温，采用电采暖为其供暖，引进的蛋鸡苗为同一日龄，平均重量</w:t>
      </w:r>
      <w:r>
        <w:rPr>
          <w:rFonts w:ascii="Times New Roman" w:hAnsi="Times New Roman" w:eastAsia="宋体" w:cs="Times New Roman"/>
          <w:color w:val="auto"/>
          <w:spacing w:val="0"/>
          <w:position w:val="0"/>
          <w:sz w:val="24"/>
          <w:szCs w:val="24"/>
          <w:highlight w:val="none"/>
        </w:rPr>
        <w:t>50</w:t>
      </w:r>
      <w:r>
        <w:rPr>
          <w:rFonts w:ascii="Times New Roman" w:hAnsi="Times New Roman" w:eastAsia="宋体" w:cs="宋体"/>
          <w:color w:val="auto"/>
          <w:spacing w:val="0"/>
          <w:position w:val="0"/>
          <w:sz w:val="24"/>
          <w:szCs w:val="24"/>
          <w:highlight w:val="none"/>
        </w:rPr>
        <w:t>克</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只，</w:t>
      </w:r>
      <w:r>
        <w:rPr>
          <w:rFonts w:ascii="Times New Roman" w:hAnsi="Times New Roman" w:eastAsia="宋体" w:cs="Times New Roman"/>
          <w:color w:val="auto"/>
          <w:spacing w:val="0"/>
          <w:position w:val="0"/>
          <w:sz w:val="24"/>
          <w:szCs w:val="24"/>
          <w:highlight w:val="none"/>
        </w:rPr>
        <w:t>0-6</w:t>
      </w:r>
      <w:r>
        <w:rPr>
          <w:rFonts w:ascii="Times New Roman" w:hAnsi="Times New Roman" w:eastAsia="宋体" w:cs="宋体"/>
          <w:color w:val="auto"/>
          <w:spacing w:val="0"/>
          <w:position w:val="0"/>
          <w:sz w:val="24"/>
          <w:szCs w:val="24"/>
          <w:highlight w:val="none"/>
        </w:rPr>
        <w:t>周</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42</w:t>
      </w:r>
      <w:r>
        <w:rPr>
          <w:rFonts w:ascii="Times New Roman" w:hAnsi="Times New Roman" w:eastAsia="宋体" w:cs="宋体"/>
          <w:color w:val="auto"/>
          <w:spacing w:val="0"/>
          <w:position w:val="0"/>
          <w:sz w:val="24"/>
          <w:szCs w:val="24"/>
          <w:highlight w:val="none"/>
        </w:rPr>
        <w:t>天</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在育雏舍进行养殖，</w:t>
      </w:r>
      <w:r>
        <w:rPr>
          <w:rFonts w:ascii="Times New Roman" w:hAnsi="Times New Roman" w:eastAsia="宋体" w:cs="Times New Roman"/>
          <w:color w:val="auto"/>
          <w:spacing w:val="0"/>
          <w:position w:val="0"/>
          <w:sz w:val="24"/>
          <w:szCs w:val="24"/>
          <w:highlight w:val="none"/>
        </w:rPr>
        <w:t>7</w:t>
      </w:r>
      <w:r>
        <w:rPr>
          <w:rFonts w:ascii="Times New Roman" w:hAnsi="Times New Roman" w:eastAsia="宋体" w:cs="宋体"/>
          <w:color w:val="auto"/>
          <w:spacing w:val="0"/>
          <w:position w:val="0"/>
          <w:sz w:val="24"/>
          <w:szCs w:val="24"/>
          <w:highlight w:val="none"/>
        </w:rPr>
        <w:t>周</w:t>
      </w:r>
      <w:r>
        <w:rPr>
          <w:rFonts w:ascii="Times New Roman" w:hAnsi="Times New Roman" w:eastAsia="宋体" w:cs="Times New Roman"/>
          <w:color w:val="auto"/>
          <w:spacing w:val="0"/>
          <w:position w:val="0"/>
          <w:sz w:val="24"/>
          <w:szCs w:val="24"/>
          <w:highlight w:val="none"/>
        </w:rPr>
        <w:t>-16</w:t>
      </w:r>
      <w:r>
        <w:rPr>
          <w:rFonts w:ascii="Times New Roman" w:hAnsi="Times New Roman" w:eastAsia="宋体" w:cs="宋体"/>
          <w:color w:val="auto"/>
          <w:spacing w:val="0"/>
          <w:position w:val="0"/>
          <w:sz w:val="24"/>
          <w:szCs w:val="24"/>
          <w:highlight w:val="none"/>
        </w:rPr>
        <w:t>周</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70</w:t>
      </w:r>
      <w:r>
        <w:rPr>
          <w:rFonts w:ascii="Times New Roman" w:hAnsi="Times New Roman" w:eastAsia="宋体" w:cs="宋体"/>
          <w:color w:val="auto"/>
          <w:spacing w:val="0"/>
          <w:position w:val="0"/>
          <w:sz w:val="24"/>
          <w:szCs w:val="24"/>
          <w:highlight w:val="none"/>
        </w:rPr>
        <w:t>天</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转至育成舍进行养殖，饲养</w:t>
      </w:r>
      <w:r>
        <w:rPr>
          <w:rFonts w:ascii="Times New Roman" w:hAnsi="Times New Roman" w:eastAsia="宋体" w:cs="Times New Roman"/>
          <w:color w:val="auto"/>
          <w:spacing w:val="0"/>
          <w:position w:val="0"/>
          <w:sz w:val="24"/>
          <w:szCs w:val="24"/>
          <w:highlight w:val="none"/>
        </w:rPr>
        <w:t>16</w:t>
      </w:r>
      <w:r>
        <w:rPr>
          <w:rFonts w:ascii="Times New Roman" w:hAnsi="Times New Roman" w:eastAsia="宋体" w:cs="宋体"/>
          <w:color w:val="auto"/>
          <w:spacing w:val="0"/>
          <w:position w:val="0"/>
          <w:sz w:val="24"/>
          <w:szCs w:val="24"/>
          <w:highlight w:val="none"/>
        </w:rPr>
        <w:t>周左右外售给头工乡蛋鸡产业园。</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喂料和饮水方式：饲料均购买成品饲料，使用链条式自动喂料机将饲料推送到鸡舍内。喂料采用自动喂料行车，保证料槽内一直有饲料。鸡饮水采用乳头式饮水器，既保持一直供水，又不使水受到污染和洒泼。</w:t>
      </w:r>
    </w:p>
    <w:p>
      <w:pPr>
        <w:keepNext w:val="0"/>
        <w:keepLines w:val="0"/>
        <w:pageBreakBefore w:val="0"/>
        <w:widowControl w:val="0"/>
        <w:kinsoku/>
        <w:wordWrap/>
        <w:overflowPunct/>
        <w:topLinePunct w:val="0"/>
        <w:autoSpaceDE/>
        <w:autoSpaceDN/>
        <w:bidi w:val="0"/>
        <w:adjustRightInd/>
        <w:snapToGrid/>
        <w:spacing w:line="480" w:lineRule="exact"/>
        <w:ind w:left="0" w:right="0" w:firstLine="47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清粪方式：项目采用干清粪工艺，每栋鸡舍均配套自动清粪系统，每排鸡舍下设有传送带，每排鸡的粪便全部落在传送带上。鸡粪日产日清，传送带每天运行一次。传送带运行时鸡粪由刮粪板自动刮入运粪车辆，定期外售作有机肥。</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鸡舍消毒、清洗：养殖场每月进行一次全场大消毒；此外，在育雏、育成结束后外售给头工乡蛋鸡产业园，对育雏、育成舍要进行彻底清扫，并使用高压水枪对地面、鸡笼进行清洗，然后对育雏育成舍地面、墙壁、鸡笼等进行消毒，空置一段时间后再重新接纳新一批鸡苗。</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hint="default" w:ascii="Times New Roman" w:hAnsi="Times New Roman" w:eastAsia="宋体" w:cs="宋体"/>
          <w:color w:val="auto"/>
          <w:spacing w:val="0"/>
          <w:position w:val="0"/>
          <w:sz w:val="24"/>
          <w:szCs w:val="24"/>
          <w:highlight w:val="none"/>
          <w:lang w:val="en-US" w:eastAsia="zh-CN"/>
        </w:rPr>
      </w:pPr>
      <w:r>
        <w:rPr>
          <w:rFonts w:ascii="Times New Roman" w:hAnsi="Times New Roman" w:eastAsia="宋体" w:cs="宋体"/>
          <w:color w:val="auto"/>
          <w:spacing w:val="0"/>
          <w:position w:val="0"/>
          <w:sz w:val="24"/>
          <w:szCs w:val="24"/>
          <w:highlight w:val="none"/>
        </w:rPr>
        <w:t>在育雏育成舍养殖过程中，会产生恶臭</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、鸡粪</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S1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等污染物，另外育雏育成舍每次冲洗鸡舍时，会产生冲洗废水</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W1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，产生的冲洗废水排入到污水处理站内。同时，在育雏育成舍养殖的过程中，将会出现病死鸡</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S2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。根据建设单位提供资料，项目从雏鸡</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蛋鸡直至淘汰的养殖周期内，病死率约为年存栏量的</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val="en-US" w:eastAsia="zh-CN"/>
        </w:rPr>
        <w:t>工艺流程及产污节点见图3.2-2。</w:t>
      </w:r>
    </w:p>
    <w:p>
      <w:pPr>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b/>
          <w:bCs/>
          <w:color w:val="auto"/>
          <w:highlight w:val="none"/>
        </w:rPr>
        <w:t>图3.2-</w:t>
      </w:r>
      <w:r>
        <w:rPr>
          <w:rFonts w:hint="eastAsia"/>
          <w:b/>
          <w:bCs/>
          <w:color w:val="auto"/>
          <w:highlight w:val="none"/>
          <w:lang w:val="en-US" w:eastAsia="zh-CN"/>
        </w:rPr>
        <w:t>2运营期</w:t>
      </w:r>
      <w:r>
        <w:rPr>
          <w:rFonts w:hint="eastAsia" w:ascii="Times New Roman" w:hAnsi="Times New Roman" w:eastAsia="宋体"/>
          <w:b/>
          <w:bCs/>
          <w:color w:val="auto"/>
          <w:highlight w:val="none"/>
        </w:rPr>
        <w:t>工艺流程及产污环节图</w:t>
      </w:r>
      <w:r>
        <w:rPr>
          <w:rFonts w:hint="eastAsia" w:ascii="Times New Roman" w:hAnsi="Times New Roman" w:eastAsia="宋体" w:cs="Times New Roman"/>
          <w:color w:val="auto"/>
          <w:spacing w:val="0"/>
          <w:position w:val="0"/>
          <w:sz w:val="24"/>
          <w:szCs w:val="24"/>
          <w:highlight w:val="none"/>
          <w:lang w:eastAsia="zh-CN"/>
        </w:rPr>
        <w:drawing>
          <wp:anchor distT="0" distB="0" distL="114300" distR="114300" simplePos="0" relativeHeight="251745280" behindDoc="0" locked="0" layoutInCell="1" allowOverlap="1">
            <wp:simplePos x="0" y="0"/>
            <wp:positionH relativeFrom="column">
              <wp:posOffset>85725</wp:posOffset>
            </wp:positionH>
            <wp:positionV relativeFrom="paragraph">
              <wp:posOffset>66675</wp:posOffset>
            </wp:positionV>
            <wp:extent cx="5269865" cy="4296410"/>
            <wp:effectExtent l="0" t="0" r="6985" b="8890"/>
            <wp:wrapTopAndBottom/>
            <wp:docPr id="34" name="图片 34" descr="9c4a5e39d1fc5b6c1d92e9afaae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c4a5e39d1fc5b6c1d92e9afaae1519"/>
                    <pic:cNvPicPr>
                      <a:picLocks noChangeAspect="1"/>
                    </pic:cNvPicPr>
                  </pic:nvPicPr>
                  <pic:blipFill>
                    <a:blip r:embed="rId36"/>
                    <a:stretch>
                      <a:fillRect/>
                    </a:stretch>
                  </pic:blipFill>
                  <pic:spPr>
                    <a:xfrm>
                      <a:off x="0" y="0"/>
                      <a:ext cx="5269865" cy="42964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2</w:t>
      </w:r>
      <w:r>
        <w:rPr>
          <w:rFonts w:ascii="Times New Roman" w:hAnsi="Times New Roman" w:eastAsia="宋体" w:cs="宋体"/>
          <w:color w:val="auto"/>
          <w:spacing w:val="0"/>
          <w:position w:val="0"/>
          <w:sz w:val="24"/>
          <w:szCs w:val="24"/>
          <w:highlight w:val="none"/>
        </w:rPr>
        <w:t>、鸡粪的处理</w:t>
      </w:r>
    </w:p>
    <w:p>
      <w:pPr>
        <w:keepNext w:val="0"/>
        <w:keepLines w:val="0"/>
        <w:pageBreakBefore w:val="0"/>
        <w:widowControl w:val="0"/>
        <w:kinsoku/>
        <w:wordWrap/>
        <w:overflowPunct/>
        <w:topLinePunct w:val="0"/>
        <w:autoSpaceDE/>
        <w:autoSpaceDN/>
        <w:bidi w:val="0"/>
        <w:adjustRightInd/>
        <w:snapToGrid/>
        <w:spacing w:line="480" w:lineRule="exact"/>
        <w:ind w:left="0" w:right="0" w:firstLine="45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该养殖场饲养过程产生的鸡粪采用自动清粪系统清理</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3</w:t>
      </w:r>
      <w:r>
        <w:rPr>
          <w:rFonts w:ascii="Times New Roman" w:hAnsi="Times New Roman" w:eastAsia="宋体" w:cs="宋体"/>
          <w:color w:val="auto"/>
          <w:spacing w:val="0"/>
          <w:position w:val="0"/>
          <w:sz w:val="24"/>
          <w:szCs w:val="24"/>
          <w:highlight w:val="none"/>
        </w:rPr>
        <w:t>、废水的处理</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生活污水直接排入下水管网，最终进入玛纳斯县城污水处理厂；鸡舍冲洗废水排入鸡舍冲洗废水排入</w:t>
      </w:r>
      <w:r>
        <w:rPr>
          <w:rFonts w:hint="eastAsia" w:ascii="Times New Roman" w:hAnsi="Times New Roman" w:eastAsia="宋体" w:cs="宋体"/>
          <w:color w:val="auto"/>
          <w:spacing w:val="0"/>
          <w:position w:val="0"/>
          <w:sz w:val="24"/>
          <w:szCs w:val="24"/>
          <w:highlight w:val="none"/>
          <w:lang w:val="en-US" w:eastAsia="zh-CN"/>
        </w:rPr>
        <w:t>废水收集池（150m</w:t>
      </w:r>
      <w:r>
        <w:rPr>
          <w:rFonts w:hint="eastAsia" w:ascii="Times New Roman" w:hAnsi="Times New Roman" w:eastAsia="宋体" w:cs="宋体"/>
          <w:color w:val="auto"/>
          <w:spacing w:val="0"/>
          <w:position w:val="0"/>
          <w:sz w:val="24"/>
          <w:szCs w:val="24"/>
          <w:highlight w:val="none"/>
          <w:vertAlign w:val="superscript"/>
          <w:lang w:val="en-US" w:eastAsia="zh-CN"/>
        </w:rPr>
        <w:t>3</w:t>
      </w:r>
      <w:r>
        <w:rPr>
          <w:rFonts w:hint="eastAsia" w:ascii="Times New Roman" w:hAnsi="Times New Roman" w:eastAsia="宋体" w:cs="宋体"/>
          <w:color w:val="auto"/>
          <w:spacing w:val="0"/>
          <w:position w:val="0"/>
          <w:sz w:val="24"/>
          <w:szCs w:val="24"/>
          <w:highlight w:val="none"/>
          <w:lang w:val="en-US" w:eastAsia="zh-CN"/>
        </w:rPr>
        <w:t>）经过预处理后用作农肥。</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、病死鸡的处理</w:t>
      </w:r>
    </w:p>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根据《病死及病害动物无害化处理技术规范》</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农医发</w:t>
      </w:r>
      <w:r>
        <w:rPr>
          <w:rFonts w:ascii="Times New Roman" w:hAnsi="Times New Roman" w:eastAsia="宋体" w:cs="Times New Roman"/>
          <w:color w:val="auto"/>
          <w:spacing w:val="0"/>
          <w:position w:val="0"/>
          <w:sz w:val="24"/>
          <w:szCs w:val="24"/>
          <w:highlight w:val="none"/>
        </w:rPr>
        <w:t>[2017]25</w:t>
      </w:r>
      <w:r>
        <w:rPr>
          <w:rFonts w:ascii="Times New Roman" w:hAnsi="Times New Roman" w:eastAsia="宋体" w:cs="宋体"/>
          <w:color w:val="auto"/>
          <w:spacing w:val="0"/>
          <w:position w:val="0"/>
          <w:sz w:val="24"/>
          <w:szCs w:val="24"/>
          <w:highlight w:val="none"/>
        </w:rPr>
        <w:t>号</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畜禽无害化处理，是指用物理、化学等方法处理病死及病害动物和相关动物产品，消灭其所携带的病原体，消除危害的过程。主要有焚烧法、化制法、高温法、深埋法、硫酸分解法等，本项目拟采用深埋法处理病死鸡尸体。</w:t>
      </w:r>
    </w:p>
    <w:p>
      <w:pPr>
        <w:keepNext w:val="0"/>
        <w:keepLines w:val="0"/>
        <w:pageBreakBefore w:val="0"/>
        <w:widowControl w:val="0"/>
        <w:kinsoku/>
        <w:wordWrap/>
        <w:overflowPunct/>
        <w:topLinePunct w:val="0"/>
        <w:autoSpaceDE/>
        <w:autoSpaceDN/>
        <w:bidi w:val="0"/>
        <w:adjustRightInd/>
        <w:snapToGrid/>
        <w:spacing w:line="480" w:lineRule="exact"/>
        <w:ind w:left="0" w:right="0" w:firstLine="46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本项目深埋井仅限处理本项目产生的病死鸡，不得处理外单位病死牲畜尸体。当发生区域性疫情时应按照当地政府和主管部门的要求进行处理，不得在厂内私自处理病死尸。</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position w:val="0"/>
          <w:sz w:val="24"/>
          <w:highlight w:val="none"/>
        </w:rPr>
      </w:pPr>
      <w:r>
        <w:rPr>
          <w:rFonts w:ascii="Times New Roman" w:hAnsi="Times New Roman" w:eastAsia="宋体" w:cs="宋体"/>
          <w:color w:val="auto"/>
          <w:spacing w:val="0"/>
          <w:position w:val="0"/>
          <w:sz w:val="24"/>
          <w:szCs w:val="24"/>
          <w:highlight w:val="none"/>
        </w:rPr>
        <w:t>根据《畜禽养殖业污染防治技术规范》要求，养殖场应设置安全填埋井，用于处置饲养过程中因疾病等原因死亡而产生的死尸。在项目区东北角设置</w:t>
      </w:r>
      <w:r>
        <w:rPr>
          <w:rFonts w:hint="eastAsia" w:cs="Times New Roman"/>
          <w:color w:val="auto"/>
          <w:spacing w:val="0"/>
          <w:position w:val="0"/>
          <w:sz w:val="24"/>
          <w:szCs w:val="24"/>
          <w:highlight w:val="none"/>
          <w:lang w:eastAsia="zh-CN"/>
        </w:rPr>
        <w:t>9口</w:t>
      </w:r>
      <w:r>
        <w:rPr>
          <w:rFonts w:ascii="Times New Roman" w:hAnsi="Times New Roman" w:eastAsia="宋体" w:cs="宋体"/>
          <w:color w:val="auto"/>
          <w:spacing w:val="0"/>
          <w:position w:val="0"/>
          <w:sz w:val="24"/>
          <w:szCs w:val="24"/>
          <w:highlight w:val="none"/>
        </w:rPr>
        <w:t>安全填埋井，填埋井应为混凝土结构，做好防渗工作，深度大于</w:t>
      </w:r>
      <w:r>
        <w:rPr>
          <w:rFonts w:ascii="Times New Roman" w:hAnsi="Times New Roman" w:eastAsia="宋体" w:cs="Times New Roman"/>
          <w:color w:val="auto"/>
          <w:spacing w:val="0"/>
          <w:position w:val="0"/>
          <w:sz w:val="24"/>
          <w:szCs w:val="24"/>
          <w:highlight w:val="none"/>
        </w:rPr>
        <w:t>3m</w:t>
      </w:r>
      <w:r>
        <w:rPr>
          <w:rFonts w:ascii="Times New Roman" w:hAnsi="Times New Roman" w:eastAsia="宋体" w:cs="宋体"/>
          <w:color w:val="auto"/>
          <w:spacing w:val="0"/>
          <w:position w:val="0"/>
          <w:sz w:val="24"/>
          <w:szCs w:val="24"/>
          <w:highlight w:val="none"/>
        </w:rPr>
        <w:t>、直径</w:t>
      </w:r>
      <w:r>
        <w:rPr>
          <w:rFonts w:ascii="Times New Roman" w:hAnsi="Times New Roman" w:eastAsia="宋体" w:cs="Times New Roman"/>
          <w:color w:val="auto"/>
          <w:spacing w:val="0"/>
          <w:position w:val="0"/>
          <w:sz w:val="24"/>
          <w:szCs w:val="24"/>
          <w:highlight w:val="none"/>
        </w:rPr>
        <w:t>1m</w:t>
      </w:r>
      <w:r>
        <w:rPr>
          <w:rFonts w:ascii="Times New Roman" w:hAnsi="Times New Roman" w:eastAsia="宋体" w:cs="宋体"/>
          <w:color w:val="auto"/>
          <w:spacing w:val="0"/>
          <w:position w:val="0"/>
          <w:sz w:val="24"/>
          <w:szCs w:val="24"/>
          <w:highlight w:val="none"/>
        </w:rPr>
        <w:t>以上，井口加盖密封。进行填埋时，在每次投入死尸后，应覆盖一层厚度大于</w:t>
      </w:r>
      <w:r>
        <w:rPr>
          <w:rFonts w:ascii="Times New Roman" w:hAnsi="Times New Roman" w:eastAsia="宋体" w:cs="Times New Roman"/>
          <w:color w:val="auto"/>
          <w:spacing w:val="0"/>
          <w:position w:val="0"/>
          <w:sz w:val="24"/>
          <w:szCs w:val="24"/>
          <w:highlight w:val="none"/>
        </w:rPr>
        <w:t>10cm</w:t>
      </w:r>
      <w:r>
        <w:rPr>
          <w:rFonts w:ascii="Times New Roman" w:hAnsi="Times New Roman" w:eastAsia="宋体" w:cs="宋体"/>
          <w:color w:val="auto"/>
          <w:spacing w:val="0"/>
          <w:position w:val="0"/>
          <w:sz w:val="24"/>
          <w:szCs w:val="24"/>
          <w:highlight w:val="none"/>
        </w:rPr>
        <w:t>的熟石灰。井填满后，须用粘土填埋压实并封口。</w:t>
      </w:r>
    </w:p>
    <w:p>
      <w:pPr>
        <w:pStyle w:val="6"/>
        <w:ind w:firstLine="48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3.2.2.2</w:t>
      </w:r>
      <w:r>
        <w:rPr>
          <w:rFonts w:hint="eastAsia" w:ascii="Times New Roman" w:hAnsi="Times New Roman" w:eastAsia="宋体"/>
          <w:color w:val="auto"/>
          <w:highlight w:val="none"/>
          <w:lang w:val="en-US" w:eastAsia="zh-CN"/>
        </w:rPr>
        <w:t>产物节点分析</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废气：鸡舍养殖恶臭，</w:t>
      </w:r>
      <w:r>
        <w:rPr>
          <w:rFonts w:hint="eastAsia"/>
          <w:color w:val="auto"/>
          <w:highlight w:val="none"/>
          <w:lang w:eastAsia="zh-CN"/>
        </w:rPr>
        <w:t>废水收集池</w:t>
      </w:r>
      <w:r>
        <w:rPr>
          <w:rFonts w:ascii="Times New Roman" w:hAnsi="Times New Roman" w:eastAsia="宋体"/>
          <w:color w:val="auto"/>
          <w:highlight w:val="none"/>
        </w:rPr>
        <w:t>恶臭；</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废水：鸡舍冲洗废水、职工生活污水；</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噪声：鸡叫声、设备噪声；</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固体废物：鸡粪及散落羽毛，病死鸡，废弃包装物、生活垃圾、医疗废物。</w:t>
      </w:r>
    </w:p>
    <w:p>
      <w:pPr>
        <w:pStyle w:val="4"/>
        <w:rPr>
          <w:rFonts w:ascii="Times New Roman" w:hAnsi="Times New Roman" w:eastAsia="宋体"/>
          <w:color w:val="auto"/>
          <w:highlight w:val="none"/>
        </w:rPr>
      </w:pPr>
      <w:bookmarkStart w:id="111" w:name="_Toc30834"/>
      <w:bookmarkStart w:id="112" w:name="_Toc414533970"/>
      <w:bookmarkStart w:id="113" w:name="_Toc428807952"/>
      <w:bookmarkStart w:id="114" w:name="_Toc394331577"/>
      <w:bookmarkStart w:id="115" w:name="_Toc17579"/>
      <w:bookmarkStart w:id="116" w:name="_Toc89619335"/>
      <w:bookmarkStart w:id="117" w:name="_Toc106663470"/>
      <w:r>
        <w:rPr>
          <w:rFonts w:ascii="Times New Roman" w:hAnsi="Times New Roman" w:eastAsia="宋体"/>
          <w:color w:val="auto"/>
          <w:highlight w:val="none"/>
        </w:rPr>
        <w:t>3.</w:t>
      </w:r>
      <w:bookmarkEnd w:id="111"/>
      <w:bookmarkEnd w:id="112"/>
      <w:bookmarkEnd w:id="113"/>
      <w:bookmarkEnd w:id="114"/>
      <w:r>
        <w:rPr>
          <w:rFonts w:hint="eastAsia" w:ascii="Times New Roman" w:hAnsi="Times New Roman" w:eastAsia="宋体"/>
          <w:color w:val="auto"/>
          <w:highlight w:val="none"/>
        </w:rPr>
        <w:t>3污染源源强分析</w:t>
      </w:r>
      <w:bookmarkEnd w:id="115"/>
      <w:bookmarkEnd w:id="116"/>
      <w:bookmarkEnd w:id="117"/>
    </w:p>
    <w:p>
      <w:pPr>
        <w:pStyle w:val="5"/>
        <w:rPr>
          <w:rFonts w:ascii="Times New Roman" w:hAnsi="Times New Roman" w:eastAsia="宋体"/>
          <w:color w:val="auto"/>
          <w:highlight w:val="none"/>
        </w:rPr>
      </w:pPr>
      <w:bookmarkStart w:id="118" w:name="_Toc106663471"/>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.1施工期</w:t>
      </w:r>
      <w:r>
        <w:rPr>
          <w:rFonts w:hint="eastAsia" w:ascii="Times New Roman" w:hAnsi="Times New Roman" w:eastAsia="宋体"/>
          <w:color w:val="auto"/>
          <w:highlight w:val="none"/>
        </w:rPr>
        <w:t>污染源强</w:t>
      </w:r>
      <w:r>
        <w:rPr>
          <w:rFonts w:ascii="Times New Roman" w:hAnsi="Times New Roman" w:eastAsia="宋体"/>
          <w:color w:val="auto"/>
          <w:highlight w:val="none"/>
        </w:rPr>
        <w:t>分析</w:t>
      </w:r>
      <w:bookmarkEnd w:id="118"/>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3.3.1.1施工期大气污染源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施工期间影响环境空气质量的主要污染物是施工扬尘、运送施工材料、设施的车辆，施工机械运行时排产生的废气。</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（1）施工扬尘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体工程、辅助工程、公用工程基础施工、环保工程等的土建挖取土（石）、推土、场地平整、施工沙石材料等的装卸、运输过程中有扬尘产生，另外土石方的临时堆放过程中也将有扬尘产生。扬尘产生的大小与施工管理、气象（特别是风速）条件等密切相关，也与扬尘本身沉降速度有关。</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①土石方施工及堆放扬尘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间静态起尘主要是土石方施工及堆放过程中土方开挖、回填过程中产生的扬尘以及临时土石方、建筑垃圾等堆放过程中因风力作用引起的扬尘，另外，在施工时地表清理、施工后临时土石方、弃方清理后将造成地表裸露，在风力作用下，亦可产生扬尘。由前述可知，此类扬尘产生量与气象风速、扬尘沉降速度有关，不同粒径扬尘的沉降速度见表3.3-1</w:t>
      </w:r>
      <w:r>
        <w:rPr>
          <w:rFonts w:ascii="Times New Roman" w:hAnsi="Times New Roman" w:eastAsia="宋体"/>
          <w:color w:val="auto"/>
          <w:highlight w:val="none"/>
        </w:rPr>
        <w:t>。</w:t>
      </w:r>
    </w:p>
    <w:p>
      <w:pPr>
        <w:pStyle w:val="10"/>
        <w:keepNext w:val="0"/>
        <w:keepLines w:val="0"/>
        <w:pageBreakBefore w:val="0"/>
        <w:widowControl w:val="0"/>
        <w:kinsoku/>
        <w:wordWrap/>
        <w:overflowPunct/>
        <w:topLinePunct w:val="0"/>
        <w:autoSpaceDE/>
        <w:autoSpaceDN/>
        <w:bidi w:val="0"/>
        <w:adjustRightInd/>
        <w:snapToGrid/>
        <w:spacing w:before="0" w:after="0"/>
        <w:textAlignment w:val="auto"/>
        <w:rPr>
          <w:rFonts w:ascii="Times New Roman" w:hAnsi="Times New Roman" w:eastAsia="宋体"/>
          <w:color w:val="auto"/>
          <w:highlight w:val="none"/>
        </w:rPr>
      </w:pPr>
      <w:r>
        <w:rPr>
          <w:rFonts w:hint="eastAsia" w:ascii="Times New Roman" w:hAnsi="Times New Roman" w:eastAsia="宋体"/>
          <w:color w:val="auto"/>
          <w:highlight w:val="none"/>
        </w:rPr>
        <w:t>表3.3-1不同粒径扬尘沉降速度一览表</w:t>
      </w:r>
    </w:p>
    <w:tbl>
      <w:tblPr>
        <w:tblStyle w:val="5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986"/>
        <w:gridCol w:w="921"/>
        <w:gridCol w:w="857"/>
        <w:gridCol w:w="863"/>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20</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30</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60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0.003</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0.012</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0.027</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0.048</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0.075</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0.108</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80</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90</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100</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200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0.158</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0.170</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0.182</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0.239</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0.804</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1.005</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450</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550</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650</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750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850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950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2.211</w:t>
            </w:r>
          </w:p>
        </w:tc>
        <w:tc>
          <w:tcPr>
            <w:tcW w:w="921"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2.614</w:t>
            </w:r>
          </w:p>
        </w:tc>
        <w:tc>
          <w:tcPr>
            <w:tcW w:w="857"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3.016</w:t>
            </w:r>
          </w:p>
        </w:tc>
        <w:tc>
          <w:tcPr>
            <w:tcW w:w="863"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3.418</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3.820</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4.222</w:t>
            </w:r>
          </w:p>
        </w:tc>
        <w:tc>
          <w:tcPr>
            <w:tcW w:w="1066" w:type="dxa"/>
            <w:vAlign w:val="center"/>
          </w:tcPr>
          <w:p>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4.624</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由表3.3-1可知，粉尘的沉降速度随粒径的增大而迅速增大。当粒径为250</w:t>
      </w:r>
      <w:r>
        <w:rPr>
          <w:rFonts w:ascii="Times New Roman" w:hAnsi="Times New Roman" w:eastAsia="宋体"/>
          <w:color w:val="auto"/>
          <w:highlight w:val="none"/>
        </w:rPr>
        <w:t>μm</w:t>
      </w:r>
      <w:r>
        <w:rPr>
          <w:rFonts w:hint="eastAsia" w:ascii="Times New Roman" w:hAnsi="Times New Roman" w:eastAsia="宋体"/>
          <w:color w:val="auto"/>
          <w:highlight w:val="none"/>
        </w:rPr>
        <w:t>时，沉降速度为1.005m/s，因此可以认为当粒径大于250</w:t>
      </w:r>
      <w:r>
        <w:rPr>
          <w:rFonts w:ascii="Times New Roman" w:hAnsi="Times New Roman" w:eastAsia="宋体"/>
          <w:color w:val="auto"/>
          <w:highlight w:val="none"/>
        </w:rPr>
        <w:t>μm</w:t>
      </w:r>
      <w:r>
        <w:rPr>
          <w:rFonts w:hint="eastAsia" w:ascii="Times New Roman" w:hAnsi="Times New Roman" w:eastAsia="宋体"/>
          <w:color w:val="auto"/>
          <w:highlight w:val="none"/>
        </w:rPr>
        <w:t>时，主要影响范围在扬尘点下风向近距离范围内，本项目评价范围内无大气环境敏感点，因此，此类扬尘可造成施工区域附近TSP浓度暂时升高，对项目区周边评价范围内大气环境敏感点影响不大。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②车辆运输扬尘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动态起尘主要是各类施工机械、运输车辆在项目区内外来往形成的地面扬尘，据有关文献资料显示，在施工过程中，运输车辆行驶扬尘与车辆行驶速度、风速、气象条件、路面积尘量和积尘湿度等因素有关。</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（2）燃油机械及机动车废气</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施工燃油机械和运输车辆运作过程中将产生含SO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、CO等气体。根据相关资料，每耗1升油料，排放空气污染物NO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9g，SO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3.24g，CO27g。本项目建设期消耗油料约2033</w:t>
      </w:r>
      <w:r>
        <w:rPr>
          <w:rFonts w:ascii="Times New Roman" w:hAnsi="Times New Roman" w:eastAsia="宋体"/>
          <w:color w:val="auto"/>
          <w:highlight w:val="none"/>
        </w:rPr>
        <w:t>.</w:t>
      </w:r>
      <w:r>
        <w:rPr>
          <w:rFonts w:hint="eastAsia" w:ascii="Times New Roman" w:hAnsi="Times New Roman" w:eastAsia="宋体"/>
          <w:color w:val="auto"/>
          <w:highlight w:val="none"/>
        </w:rPr>
        <w:t>9升，污染物排放量为NO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0.</w:t>
      </w:r>
      <w:r>
        <w:rPr>
          <w:rFonts w:ascii="Times New Roman" w:hAnsi="Times New Roman" w:eastAsia="宋体"/>
          <w:color w:val="auto"/>
          <w:highlight w:val="none"/>
        </w:rPr>
        <w:t>0</w:t>
      </w:r>
      <w:r>
        <w:rPr>
          <w:rFonts w:hint="eastAsia" w:ascii="Times New Roman" w:hAnsi="Times New Roman" w:eastAsia="宋体"/>
          <w:color w:val="auto"/>
          <w:highlight w:val="none"/>
        </w:rPr>
        <w:t>183t，SO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0.0</w:t>
      </w:r>
      <w:r>
        <w:rPr>
          <w:rFonts w:ascii="Times New Roman" w:hAnsi="Times New Roman" w:eastAsia="宋体"/>
          <w:color w:val="auto"/>
          <w:highlight w:val="none"/>
        </w:rPr>
        <w:t>0</w:t>
      </w:r>
      <w:r>
        <w:rPr>
          <w:rFonts w:hint="eastAsia" w:ascii="Times New Roman" w:hAnsi="Times New Roman" w:eastAsia="宋体"/>
          <w:color w:val="auto"/>
          <w:highlight w:val="none"/>
        </w:rPr>
        <w:t>7t，CO0.</w:t>
      </w:r>
      <w:r>
        <w:rPr>
          <w:rFonts w:ascii="Times New Roman" w:hAnsi="Times New Roman" w:eastAsia="宋体"/>
          <w:color w:val="auto"/>
          <w:highlight w:val="none"/>
        </w:rPr>
        <w:t>0</w:t>
      </w:r>
      <w:r>
        <w:rPr>
          <w:rFonts w:hint="eastAsia" w:ascii="Times New Roman" w:hAnsi="Times New Roman" w:eastAsia="宋体"/>
          <w:color w:val="auto"/>
          <w:highlight w:val="none"/>
        </w:rPr>
        <w:t>549t。由于此类废气系无组织流动性排放，废气经稀释扩散后不会对周边空气环境产生明显影响。</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3.3.1.2施工期水污染源</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本项目施工期排放废水主要是施工废水和施工人员的日常生活废水。</w:t>
      </w:r>
    </w:p>
    <w:p>
      <w:pPr>
        <w:ind w:firstLine="480"/>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1</w:t>
      </w:r>
      <w:r>
        <w:rPr>
          <w:rFonts w:ascii="Times New Roman" w:hAnsi="Times New Roman" w:eastAsia="宋体"/>
          <w:color w:val="auto"/>
          <w:highlight w:val="none"/>
        </w:rPr>
        <w:t>）施工废水</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不在施工区内洗车，施工废水主要包括混凝土废水、泥浆废水、混凝土保养时排放的废水，主要污染因子为SS，含一定量的泥沙和砾石碎屑等悬浮物，因施工场地分散工程进度不同，废水的产生量与排放量较难估算，在施工现场设置不小于3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的简易防渗沉淀池沉淀后回用于生产，项目产生的施工废水作到零排放，不会恶化地下水水质。</w:t>
      </w:r>
    </w:p>
    <w:p>
      <w:pPr>
        <w:ind w:firstLine="480"/>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ascii="Times New Roman" w:hAnsi="Times New Roman" w:eastAsia="宋体"/>
          <w:color w:val="auto"/>
          <w:highlight w:val="none"/>
        </w:rPr>
        <w:t>）生活污水</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本项目施工人员高峰时约</w:t>
      </w:r>
      <w:r>
        <w:rPr>
          <w:rFonts w:hint="eastAsia" w:ascii="Times New Roman" w:hAnsi="Times New Roman" w:eastAsia="宋体"/>
          <w:color w:val="auto"/>
          <w:highlight w:val="none"/>
        </w:rPr>
        <w:t>30</w:t>
      </w:r>
      <w:r>
        <w:rPr>
          <w:rFonts w:ascii="Times New Roman" w:hAnsi="Times New Roman" w:eastAsia="宋体"/>
          <w:color w:val="auto"/>
          <w:highlight w:val="none"/>
        </w:rPr>
        <w:t>人，按平均每人每天用水量为</w:t>
      </w:r>
      <w:r>
        <w:rPr>
          <w:rFonts w:hint="eastAsia" w:ascii="Times New Roman" w:hAnsi="Times New Roman" w:eastAsia="宋体"/>
          <w:color w:val="auto"/>
          <w:highlight w:val="none"/>
        </w:rPr>
        <w:t>4</w:t>
      </w:r>
      <w:r>
        <w:rPr>
          <w:rFonts w:ascii="Times New Roman" w:hAnsi="Times New Roman" w:eastAsia="宋体"/>
          <w:color w:val="auto"/>
          <w:highlight w:val="none"/>
        </w:rPr>
        <w:t>0L计，污水排放量按用水量的80%计，则现场施工人员生活污水产生量约为</w:t>
      </w:r>
      <w:r>
        <w:rPr>
          <w:rFonts w:hint="eastAsia" w:ascii="Times New Roman" w:hAnsi="Times New Roman" w:eastAsia="宋体"/>
          <w:color w:val="auto"/>
          <w:highlight w:val="none"/>
        </w:rPr>
        <w:t>0.96</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/d。生活污水主要污染因子为SS、COD、BOD</w:t>
      </w:r>
      <w:r>
        <w:rPr>
          <w:rFonts w:ascii="Times New Roman" w:hAnsi="Times New Roman" w:eastAsia="宋体"/>
          <w:color w:val="auto"/>
          <w:highlight w:val="none"/>
          <w:vertAlign w:val="subscript"/>
        </w:rPr>
        <w:t>5</w:t>
      </w:r>
      <w:r>
        <w:rPr>
          <w:rFonts w:ascii="Times New Roman" w:hAnsi="Times New Roman" w:eastAsia="宋体"/>
          <w:color w:val="auto"/>
          <w:highlight w:val="none"/>
        </w:rPr>
        <w:t>、氨氮。</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3.3.1.3施工期</w:t>
      </w:r>
      <w:r>
        <w:rPr>
          <w:rFonts w:ascii="Times New Roman" w:hAnsi="Times New Roman" w:eastAsia="宋体"/>
          <w:color w:val="auto"/>
          <w:highlight w:val="none"/>
        </w:rPr>
        <w:t>噪声</w:t>
      </w:r>
      <w:r>
        <w:rPr>
          <w:rFonts w:hint="eastAsia" w:ascii="Times New Roman" w:hAnsi="Times New Roman" w:eastAsia="宋体"/>
          <w:color w:val="auto"/>
          <w:highlight w:val="none"/>
        </w:rPr>
        <w:t>污染源</w:t>
      </w:r>
    </w:p>
    <w:p>
      <w:pPr>
        <w:ind w:firstLine="480"/>
        <w:rPr>
          <w:rFonts w:ascii="Times New Roman" w:hAnsi="Times New Roman" w:eastAsia="宋体"/>
          <w:color w:val="auto"/>
          <w:highlight w:val="none"/>
        </w:rPr>
      </w:pPr>
      <w:r>
        <w:rPr>
          <w:rFonts w:ascii="Times New Roman" w:hAnsi="Times New Roman" w:eastAsia="宋体"/>
          <w:color w:val="auto"/>
          <w:highlight w:val="none"/>
        </w:rPr>
        <w:t>施工期噪声主要来自施工机械噪声、施工作业噪声和运输车辆噪声。施工机械噪声由施工机械所造成，如挖土机、打桩机、混凝土搅拌机、升降机等，多为点声源；施工作业噪声主要指一些零星的敲打声、装卸建材的撞击声、施工人员的吆喝声、拆装模板的撞击声等，多为瞬间噪声；运输车辆的噪声属于交通噪声。</w:t>
      </w:r>
    </w:p>
    <w:p>
      <w:pPr>
        <w:ind w:firstLine="480"/>
        <w:rPr>
          <w:rFonts w:ascii="Times New Roman" w:hAnsi="Times New Roman" w:eastAsia="宋体"/>
          <w:color w:val="auto"/>
          <w:highlight w:val="none"/>
        </w:rPr>
      </w:pPr>
      <w:r>
        <w:rPr>
          <w:rFonts w:ascii="Times New Roman" w:hAnsi="Times New Roman" w:eastAsia="宋体"/>
          <w:color w:val="auto"/>
          <w:highlight w:val="none"/>
        </w:rPr>
        <w:t>各施工阶段的主要产噪机械设备、运输车辆及其声级值见表3.</w:t>
      </w:r>
      <w:r>
        <w:rPr>
          <w:rFonts w:hint="eastAsia" w:ascii="Times New Roman" w:hAnsi="Times New Roman" w:eastAsia="宋体"/>
          <w:color w:val="auto"/>
          <w:highlight w:val="none"/>
        </w:rPr>
        <w:t>3</w:t>
      </w:r>
      <w:r>
        <w:rPr>
          <w:rFonts w:ascii="Times New Roman" w:hAnsi="Times New Roman" w:eastAsia="宋体"/>
          <w:color w:val="auto"/>
          <w:highlight w:val="none"/>
        </w:rPr>
        <w:t>-2和表3.</w:t>
      </w:r>
      <w:r>
        <w:rPr>
          <w:rFonts w:hint="eastAsia" w:ascii="Times New Roman" w:hAnsi="Times New Roman" w:eastAsia="宋体"/>
          <w:color w:val="auto"/>
          <w:highlight w:val="none"/>
        </w:rPr>
        <w:t>3</w:t>
      </w:r>
      <w:r>
        <w:rPr>
          <w:rFonts w:ascii="Times New Roman" w:hAnsi="Times New Roman" w:eastAsia="宋体"/>
          <w:color w:val="auto"/>
          <w:highlight w:val="none"/>
        </w:rPr>
        <w:t>-3。</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表3.3-2施工噪声源强声级统计表单位：dB（A）</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0"/>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施工阶段</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声源强度</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土石方阶段</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挖掘机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78-96</w:t>
            </w:r>
          </w:p>
        </w:tc>
        <w:tc>
          <w:tcPr>
            <w:tcW w:w="2130" w:type="dxa"/>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间歇性声源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推土机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75-95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装载机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75-95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卷扬机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底板与结构阶段</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混凝土输送泵</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90-100</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振捣器</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电焊机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90-95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空压机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110</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夯土机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110</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装修、安装阶段</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电钻</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多功能木工刨</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90-100</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角向磨光机</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100-115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手工钻</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bl>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表3.3-3运输车辆交通噪声源强统计表单位：dB（A）</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2666"/>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施工阶段</w:t>
            </w:r>
          </w:p>
        </w:tc>
        <w:tc>
          <w:tcPr>
            <w:tcW w:w="266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运输内容</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车辆类型</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基础工程</w:t>
            </w:r>
          </w:p>
        </w:tc>
        <w:tc>
          <w:tcPr>
            <w:tcW w:w="266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弃土外运</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大型载重车</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主体工程</w:t>
            </w:r>
          </w:p>
        </w:tc>
        <w:tc>
          <w:tcPr>
            <w:tcW w:w="266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钢筋、商品混凝土</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混凝土罐车、载重车</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装饰工程</w:t>
            </w:r>
          </w:p>
        </w:tc>
        <w:tc>
          <w:tcPr>
            <w:tcW w:w="266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各种装修材料及必备设备</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轻型载重卡车</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75-80</w:t>
            </w:r>
          </w:p>
        </w:tc>
      </w:tr>
    </w:tbl>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3.3.1.4施工期</w:t>
      </w:r>
      <w:r>
        <w:rPr>
          <w:rFonts w:ascii="Times New Roman" w:hAnsi="Times New Roman" w:eastAsia="宋体"/>
          <w:color w:val="auto"/>
          <w:highlight w:val="none"/>
        </w:rPr>
        <w:t>固体废物</w:t>
      </w:r>
    </w:p>
    <w:p>
      <w:pPr>
        <w:ind w:firstLine="480"/>
        <w:rPr>
          <w:rFonts w:ascii="Times New Roman" w:hAnsi="Times New Roman" w:eastAsia="宋体"/>
          <w:color w:val="auto"/>
          <w:highlight w:val="none"/>
        </w:rPr>
      </w:pPr>
      <w:r>
        <w:rPr>
          <w:rFonts w:ascii="Times New Roman" w:hAnsi="Times New Roman" w:eastAsia="宋体"/>
          <w:color w:val="auto"/>
          <w:highlight w:val="none"/>
        </w:rPr>
        <w:t>施工期间固体废物主要源于施工人员生活垃圾和施工场地产生的建筑垃圾（废弃砖块、废钢筋等）。</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本项目主要建筑物为</w:t>
      </w:r>
      <w:r>
        <w:rPr>
          <w:rFonts w:hint="eastAsia" w:ascii="Times New Roman" w:hAnsi="Times New Roman" w:eastAsia="宋体"/>
          <w:color w:val="auto"/>
          <w:highlight w:val="none"/>
        </w:rPr>
        <w:t>标准化</w:t>
      </w:r>
      <w:r>
        <w:rPr>
          <w:rFonts w:hint="eastAsia"/>
          <w:color w:val="auto"/>
          <w:highlight w:val="none"/>
          <w:lang w:val="en-US" w:eastAsia="zh-CN"/>
        </w:rPr>
        <w:t>鸡</w:t>
      </w:r>
      <w:r>
        <w:rPr>
          <w:rFonts w:hint="eastAsia" w:ascii="Times New Roman" w:hAnsi="Times New Roman" w:eastAsia="宋体"/>
          <w:color w:val="auto"/>
          <w:highlight w:val="none"/>
        </w:rPr>
        <w:t>舍</w:t>
      </w:r>
      <w:r>
        <w:rPr>
          <w:rFonts w:ascii="Times New Roman" w:hAnsi="Times New Roman" w:eastAsia="宋体"/>
          <w:color w:val="auto"/>
          <w:highlight w:val="none"/>
        </w:rPr>
        <w:t>及相应的配套设施，在建设过程中会产生碎砖块、砂浆、桩头、水泥、钢筋、涂料和包装材料等建筑垃圾。此类固体废物应按相关环境保护要求及时清运至</w:t>
      </w:r>
      <w:r>
        <w:rPr>
          <w:rFonts w:hint="eastAsia" w:ascii="Times New Roman" w:hAnsi="Times New Roman" w:eastAsia="宋体"/>
          <w:color w:val="auto"/>
          <w:highlight w:val="none"/>
          <w:lang w:eastAsia="zh-CN"/>
        </w:rPr>
        <w:t>玛纳斯县</w:t>
      </w:r>
      <w:r>
        <w:rPr>
          <w:rFonts w:ascii="Times New Roman" w:hAnsi="Times New Roman" w:eastAsia="宋体"/>
          <w:color w:val="auto"/>
          <w:highlight w:val="none"/>
        </w:rPr>
        <w:t>建筑垃圾填埋场填埋，建筑垃圾使用加盖篷布的车辆运输。施工产生的固体废物中遗留在现场的建筑废物要及时清运或回填，将建筑垃圾运至指定地点。各施工单位要加强施工管理，对施工产生的生活垃圾和建筑垃圾不得随意倾倒。</w:t>
      </w:r>
    </w:p>
    <w:p>
      <w:pPr>
        <w:ind w:firstLine="480"/>
        <w:rPr>
          <w:rFonts w:ascii="Times New Roman" w:hAnsi="Times New Roman" w:eastAsia="宋体"/>
          <w:color w:val="auto"/>
          <w:highlight w:val="none"/>
        </w:rPr>
      </w:pPr>
      <w:r>
        <w:rPr>
          <w:rFonts w:ascii="Times New Roman" w:hAnsi="Times New Roman" w:eastAsia="宋体"/>
          <w:color w:val="auto"/>
          <w:highlight w:val="none"/>
        </w:rPr>
        <w:t>生活垃圾按</w:t>
      </w:r>
      <w:r>
        <w:rPr>
          <w:rFonts w:hint="eastAsia" w:ascii="Times New Roman" w:hAnsi="Times New Roman" w:eastAsia="宋体"/>
          <w:color w:val="auto"/>
          <w:highlight w:val="none"/>
        </w:rPr>
        <w:t>0.5</w:t>
      </w:r>
      <w:r>
        <w:rPr>
          <w:rFonts w:ascii="Times New Roman" w:hAnsi="Times New Roman" w:eastAsia="宋体"/>
          <w:color w:val="auto"/>
          <w:highlight w:val="none"/>
        </w:rPr>
        <w:t>kg/人·d计，则施工期生活垃圾产生量为</w:t>
      </w:r>
      <w:r>
        <w:rPr>
          <w:rFonts w:hint="eastAsia" w:ascii="Times New Roman" w:hAnsi="Times New Roman" w:eastAsia="宋体"/>
          <w:color w:val="auto"/>
          <w:highlight w:val="none"/>
        </w:rPr>
        <w:t>15</w:t>
      </w:r>
      <w:r>
        <w:rPr>
          <w:rFonts w:ascii="Times New Roman" w:hAnsi="Times New Roman" w:eastAsia="宋体"/>
          <w:color w:val="auto"/>
          <w:highlight w:val="none"/>
        </w:rPr>
        <w:t>kg/d。对施工人员产生的生活垃圾，设置垃圾箱，集中收集后交由环卫部门统一处置。</w:t>
      </w:r>
    </w:p>
    <w:p>
      <w:pPr>
        <w:ind w:firstLine="480"/>
        <w:rPr>
          <w:rFonts w:ascii="Times New Roman" w:hAnsi="Times New Roman" w:eastAsia="宋体"/>
          <w:color w:val="auto"/>
          <w:highlight w:val="none"/>
        </w:rPr>
      </w:pPr>
      <w:r>
        <w:rPr>
          <w:rFonts w:ascii="Times New Roman" w:hAnsi="Times New Roman" w:eastAsia="宋体"/>
          <w:color w:val="auto"/>
          <w:highlight w:val="none"/>
        </w:rPr>
        <w:t>施工期项目的固体废弃物排放是暂时的，随着施工的结束而减小，通过积极有效的施工管理，施工期固体废弃物对环境造成的影响不大。</w:t>
      </w:r>
    </w:p>
    <w:p>
      <w:pPr>
        <w:pStyle w:val="5"/>
        <w:rPr>
          <w:rFonts w:ascii="Times New Roman" w:hAnsi="Times New Roman" w:eastAsia="宋体"/>
          <w:color w:val="auto"/>
          <w:highlight w:val="none"/>
        </w:rPr>
      </w:pPr>
      <w:bookmarkStart w:id="119" w:name="_Toc106663472"/>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.2运营期</w:t>
      </w:r>
      <w:r>
        <w:rPr>
          <w:rFonts w:hint="eastAsia" w:ascii="Times New Roman" w:hAnsi="Times New Roman" w:eastAsia="宋体"/>
          <w:color w:val="auto"/>
          <w:highlight w:val="none"/>
        </w:rPr>
        <w:t>污染源强</w:t>
      </w:r>
      <w:r>
        <w:rPr>
          <w:rFonts w:ascii="Times New Roman" w:hAnsi="Times New Roman" w:eastAsia="宋体"/>
          <w:color w:val="auto"/>
          <w:highlight w:val="none"/>
        </w:rPr>
        <w:t>分析</w:t>
      </w:r>
      <w:bookmarkEnd w:id="119"/>
    </w:p>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.2.1</w:t>
      </w:r>
      <w:r>
        <w:rPr>
          <w:rFonts w:hint="eastAsia" w:ascii="Times New Roman" w:hAnsi="Times New Roman" w:eastAsia="宋体"/>
          <w:color w:val="auto"/>
          <w:highlight w:val="none"/>
        </w:rPr>
        <w:t>运营期大气污染源</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本项目冬季供暖采用电锅炉供暖，不使用天然气和燃煤锅炉，因此，本项目废气主要是恶臭气体。</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1、恶臭气体</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（1）</w:t>
      </w:r>
      <w:bookmarkStart w:id="120" w:name="_Hlk107835040"/>
      <w:r>
        <w:rPr>
          <w:rFonts w:hint="eastAsia" w:ascii="Times New Roman" w:hAnsi="Times New Roman" w:eastAsia="宋体"/>
          <w:color w:val="auto"/>
          <w:spacing w:val="0"/>
          <w:sz w:val="24"/>
          <w:highlight w:val="none"/>
        </w:rPr>
        <w:t>圈舍</w:t>
      </w:r>
      <w:bookmarkEnd w:id="120"/>
      <w:r>
        <w:rPr>
          <w:rFonts w:hint="eastAsia" w:ascii="Times New Roman" w:hAnsi="Times New Roman" w:eastAsia="宋体"/>
          <w:color w:val="auto"/>
          <w:spacing w:val="0"/>
          <w:sz w:val="24"/>
          <w:highlight w:val="none"/>
        </w:rPr>
        <w:t>恶臭</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①来源及组成</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本项目恶臭污染物主要来源于养殖区，恶臭气体产生量一般夏季大于冬季，臭味强度夏季大于冬季，其主要原因是夏季温度高，易于细菌生长繁殖，也容易出现粪便腐化现象，粪便腐化时臭气产生量、排放量均较大。</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鸡粪臭气成份主要是有机物中氨和硫生产的氨气</w:t>
      </w:r>
      <w:r>
        <w:rPr>
          <w:rFonts w:hint="eastAsia"/>
          <w:color w:val="auto"/>
          <w:spacing w:val="0"/>
          <w:sz w:val="24"/>
          <w:highlight w:val="none"/>
          <w:lang w:eastAsia="zh-CN"/>
        </w:rPr>
        <w:t>（</w:t>
      </w:r>
      <w:r>
        <w:rPr>
          <w:rFonts w:ascii="Times New Roman" w:hAnsi="Times New Roman" w:eastAsia="宋体"/>
          <w:color w:val="auto"/>
          <w:spacing w:val="0"/>
          <w:sz w:val="24"/>
          <w:highlight w:val="none"/>
        </w:rPr>
        <w:t>NH</w:t>
      </w:r>
      <w:r>
        <w:rPr>
          <w:rFonts w:ascii="Times New Roman" w:hAnsi="Times New Roman" w:eastAsia="宋体"/>
          <w:color w:val="auto"/>
          <w:spacing w:val="0"/>
          <w:sz w:val="24"/>
          <w:highlight w:val="none"/>
          <w:vertAlign w:val="subscript"/>
        </w:rPr>
        <w:t>3</w:t>
      </w:r>
      <w:r>
        <w:rPr>
          <w:rFonts w:hint="eastAsia"/>
          <w:color w:val="auto"/>
          <w:spacing w:val="0"/>
          <w:sz w:val="24"/>
          <w:highlight w:val="none"/>
          <w:lang w:eastAsia="zh-CN"/>
        </w:rPr>
        <w:t>）</w:t>
      </w:r>
      <w:r>
        <w:rPr>
          <w:rFonts w:ascii="Times New Roman" w:hAnsi="Times New Roman" w:eastAsia="宋体"/>
          <w:color w:val="auto"/>
          <w:spacing w:val="0"/>
          <w:sz w:val="24"/>
          <w:highlight w:val="none"/>
        </w:rPr>
        <w:t>和硫化氢</w:t>
      </w:r>
      <w:r>
        <w:rPr>
          <w:rFonts w:hint="eastAsia"/>
          <w:color w:val="auto"/>
          <w:spacing w:val="0"/>
          <w:sz w:val="24"/>
          <w:highlight w:val="none"/>
          <w:lang w:eastAsia="zh-CN"/>
        </w:rPr>
        <w:t>（</w:t>
      </w:r>
      <w:r>
        <w:rPr>
          <w:rFonts w:ascii="Times New Roman" w:hAnsi="Times New Roman" w:eastAsia="宋体"/>
          <w:color w:val="auto"/>
          <w:spacing w:val="0"/>
          <w:sz w:val="24"/>
          <w:highlight w:val="none"/>
        </w:rPr>
        <w:t>H</w:t>
      </w:r>
      <w:r>
        <w:rPr>
          <w:rFonts w:ascii="Times New Roman" w:hAnsi="Times New Roman" w:eastAsia="宋体"/>
          <w:color w:val="auto"/>
          <w:spacing w:val="0"/>
          <w:sz w:val="24"/>
          <w:highlight w:val="none"/>
          <w:vertAlign w:val="subscript"/>
        </w:rPr>
        <w:t>2</w:t>
      </w:r>
      <w:r>
        <w:rPr>
          <w:rFonts w:ascii="Times New Roman" w:hAnsi="Times New Roman" w:eastAsia="宋体"/>
          <w:color w:val="auto"/>
          <w:spacing w:val="0"/>
          <w:sz w:val="24"/>
          <w:highlight w:val="none"/>
        </w:rPr>
        <w:t>S</w:t>
      </w:r>
      <w:r>
        <w:rPr>
          <w:rFonts w:hint="eastAsia"/>
          <w:color w:val="auto"/>
          <w:spacing w:val="0"/>
          <w:sz w:val="24"/>
          <w:highlight w:val="none"/>
          <w:lang w:eastAsia="zh-CN"/>
        </w:rPr>
        <w:t>）</w:t>
      </w:r>
      <w:r>
        <w:rPr>
          <w:rFonts w:ascii="Times New Roman" w:hAnsi="Times New Roman" w:eastAsia="宋体"/>
          <w:color w:val="auto"/>
          <w:spacing w:val="0"/>
          <w:sz w:val="24"/>
          <w:highlight w:val="none"/>
        </w:rPr>
        <w:t>，其次为甲硫醇</w:t>
      </w:r>
      <w:r>
        <w:rPr>
          <w:rFonts w:hint="eastAsia"/>
          <w:color w:val="auto"/>
          <w:spacing w:val="0"/>
          <w:sz w:val="24"/>
          <w:highlight w:val="none"/>
          <w:lang w:eastAsia="zh-CN"/>
        </w:rPr>
        <w:t>（</w:t>
      </w:r>
      <w:r>
        <w:rPr>
          <w:rFonts w:ascii="Times New Roman" w:hAnsi="Times New Roman" w:eastAsia="宋体"/>
          <w:color w:val="auto"/>
          <w:spacing w:val="0"/>
          <w:sz w:val="24"/>
          <w:highlight w:val="none"/>
        </w:rPr>
        <w:t>CH</w:t>
      </w:r>
      <w:r>
        <w:rPr>
          <w:rFonts w:ascii="Times New Roman" w:hAnsi="Times New Roman" w:eastAsia="宋体"/>
          <w:color w:val="auto"/>
          <w:spacing w:val="0"/>
          <w:sz w:val="24"/>
          <w:highlight w:val="none"/>
          <w:vertAlign w:val="subscript"/>
        </w:rPr>
        <w:t>3</w:t>
      </w:r>
      <w:r>
        <w:rPr>
          <w:rFonts w:ascii="Times New Roman" w:hAnsi="Times New Roman" w:eastAsia="宋体"/>
          <w:color w:val="auto"/>
          <w:spacing w:val="0"/>
          <w:sz w:val="24"/>
          <w:highlight w:val="none"/>
        </w:rPr>
        <w:t>SH</w:t>
      </w:r>
      <w:r>
        <w:rPr>
          <w:rFonts w:hint="eastAsia"/>
          <w:color w:val="auto"/>
          <w:spacing w:val="0"/>
          <w:sz w:val="24"/>
          <w:highlight w:val="none"/>
          <w:lang w:eastAsia="zh-CN"/>
        </w:rPr>
        <w:t>）</w:t>
      </w:r>
      <w:r>
        <w:rPr>
          <w:rFonts w:ascii="Times New Roman" w:hAnsi="Times New Roman" w:eastAsia="宋体"/>
          <w:color w:val="auto"/>
          <w:spacing w:val="0"/>
          <w:sz w:val="24"/>
          <w:highlight w:val="none"/>
        </w:rPr>
        <w:t>、甲硫醚、三甲胺等恶臭物质，刺激人的嗅觉器官，引起人的厌恶和不快。气味大小与臭气在空气中的浓度有关。H</w:t>
      </w:r>
      <w:r>
        <w:rPr>
          <w:rFonts w:ascii="Times New Roman" w:hAnsi="Times New Roman" w:eastAsia="宋体"/>
          <w:color w:val="auto"/>
          <w:spacing w:val="0"/>
          <w:sz w:val="24"/>
          <w:highlight w:val="none"/>
          <w:vertAlign w:val="subscript"/>
        </w:rPr>
        <w:t>2</w:t>
      </w:r>
      <w:r>
        <w:rPr>
          <w:rFonts w:ascii="Times New Roman" w:hAnsi="Times New Roman" w:eastAsia="宋体"/>
          <w:color w:val="auto"/>
          <w:spacing w:val="0"/>
          <w:sz w:val="24"/>
          <w:highlight w:val="none"/>
        </w:rPr>
        <w:t>S为无色气体，具有臭鸡蛋腐败气味，其嗅觉阈值</w:t>
      </w:r>
      <w:r>
        <w:rPr>
          <w:rFonts w:hint="eastAsia"/>
          <w:color w:val="auto"/>
          <w:spacing w:val="0"/>
          <w:sz w:val="24"/>
          <w:highlight w:val="none"/>
          <w:lang w:eastAsia="zh-CN"/>
        </w:rPr>
        <w:t>（</w:t>
      </w:r>
      <w:r>
        <w:rPr>
          <w:rFonts w:ascii="Times New Roman" w:hAnsi="Times New Roman" w:eastAsia="宋体"/>
          <w:color w:val="auto"/>
          <w:spacing w:val="0"/>
          <w:sz w:val="24"/>
          <w:highlight w:val="none"/>
        </w:rPr>
        <w:t>正常人勉强可感到臭味的浓度</w:t>
      </w:r>
      <w:r>
        <w:rPr>
          <w:rFonts w:hint="eastAsia"/>
          <w:color w:val="auto"/>
          <w:spacing w:val="0"/>
          <w:sz w:val="24"/>
          <w:highlight w:val="none"/>
          <w:lang w:eastAsia="zh-CN"/>
        </w:rPr>
        <w:t>）</w:t>
      </w:r>
      <w:r>
        <w:rPr>
          <w:rFonts w:ascii="Times New Roman" w:hAnsi="Times New Roman" w:eastAsia="宋体"/>
          <w:color w:val="auto"/>
          <w:spacing w:val="0"/>
          <w:sz w:val="24"/>
          <w:highlight w:val="none"/>
        </w:rPr>
        <w:t>为0.0005ppm。NH</w:t>
      </w:r>
      <w:r>
        <w:rPr>
          <w:rFonts w:ascii="Times New Roman" w:hAnsi="Times New Roman" w:eastAsia="宋体"/>
          <w:color w:val="auto"/>
          <w:spacing w:val="0"/>
          <w:sz w:val="24"/>
          <w:highlight w:val="none"/>
          <w:vertAlign w:val="subscript"/>
        </w:rPr>
        <w:t>3</w:t>
      </w:r>
      <w:r>
        <w:rPr>
          <w:rFonts w:ascii="Times New Roman" w:hAnsi="Times New Roman" w:eastAsia="宋体"/>
          <w:color w:val="auto"/>
          <w:spacing w:val="0"/>
          <w:sz w:val="24"/>
          <w:highlight w:val="none"/>
        </w:rPr>
        <w:t>为无色气体，有强烈的刺激气味，嗅觉阈值为0.037ppm。甲硫醇为有特殊臭味的气体；甲硫醚为无色易燃烧液体，有不愉快的气味；三甲胺为无色气体，有氨和鱼腥的气味；这三种物质的嗅觉阈值均为0.0001ppm。</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w:t>
      </w:r>
      <w:r>
        <w:rPr>
          <w:rFonts w:hint="eastAsia" w:ascii="Times New Roman" w:hAnsi="Times New Roman" w:eastAsia="宋体"/>
          <w:color w:val="auto"/>
          <w:spacing w:val="0"/>
          <w:sz w:val="24"/>
          <w:highlight w:val="none"/>
        </w:rPr>
        <w:t>2</w:t>
      </w:r>
      <w:r>
        <w:rPr>
          <w:rFonts w:ascii="Times New Roman" w:hAnsi="Times New Roman" w:eastAsia="宋体"/>
          <w:color w:val="auto"/>
          <w:spacing w:val="0"/>
          <w:sz w:val="24"/>
          <w:highlight w:val="none"/>
        </w:rPr>
        <w:t>）</w:t>
      </w:r>
      <w:r>
        <w:rPr>
          <w:rFonts w:ascii="Times New Roman" w:hAnsi="Times New Roman" w:eastAsia="宋体" w:cs="宋体"/>
          <w:color w:val="auto"/>
          <w:spacing w:val="0"/>
          <w:sz w:val="24"/>
          <w:szCs w:val="24"/>
          <w:highlight w:val="none"/>
        </w:rPr>
        <w:t>恶臭污染的特点</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恶臭是感觉性公害，判断恶臭对人们的影响，主要是以给人们带来不舒服感觉的影响为中心进行的，是一种心理上的反应，故主观因素很强。然而，人们的嗅觉鉴别能力要比其他感觉能力强，因此受影响者的主观感觉是评价恶臭污染程度的主要依据。</w:t>
      </w:r>
    </w:p>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②恶臭通常是由多种成份气体形成的，各种成份气体的阈值或最小检知浓度不相同，在浓度较低时，一般不易察觉，但是如果恶臭一旦达到阈值以后，大多会立即发生强烈的恶臭反应。</w:t>
      </w:r>
    </w:p>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③人们对恶臭的厌恶感与恶臭气体成份的性质、强度及浓度有关，并且包含着周边环境、气象条件和个人条件</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身体条件和精神状况等</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等因素在内。恶臭成份大部分被去除后，在人的嗅觉中并不会感到相应程度的降低或减轻。因此，对于防治恶臭污染而言，受影响者并不是要求减轻或降低恶臭气味，而是要求必须没有恶臭气味。</w:t>
      </w:r>
    </w:p>
    <w:p>
      <w:pPr>
        <w:keepNext w:val="0"/>
        <w:keepLines w:val="0"/>
        <w:pageBreakBefore w:val="0"/>
        <w:widowControl w:val="0"/>
        <w:kinsoku/>
        <w:wordWrap/>
        <w:overflowPunct/>
        <w:topLinePunct w:val="0"/>
        <w:autoSpaceDE/>
        <w:autoSpaceDN/>
        <w:bidi w:val="0"/>
        <w:adjustRightInd/>
        <w:snapToGrid/>
        <w:spacing w:line="480" w:lineRule="exact"/>
        <w:ind w:left="0" w:right="0" w:firstLine="45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④受到恶臭污染影响的人一般立即离开，到清洁空气环境内，积极换气就可以解除受到是污染影响。</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恶臭源强</w:t>
      </w:r>
    </w:p>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本项目恶臭气体主要来源于鸡舍和</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，恶臭气体主要为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等。</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①鸡舍</w:t>
      </w:r>
    </w:p>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s="Times New Roman"/>
          <w:color w:val="auto"/>
          <w:spacing w:val="0"/>
          <w:sz w:val="24"/>
          <w:szCs w:val="24"/>
          <w:highlight w:val="none"/>
          <w:lang w:eastAsia="zh-CN"/>
        </w:rPr>
      </w:pPr>
      <w:r>
        <w:rPr>
          <w:rFonts w:ascii="Times New Roman" w:hAnsi="Times New Roman" w:eastAsia="宋体" w:cs="宋体"/>
          <w:color w:val="auto"/>
          <w:spacing w:val="0"/>
          <w:sz w:val="24"/>
          <w:szCs w:val="24"/>
          <w:highlight w:val="none"/>
        </w:rPr>
        <w:t>大量的氮固定在鸡粪中，少量的损失挥发。根据《排放源统计调查产排污核算方法和系数手册</w:t>
      </w:r>
      <w:r>
        <w:rPr>
          <w:rFonts w:ascii="Times New Roman" w:hAnsi="Times New Roman" w:eastAsia="宋体" w:cs="Times New Roman"/>
          <w:color w:val="auto"/>
          <w:spacing w:val="0"/>
          <w:sz w:val="24"/>
          <w:szCs w:val="24"/>
          <w:highlight w:val="none"/>
        </w:rPr>
        <w:t>-</w:t>
      </w:r>
      <w:r>
        <w:rPr>
          <w:rFonts w:ascii="Times New Roman" w:hAnsi="Times New Roman" w:eastAsia="宋体" w:cs="宋体"/>
          <w:color w:val="auto"/>
          <w:spacing w:val="0"/>
          <w:sz w:val="24"/>
          <w:szCs w:val="24"/>
          <w:highlight w:val="none"/>
        </w:rPr>
        <w:t>农业源产排污系数手册》中表</w:t>
      </w:r>
      <w:r>
        <w:rPr>
          <w:rFonts w:ascii="Times New Roman" w:hAnsi="Times New Roman" w:eastAsia="宋体" w:cs="Times New Roman"/>
          <w:color w:val="auto"/>
          <w:spacing w:val="0"/>
          <w:sz w:val="24"/>
          <w:szCs w:val="24"/>
          <w:highlight w:val="none"/>
        </w:rPr>
        <w:t>2</w:t>
      </w:r>
      <w:r>
        <w:rPr>
          <w:rFonts w:ascii="Times New Roman" w:hAnsi="Times New Roman" w:eastAsia="宋体" w:cs="宋体"/>
          <w:color w:val="auto"/>
          <w:spacing w:val="0"/>
          <w:sz w:val="24"/>
          <w:szCs w:val="24"/>
          <w:highlight w:val="none"/>
        </w:rPr>
        <w:t>畜禽规模化养殖产污系数</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新疆维吾尔自治区</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，蛋鸡鸡粪中</w:t>
      </w:r>
      <w:r>
        <w:rPr>
          <w:rFonts w:ascii="Times New Roman" w:hAnsi="Times New Roman" w:eastAsia="宋体" w:cs="Times New Roman"/>
          <w:color w:val="auto"/>
          <w:spacing w:val="0"/>
          <w:sz w:val="24"/>
          <w:szCs w:val="24"/>
          <w:highlight w:val="none"/>
        </w:rPr>
        <w:t>TN</w:t>
      </w:r>
      <w:r>
        <w:rPr>
          <w:rFonts w:ascii="Times New Roman" w:hAnsi="Times New Roman" w:eastAsia="宋体" w:cs="宋体"/>
          <w:color w:val="auto"/>
          <w:spacing w:val="0"/>
          <w:sz w:val="24"/>
          <w:szCs w:val="24"/>
          <w:highlight w:val="none"/>
        </w:rPr>
        <w:t>含量为</w:t>
      </w:r>
      <w:r>
        <w:rPr>
          <w:rFonts w:ascii="Times New Roman" w:hAnsi="Times New Roman" w:eastAsia="宋体" w:cs="Times New Roman"/>
          <w:color w:val="auto"/>
          <w:spacing w:val="0"/>
          <w:sz w:val="24"/>
          <w:szCs w:val="24"/>
          <w:highlight w:val="none"/>
        </w:rPr>
        <w:t>0.565kg/</w:t>
      </w:r>
      <w:r>
        <w:rPr>
          <w:rFonts w:ascii="Times New Roman" w:hAnsi="Times New Roman" w:eastAsia="宋体" w:cs="宋体"/>
          <w:color w:val="auto"/>
          <w:spacing w:val="0"/>
          <w:sz w:val="24"/>
          <w:szCs w:val="24"/>
          <w:highlight w:val="none"/>
        </w:rPr>
        <w:t>羽，则</w:t>
      </w:r>
      <w:r>
        <w:rPr>
          <w:rFonts w:ascii="Times New Roman" w:hAnsi="Times New Roman" w:eastAsia="宋体" w:cs="Times New Roman"/>
          <w:color w:val="auto"/>
          <w:spacing w:val="0"/>
          <w:sz w:val="24"/>
          <w:szCs w:val="24"/>
          <w:highlight w:val="none"/>
        </w:rPr>
        <w:t>TN</w:t>
      </w:r>
      <w:r>
        <w:rPr>
          <w:rFonts w:ascii="Times New Roman" w:hAnsi="Times New Roman" w:eastAsia="宋体" w:cs="宋体"/>
          <w:color w:val="auto"/>
          <w:spacing w:val="0"/>
          <w:sz w:val="24"/>
          <w:szCs w:val="24"/>
          <w:highlight w:val="none"/>
        </w:rPr>
        <w:t>产生量</w:t>
      </w:r>
      <w:r>
        <w:rPr>
          <w:rFonts w:hint="eastAsia" w:ascii="Times New Roman" w:hAnsi="Times New Roman" w:eastAsia="宋体" w:cs="Times New Roman"/>
          <w:color w:val="auto"/>
          <w:spacing w:val="0"/>
          <w:sz w:val="24"/>
          <w:szCs w:val="24"/>
          <w:highlight w:val="none"/>
          <w:lang w:val="en-US" w:eastAsia="zh-CN"/>
        </w:rPr>
        <w:t>406.8</w:t>
      </w:r>
      <w:r>
        <w:rPr>
          <w:rFonts w:ascii="Times New Roman" w:hAnsi="Times New Roman" w:eastAsia="宋体" w:cs="Times New Roman"/>
          <w:color w:val="auto"/>
          <w:spacing w:val="0"/>
          <w:sz w:val="24"/>
          <w:szCs w:val="24"/>
          <w:highlight w:val="none"/>
        </w:rPr>
        <w:t>t/a</w:t>
      </w:r>
      <w:r>
        <w:rPr>
          <w:rFonts w:ascii="Times New Roman" w:hAnsi="Times New Roman" w:eastAsia="宋体" w:cs="宋体"/>
          <w:color w:val="auto"/>
          <w:spacing w:val="0"/>
          <w:sz w:val="24"/>
          <w:szCs w:val="24"/>
          <w:highlight w:val="none"/>
        </w:rPr>
        <w:t>。氮挥发量约占总量的</w:t>
      </w:r>
      <w:r>
        <w:rPr>
          <w:rFonts w:ascii="Times New Roman" w:hAnsi="Times New Roman" w:eastAsia="宋体" w:cs="Times New Roman"/>
          <w:color w:val="auto"/>
          <w:spacing w:val="0"/>
          <w:sz w:val="24"/>
          <w:szCs w:val="24"/>
          <w:highlight w:val="none"/>
        </w:rPr>
        <w:t>10%</w:t>
      </w:r>
      <w:r>
        <w:rPr>
          <w:rFonts w:ascii="Times New Roman" w:hAnsi="Times New Roman" w:eastAsia="宋体" w:cs="宋体"/>
          <w:color w:val="auto"/>
          <w:spacing w:val="0"/>
          <w:sz w:val="24"/>
          <w:szCs w:val="24"/>
          <w:highlight w:val="none"/>
        </w:rPr>
        <w:t>，其中</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占氮挥发量的</w:t>
      </w:r>
      <w:r>
        <w:rPr>
          <w:rFonts w:ascii="Times New Roman" w:hAnsi="Times New Roman" w:eastAsia="宋体" w:cs="Times New Roman"/>
          <w:color w:val="auto"/>
          <w:spacing w:val="0"/>
          <w:sz w:val="24"/>
          <w:szCs w:val="24"/>
          <w:highlight w:val="none"/>
        </w:rPr>
        <w:t>25%</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含量约为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的</w:t>
      </w:r>
      <w:r>
        <w:rPr>
          <w:rFonts w:ascii="Times New Roman" w:hAnsi="Times New Roman" w:eastAsia="宋体" w:cs="Times New Roman"/>
          <w:color w:val="auto"/>
          <w:spacing w:val="0"/>
          <w:sz w:val="24"/>
          <w:szCs w:val="24"/>
          <w:highlight w:val="none"/>
        </w:rPr>
        <w:t>10%</w:t>
      </w:r>
      <w:r>
        <w:rPr>
          <w:rFonts w:hint="eastAsia" w:ascii="Times New Roman" w:hAnsi="Times New Roman" w:eastAsia="宋体" w:cs="Times New Roman"/>
          <w:color w:val="auto"/>
          <w:spacing w:val="0"/>
          <w:sz w:val="24"/>
          <w:szCs w:val="24"/>
          <w:highlight w:val="none"/>
          <w:lang w:eastAsia="zh-CN"/>
        </w:rPr>
        <w:t>。本项目运营期产生的鸡粪以及NH</w:t>
      </w:r>
      <w:r>
        <w:rPr>
          <w:rFonts w:hint="eastAsia" w:ascii="Times New Roman" w:hAnsi="Times New Roman" w:eastAsia="宋体" w:cs="Times New Roman"/>
          <w:color w:val="auto"/>
          <w:spacing w:val="0"/>
          <w:sz w:val="24"/>
          <w:szCs w:val="24"/>
          <w:highlight w:val="none"/>
          <w:vertAlign w:val="subscript"/>
          <w:lang w:eastAsia="zh-CN"/>
        </w:rPr>
        <w:t>3</w:t>
      </w:r>
      <w:r>
        <w:rPr>
          <w:rFonts w:hint="eastAsia" w:ascii="Times New Roman" w:hAnsi="Times New Roman" w:eastAsia="宋体" w:cs="Times New Roman"/>
          <w:color w:val="auto"/>
          <w:spacing w:val="0"/>
          <w:sz w:val="24"/>
          <w:szCs w:val="24"/>
          <w:highlight w:val="none"/>
          <w:lang w:eastAsia="zh-CN"/>
        </w:rPr>
        <w:t>、H</w:t>
      </w:r>
      <w:r>
        <w:rPr>
          <w:rFonts w:hint="eastAsia" w:ascii="Times New Roman" w:hAnsi="Times New Roman" w:eastAsia="宋体" w:cs="Times New Roman"/>
          <w:color w:val="auto"/>
          <w:spacing w:val="0"/>
          <w:sz w:val="24"/>
          <w:szCs w:val="24"/>
          <w:highlight w:val="none"/>
          <w:vertAlign w:val="subscript"/>
          <w:lang w:eastAsia="zh-CN"/>
        </w:rPr>
        <w:t>2</w:t>
      </w:r>
      <w:r>
        <w:rPr>
          <w:rFonts w:hint="eastAsia" w:ascii="Times New Roman" w:hAnsi="Times New Roman" w:eastAsia="宋体" w:cs="Times New Roman"/>
          <w:color w:val="auto"/>
          <w:spacing w:val="0"/>
          <w:sz w:val="24"/>
          <w:szCs w:val="24"/>
          <w:highlight w:val="none"/>
          <w:lang w:eastAsia="zh-CN"/>
        </w:rPr>
        <w:t>S产生量详见表</w:t>
      </w:r>
      <w:r>
        <w:rPr>
          <w:rFonts w:hint="eastAsia" w:ascii="Times New Roman" w:hAnsi="Times New Roman" w:eastAsia="宋体" w:cs="Times New Roman"/>
          <w:color w:val="auto"/>
          <w:spacing w:val="0"/>
          <w:sz w:val="24"/>
          <w:szCs w:val="24"/>
          <w:highlight w:val="none"/>
          <w:lang w:val="en-US" w:eastAsia="zh-CN"/>
        </w:rPr>
        <w:t>3.3-4</w:t>
      </w:r>
      <w:r>
        <w:rPr>
          <w:rFonts w:hint="eastAsia" w:ascii="Times New Roman" w:hAnsi="Times New Roman" w:eastAsia="宋体" w:cs="Times New Roman"/>
          <w:color w:val="auto"/>
          <w:spacing w:val="0"/>
          <w:sz w:val="24"/>
          <w:szCs w:val="24"/>
          <w:highlight w:val="none"/>
          <w:lang w:eastAsia="zh-CN"/>
        </w:rPr>
        <w:t>。</w:t>
      </w:r>
    </w:p>
    <w:p>
      <w:pPr>
        <w:spacing w:before="68" w:line="232" w:lineRule="auto"/>
        <w:ind w:left="461"/>
        <w:rPr>
          <w:rFonts w:hint="eastAsia" w:ascii="Times New Roman" w:hAnsi="Times New Roman" w:eastAsia="宋体" w:cstheme="majorBidi"/>
          <w:b/>
          <w:color w:val="auto"/>
          <w:sz w:val="24"/>
          <w:szCs w:val="22"/>
          <w:highlight w:val="none"/>
          <w:lang w:val="en-US" w:eastAsia="zh-CN" w:bidi="ar-SA"/>
        </w:rPr>
      </w:pPr>
      <w:r>
        <w:rPr>
          <w:rFonts w:hint="eastAsia" w:ascii="Times New Roman" w:hAnsi="Times New Roman" w:eastAsia="宋体" w:cstheme="majorBidi"/>
          <w:b/>
          <w:color w:val="auto"/>
          <w:sz w:val="24"/>
          <w:szCs w:val="22"/>
          <w:highlight w:val="none"/>
          <w:lang w:val="en-US" w:eastAsia="zh-CN" w:bidi="ar-SA"/>
        </w:rPr>
        <w:t>表3.3-4拟建项目鸡粪以及NH</w:t>
      </w:r>
      <w:r>
        <w:rPr>
          <w:rFonts w:hint="eastAsia" w:ascii="Times New Roman" w:hAnsi="Times New Roman" w:eastAsia="宋体" w:cstheme="majorBidi"/>
          <w:b/>
          <w:color w:val="auto"/>
          <w:sz w:val="24"/>
          <w:szCs w:val="22"/>
          <w:highlight w:val="none"/>
          <w:vertAlign w:val="subscript"/>
          <w:lang w:val="en-US" w:eastAsia="zh-CN" w:bidi="ar-SA"/>
        </w:rPr>
        <w:t>3</w:t>
      </w:r>
      <w:r>
        <w:rPr>
          <w:rFonts w:hint="eastAsia" w:ascii="Times New Roman" w:hAnsi="Times New Roman" w:eastAsia="宋体" w:cstheme="majorBidi"/>
          <w:b/>
          <w:color w:val="auto"/>
          <w:sz w:val="24"/>
          <w:szCs w:val="22"/>
          <w:highlight w:val="none"/>
          <w:lang w:val="en-US" w:eastAsia="zh-CN" w:bidi="ar-SA"/>
        </w:rPr>
        <w:t>、H</w:t>
      </w:r>
      <w:r>
        <w:rPr>
          <w:rFonts w:hint="eastAsia" w:ascii="Times New Roman" w:hAnsi="Times New Roman" w:eastAsia="宋体" w:cstheme="majorBidi"/>
          <w:b/>
          <w:color w:val="auto"/>
          <w:sz w:val="24"/>
          <w:szCs w:val="22"/>
          <w:highlight w:val="none"/>
          <w:vertAlign w:val="subscript"/>
          <w:lang w:val="en-US" w:eastAsia="zh-CN" w:bidi="ar-SA"/>
        </w:rPr>
        <w:t>2</w:t>
      </w:r>
      <w:r>
        <w:rPr>
          <w:rFonts w:hint="eastAsia" w:ascii="Times New Roman" w:hAnsi="Times New Roman" w:eastAsia="宋体" w:cstheme="majorBidi"/>
          <w:b/>
          <w:color w:val="auto"/>
          <w:sz w:val="24"/>
          <w:szCs w:val="22"/>
          <w:highlight w:val="none"/>
          <w:lang w:val="en-US" w:eastAsia="zh-CN" w:bidi="ar-SA"/>
        </w:rPr>
        <w:t>S产生量一览表单位：t/a</w:t>
      </w:r>
    </w:p>
    <w:tbl>
      <w:tblPr>
        <w:tblStyle w:val="176"/>
        <w:tblW w:w="8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2"/>
        <w:gridCol w:w="1977"/>
        <w:gridCol w:w="1811"/>
        <w:gridCol w:w="1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6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鸡粪含</w:t>
            </w:r>
            <w:r>
              <w:rPr>
                <w:rFonts w:ascii="Times New Roman" w:hAnsi="Times New Roman" w:eastAsia="宋体" w:cs="Times New Roman"/>
                <w:color w:val="auto"/>
                <w:spacing w:val="0"/>
                <w:position w:val="0"/>
                <w:sz w:val="21"/>
                <w:szCs w:val="21"/>
                <w:highlight w:val="none"/>
              </w:rPr>
              <w:t>N</w:t>
            </w:r>
            <w:r>
              <w:rPr>
                <w:rFonts w:ascii="Times New Roman" w:hAnsi="Times New Roman" w:eastAsia="宋体" w:cs="宋体"/>
                <w:color w:val="auto"/>
                <w:spacing w:val="0"/>
                <w:position w:val="0"/>
                <w:sz w:val="21"/>
                <w:szCs w:val="21"/>
                <w:highlight w:val="none"/>
              </w:rPr>
              <w:t>量</w:t>
            </w:r>
          </w:p>
        </w:tc>
        <w:tc>
          <w:tcPr>
            <w:tcW w:w="197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氮挥发量</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折合成</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6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406.8</w:t>
            </w:r>
          </w:p>
        </w:tc>
        <w:tc>
          <w:tcPr>
            <w:tcW w:w="1977"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40.68</w:t>
            </w:r>
          </w:p>
        </w:tc>
        <w:tc>
          <w:tcPr>
            <w:tcW w:w="1811"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10.17</w:t>
            </w:r>
          </w:p>
        </w:tc>
        <w:tc>
          <w:tcPr>
            <w:tcW w:w="187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1.017</w:t>
            </w:r>
          </w:p>
        </w:tc>
      </w:tr>
    </w:tbl>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lang w:eastAsia="zh-CN"/>
        </w:rPr>
      </w:pPr>
      <w:r>
        <w:rPr>
          <w:rFonts w:hint="eastAsia" w:ascii="Times New Roman" w:hAnsi="Times New Roman" w:eastAsia="宋体"/>
          <w:color w:val="auto"/>
          <w:spacing w:val="0"/>
          <w:sz w:val="24"/>
          <w:highlight w:val="none"/>
        </w:rPr>
        <w:t>②</w:t>
      </w:r>
      <w:r>
        <w:rPr>
          <w:rFonts w:hint="eastAsia"/>
          <w:color w:val="auto"/>
          <w:spacing w:val="0"/>
          <w:sz w:val="24"/>
          <w:highlight w:val="none"/>
          <w:lang w:eastAsia="zh-CN"/>
        </w:rPr>
        <w:t>废水收集池</w:t>
      </w:r>
    </w:p>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鸡舍冲洗废水在暂存的过程中会产生恶臭，</w:t>
      </w:r>
      <w:r>
        <w:rPr>
          <w:rFonts w:hint="eastAsia"/>
          <w:color w:val="auto"/>
          <w:spacing w:val="0"/>
          <w:sz w:val="24"/>
          <w:highlight w:val="none"/>
          <w:lang w:eastAsia="zh-CN"/>
        </w:rPr>
        <w:t>废水收集池</w:t>
      </w:r>
      <w:r>
        <w:rPr>
          <w:rFonts w:hint="eastAsia" w:ascii="Times New Roman" w:hAnsi="Times New Roman" w:eastAsia="宋体"/>
          <w:color w:val="auto"/>
          <w:spacing w:val="0"/>
          <w:sz w:val="24"/>
          <w:highlight w:val="none"/>
        </w:rPr>
        <w:t>采取加盖密封的方式，鸡舍冲洗废水排入</w:t>
      </w:r>
      <w:r>
        <w:rPr>
          <w:rFonts w:hint="eastAsia" w:ascii="Times New Roman" w:hAnsi="Times New Roman" w:eastAsia="宋体"/>
          <w:color w:val="auto"/>
          <w:spacing w:val="0"/>
          <w:sz w:val="24"/>
          <w:highlight w:val="none"/>
          <w:lang w:val="en-US" w:eastAsia="zh-CN"/>
        </w:rPr>
        <w:t>废水收集池（150m</w:t>
      </w:r>
      <w:r>
        <w:rPr>
          <w:rFonts w:hint="eastAsia" w:ascii="Times New Roman" w:hAnsi="Times New Roman" w:eastAsia="宋体"/>
          <w:color w:val="auto"/>
          <w:spacing w:val="0"/>
          <w:sz w:val="24"/>
          <w:highlight w:val="none"/>
          <w:vertAlign w:val="superscript"/>
          <w:lang w:val="en-US" w:eastAsia="zh-CN"/>
        </w:rPr>
        <w:t>3</w:t>
      </w:r>
      <w:r>
        <w:rPr>
          <w:rFonts w:hint="eastAsia" w:ascii="Times New Roman" w:hAnsi="Times New Roman" w:eastAsia="宋体"/>
          <w:color w:val="auto"/>
          <w:spacing w:val="0"/>
          <w:sz w:val="24"/>
          <w:highlight w:val="none"/>
          <w:lang w:val="en-US" w:eastAsia="zh-CN"/>
        </w:rPr>
        <w:t>）经过预处理后用作农肥。</w:t>
      </w:r>
      <w:r>
        <w:rPr>
          <w:rFonts w:hint="eastAsia" w:ascii="Times New Roman" w:hAnsi="Times New Roman" w:eastAsia="宋体"/>
          <w:color w:val="auto"/>
          <w:spacing w:val="0"/>
          <w:sz w:val="24"/>
          <w:highlight w:val="none"/>
        </w:rPr>
        <w:t>释放污染物量较少。</w:t>
      </w:r>
    </w:p>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通过合理设计鸡舍，粪便及时清除，正确选用饲料、合理饲喂、科学管理、喷洒除臭剂等措施，可有效削减鸡舍恶臭污染物的产生量，参考2011年05月《规模畜禽养殖场污染防治最佳可行技术指南(试行)编制说明》，本项目选取的源头废气削减系数详见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777"/>
        <w:gridCol w:w="1154"/>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序号</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源头消减措施</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消减效率（%）</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本次评价取值（%）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1</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选用优质饲料、添加微生物剂等来提高饲料的消化率和转化率，有效减少</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15~20</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ascii="Times New Roman" w:hAnsi="Times New Roman" w:eastAsia="宋体"/>
                <w:color w:val="auto"/>
                <w:spacing w:val="0"/>
                <w:sz w:val="21"/>
                <w:highlight w:val="none"/>
                <w:vertAlign w:val="baseline"/>
                <w:lang w:val="en-US" w:eastAsia="zh-CN"/>
              </w:rPr>
              <w:t>鸡舍选用密闭式鸡舍，除必要通风换气口外，无其他开口。鸡舍构型合理，同时舍内通过自动环境控制系统调节温度、湿度等，诚缓发酵速度</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67</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3</w:t>
            </w:r>
          </w:p>
        </w:tc>
        <w:tc>
          <w:tcPr>
            <w:tcW w:w="3388"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rPr>
            </w:pPr>
            <w:r>
              <w:rPr>
                <w:rFonts w:hint="eastAsia" w:ascii="Times New Roman" w:hAnsi="Times New Roman" w:eastAsia="宋体"/>
                <w:color w:val="auto"/>
                <w:spacing w:val="0"/>
                <w:sz w:val="21"/>
                <w:highlight w:val="none"/>
                <w:vertAlign w:val="baseline"/>
              </w:rPr>
              <w:t>采用干清粪法，粪便日产日清，充分减少粪便发酵产生的恶臭气</w:t>
            </w:r>
          </w:p>
        </w:tc>
        <w:tc>
          <w:tcPr>
            <w:tcW w:w="677"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26</w:t>
            </w:r>
          </w:p>
        </w:tc>
        <w:tc>
          <w:tcPr>
            <w:tcW w:w="634"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lang w:eastAsia="zh-CN"/>
        </w:rPr>
      </w:pPr>
      <w:r>
        <w:rPr>
          <w:rFonts w:hint="eastAsia" w:ascii="Times New Roman" w:hAnsi="Times New Roman" w:eastAsia="宋体"/>
          <w:color w:val="auto"/>
          <w:spacing w:val="0"/>
          <w:sz w:val="24"/>
          <w:highlight w:val="none"/>
        </w:rPr>
        <w:t>此外，根据《生物活菌除臭剂改善鸡舍环境效果的研究》(中国家禽2010年第32卷第24期)研究结果显示:鸡舍内喷洒除臭剂后，可使NH</w:t>
      </w:r>
      <w:r>
        <w:rPr>
          <w:rFonts w:hint="eastAsia"/>
          <w:color w:val="auto"/>
          <w:spacing w:val="0"/>
          <w:sz w:val="24"/>
          <w:highlight w:val="none"/>
          <w:lang w:eastAsia="zh-CN"/>
        </w:rPr>
        <w:t>；</w:t>
      </w:r>
      <w:r>
        <w:rPr>
          <w:rFonts w:hint="eastAsia" w:ascii="Times New Roman" w:hAnsi="Times New Roman" w:eastAsia="宋体"/>
          <w:color w:val="auto"/>
          <w:spacing w:val="0"/>
          <w:sz w:val="24"/>
          <w:highlight w:val="none"/>
        </w:rPr>
        <w:t>和HS的浓度分别降低41.12%和54.56%</w:t>
      </w:r>
      <w:r>
        <w:rPr>
          <w:rFonts w:hint="eastAsia"/>
          <w:color w:val="auto"/>
          <w:spacing w:val="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通过采用经氨基酸平衡的低蛋白饲料:科学合理地安排饲料配比，提高日粮营养物质消化率:在饲料中添加EM有效微生物:鸡舍构型合理，通过自动环境控制系统调节温度、湿度等，减缓鸡粪发酵速度:采用干清粪法，鸡粪日产日清:鸡舍定期喷洒除臭剂等措施，降低鸡舍恶臭气体对周围环境的影响。</w:t>
      </w:r>
    </w:p>
    <w:p>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ascii="Times New Roman" w:hAnsi="Times New Roman" w:eastAsia="宋体"/>
          <w:color w:val="auto"/>
          <w:highlight w:val="none"/>
        </w:rPr>
      </w:pPr>
      <w:r>
        <w:rPr>
          <w:rFonts w:hint="eastAsia" w:ascii="Times New Roman" w:hAnsi="Times New Roman" w:eastAsia="宋体"/>
          <w:color w:val="auto"/>
          <w:spacing w:val="0"/>
          <w:sz w:val="24"/>
          <w:highlight w:val="none"/>
        </w:rPr>
        <w:t>恶臭排放情况见表</w:t>
      </w:r>
      <w:r>
        <w:rPr>
          <w:rFonts w:ascii="Times New Roman" w:hAnsi="Times New Roman" w:eastAsia="宋体"/>
          <w:color w:val="auto"/>
          <w:spacing w:val="0"/>
          <w:sz w:val="24"/>
          <w:highlight w:val="none"/>
        </w:rPr>
        <w:t>3</w:t>
      </w:r>
      <w:r>
        <w:rPr>
          <w:rFonts w:hint="eastAsia" w:ascii="Times New Roman" w:hAnsi="Times New Roman" w:eastAsia="宋体"/>
          <w:color w:val="auto"/>
          <w:spacing w:val="0"/>
          <w:sz w:val="24"/>
          <w:highlight w:val="none"/>
        </w:rPr>
        <w:t>.</w:t>
      </w:r>
      <w:r>
        <w:rPr>
          <w:rFonts w:ascii="Times New Roman" w:hAnsi="Times New Roman" w:eastAsia="宋体"/>
          <w:color w:val="auto"/>
          <w:spacing w:val="0"/>
          <w:sz w:val="24"/>
          <w:highlight w:val="none"/>
        </w:rPr>
        <w:t>3</w:t>
      </w:r>
      <w:r>
        <w:rPr>
          <w:rFonts w:hint="eastAsia" w:ascii="Times New Roman" w:hAnsi="Times New Roman" w:eastAsia="宋体"/>
          <w:color w:val="auto"/>
          <w:spacing w:val="0"/>
          <w:sz w:val="24"/>
          <w:highlight w:val="none"/>
        </w:rPr>
        <w:t>-5。</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w:t>
      </w:r>
      <w:r>
        <w:rPr>
          <w:rFonts w:ascii="Times New Roman" w:hAnsi="Times New Roman" w:eastAsia="宋体"/>
          <w:color w:val="auto"/>
          <w:sz w:val="24"/>
          <w:szCs w:val="22"/>
          <w:highlight w:val="none"/>
        </w:rPr>
        <w:t>3</w:t>
      </w:r>
      <w:r>
        <w:rPr>
          <w:rFonts w:hint="eastAsia" w:ascii="Times New Roman" w:hAnsi="Times New Roman" w:eastAsia="宋体"/>
          <w:color w:val="auto"/>
          <w:sz w:val="24"/>
          <w:szCs w:val="22"/>
          <w:highlight w:val="none"/>
        </w:rPr>
        <w:t>.</w:t>
      </w:r>
      <w:r>
        <w:rPr>
          <w:rFonts w:ascii="Times New Roman" w:hAnsi="Times New Roman" w:eastAsia="宋体"/>
          <w:color w:val="auto"/>
          <w:sz w:val="24"/>
          <w:szCs w:val="22"/>
          <w:highlight w:val="none"/>
        </w:rPr>
        <w:t>3</w:t>
      </w:r>
      <w:r>
        <w:rPr>
          <w:rFonts w:hint="eastAsia" w:ascii="Times New Roman" w:hAnsi="Times New Roman" w:eastAsia="宋体"/>
          <w:color w:val="auto"/>
          <w:sz w:val="24"/>
          <w:szCs w:val="22"/>
          <w:highlight w:val="none"/>
        </w:rPr>
        <w:t>-5恶臭源强统计一览表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7"/>
        <w:gridCol w:w="1418"/>
        <w:gridCol w:w="1290"/>
        <w:gridCol w:w="1549"/>
        <w:gridCol w:w="1290"/>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78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地点</w:t>
            </w:r>
          </w:p>
        </w:tc>
        <w:tc>
          <w:tcPr>
            <w:tcW w:w="85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排放方式</w:t>
            </w:r>
          </w:p>
        </w:tc>
        <w:tc>
          <w:tcPr>
            <w:tcW w:w="1708"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排放速率</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kg/h</w:t>
            </w:r>
            <w:r>
              <w:rPr>
                <w:rFonts w:hint="eastAsia" w:cs="宋体"/>
                <w:color w:val="auto"/>
                <w:spacing w:val="0"/>
                <w:sz w:val="21"/>
                <w:szCs w:val="21"/>
                <w:highlight w:val="none"/>
                <w:lang w:eastAsia="zh-CN"/>
              </w:rPr>
              <w:t>）</w:t>
            </w:r>
          </w:p>
        </w:tc>
        <w:tc>
          <w:tcPr>
            <w:tcW w:w="165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78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5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77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93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77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8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78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85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无组织排放</w:t>
            </w:r>
          </w:p>
        </w:tc>
        <w:tc>
          <w:tcPr>
            <w:tcW w:w="77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0.07</w:t>
            </w:r>
          </w:p>
        </w:tc>
        <w:tc>
          <w:tcPr>
            <w:tcW w:w="93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0.005</w:t>
            </w:r>
          </w:p>
        </w:tc>
        <w:tc>
          <w:tcPr>
            <w:tcW w:w="77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0.6</w:t>
            </w:r>
          </w:p>
        </w:tc>
        <w:tc>
          <w:tcPr>
            <w:tcW w:w="88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0.046</w:t>
            </w:r>
          </w:p>
        </w:tc>
      </w:tr>
    </w:tbl>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.2.2</w:t>
      </w:r>
      <w:r>
        <w:rPr>
          <w:rFonts w:hint="eastAsia" w:ascii="Times New Roman" w:hAnsi="Times New Roman" w:eastAsia="宋体"/>
          <w:color w:val="auto"/>
          <w:highlight w:val="none"/>
        </w:rPr>
        <w:t>运营期水污染源</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本项目废水主要有鸡舍冲洗废水、生活污水。</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生活污水</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根据《新疆维吾尔自治区工业和生活用水定额》中相关数据，工作人员用水约80L/人·d，本项目劳动定员20人，则工作人员的生活用水量为584m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按365天计</w:t>
      </w:r>
      <w:r>
        <w:rPr>
          <w:rFonts w:hint="eastAsia"/>
          <w:color w:val="auto"/>
          <w:highlight w:val="none"/>
          <w:lang w:eastAsia="zh-CN"/>
        </w:rPr>
        <w:t>）</w:t>
      </w:r>
      <w:r>
        <w:rPr>
          <w:rFonts w:hint="eastAsia" w:ascii="Times New Roman" w:hAnsi="Times New Roman" w:eastAsia="宋体"/>
          <w:color w:val="auto"/>
          <w:highlight w:val="none"/>
        </w:rPr>
        <w:t>。生活污水按照用水量的80%计算，则生活污水排放量约为467.2m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/a。生活污水中污染物浓度约为COD</w:t>
      </w:r>
      <w:r>
        <w:rPr>
          <w:rFonts w:hint="eastAsia" w:ascii="Times New Roman" w:hAnsi="Times New Roman" w:eastAsia="宋体"/>
          <w:color w:val="auto"/>
          <w:highlight w:val="none"/>
          <w:vertAlign w:val="subscript"/>
        </w:rPr>
        <w:t>Cr</w:t>
      </w:r>
      <w:r>
        <w:rPr>
          <w:rFonts w:hint="eastAsia" w:ascii="Times New Roman" w:hAnsi="Times New Roman" w:eastAsia="宋体"/>
          <w:color w:val="auto"/>
          <w:highlight w:val="none"/>
        </w:rPr>
        <w:t>：400mg/L，BOD</w:t>
      </w:r>
      <w:r>
        <w:rPr>
          <w:rFonts w:hint="eastAsia" w:ascii="Times New Roman" w:hAnsi="Times New Roman" w:eastAsia="宋体"/>
          <w:color w:val="auto"/>
          <w:highlight w:val="none"/>
          <w:vertAlign w:val="subscript"/>
        </w:rPr>
        <w:t>5</w:t>
      </w:r>
      <w:r>
        <w:rPr>
          <w:rFonts w:hint="eastAsia" w:ascii="Times New Roman" w:hAnsi="Times New Roman" w:eastAsia="宋体"/>
          <w:color w:val="auto"/>
          <w:highlight w:val="none"/>
        </w:rPr>
        <w:t>：250mg/L，SS：150mg/L，NH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-N：50mg/L。</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本项目生活污水产生量见表</w:t>
      </w:r>
      <w:r>
        <w:rPr>
          <w:rFonts w:hint="eastAsia" w:ascii="Times New Roman" w:hAnsi="Times New Roman" w:eastAsia="宋体"/>
          <w:color w:val="auto"/>
          <w:highlight w:val="none"/>
          <w:lang w:val="en-US" w:eastAsia="zh-CN"/>
        </w:rPr>
        <w:t>3.3-6</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3.3-6</w:t>
      </w:r>
      <w:r>
        <w:rPr>
          <w:rFonts w:hint="eastAsia" w:ascii="Times New Roman" w:hAnsi="Times New Roman" w:eastAsia="宋体"/>
          <w:b/>
          <w:bCs/>
          <w:color w:val="auto"/>
          <w:highlight w:val="none"/>
        </w:rPr>
        <w:t>生活污水产生量</w:t>
      </w:r>
    </w:p>
    <w:p>
      <w:pPr>
        <w:spacing w:line="20" w:lineRule="exact"/>
        <w:rPr>
          <w:rFonts w:ascii="Times New Roman" w:hAnsi="Times New Roman" w:eastAsia="宋体"/>
          <w:color w:val="auto"/>
          <w:highlight w:val="none"/>
        </w:rPr>
      </w:pP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jc w:val="center"/>
        </w:trPr>
        <w:tc>
          <w:tcPr>
            <w:tcW w:w="90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废水来源</w:t>
            </w:r>
          </w:p>
        </w:tc>
        <w:tc>
          <w:tcPr>
            <w:tcW w:w="90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废水量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0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产生浓度</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c>
          <w:tcPr>
            <w:tcW w:w="119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w:t>
            </w:r>
          </w:p>
        </w:tc>
        <w:tc>
          <w:tcPr>
            <w:tcW w:w="90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467.2</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CODcr</w:t>
            </w:r>
          </w:p>
        </w:tc>
        <w:tc>
          <w:tcPr>
            <w:tcW w:w="10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400</w:t>
            </w:r>
          </w:p>
        </w:tc>
        <w:tc>
          <w:tcPr>
            <w:tcW w:w="119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jc w:val="center"/>
        </w:trPr>
        <w:tc>
          <w:tcPr>
            <w:tcW w:w="90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14"/>
                <w:highlight w:val="none"/>
                <w:vertAlign w:val="subscript"/>
              </w:rPr>
              <w:t>5</w:t>
            </w:r>
          </w:p>
        </w:tc>
        <w:tc>
          <w:tcPr>
            <w:tcW w:w="10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250</w:t>
            </w:r>
          </w:p>
        </w:tc>
        <w:tc>
          <w:tcPr>
            <w:tcW w:w="119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jc w:val="center"/>
        </w:trPr>
        <w:tc>
          <w:tcPr>
            <w:tcW w:w="90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10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150</w:t>
            </w:r>
          </w:p>
        </w:tc>
        <w:tc>
          <w:tcPr>
            <w:tcW w:w="119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jc w:val="center"/>
        </w:trPr>
        <w:tc>
          <w:tcPr>
            <w:tcW w:w="90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Times New Roman"/>
                <w:color w:val="auto"/>
                <w:spacing w:val="0"/>
                <w:position w:val="0"/>
                <w:sz w:val="21"/>
                <w:szCs w:val="21"/>
                <w:highlight w:val="none"/>
              </w:rPr>
              <w:t>-N</w:t>
            </w:r>
          </w:p>
        </w:tc>
        <w:tc>
          <w:tcPr>
            <w:tcW w:w="10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50</w:t>
            </w:r>
          </w:p>
        </w:tc>
        <w:tc>
          <w:tcPr>
            <w:tcW w:w="119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0.02</w:t>
            </w:r>
          </w:p>
        </w:tc>
      </w:tr>
    </w:tbl>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鸡舍冲洗废水</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olor w:val="auto"/>
          <w:highlight w:val="none"/>
        </w:rPr>
        <w:t>本项目每年从天康公司的现代化专业蛋鸡育雏场购买出壳鸡苗，饲养方式采取全进全出制，0-6周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转至育成舍进行养殖，饲养16周左右外售给头工乡蛋鸡产业园。根据《无公害食品畜禽饲养兽医防疫准则》</w:t>
      </w:r>
      <w:r>
        <w:rPr>
          <w:rFonts w:hint="eastAsia"/>
          <w:color w:val="auto"/>
          <w:highlight w:val="none"/>
          <w:lang w:eastAsia="zh-CN"/>
        </w:rPr>
        <w:t>（</w:t>
      </w:r>
      <w:r>
        <w:rPr>
          <w:rFonts w:ascii="Times New Roman" w:hAnsi="Times New Roman" w:eastAsia="宋体"/>
          <w:color w:val="auto"/>
          <w:highlight w:val="none"/>
        </w:rPr>
        <w:t>NY/T5339-2017</w:t>
      </w:r>
      <w:r>
        <w:rPr>
          <w:rFonts w:hint="eastAsia"/>
          <w:color w:val="auto"/>
          <w:highlight w:val="none"/>
          <w:lang w:eastAsia="zh-CN"/>
        </w:rPr>
        <w:t>）</w:t>
      </w:r>
      <w:r>
        <w:rPr>
          <w:rFonts w:ascii="Times New Roman" w:hAnsi="Times New Roman" w:eastAsia="宋体"/>
          <w:color w:val="auto"/>
          <w:highlight w:val="none"/>
        </w:rPr>
        <w:t>中相关规定，</w:t>
      </w:r>
      <w:r>
        <w:rPr>
          <w:rFonts w:hint="eastAsia"/>
          <w:color w:val="auto"/>
          <w:highlight w:val="none"/>
          <w:lang w:eastAsia="zh-CN"/>
        </w:rPr>
        <w:t>”</w:t>
      </w:r>
      <w:r>
        <w:rPr>
          <w:rFonts w:ascii="Times New Roman" w:hAnsi="Times New Roman" w:eastAsia="宋体"/>
          <w:color w:val="auto"/>
          <w:highlight w:val="none"/>
        </w:rPr>
        <w:t>畜禽转舍、售出后，应对空舍进行严格清洁和消毒，消毒后至少空舍一周后，再引入畜禽饲养</w:t>
      </w:r>
      <w:r>
        <w:rPr>
          <w:rFonts w:hint="eastAsia"/>
          <w:color w:val="auto"/>
          <w:highlight w:val="none"/>
          <w:lang w:eastAsia="zh-CN"/>
        </w:rPr>
        <w:t>”</w:t>
      </w:r>
      <w:r>
        <w:rPr>
          <w:rFonts w:ascii="Times New Roman" w:hAnsi="Times New Roman" w:eastAsia="宋体"/>
          <w:color w:val="auto"/>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/100m</w:t>
      </w:r>
      <w:r>
        <w:rPr>
          <w:rFonts w:ascii="Times New Roman" w:hAnsi="Times New Roman" w:eastAsia="宋体"/>
          <w:color w:val="auto"/>
          <w:highlight w:val="none"/>
          <w:vertAlign w:val="superscript"/>
        </w:rPr>
        <w:t>2</w:t>
      </w:r>
      <w:r>
        <w:rPr>
          <w:rFonts w:ascii="Times New Roman" w:hAnsi="Times New Roman" w:eastAsia="宋体"/>
          <w:color w:val="auto"/>
          <w:highlight w:val="none"/>
        </w:rPr>
        <w:t>计，项目区计划设置鸡舍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栋，每栋鸡舍建筑面积为</w:t>
      </w:r>
      <w:r>
        <w:rPr>
          <w:rFonts w:hint="eastAsia" w:ascii="Times New Roman" w:hAnsi="Times New Roman" w:eastAsia="宋体"/>
          <w:color w:val="auto"/>
          <w:highlight w:val="none"/>
          <w:lang w:val="en-US" w:eastAsia="zh-CN"/>
        </w:rPr>
        <w:t>1080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共</w:t>
      </w:r>
      <w:r>
        <w:rPr>
          <w:rFonts w:hint="eastAsia" w:ascii="Times New Roman" w:hAnsi="Times New Roman" w:eastAsia="宋体"/>
          <w:color w:val="auto"/>
          <w:highlight w:val="none"/>
          <w:lang w:val="en-US" w:eastAsia="zh-CN"/>
        </w:rPr>
        <w:t>6480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，则项目区每栋鸡舍冲洗用水量为21.6m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/次，</w:t>
      </w:r>
      <w:r>
        <w:rPr>
          <w:rFonts w:hint="eastAsia" w:ascii="Times New Roman" w:hAnsi="Times New Roman" w:eastAsia="宋体"/>
          <w:color w:val="auto"/>
          <w:highlight w:val="none"/>
          <w:lang w:val="en-US" w:eastAsia="zh-CN"/>
        </w:rPr>
        <w:t>64.8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全场共</w:t>
      </w:r>
      <w:r>
        <w:rPr>
          <w:rFonts w:hint="eastAsia" w:ascii="Times New Roman" w:hAnsi="Times New Roman" w:eastAsia="宋体"/>
          <w:color w:val="auto"/>
          <w:highlight w:val="none"/>
          <w:lang w:val="en-US" w:eastAsia="zh-CN"/>
        </w:rPr>
        <w:t>388.8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46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根据《规模畜禽养殖场污染防治最佳可行技术指南</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试行</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HJ-BAT-10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中规定，鸡舍冲洗废水的产生浓度为</w:t>
      </w:r>
      <w:r>
        <w:rPr>
          <w:rFonts w:ascii="Times New Roman" w:hAnsi="Times New Roman" w:eastAsia="宋体" w:cs="Times New Roman"/>
          <w:color w:val="auto"/>
          <w:spacing w:val="0"/>
          <w:position w:val="0"/>
          <w:sz w:val="24"/>
          <w:szCs w:val="24"/>
          <w:highlight w:val="none"/>
        </w:rPr>
        <w:t>COD</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3040mg/L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BOD</w:t>
      </w:r>
      <w:r>
        <w:rPr>
          <w:rFonts w:ascii="Times New Roman" w:hAnsi="Times New Roman" w:eastAsia="宋体" w:cs="Times New Roman"/>
          <w:color w:val="auto"/>
          <w:spacing w:val="0"/>
          <w:position w:val="0"/>
          <w:sz w:val="24"/>
          <w:szCs w:val="15"/>
          <w:highlight w:val="none"/>
          <w:vertAlign w:val="subscript"/>
        </w:rPr>
        <w:t>5</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800mg/L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SS</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NH</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TP</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150mg/L</w:t>
      </w:r>
      <w:r>
        <w:rPr>
          <w:rFonts w:ascii="Times New Roman" w:hAnsi="Times New Roman" w:eastAsia="宋体" w:cs="宋体"/>
          <w:color w:val="auto"/>
          <w:spacing w:val="0"/>
          <w:position w:val="0"/>
          <w:sz w:val="24"/>
          <w:szCs w:val="24"/>
          <w:highlight w:val="none"/>
        </w:rPr>
        <w:t>。本项目鸡舍冲洗</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废水产生量及产生浓度见表</w:t>
      </w:r>
      <w:r>
        <w:rPr>
          <w:rFonts w:hint="eastAsia" w:ascii="Times New Roman" w:hAnsi="Times New Roman" w:eastAsia="宋体" w:cs="宋体"/>
          <w:color w:val="auto"/>
          <w:spacing w:val="0"/>
          <w:position w:val="0"/>
          <w:sz w:val="24"/>
          <w:szCs w:val="24"/>
          <w:highlight w:val="none"/>
          <w:lang w:val="en-US" w:eastAsia="zh-CN"/>
        </w:rPr>
        <w:t>3.3-7</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3.3-7</w:t>
      </w:r>
      <w:r>
        <w:rPr>
          <w:rFonts w:ascii="Times New Roman" w:hAnsi="Times New Roman" w:eastAsia="宋体" w:cs="黑体"/>
          <w:b/>
          <w:bCs/>
          <w:color w:val="auto"/>
          <w:spacing w:val="0"/>
          <w:position w:val="0"/>
          <w:sz w:val="24"/>
          <w:szCs w:val="21"/>
          <w:highlight w:val="none"/>
        </w:rPr>
        <w:t>鸡舍冲洗废水产生量</w:t>
      </w:r>
    </w:p>
    <w:p>
      <w:pPr>
        <w:spacing w:line="20" w:lineRule="exact"/>
        <w:rPr>
          <w:rFonts w:ascii="Times New Roman" w:hAnsi="Times New Roman" w:eastAsia="宋体"/>
          <w:color w:val="auto"/>
          <w:highlight w:val="none"/>
        </w:rPr>
      </w:pP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8" w:hRule="atLeast"/>
          <w:jc w:val="center"/>
        </w:trPr>
        <w:tc>
          <w:tcPr>
            <w:tcW w:w="9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废水来源</w:t>
            </w: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废水量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产生浓度</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w:t>
            </w:r>
          </w:p>
        </w:tc>
        <w:tc>
          <w:tcPr>
            <w:tcW w:w="9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388.8</w:t>
            </w: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CODcr</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3040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jc w:val="center"/>
        </w:trPr>
        <w:tc>
          <w:tcPr>
            <w:tcW w:w="9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14"/>
                <w:highlight w:val="none"/>
                <w:vertAlign w:val="subscript"/>
              </w:rPr>
              <w:t>5</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800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jc w:val="center"/>
        </w:trPr>
        <w:tc>
          <w:tcPr>
            <w:tcW w:w="9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1200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jc w:val="center"/>
        </w:trPr>
        <w:tc>
          <w:tcPr>
            <w:tcW w:w="9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Times New Roman"/>
                <w:color w:val="auto"/>
                <w:spacing w:val="0"/>
                <w:position w:val="0"/>
                <w:sz w:val="21"/>
                <w:szCs w:val="21"/>
                <w:highlight w:val="none"/>
              </w:rPr>
              <w:t>-N</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jc w:val="center"/>
        </w:trPr>
        <w:tc>
          <w:tcPr>
            <w:tcW w:w="9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TP</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jc w:val="center"/>
        </w:trPr>
        <w:tc>
          <w:tcPr>
            <w:tcW w:w="9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TN</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150</w:t>
            </w:r>
          </w:p>
        </w:tc>
        <w:tc>
          <w:tcPr>
            <w:tcW w:w="1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eastAsia="zh-CN"/>
              </w:rPr>
              <w:t>0.046</w:t>
            </w:r>
          </w:p>
        </w:tc>
      </w:tr>
    </w:tbl>
    <w:p>
      <w:pPr>
        <w:ind w:firstLine="480"/>
        <w:rPr>
          <w:rFonts w:ascii="Times New Roman" w:hAnsi="Times New Roman" w:eastAsia="宋体"/>
          <w:color w:val="auto"/>
          <w:highlight w:val="none"/>
        </w:rPr>
      </w:pPr>
      <w:r>
        <w:rPr>
          <w:rFonts w:ascii="Times New Roman" w:hAnsi="Times New Roman" w:eastAsia="宋体" w:cs="宋体"/>
          <w:color w:val="auto"/>
          <w:spacing w:val="-12"/>
          <w:sz w:val="24"/>
          <w:szCs w:val="24"/>
          <w:highlight w:val="none"/>
        </w:rPr>
        <w:t>生活污</w:t>
      </w:r>
      <w:r>
        <w:rPr>
          <w:rFonts w:ascii="Times New Roman" w:hAnsi="Times New Roman" w:eastAsia="宋体" w:cs="宋体"/>
          <w:color w:val="auto"/>
          <w:spacing w:val="-9"/>
          <w:sz w:val="24"/>
          <w:szCs w:val="24"/>
          <w:highlight w:val="none"/>
        </w:rPr>
        <w:t>水</w:t>
      </w:r>
      <w:r>
        <w:rPr>
          <w:rFonts w:ascii="Times New Roman" w:hAnsi="Times New Roman" w:eastAsia="宋体" w:cs="宋体"/>
          <w:color w:val="auto"/>
          <w:spacing w:val="-6"/>
          <w:sz w:val="24"/>
          <w:szCs w:val="24"/>
          <w:highlight w:val="none"/>
        </w:rPr>
        <w:t>直接排入下水管网，最终进入玛纳斯县城污水处理厂；鸡舍冲洗废</w:t>
      </w:r>
      <w:r>
        <w:rPr>
          <w:rFonts w:ascii="Times New Roman" w:hAnsi="Times New Roman" w:eastAsia="宋体" w:cs="宋体"/>
          <w:color w:val="auto"/>
          <w:spacing w:val="-2"/>
          <w:sz w:val="24"/>
          <w:szCs w:val="24"/>
          <w:highlight w:val="none"/>
        </w:rPr>
        <w:t>水鸡舍冲洗废水排入</w:t>
      </w:r>
      <w:r>
        <w:rPr>
          <w:rFonts w:hint="eastAsia" w:ascii="Times New Roman" w:hAnsi="Times New Roman" w:eastAsia="宋体" w:cs="宋体"/>
          <w:color w:val="auto"/>
          <w:spacing w:val="-2"/>
          <w:sz w:val="24"/>
          <w:szCs w:val="24"/>
          <w:highlight w:val="none"/>
          <w:lang w:val="en-US" w:eastAsia="zh-CN"/>
        </w:rPr>
        <w:t>废水收集池（150m</w:t>
      </w:r>
      <w:r>
        <w:rPr>
          <w:rFonts w:hint="eastAsia" w:ascii="Times New Roman" w:hAnsi="Times New Roman" w:eastAsia="宋体" w:cs="宋体"/>
          <w:color w:val="auto"/>
          <w:spacing w:val="-2"/>
          <w:sz w:val="24"/>
          <w:szCs w:val="24"/>
          <w:highlight w:val="none"/>
          <w:vertAlign w:val="superscript"/>
          <w:lang w:val="en-US" w:eastAsia="zh-CN"/>
        </w:rPr>
        <w:t>3</w:t>
      </w:r>
      <w:r>
        <w:rPr>
          <w:rFonts w:hint="eastAsia" w:ascii="Times New Roman" w:hAnsi="Times New Roman" w:eastAsia="宋体" w:cs="宋体"/>
          <w:color w:val="auto"/>
          <w:spacing w:val="-2"/>
          <w:sz w:val="24"/>
          <w:szCs w:val="24"/>
          <w:highlight w:val="none"/>
          <w:lang w:val="en-US" w:eastAsia="zh-CN"/>
        </w:rPr>
        <w:t>）经过预处理后用作农肥。</w:t>
      </w:r>
    </w:p>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.2.3固废</w:t>
      </w:r>
    </w:p>
    <w:p>
      <w:pPr>
        <w:keepNext w:val="0"/>
        <w:keepLines w:val="0"/>
        <w:pageBreakBefore w:val="0"/>
        <w:widowControl w:val="0"/>
        <w:kinsoku/>
        <w:wordWrap/>
        <w:overflowPunct/>
        <w:topLinePunct w:val="0"/>
        <w:autoSpaceDE/>
        <w:autoSpaceDN/>
        <w:bidi w:val="0"/>
        <w:adjustRightInd/>
        <w:snapToGrid/>
        <w:spacing w:line="480" w:lineRule="exact"/>
        <w:ind w:left="0" w:right="0" w:firstLine="477"/>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本项目产生的固体废物主要为鸡粪及散落羽毛、病死鸡只、废弃包装物、生活垃圾、医疗废物。</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鸡粪及散落羽毛</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w:t>
      </w:r>
      <w:r>
        <w:rPr>
          <w:rFonts w:ascii="Times New Roman" w:hAnsi="Times New Roman" w:eastAsia="宋体"/>
          <w:color w:val="auto"/>
          <w:spacing w:val="0"/>
          <w:sz w:val="24"/>
          <w:highlight w:val="none"/>
        </w:rPr>
        <w:fldChar w:fldCharType="begin"/>
      </w:r>
      <w:r>
        <w:rPr>
          <w:rFonts w:ascii="Times New Roman" w:hAnsi="Times New Roman" w:eastAsia="宋体"/>
          <w:color w:val="auto"/>
          <w:spacing w:val="0"/>
          <w:sz w:val="24"/>
          <w:highlight w:val="none"/>
        </w:rPr>
        <w:instrText xml:space="preserve"> HYPERLINK "http://www.mee.gov.cn/ywgz/fgbz/bz/bzwb/pwxk/201906/W020190620431392417623.pdf" </w:instrText>
      </w:r>
      <w:r>
        <w:rPr>
          <w:rFonts w:ascii="Times New Roman" w:hAnsi="Times New Roman" w:eastAsia="宋体"/>
          <w:color w:val="auto"/>
          <w:spacing w:val="0"/>
          <w:sz w:val="24"/>
          <w:highlight w:val="none"/>
        </w:rPr>
        <w:fldChar w:fldCharType="separate"/>
      </w:r>
      <w:r>
        <w:rPr>
          <w:rFonts w:ascii="Times New Roman" w:hAnsi="Times New Roman" w:eastAsia="宋体" w:cs="宋体"/>
          <w:color w:val="auto"/>
          <w:spacing w:val="0"/>
          <w:sz w:val="24"/>
          <w:szCs w:val="24"/>
          <w:highlight w:val="none"/>
        </w:rPr>
        <w:t>排污许可证申请与核发技术规范畜禽养殖行业</w:t>
      </w:r>
      <w:r>
        <w:rPr>
          <w:rFonts w:ascii="Times New Roman" w:hAnsi="Times New Roman" w:eastAsia="宋体" w:cs="宋体"/>
          <w:color w:val="auto"/>
          <w:spacing w:val="0"/>
          <w:sz w:val="24"/>
          <w:szCs w:val="24"/>
          <w:highlight w:val="none"/>
        </w:rPr>
        <w:fldChar w:fldCharType="end"/>
      </w:r>
      <w:r>
        <w:rPr>
          <w:rFonts w:ascii="Times New Roman" w:hAnsi="Times New Roman" w:eastAsia="宋体" w:cs="宋体"/>
          <w:color w:val="auto"/>
          <w:spacing w:val="0"/>
          <w:sz w:val="24"/>
          <w:szCs w:val="24"/>
          <w:highlight w:val="none"/>
        </w:rPr>
        <w:t>》</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HJ1029-2019</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表</w:t>
      </w:r>
      <w:r>
        <w:rPr>
          <w:rFonts w:ascii="Times New Roman" w:hAnsi="Times New Roman" w:eastAsia="宋体" w:cs="Times New Roman"/>
          <w:color w:val="auto"/>
          <w:spacing w:val="0"/>
          <w:sz w:val="24"/>
          <w:szCs w:val="24"/>
          <w:highlight w:val="none"/>
        </w:rPr>
        <w:t>9</w:t>
      </w:r>
      <w:r>
        <w:rPr>
          <w:rFonts w:ascii="Times New Roman" w:hAnsi="Times New Roman" w:eastAsia="宋体" w:cs="宋体"/>
          <w:color w:val="auto"/>
          <w:spacing w:val="0"/>
          <w:sz w:val="24"/>
          <w:szCs w:val="24"/>
          <w:highlight w:val="none"/>
        </w:rPr>
        <w:t>各类畜禽污染物产生量，蛋鸡粪便产生量为</w:t>
      </w:r>
      <w:r>
        <w:rPr>
          <w:rFonts w:ascii="Times New Roman" w:hAnsi="Times New Roman" w:eastAsia="宋体" w:cs="Times New Roman"/>
          <w:color w:val="auto"/>
          <w:spacing w:val="0"/>
          <w:sz w:val="24"/>
          <w:szCs w:val="24"/>
          <w:highlight w:val="none"/>
        </w:rPr>
        <w:t>0.13kg/d</w:t>
      </w:r>
      <w:r>
        <w:rPr>
          <w:rFonts w:ascii="Times New Roman" w:hAnsi="Times New Roman" w:eastAsia="宋体" w:cs="宋体"/>
          <w:color w:val="auto"/>
          <w:spacing w:val="0"/>
          <w:sz w:val="24"/>
          <w:szCs w:val="24"/>
          <w:highlight w:val="none"/>
        </w:rPr>
        <w:t>•只，鸡舍每日产生的鸡粪日产日清，年出栏共</w:t>
      </w:r>
      <w:r>
        <w:rPr>
          <w:rFonts w:hint="eastAsia" w:ascii="Times New Roman" w:hAnsi="Times New Roman" w:eastAsia="宋体" w:cs="宋体"/>
          <w:color w:val="auto"/>
          <w:spacing w:val="0"/>
          <w:sz w:val="24"/>
          <w:szCs w:val="24"/>
          <w:highlight w:val="none"/>
          <w:lang w:val="en-US" w:eastAsia="zh-CN"/>
        </w:rPr>
        <w:t>72</w:t>
      </w:r>
      <w:r>
        <w:rPr>
          <w:rFonts w:ascii="Times New Roman" w:hAnsi="Times New Roman" w:eastAsia="宋体" w:cs="宋体"/>
          <w:color w:val="auto"/>
          <w:spacing w:val="0"/>
          <w:sz w:val="24"/>
          <w:szCs w:val="24"/>
          <w:highlight w:val="none"/>
        </w:rPr>
        <w:t>万羽</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每批次存栏共</w:t>
      </w:r>
      <w:r>
        <w:rPr>
          <w:rFonts w:hint="eastAsia" w:ascii="Times New Roman" w:hAnsi="Times New Roman" w:eastAsia="宋体" w:cs="宋体"/>
          <w:color w:val="auto"/>
          <w:spacing w:val="0"/>
          <w:sz w:val="24"/>
          <w:szCs w:val="24"/>
          <w:highlight w:val="none"/>
          <w:lang w:val="en-US" w:eastAsia="zh-CN"/>
        </w:rPr>
        <w:t>24</w:t>
      </w:r>
      <w:r>
        <w:rPr>
          <w:rFonts w:ascii="Times New Roman" w:hAnsi="Times New Roman" w:eastAsia="宋体" w:cs="宋体"/>
          <w:color w:val="auto"/>
          <w:spacing w:val="0"/>
          <w:sz w:val="24"/>
          <w:szCs w:val="24"/>
          <w:highlight w:val="none"/>
        </w:rPr>
        <w:t>万羽，每年出</w:t>
      </w:r>
      <w:r>
        <w:rPr>
          <w:rFonts w:ascii="Times New Roman" w:hAnsi="Times New Roman" w:eastAsia="宋体" w:cs="Times New Roman"/>
          <w:color w:val="auto"/>
          <w:spacing w:val="0"/>
          <w:sz w:val="24"/>
          <w:szCs w:val="24"/>
          <w:highlight w:val="none"/>
        </w:rPr>
        <w:t>3</w:t>
      </w:r>
      <w:r>
        <w:rPr>
          <w:rFonts w:ascii="Times New Roman" w:hAnsi="Times New Roman" w:eastAsia="宋体" w:cs="宋体"/>
          <w:color w:val="auto"/>
          <w:spacing w:val="0"/>
          <w:sz w:val="24"/>
          <w:szCs w:val="24"/>
          <w:highlight w:val="none"/>
        </w:rPr>
        <w:t>批</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，故鸡粪量为</w:t>
      </w:r>
      <w:r>
        <w:rPr>
          <w:rFonts w:hint="eastAsia" w:ascii="Times New Roman" w:hAnsi="Times New Roman" w:eastAsia="宋体" w:cs="宋体"/>
          <w:color w:val="auto"/>
          <w:spacing w:val="0"/>
          <w:sz w:val="24"/>
          <w:szCs w:val="24"/>
          <w:highlight w:val="none"/>
          <w:lang w:val="en-US" w:eastAsia="zh-CN"/>
        </w:rPr>
        <w:t>31.2</w:t>
      </w:r>
      <w:r>
        <w:rPr>
          <w:rFonts w:ascii="Times New Roman" w:hAnsi="Times New Roman" w:eastAsia="宋体" w:cs="Times New Roman"/>
          <w:color w:val="auto"/>
          <w:spacing w:val="0"/>
          <w:sz w:val="24"/>
          <w:szCs w:val="24"/>
          <w:highlight w:val="none"/>
        </w:rPr>
        <w:t>t/d</w:t>
      </w:r>
      <w:r>
        <w:rPr>
          <w:rFonts w:ascii="Times New Roman" w:hAnsi="Times New Roman" w:eastAsia="宋体" w:cs="宋体"/>
          <w:color w:val="auto"/>
          <w:spacing w:val="0"/>
          <w:sz w:val="24"/>
          <w:szCs w:val="24"/>
          <w:highlight w:val="none"/>
        </w:rPr>
        <w:t>。每天采用密封清粪车运输，</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2</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病死鸡只</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本项目常年存栏量蛋鸡为</w:t>
      </w:r>
      <w:r>
        <w:rPr>
          <w:rFonts w:hint="eastAsia" w:ascii="Times New Roman" w:hAnsi="Times New Roman" w:eastAsia="宋体" w:cs="宋体"/>
          <w:color w:val="auto"/>
          <w:spacing w:val="0"/>
          <w:sz w:val="24"/>
          <w:szCs w:val="24"/>
          <w:highlight w:val="none"/>
          <w:lang w:val="en-US" w:eastAsia="zh-CN"/>
        </w:rPr>
        <w:t>24</w:t>
      </w:r>
      <w:r>
        <w:rPr>
          <w:rFonts w:ascii="Times New Roman" w:hAnsi="Times New Roman" w:eastAsia="宋体" w:cs="宋体"/>
          <w:color w:val="auto"/>
          <w:spacing w:val="0"/>
          <w:sz w:val="24"/>
          <w:szCs w:val="24"/>
          <w:highlight w:val="none"/>
        </w:rPr>
        <w:t>万羽，病死率与饲养水平等有关，正常情况下年雏鸡的死亡率一般为存栏量的</w:t>
      </w:r>
      <w:r>
        <w:rPr>
          <w:rFonts w:ascii="Times New Roman" w:hAnsi="Times New Roman" w:eastAsia="宋体" w:cs="Times New Roman"/>
          <w:color w:val="auto"/>
          <w:spacing w:val="0"/>
          <w:sz w:val="24"/>
          <w:szCs w:val="24"/>
          <w:highlight w:val="none"/>
        </w:rPr>
        <w:t>3%</w:t>
      </w:r>
      <w:r>
        <w:rPr>
          <w:rFonts w:ascii="Times New Roman" w:hAnsi="Times New Roman" w:eastAsia="宋体" w:cs="宋体"/>
          <w:color w:val="auto"/>
          <w:spacing w:val="0"/>
          <w:sz w:val="24"/>
          <w:szCs w:val="24"/>
          <w:highlight w:val="none"/>
        </w:rPr>
        <w:t>左右，病死鸡重量平均为</w:t>
      </w:r>
      <w:r>
        <w:rPr>
          <w:rFonts w:ascii="Times New Roman" w:hAnsi="Times New Roman" w:eastAsia="宋体" w:cs="Times New Roman"/>
          <w:color w:val="auto"/>
          <w:spacing w:val="0"/>
          <w:sz w:val="24"/>
          <w:szCs w:val="24"/>
          <w:highlight w:val="none"/>
        </w:rPr>
        <w:t>0.5kg/</w:t>
      </w:r>
      <w:r>
        <w:rPr>
          <w:rFonts w:ascii="Times New Roman" w:hAnsi="Times New Roman" w:eastAsia="宋体" w:cs="宋体"/>
          <w:color w:val="auto"/>
          <w:spacing w:val="0"/>
          <w:sz w:val="24"/>
          <w:szCs w:val="24"/>
          <w:highlight w:val="none"/>
        </w:rPr>
        <w:t>只，病死鸡产生量为</w:t>
      </w:r>
      <w:r>
        <w:rPr>
          <w:rFonts w:hint="eastAsia" w:ascii="Times New Roman" w:hAnsi="Times New Roman" w:eastAsia="宋体" w:cs="宋体"/>
          <w:color w:val="auto"/>
          <w:spacing w:val="0"/>
          <w:sz w:val="24"/>
          <w:szCs w:val="24"/>
          <w:highlight w:val="none"/>
          <w:lang w:val="en-US" w:eastAsia="zh-CN"/>
        </w:rPr>
        <w:t>3.6</w:t>
      </w:r>
      <w:r>
        <w:rPr>
          <w:rFonts w:ascii="Times New Roman" w:hAnsi="Times New Roman" w:eastAsia="宋体" w:cs="Times New Roman"/>
          <w:color w:val="auto"/>
          <w:spacing w:val="0"/>
          <w:sz w:val="24"/>
          <w:szCs w:val="24"/>
          <w:highlight w:val="none"/>
        </w:rPr>
        <w:t>t/a</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废弃包装物</w:t>
      </w:r>
    </w:p>
    <w:p>
      <w:pPr>
        <w:keepNext w:val="0"/>
        <w:keepLines w:val="0"/>
        <w:pageBreakBefore w:val="0"/>
        <w:widowControl w:val="0"/>
        <w:kinsoku/>
        <w:wordWrap/>
        <w:overflowPunct/>
        <w:topLinePunct w:val="0"/>
        <w:autoSpaceDE/>
        <w:autoSpaceDN/>
        <w:bidi w:val="0"/>
        <w:adjustRightInd/>
        <w:snapToGrid/>
        <w:spacing w:line="480" w:lineRule="exact"/>
        <w:ind w:left="0" w:right="0" w:firstLine="47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本项目外购饲料会产生废包装袋，根据类比同类企业，废弃包装物产生量约为</w:t>
      </w:r>
      <w:r>
        <w:rPr>
          <w:rFonts w:ascii="Times New Roman" w:hAnsi="Times New Roman" w:eastAsia="宋体" w:cs="Times New Roman"/>
          <w:color w:val="auto"/>
          <w:spacing w:val="0"/>
          <w:sz w:val="24"/>
          <w:szCs w:val="24"/>
          <w:highlight w:val="none"/>
        </w:rPr>
        <w:t>1.2t/a</w:t>
      </w:r>
      <w:r>
        <w:rPr>
          <w:rFonts w:ascii="Times New Roman" w:hAnsi="Times New Roman" w:eastAsia="宋体" w:cs="宋体"/>
          <w:color w:val="auto"/>
          <w:spacing w:val="0"/>
          <w:sz w:val="24"/>
          <w:szCs w:val="24"/>
          <w:highlight w:val="none"/>
        </w:rPr>
        <w:t>，废饲料包装袋进行外售。</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4</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生活垃圾</w:t>
      </w:r>
    </w:p>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本项目职工人数为</w:t>
      </w:r>
      <w:r>
        <w:rPr>
          <w:rFonts w:ascii="Times New Roman" w:hAnsi="Times New Roman" w:eastAsia="宋体" w:cs="Times New Roman"/>
          <w:color w:val="auto"/>
          <w:spacing w:val="0"/>
          <w:sz w:val="24"/>
          <w:szCs w:val="24"/>
          <w:highlight w:val="none"/>
        </w:rPr>
        <w:t>20</w:t>
      </w:r>
      <w:r>
        <w:rPr>
          <w:rFonts w:ascii="Times New Roman" w:hAnsi="Times New Roman" w:eastAsia="宋体" w:cs="宋体"/>
          <w:color w:val="auto"/>
          <w:spacing w:val="0"/>
          <w:sz w:val="24"/>
          <w:szCs w:val="24"/>
          <w:highlight w:val="none"/>
        </w:rPr>
        <w:t>人，年工作</w:t>
      </w:r>
      <w:r>
        <w:rPr>
          <w:rFonts w:ascii="Times New Roman" w:hAnsi="Times New Roman" w:eastAsia="宋体" w:cs="Times New Roman"/>
          <w:color w:val="auto"/>
          <w:spacing w:val="0"/>
          <w:sz w:val="24"/>
          <w:szCs w:val="24"/>
          <w:highlight w:val="none"/>
        </w:rPr>
        <w:t>365</w:t>
      </w:r>
      <w:r>
        <w:rPr>
          <w:rFonts w:ascii="Times New Roman" w:hAnsi="Times New Roman" w:eastAsia="宋体" w:cs="宋体"/>
          <w:color w:val="auto"/>
          <w:spacing w:val="0"/>
          <w:sz w:val="24"/>
          <w:szCs w:val="24"/>
          <w:highlight w:val="none"/>
        </w:rPr>
        <w:t>天，生活垃圾按</w:t>
      </w:r>
      <w:r>
        <w:rPr>
          <w:rFonts w:ascii="Times New Roman" w:hAnsi="Times New Roman" w:eastAsia="宋体" w:cs="Times New Roman"/>
          <w:color w:val="auto"/>
          <w:spacing w:val="0"/>
          <w:sz w:val="24"/>
          <w:szCs w:val="24"/>
          <w:highlight w:val="none"/>
        </w:rPr>
        <w:t>0.5kg/</w:t>
      </w:r>
      <w:r>
        <w:rPr>
          <w:rFonts w:ascii="Times New Roman" w:hAnsi="Times New Roman" w:eastAsia="宋体" w:cs="宋体"/>
          <w:color w:val="auto"/>
          <w:spacing w:val="0"/>
          <w:sz w:val="24"/>
          <w:szCs w:val="24"/>
          <w:highlight w:val="none"/>
        </w:rPr>
        <w:t>人</w:t>
      </w:r>
      <w:r>
        <w:rPr>
          <w:rFonts w:ascii="Times New Roman" w:hAnsi="Times New Roman" w:eastAsia="宋体" w:cs="Times New Roman"/>
          <w:color w:val="auto"/>
          <w:spacing w:val="0"/>
          <w:sz w:val="24"/>
          <w:szCs w:val="24"/>
          <w:highlight w:val="none"/>
        </w:rPr>
        <w:t>·d</w:t>
      </w:r>
      <w:r>
        <w:rPr>
          <w:rFonts w:ascii="Times New Roman" w:hAnsi="Times New Roman" w:eastAsia="宋体" w:cs="宋体"/>
          <w:color w:val="auto"/>
          <w:spacing w:val="0"/>
          <w:sz w:val="24"/>
          <w:szCs w:val="24"/>
          <w:highlight w:val="none"/>
        </w:rPr>
        <w:t>计，生活垃圾产生量为</w:t>
      </w:r>
      <w:r>
        <w:rPr>
          <w:rFonts w:ascii="Times New Roman" w:hAnsi="Times New Roman" w:eastAsia="宋体" w:cs="Times New Roman"/>
          <w:color w:val="auto"/>
          <w:spacing w:val="0"/>
          <w:sz w:val="24"/>
          <w:szCs w:val="24"/>
          <w:highlight w:val="none"/>
        </w:rPr>
        <w:t>10kg/d</w:t>
      </w:r>
      <w:r>
        <w:rPr>
          <w:rFonts w:ascii="Times New Roman" w:hAnsi="Times New Roman" w:eastAsia="宋体" w:cs="宋体"/>
          <w:color w:val="auto"/>
          <w:spacing w:val="0"/>
          <w:sz w:val="24"/>
          <w:szCs w:val="24"/>
          <w:highlight w:val="none"/>
        </w:rPr>
        <w:t>，即</w:t>
      </w:r>
      <w:r>
        <w:rPr>
          <w:rFonts w:ascii="Times New Roman" w:hAnsi="Times New Roman" w:eastAsia="宋体" w:cs="Times New Roman"/>
          <w:color w:val="auto"/>
          <w:spacing w:val="0"/>
          <w:sz w:val="24"/>
          <w:szCs w:val="24"/>
          <w:highlight w:val="none"/>
        </w:rPr>
        <w:t>3.65t/a</w:t>
      </w:r>
      <w:r>
        <w:rPr>
          <w:rFonts w:ascii="Times New Roman" w:hAnsi="Times New Roman" w:eastAsia="宋体" w:cs="宋体"/>
          <w:color w:val="auto"/>
          <w:spacing w:val="0"/>
          <w:sz w:val="24"/>
          <w:szCs w:val="24"/>
          <w:highlight w:val="none"/>
        </w:rPr>
        <w:t>。生活垃圾集中收集由当地环卫部门处置。</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5</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医疗废物</w:t>
      </w:r>
    </w:p>
    <w:p>
      <w:pPr>
        <w:keepNext w:val="0"/>
        <w:keepLines w:val="0"/>
        <w:pageBreakBefore w:val="0"/>
        <w:widowControl w:val="0"/>
        <w:kinsoku/>
        <w:wordWrap/>
        <w:overflowPunct/>
        <w:topLinePunct w:val="0"/>
        <w:autoSpaceDE/>
        <w:autoSpaceDN/>
        <w:bidi w:val="0"/>
        <w:adjustRightInd/>
        <w:snapToGrid/>
        <w:spacing w:line="480" w:lineRule="exact"/>
        <w:ind w:left="0" w:right="0" w:firstLine="24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本项目对蛋鸡进行防疫、治疗过程中产生少量废弃药品、废针管等，产生量约为</w:t>
      </w:r>
      <w:r>
        <w:rPr>
          <w:rFonts w:ascii="Times New Roman" w:hAnsi="Times New Roman" w:eastAsia="宋体" w:cs="Times New Roman"/>
          <w:color w:val="auto"/>
          <w:spacing w:val="0"/>
          <w:sz w:val="24"/>
          <w:szCs w:val="24"/>
          <w:highlight w:val="none"/>
        </w:rPr>
        <w:t>0.03t/a</w:t>
      </w:r>
      <w:r>
        <w:rPr>
          <w:rFonts w:ascii="Times New Roman" w:hAnsi="Times New Roman" w:eastAsia="宋体" w:cs="宋体"/>
          <w:color w:val="auto"/>
          <w:spacing w:val="0"/>
          <w:sz w:val="24"/>
          <w:szCs w:val="24"/>
          <w:highlight w:val="none"/>
        </w:rPr>
        <w:t>。医疗垃圾属于</w:t>
      </w:r>
      <w:r>
        <w:rPr>
          <w:rFonts w:ascii="Times New Roman" w:hAnsi="Times New Roman" w:eastAsia="宋体" w:cs="Times New Roman"/>
          <w:color w:val="auto"/>
          <w:spacing w:val="0"/>
          <w:sz w:val="24"/>
          <w:szCs w:val="24"/>
          <w:highlight w:val="none"/>
        </w:rPr>
        <w:t>HW01</w:t>
      </w:r>
      <w:r>
        <w:rPr>
          <w:rFonts w:ascii="Times New Roman" w:hAnsi="Times New Roman" w:eastAsia="宋体" w:cs="宋体"/>
          <w:color w:val="auto"/>
          <w:spacing w:val="0"/>
          <w:sz w:val="24"/>
          <w:szCs w:val="24"/>
          <w:highlight w:val="none"/>
        </w:rPr>
        <w:t>类危险废物，储存于</w:t>
      </w:r>
      <w:r>
        <w:rPr>
          <w:rFonts w:hint="eastAsia" w:cs="宋体"/>
          <w:color w:val="auto"/>
          <w:spacing w:val="0"/>
          <w:sz w:val="24"/>
          <w:szCs w:val="24"/>
          <w:highlight w:val="none"/>
          <w:lang w:eastAsia="zh-CN"/>
        </w:rPr>
        <w:t>医疗废物暂存间</w:t>
      </w:r>
      <w:r>
        <w:rPr>
          <w:rFonts w:ascii="Times New Roman" w:hAnsi="Times New Roman" w:eastAsia="宋体" w:cs="宋体"/>
          <w:color w:val="auto"/>
          <w:spacing w:val="0"/>
          <w:sz w:val="24"/>
          <w:szCs w:val="24"/>
          <w:highlight w:val="none"/>
        </w:rPr>
        <w:t>，交由有资质的单位进行处理。</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default" w:ascii="Times New Roman" w:hAnsi="Times New Roman" w:eastAsia="宋体" w:cs="宋体"/>
          <w:color w:val="auto"/>
          <w:spacing w:val="0"/>
          <w:sz w:val="24"/>
          <w:szCs w:val="24"/>
          <w:highlight w:val="none"/>
          <w:lang w:val="en-US" w:eastAsia="zh-CN"/>
        </w:rPr>
      </w:pPr>
      <w:r>
        <w:rPr>
          <w:rFonts w:hint="eastAsia" w:cs="宋体"/>
          <w:color w:val="auto"/>
          <w:spacing w:val="0"/>
          <w:sz w:val="24"/>
          <w:szCs w:val="24"/>
          <w:highlight w:val="none"/>
          <w:lang w:eastAsia="zh-CN"/>
        </w:rPr>
        <w:t>（</w:t>
      </w:r>
      <w:r>
        <w:rPr>
          <w:rFonts w:hint="eastAsia" w:cs="宋体"/>
          <w:color w:val="auto"/>
          <w:spacing w:val="0"/>
          <w:sz w:val="24"/>
          <w:szCs w:val="24"/>
          <w:highlight w:val="none"/>
          <w:lang w:val="en-US" w:eastAsia="zh-CN"/>
        </w:rPr>
        <w:t>6</w:t>
      </w:r>
      <w:r>
        <w:rPr>
          <w:rFonts w:hint="eastAsia" w:cs="宋体"/>
          <w:color w:val="auto"/>
          <w:spacing w:val="0"/>
          <w:sz w:val="24"/>
          <w:szCs w:val="24"/>
          <w:highlight w:val="none"/>
          <w:lang w:eastAsia="zh-CN"/>
        </w:rPr>
        <w:t>）</w:t>
      </w:r>
      <w:r>
        <w:rPr>
          <w:rFonts w:hint="eastAsia" w:cs="宋体"/>
          <w:color w:val="auto"/>
          <w:spacing w:val="0"/>
          <w:sz w:val="24"/>
          <w:szCs w:val="24"/>
          <w:highlight w:val="none"/>
          <w:lang w:val="en-US" w:eastAsia="zh-CN"/>
        </w:rPr>
        <w:t>废水收集池污泥</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default" w:ascii="Times New Roman" w:hAnsi="Times New Roman" w:eastAsia="宋体" w:cs="宋体"/>
          <w:color w:val="auto"/>
          <w:spacing w:val="0"/>
          <w:sz w:val="24"/>
          <w:szCs w:val="24"/>
          <w:highlight w:val="none"/>
          <w:lang w:val="en-US" w:eastAsia="zh-CN"/>
        </w:rPr>
      </w:pPr>
      <w:r>
        <w:rPr>
          <w:rFonts w:hint="eastAsia" w:cs="宋体"/>
          <w:color w:val="auto"/>
          <w:spacing w:val="0"/>
          <w:sz w:val="24"/>
          <w:szCs w:val="24"/>
          <w:highlight w:val="none"/>
          <w:lang w:val="en-US" w:eastAsia="zh-CN"/>
        </w:rPr>
        <w:t>项目废水收集池仅用于收集冲洗鸡舍的冲洗废水收集使用，污泥产生量约1.0t/a，与收集鸡粪一并外售有机肥生产公司作为有机肥生产的原料。资源综合利用外排。</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本项目医疗废物分类见表</w:t>
      </w:r>
      <w:r>
        <w:rPr>
          <w:rFonts w:hint="eastAsia" w:ascii="Times New Roman" w:hAnsi="Times New Roman" w:eastAsia="宋体" w:cs="宋体"/>
          <w:color w:val="auto"/>
          <w:spacing w:val="0"/>
          <w:sz w:val="24"/>
          <w:szCs w:val="24"/>
          <w:highlight w:val="none"/>
          <w:lang w:val="en-US" w:eastAsia="zh-CN"/>
        </w:rPr>
        <w:t>3.3-8</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黑体"/>
          <w:b/>
          <w:bCs/>
          <w:color w:val="auto"/>
          <w:spacing w:val="0"/>
          <w:sz w:val="24"/>
          <w:szCs w:val="21"/>
          <w:highlight w:val="none"/>
          <w:lang w:val="en-US" w:eastAsia="zh-CN"/>
        </w:rPr>
        <w:t>3.3-8</w:t>
      </w:r>
      <w:r>
        <w:rPr>
          <w:rFonts w:ascii="Times New Roman" w:hAnsi="Times New Roman" w:eastAsia="宋体" w:cs="黑体"/>
          <w:b/>
          <w:bCs/>
          <w:color w:val="auto"/>
          <w:spacing w:val="0"/>
          <w:sz w:val="24"/>
          <w:szCs w:val="21"/>
          <w:highlight w:val="none"/>
        </w:rPr>
        <w:t>本项目医疗废物分类表</w:t>
      </w:r>
    </w:p>
    <w:p>
      <w:pPr>
        <w:spacing w:line="21" w:lineRule="exact"/>
        <w:rPr>
          <w:rFonts w:ascii="Times New Roman" w:hAnsi="Times New Roman" w:eastAsia="宋体"/>
          <w:color w:val="auto"/>
          <w:highlight w:val="none"/>
        </w:rPr>
      </w:pPr>
    </w:p>
    <w:tbl>
      <w:tblPr>
        <w:tblStyle w:val="17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8"/>
        <w:gridCol w:w="1197"/>
        <w:gridCol w:w="1032"/>
        <w:gridCol w:w="2273"/>
        <w:gridCol w:w="2213"/>
        <w:gridCol w:w="8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44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71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废物代码</w:t>
            </w:r>
          </w:p>
        </w:tc>
        <w:tc>
          <w:tcPr>
            <w:tcW w:w="620"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危险废物</w:t>
            </w:r>
          </w:p>
        </w:tc>
        <w:tc>
          <w:tcPr>
            <w:tcW w:w="136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特征</w:t>
            </w:r>
          </w:p>
        </w:tc>
        <w:tc>
          <w:tcPr>
            <w:tcW w:w="132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废物名称</w:t>
            </w:r>
          </w:p>
        </w:tc>
        <w:tc>
          <w:tcPr>
            <w:tcW w:w="51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jc w:val="center"/>
        </w:trPr>
        <w:tc>
          <w:tcPr>
            <w:tcW w:w="44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719" w:type="pct"/>
            <w:vMerge w:val="restart"/>
            <w:tcBorders>
              <w:top w:val="single" w:color="000000" w:sz="2" w:space="0"/>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900-001-01</w:t>
            </w:r>
          </w:p>
        </w:tc>
        <w:tc>
          <w:tcPr>
            <w:tcW w:w="620"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感染性废物</w:t>
            </w:r>
          </w:p>
        </w:tc>
        <w:tc>
          <w:tcPr>
            <w:tcW w:w="136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携带病原微生物具有引发感染性疾病传播危险的医疗废物</w:t>
            </w:r>
          </w:p>
        </w:tc>
        <w:tc>
          <w:tcPr>
            <w:tcW w:w="132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主要是废弃的或一次性的注射器</w:t>
            </w:r>
          </w:p>
        </w:tc>
        <w:tc>
          <w:tcPr>
            <w:tcW w:w="51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jc w:val="center"/>
        </w:trPr>
        <w:tc>
          <w:tcPr>
            <w:tcW w:w="44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719" w:type="pct"/>
            <w:vMerge w:val="continue"/>
            <w:tcBorders>
              <w:top w:val="nil"/>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620"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药物性废物</w:t>
            </w:r>
          </w:p>
        </w:tc>
        <w:tc>
          <w:tcPr>
            <w:tcW w:w="1365"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过期、淘汰、变质或者被污染的废弃药品</w:t>
            </w:r>
          </w:p>
        </w:tc>
        <w:tc>
          <w:tcPr>
            <w:tcW w:w="1329"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主要是过期的药品、废弃疫苗和血液制品等</w:t>
            </w:r>
          </w:p>
        </w:tc>
        <w:tc>
          <w:tcPr>
            <w:tcW w:w="514" w:type="pct"/>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0.02</w:t>
            </w:r>
          </w:p>
        </w:tc>
      </w:tr>
    </w:tbl>
    <w:p>
      <w:pPr>
        <w:keepNext w:val="0"/>
        <w:keepLines w:val="0"/>
        <w:pageBreakBefore w:val="0"/>
        <w:widowControl w:val="0"/>
        <w:kinsoku/>
        <w:wordWrap/>
        <w:overflowPunct/>
        <w:topLinePunct w:val="0"/>
        <w:autoSpaceDE/>
        <w:autoSpaceDN/>
        <w:bidi w:val="0"/>
        <w:adjustRightInd/>
        <w:snapToGrid/>
        <w:spacing w:line="480" w:lineRule="exact"/>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本项目固废产生量见表</w:t>
      </w:r>
      <w:r>
        <w:rPr>
          <w:rFonts w:hint="eastAsia" w:ascii="Times New Roman" w:hAnsi="Times New Roman" w:eastAsia="宋体" w:cs="宋体"/>
          <w:color w:val="auto"/>
          <w:spacing w:val="0"/>
          <w:sz w:val="24"/>
          <w:szCs w:val="24"/>
          <w:highlight w:val="none"/>
          <w:lang w:val="en-US" w:eastAsia="zh-CN"/>
        </w:rPr>
        <w:t>3.3-9</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黑体"/>
          <w:b/>
          <w:bCs/>
          <w:color w:val="auto"/>
          <w:spacing w:val="0"/>
          <w:sz w:val="24"/>
          <w:szCs w:val="21"/>
          <w:highlight w:val="none"/>
          <w:lang w:val="en-US" w:eastAsia="zh-CN"/>
        </w:rPr>
        <w:t>3.3-9</w:t>
      </w:r>
      <w:r>
        <w:rPr>
          <w:rFonts w:ascii="Times New Roman" w:hAnsi="Times New Roman" w:eastAsia="宋体" w:cs="黑体"/>
          <w:b/>
          <w:bCs/>
          <w:color w:val="auto"/>
          <w:spacing w:val="0"/>
          <w:sz w:val="24"/>
          <w:szCs w:val="21"/>
          <w:highlight w:val="none"/>
        </w:rPr>
        <w:t>项目固体废弃物产生量</w:t>
      </w:r>
    </w:p>
    <w:p>
      <w:pPr>
        <w:spacing w:line="19" w:lineRule="exact"/>
        <w:rPr>
          <w:rFonts w:ascii="Times New Roman" w:hAnsi="Times New Roman" w:eastAsia="宋体"/>
          <w:color w:val="auto"/>
          <w:highlight w:val="none"/>
        </w:rPr>
      </w:pP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3"/>
        <w:gridCol w:w="1146"/>
        <w:gridCol w:w="600"/>
        <w:gridCol w:w="1580"/>
        <w:gridCol w:w="2837"/>
        <w:gridCol w:w="1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0"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名称</w:t>
            </w:r>
          </w:p>
        </w:tc>
        <w:tc>
          <w:tcPr>
            <w:tcW w:w="361" w:type="pc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属性</w:t>
            </w: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产生量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拟采取的处置方式</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361"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一般工业固体废物</w:t>
            </w: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31.2</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t/d</w:t>
            </w:r>
            <w:r>
              <w:rPr>
                <w:rFonts w:hint="eastAsia" w:cs="宋体"/>
                <w:color w:val="auto"/>
                <w:spacing w:val="0"/>
                <w:sz w:val="21"/>
                <w:szCs w:val="21"/>
                <w:highlight w:val="none"/>
                <w:lang w:eastAsia="zh-CN"/>
              </w:rPr>
              <w:t>）</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鸡粪及散落羽毛采用自动清粪系统清理与废水收集池污泥</w:t>
            </w:r>
            <w:r>
              <w:rPr>
                <w:rFonts w:ascii="Times New Roman" w:hAnsi="Times New Roman" w:eastAsia="宋体" w:cs="宋体"/>
                <w:color w:val="auto"/>
                <w:spacing w:val="0"/>
                <w:sz w:val="21"/>
                <w:szCs w:val="21"/>
                <w:highlight w:val="none"/>
              </w:rPr>
              <w:t>，</w:t>
            </w:r>
            <w:r>
              <w:rPr>
                <w:rFonts w:hint="eastAsia" w:ascii="Times New Roman" w:hAnsi="Times New Roman" w:eastAsia="宋体" w:cs="宋体"/>
                <w:color w:val="auto"/>
                <w:spacing w:val="0"/>
                <w:sz w:val="21"/>
                <w:szCs w:val="21"/>
                <w:highlight w:val="none"/>
                <w:lang w:val="en-US" w:eastAsia="zh-CN"/>
              </w:rPr>
              <w:t>外售</w:t>
            </w:r>
            <w:r>
              <w:rPr>
                <w:rFonts w:ascii="Times New Roman" w:hAnsi="Times New Roman" w:eastAsia="宋体" w:cs="宋体"/>
                <w:color w:val="auto"/>
                <w:spacing w:val="0"/>
                <w:sz w:val="21"/>
                <w:szCs w:val="21"/>
                <w:highlight w:val="none"/>
              </w:rPr>
              <w:t>有机肥生产公司作为有机肥生产的原料</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31.2</w:t>
            </w:r>
            <w:r>
              <w:rPr>
                <w:rFonts w:hint="eastAsia" w:cs="Times New Roman"/>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t/d</w:t>
            </w:r>
            <w:r>
              <w:rPr>
                <w:rFonts w:hint="eastAsia" w:cs="Times New Roman"/>
                <w:color w:val="auto"/>
                <w:spacing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361" w:type="pct"/>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与鸡</w:t>
            </w:r>
            <w:r>
              <w:rPr>
                <w:rFonts w:ascii="Times New Roman" w:hAnsi="Times New Roman" w:eastAsia="宋体" w:cs="宋体"/>
                <w:color w:val="auto"/>
                <w:spacing w:val="0"/>
                <w:sz w:val="21"/>
                <w:szCs w:val="21"/>
                <w:highlight w:val="none"/>
              </w:rPr>
              <w:t>粪系统清理后，</w:t>
            </w:r>
            <w:r>
              <w:rPr>
                <w:rFonts w:hint="eastAsia" w:ascii="Times New Roman" w:hAnsi="Times New Roman" w:eastAsia="宋体" w:cs="宋体"/>
                <w:color w:val="auto"/>
                <w:spacing w:val="0"/>
                <w:sz w:val="21"/>
                <w:szCs w:val="21"/>
                <w:highlight w:val="none"/>
                <w:lang w:val="en-US" w:eastAsia="zh-CN"/>
              </w:rPr>
              <w:t>外售</w:t>
            </w:r>
            <w:r>
              <w:rPr>
                <w:rFonts w:ascii="Times New Roman" w:hAnsi="Times New Roman" w:eastAsia="宋体" w:cs="宋体"/>
                <w:color w:val="auto"/>
                <w:spacing w:val="0"/>
                <w:sz w:val="21"/>
                <w:szCs w:val="21"/>
                <w:highlight w:val="none"/>
              </w:rPr>
              <w:t>有机肥生产公司作为有机肥生产的原料</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废弃包装物</w:t>
            </w:r>
          </w:p>
        </w:tc>
        <w:tc>
          <w:tcPr>
            <w:tcW w:w="361" w:type="pct"/>
            <w:vMerge w:val="continue"/>
            <w:tcBorders>
              <w:top w:val="nil"/>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饲料包装袋进行外售</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361"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经集中收集后当地环卫部门处置</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361"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危险废物</w:t>
            </w: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经设置的填埋井</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常见疾病病死鸡只</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进行填埋</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3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361"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w:t>
            </w:r>
          </w:p>
        </w:tc>
        <w:tc>
          <w:tcPr>
            <w:tcW w:w="170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有医疗垃圾处理资质的单位进行处置</w:t>
            </w:r>
          </w:p>
        </w:tc>
        <w:tc>
          <w:tcPr>
            <w:tcW w:w="904"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w:t>
            </w:r>
          </w:p>
        </w:tc>
      </w:tr>
    </w:tbl>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.2.4噪声</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本项目在运营期间噪声主要来源于</w:t>
      </w:r>
      <w:r>
        <w:rPr>
          <w:rFonts w:hint="eastAsia" w:ascii="Times New Roman" w:hAnsi="Times New Roman" w:eastAsia="宋体"/>
          <w:color w:val="auto"/>
          <w:highlight w:val="none"/>
          <w:lang w:val="en-US" w:eastAsia="zh-CN"/>
        </w:rPr>
        <w:t>鸡叫</w:t>
      </w:r>
      <w:r>
        <w:rPr>
          <w:rFonts w:hint="eastAsia" w:ascii="Times New Roman" w:hAnsi="Times New Roman" w:eastAsia="宋体"/>
          <w:color w:val="auto"/>
          <w:highlight w:val="none"/>
        </w:rPr>
        <w:t>、排气扇</w:t>
      </w:r>
      <w:r>
        <w:rPr>
          <w:rFonts w:ascii="Times New Roman" w:hAnsi="Times New Roman" w:eastAsia="宋体"/>
          <w:color w:val="auto"/>
          <w:highlight w:val="none"/>
        </w:rPr>
        <w:t>等设备</w:t>
      </w:r>
      <w:r>
        <w:rPr>
          <w:rFonts w:hint="eastAsia" w:ascii="Times New Roman" w:hAnsi="Times New Roman" w:eastAsia="宋体"/>
          <w:color w:val="auto"/>
          <w:highlight w:val="none"/>
        </w:rPr>
        <w:t>产生的噪声，经过类比调查，</w:t>
      </w:r>
      <w:r>
        <w:rPr>
          <w:rFonts w:ascii="Times New Roman" w:hAnsi="Times New Roman" w:eastAsia="宋体"/>
          <w:color w:val="auto"/>
          <w:highlight w:val="none"/>
        </w:rPr>
        <w:t>本项目主要噪声源强见表3.</w:t>
      </w:r>
      <w:r>
        <w:rPr>
          <w:rFonts w:hint="eastAsia" w:ascii="Times New Roman" w:hAnsi="Times New Roman" w:eastAsia="宋体"/>
          <w:color w:val="auto"/>
          <w:highlight w:val="none"/>
        </w:rPr>
        <w:t>3</w:t>
      </w:r>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表3.3-1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项目主要噪声源强表单位：dB（A）</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79"/>
        <w:gridCol w:w="2075"/>
        <w:gridCol w:w="2075"/>
        <w:gridCol w:w="2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设备名称</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噪声值</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dB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p>
        </w:tc>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所在位置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鸡叫声</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65~70</w:t>
            </w:r>
          </w:p>
        </w:tc>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排风扇</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70~80</w:t>
            </w:r>
          </w:p>
        </w:tc>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运输车辆噪声</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75~80</w:t>
            </w:r>
          </w:p>
        </w:tc>
        <w:tc>
          <w:tcPr>
            <w:tcW w:w="1251"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厂区内</w:t>
            </w:r>
          </w:p>
        </w:tc>
      </w:tr>
    </w:tbl>
    <w:p>
      <w:pPr>
        <w:pStyle w:val="4"/>
        <w:rPr>
          <w:rFonts w:ascii="Times New Roman" w:hAnsi="Times New Roman" w:eastAsia="宋体"/>
          <w:color w:val="auto"/>
          <w:highlight w:val="none"/>
        </w:rPr>
      </w:pPr>
      <w:bookmarkStart w:id="121" w:name="_Toc310503790"/>
      <w:bookmarkStart w:id="122" w:name="_Toc224388084"/>
      <w:bookmarkStart w:id="123" w:name="_Toc321043910"/>
      <w:bookmarkStart w:id="124" w:name="_Toc10130"/>
      <w:bookmarkStart w:id="125" w:name="_Toc89619336"/>
      <w:bookmarkStart w:id="126" w:name="_Toc106663473"/>
      <w:bookmarkStart w:id="127" w:name="_Toc291499394"/>
      <w:bookmarkStart w:id="128" w:name="_Toc289360091"/>
      <w:bookmarkStart w:id="129" w:name="_Toc16418"/>
      <w:r>
        <w:rPr>
          <w:rFonts w:ascii="Times New Roman" w:hAnsi="Times New Roman" w:eastAsia="宋体"/>
          <w:color w:val="auto"/>
          <w:highlight w:val="none"/>
        </w:rPr>
        <w:t>3.</w:t>
      </w:r>
      <w:r>
        <w:rPr>
          <w:rFonts w:hint="eastAsia" w:ascii="Times New Roman" w:hAnsi="Times New Roman" w:eastAsia="宋体"/>
          <w:color w:val="auto"/>
          <w:highlight w:val="none"/>
        </w:rPr>
        <w:t>4</w:t>
      </w:r>
      <w:r>
        <w:rPr>
          <w:rFonts w:ascii="Times New Roman" w:hAnsi="Times New Roman" w:eastAsia="宋体"/>
          <w:color w:val="auto"/>
          <w:highlight w:val="none"/>
        </w:rPr>
        <w:t>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排放</w:t>
      </w:r>
      <w:bookmarkEnd w:id="121"/>
      <w:bookmarkEnd w:id="122"/>
      <w:bookmarkEnd w:id="123"/>
      <w:bookmarkEnd w:id="124"/>
      <w:bookmarkEnd w:id="125"/>
      <w:bookmarkEnd w:id="126"/>
      <w:bookmarkEnd w:id="127"/>
      <w:bookmarkEnd w:id="128"/>
      <w:bookmarkEnd w:id="129"/>
    </w:p>
    <w:p>
      <w:pPr>
        <w:ind w:firstLine="480"/>
        <w:rPr>
          <w:rFonts w:ascii="Times New Roman" w:hAnsi="Times New Roman" w:eastAsia="宋体"/>
          <w:color w:val="auto"/>
          <w:highlight w:val="none"/>
        </w:rPr>
      </w:pPr>
      <w:r>
        <w:rPr>
          <w:rFonts w:ascii="Times New Roman" w:hAnsi="Times New Roman" w:eastAsia="宋体"/>
          <w:color w:val="auto"/>
          <w:highlight w:val="none"/>
        </w:rPr>
        <w:t>本项目污染物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产生及排放统计见表3.</w:t>
      </w:r>
      <w:r>
        <w:rPr>
          <w:rFonts w:hint="eastAsia" w:ascii="Times New Roman" w:hAnsi="Times New Roman" w:eastAsia="宋体"/>
          <w:color w:val="auto"/>
          <w:highlight w:val="none"/>
        </w:rPr>
        <w:t>4</w:t>
      </w:r>
      <w:r>
        <w:rPr>
          <w:rFonts w:ascii="Times New Roman" w:hAnsi="Times New Roman" w:eastAsia="宋体"/>
          <w:color w:val="auto"/>
          <w:highlight w:val="none"/>
        </w:rPr>
        <w:t>-1。</w:t>
      </w:r>
    </w:p>
    <w:p>
      <w:pPr>
        <w:pStyle w:val="10"/>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3.4-1</w:t>
      </w:r>
      <w:r>
        <w:rPr>
          <w:rFonts w:ascii="Times New Roman" w:hAnsi="Times New Roman" w:eastAsia="宋体"/>
          <w:color w:val="auto"/>
          <w:highlight w:val="none"/>
        </w:rPr>
        <w:t>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产生及排放统计表</w:t>
      </w:r>
    </w:p>
    <w:tbl>
      <w:tblPr>
        <w:tblStyle w:val="176"/>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7"/>
        <w:gridCol w:w="945"/>
        <w:gridCol w:w="1274"/>
        <w:gridCol w:w="1490"/>
        <w:gridCol w:w="3086"/>
        <w:gridCol w:w="1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主要污染物</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产生量</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处置措施</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废气</w:t>
            </w:r>
          </w:p>
        </w:tc>
        <w:tc>
          <w:tcPr>
            <w:tcW w:w="5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圈舍无组织</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圈舍定期喷洒除臭剂，鸡粪日产日清；圈舍四周绿化</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0.6</w:t>
            </w:r>
            <w:r>
              <w:rPr>
                <w:rFonts w:ascii="Times New Roman" w:hAnsi="Times New Roman" w:eastAsia="宋体" w:cs="Times New Roman"/>
                <w:color w:val="auto"/>
                <w:spacing w:val="0"/>
                <w:sz w:val="21"/>
                <w:szCs w:val="21"/>
                <w:highlight w:val="none"/>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0.046</w:t>
            </w:r>
            <w:r>
              <w:rPr>
                <w:rFonts w:ascii="Times New Roman" w:hAnsi="Times New Roman" w:eastAsia="宋体" w:cs="Times New Roman"/>
                <w:color w:val="auto"/>
                <w:spacing w:val="0"/>
                <w:sz w:val="21"/>
                <w:szCs w:val="21"/>
                <w:highlight w:val="none"/>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废水收集池</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进行加盖密闭，定期喷洒除臭剂，加强绿化</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56"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废水</w:t>
            </w: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鸡舍冲洗废水</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311.04m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rPr>
            </w:pPr>
            <w:r>
              <w:rPr>
                <w:rFonts w:ascii="Times New Roman" w:hAnsi="Times New Roman" w:eastAsia="宋体" w:cs="宋体"/>
                <w:color w:val="auto"/>
                <w:spacing w:val="0"/>
                <w:sz w:val="21"/>
                <w:szCs w:val="21"/>
                <w:highlight w:val="none"/>
              </w:rPr>
              <w:t>鸡舍冲洗废水排入</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座配备</w:t>
            </w:r>
            <w:r>
              <w:rPr>
                <w:rFonts w:hint="eastAsia" w:cs="宋体"/>
                <w:color w:val="auto"/>
                <w:spacing w:val="0"/>
                <w:sz w:val="21"/>
                <w:szCs w:val="21"/>
                <w:highlight w:val="none"/>
                <w:lang w:val="en-US" w:eastAsia="zh-CN"/>
              </w:rPr>
              <w:t>150</w:t>
            </w:r>
            <w:r>
              <w:rPr>
                <w:rFonts w:ascii="Times New Roman" w:hAnsi="Times New Roman" w:eastAsia="宋体" w:cs="Times New Roman"/>
                <w:color w:val="auto"/>
                <w:spacing w:val="0"/>
                <w:sz w:val="21"/>
                <w:szCs w:val="21"/>
                <w:highlight w:val="none"/>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宋体"/>
                <w:color w:val="auto"/>
                <w:spacing w:val="0"/>
                <w:sz w:val="21"/>
                <w:szCs w:val="21"/>
                <w:highlight w:val="none"/>
              </w:rPr>
              <w:t>的</w:t>
            </w:r>
            <w:r>
              <w:rPr>
                <w:rFonts w:hint="eastAsia" w:cs="宋体"/>
                <w:color w:val="auto"/>
                <w:spacing w:val="0"/>
                <w:sz w:val="21"/>
                <w:szCs w:val="21"/>
                <w:highlight w:val="none"/>
                <w:lang w:eastAsia="zh-CN"/>
              </w:rPr>
              <w:t>废水收集池）</w:t>
            </w:r>
            <w:r>
              <w:rPr>
                <w:rFonts w:hint="eastAsia" w:cs="宋体"/>
                <w:color w:val="auto"/>
                <w:spacing w:val="0"/>
                <w:sz w:val="21"/>
                <w:szCs w:val="21"/>
                <w:highlight w:val="none"/>
                <w:lang w:val="en-US" w:eastAsia="zh-CN"/>
              </w:rPr>
              <w:t>经预处理后用作农肥</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rPr>
            </w:pPr>
            <w:r>
              <w:rPr>
                <w:rFonts w:hint="eastAsia" w:ascii="Times New Roman" w:hAnsi="Times New Roman" w:eastAsia="宋体" w:cs="Times New Roman"/>
                <w:color w:val="auto"/>
                <w:spacing w:val="0"/>
                <w:position w:val="7"/>
                <w:sz w:val="21"/>
                <w:szCs w:val="21"/>
                <w:highlight w:val="none"/>
                <w:lang w:val="en-US" w:eastAsia="zh-CN"/>
              </w:rPr>
              <w:t>311.04m</w:t>
            </w:r>
            <w:r>
              <w:rPr>
                <w:rFonts w:hint="eastAsia" w:ascii="Times New Roman" w:hAnsi="Times New Roman" w:eastAsia="宋体" w:cs="Times New Roman"/>
                <w:color w:val="auto"/>
                <w:spacing w:val="0"/>
                <w:position w:val="7"/>
                <w:sz w:val="21"/>
                <w:szCs w:val="21"/>
                <w:highlight w:val="none"/>
                <w:vertAlign w:val="superscript"/>
                <w:lang w:val="en-US" w:eastAsia="zh-CN"/>
              </w:rPr>
              <w:t>3</w:t>
            </w:r>
            <w:r>
              <w:rPr>
                <w:rFonts w:hint="eastAsia" w:ascii="Times New Roman" w:hAnsi="Times New Roman" w:eastAsia="宋体" w:cs="Times New Roman"/>
                <w:color w:val="auto"/>
                <w:spacing w:val="0"/>
                <w:position w:val="7"/>
                <w:sz w:val="21"/>
                <w:szCs w:val="21"/>
                <w:highlight w:val="none"/>
                <w:vertAlign w:val="baseline"/>
                <w:lang w:val="en-US" w:eastAsia="zh-C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生活污水</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直接排入下水管网，最终进入污水处理厂</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固体废物</w:t>
            </w: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清理后外售作为有机肥使用</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废水收集池</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3.6</w:t>
            </w:r>
            <w:r>
              <w:rPr>
                <w:rFonts w:ascii="Times New Roman" w:hAnsi="Times New Roman" w:eastAsia="宋体" w:cs="Times New Roman"/>
                <w:color w:val="auto"/>
                <w:spacing w:val="0"/>
                <w:sz w:val="21"/>
                <w:szCs w:val="21"/>
                <w:highlight w:val="none"/>
              </w:rPr>
              <w:t>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经设置的安全填埋井深埋处置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兽医站</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设置</w:t>
            </w:r>
            <w:r>
              <w:rPr>
                <w:rFonts w:hint="eastAsia" w:cs="宋体"/>
                <w:color w:val="auto"/>
                <w:spacing w:val="0"/>
                <w:sz w:val="21"/>
                <w:szCs w:val="21"/>
                <w:highlight w:val="none"/>
                <w:lang w:eastAsia="zh-CN"/>
              </w:rPr>
              <w:t>医疗废物暂存间</w:t>
            </w:r>
            <w:r>
              <w:rPr>
                <w:rFonts w:ascii="Times New Roman" w:hAnsi="Times New Roman" w:eastAsia="宋体" w:cs="宋体"/>
                <w:color w:val="auto"/>
                <w:spacing w:val="0"/>
                <w:sz w:val="21"/>
                <w:szCs w:val="21"/>
                <w:highlight w:val="none"/>
              </w:rPr>
              <w:t>暂存后定期交由有资质单位处置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废包装材料</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交由废物回收单位处置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由环卫部门运至垃圾填埋场</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256" w:type="pc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噪声</w:t>
            </w:r>
          </w:p>
        </w:tc>
        <w:tc>
          <w:tcPr>
            <w:tcW w:w="133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工艺设备运行噪声，声级在</w:t>
            </w:r>
            <w:r>
              <w:rPr>
                <w:rFonts w:ascii="Times New Roman" w:hAnsi="Times New Roman" w:eastAsia="宋体" w:cs="Times New Roman"/>
                <w:color w:val="auto"/>
                <w:spacing w:val="0"/>
                <w:sz w:val="21"/>
                <w:szCs w:val="21"/>
                <w:highlight w:val="none"/>
              </w:rPr>
              <w:t>75~95dB</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A</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之间</w:t>
            </w:r>
          </w:p>
        </w:tc>
        <w:tc>
          <w:tcPr>
            <w:tcW w:w="3412"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设备选用低噪声设备，在安装时采取降噪减震措施，全部</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安装于室内，使用时定期检修，做好设备保养，落实工作</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间防噪声劳动保护和管理，完善厂区绿化建设</w:t>
            </w:r>
          </w:p>
        </w:tc>
      </w:tr>
    </w:tbl>
    <w:p>
      <w:pPr>
        <w:pStyle w:val="4"/>
        <w:rPr>
          <w:rFonts w:ascii="Times New Roman" w:hAnsi="Times New Roman" w:eastAsia="宋体"/>
          <w:color w:val="auto"/>
          <w:highlight w:val="none"/>
        </w:rPr>
      </w:pPr>
      <w:bookmarkStart w:id="130" w:name="_Toc89619337"/>
      <w:bookmarkStart w:id="131" w:name="_Toc106663474"/>
      <w:bookmarkStart w:id="132" w:name="_Toc13258"/>
      <w:bookmarkStart w:id="133" w:name="_Toc347242003"/>
      <w:bookmarkStart w:id="134" w:name="_Toc117518102"/>
      <w:bookmarkStart w:id="135" w:name="_Toc117518268"/>
      <w:bookmarkStart w:id="136" w:name="_Toc117517838"/>
      <w:bookmarkStart w:id="137" w:name="_Toc117518348"/>
      <w:bookmarkStart w:id="138" w:name="_Toc30919"/>
      <w:bookmarkStart w:id="139" w:name="_Toc117518183"/>
      <w:bookmarkStart w:id="140" w:name="_Toc117518553"/>
      <w:r>
        <w:rPr>
          <w:rFonts w:hint="eastAsia" w:ascii="Times New Roman" w:hAnsi="Times New Roman" w:eastAsia="宋体"/>
          <w:color w:val="auto"/>
          <w:highlight w:val="none"/>
        </w:rPr>
        <w:t>3.5总量控制</w:t>
      </w:r>
      <w:bookmarkEnd w:id="130"/>
      <w:bookmarkEnd w:id="131"/>
      <w:bookmarkEnd w:id="132"/>
    </w:p>
    <w:p>
      <w:pPr>
        <w:ind w:firstLine="480"/>
        <w:rPr>
          <w:rFonts w:ascii="Times New Roman" w:hAnsi="Times New Roman" w:eastAsia="宋体"/>
          <w:color w:val="auto"/>
          <w:highlight w:val="none"/>
        </w:rPr>
      </w:pPr>
      <w:bookmarkStart w:id="141" w:name="_Toc27076"/>
      <w:r>
        <w:rPr>
          <w:rFonts w:ascii="Times New Roman" w:hAnsi="Times New Roman" w:eastAsia="宋体"/>
          <w:color w:val="auto"/>
          <w:highlight w:val="none"/>
        </w:rPr>
        <w:t>结合本项目的特征污染物，</w:t>
      </w:r>
      <w:bookmarkEnd w:id="141"/>
      <w:r>
        <w:rPr>
          <w:rFonts w:ascii="Times New Roman" w:hAnsi="Times New Roman" w:eastAsia="宋体"/>
          <w:color w:val="auto"/>
          <w:highlight w:val="none"/>
        </w:rPr>
        <w:t>本项目无建议总量控制指标。</w:t>
      </w:r>
    </w:p>
    <w:p>
      <w:pPr>
        <w:pStyle w:val="4"/>
        <w:rPr>
          <w:rFonts w:ascii="Times New Roman" w:hAnsi="Times New Roman" w:eastAsia="宋体"/>
          <w:color w:val="auto"/>
          <w:highlight w:val="none"/>
        </w:rPr>
      </w:pPr>
      <w:bookmarkStart w:id="142" w:name="_Toc106663475"/>
      <w:bookmarkStart w:id="143" w:name="_Toc26725"/>
      <w:bookmarkStart w:id="144" w:name="_Toc89619338"/>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清洁生产概述</w:t>
      </w:r>
      <w:bookmarkEnd w:id="133"/>
      <w:bookmarkEnd w:id="134"/>
      <w:bookmarkEnd w:id="135"/>
      <w:bookmarkEnd w:id="136"/>
      <w:bookmarkEnd w:id="137"/>
      <w:bookmarkEnd w:id="138"/>
      <w:bookmarkEnd w:id="139"/>
      <w:bookmarkEnd w:id="140"/>
      <w:bookmarkEnd w:id="142"/>
      <w:bookmarkEnd w:id="143"/>
      <w:bookmarkEnd w:id="144"/>
    </w:p>
    <w:p>
      <w:pPr>
        <w:pStyle w:val="5"/>
        <w:rPr>
          <w:rFonts w:ascii="Times New Roman" w:hAnsi="Times New Roman" w:eastAsia="宋体"/>
          <w:color w:val="auto"/>
          <w:highlight w:val="none"/>
        </w:rPr>
      </w:pPr>
      <w:bookmarkStart w:id="145" w:name="_Toc291499424"/>
      <w:bookmarkStart w:id="146" w:name="_Toc310503813"/>
      <w:bookmarkStart w:id="147" w:name="_Toc300831158"/>
      <w:bookmarkStart w:id="148" w:name="_Toc224388100"/>
      <w:bookmarkStart w:id="149" w:name="_Toc299381556"/>
      <w:bookmarkStart w:id="150" w:name="_Toc289360120"/>
      <w:bookmarkStart w:id="151" w:name="_Toc321043931"/>
      <w:bookmarkStart w:id="152" w:name="_Toc106663476"/>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.1清洁生产</w:t>
      </w:r>
      <w:bookmarkEnd w:id="145"/>
      <w:bookmarkEnd w:id="146"/>
      <w:bookmarkEnd w:id="147"/>
      <w:bookmarkEnd w:id="148"/>
      <w:bookmarkEnd w:id="149"/>
      <w:bookmarkEnd w:id="150"/>
      <w:bookmarkEnd w:id="151"/>
      <w:r>
        <w:rPr>
          <w:rFonts w:hint="eastAsia" w:ascii="Times New Roman" w:hAnsi="Times New Roman" w:eastAsia="宋体"/>
          <w:color w:val="auto"/>
          <w:highlight w:val="none"/>
        </w:rPr>
        <w:t>的意义</w:t>
      </w:r>
      <w:bookmarkEnd w:id="152"/>
    </w:p>
    <w:p>
      <w:pPr>
        <w:ind w:firstLine="480"/>
        <w:rPr>
          <w:rFonts w:ascii="Times New Roman" w:hAnsi="Times New Roman" w:eastAsia="宋体"/>
          <w:color w:val="auto"/>
          <w:highlight w:val="none"/>
        </w:rPr>
      </w:pPr>
      <w:r>
        <w:rPr>
          <w:rFonts w:ascii="Times New Roman" w:hAnsi="Times New Roman" w:eastAsia="宋体"/>
          <w:color w:val="auto"/>
          <w:highlight w:val="none"/>
        </w:rPr>
        <w:t>清洁生产是贯彻可持续发展战略方针的重要举措。清洁生产是指将综合预防的环境策略持续地应用于生产过程和产品中，以便减少对人类和环境的风险性。它主要包括生产过程和产品二个部分。对生产过程而言，清洁生产包括节约原材料和能源，淘汰有毒原材料并在全部排放物和废物离开生产过程以前减少它的数量和毒性；对产品而言，清洁生产策略旨在减少产品在整个生产周期过程（包括从原料提炼到产品的最终处置）中对人类和环境的影响。污染预防是当今世界也是我国政府提倡的环境保护政策。实施清洁生产是可持续发展战略的要求，力求工业提高能效，开发更清洁的技术，更新、代替对环境有害的产品和原材料，实现环境和资源的保护和有效管理；实行清洁生产是控制环境污染的有效手段；实行清洁生产可大大降低末端处理的负担；实行清洁生产可提高企业的市场竞争力。</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本项目为</w:t>
      </w:r>
      <w:r>
        <w:rPr>
          <w:rFonts w:hint="eastAsia" w:ascii="Times New Roman" w:hAnsi="Times New Roman" w:eastAsia="宋体"/>
          <w:color w:val="auto"/>
          <w:highlight w:val="none"/>
          <w:lang w:eastAsia="zh-CN"/>
        </w:rPr>
        <w:t>蛋鸡养殖</w:t>
      </w:r>
      <w:r>
        <w:rPr>
          <w:rFonts w:ascii="Times New Roman" w:hAnsi="Times New Roman" w:eastAsia="宋体"/>
          <w:color w:val="auto"/>
          <w:highlight w:val="none"/>
        </w:rPr>
        <w:t>项目，本次评价清洁生产的思路是结合养殖场中废物产生的特点，提出清洁生产方案和循环经济措施，力争达到</w:t>
      </w:r>
      <w:r>
        <w:rPr>
          <w:rFonts w:hint="eastAsia"/>
          <w:color w:val="auto"/>
          <w:highlight w:val="none"/>
          <w:lang w:eastAsia="zh-CN"/>
        </w:rPr>
        <w:t>”</w:t>
      </w:r>
      <w:r>
        <w:rPr>
          <w:rFonts w:ascii="Times New Roman" w:hAnsi="Times New Roman" w:eastAsia="宋体"/>
          <w:color w:val="auto"/>
          <w:highlight w:val="none"/>
        </w:rPr>
        <w:t>节能、降耗、减污、增效</w:t>
      </w:r>
      <w:r>
        <w:rPr>
          <w:rFonts w:hint="eastAsia"/>
          <w:color w:val="auto"/>
          <w:highlight w:val="none"/>
          <w:lang w:eastAsia="zh-CN"/>
        </w:rPr>
        <w:t>”</w:t>
      </w:r>
      <w:r>
        <w:rPr>
          <w:rFonts w:ascii="Times New Roman" w:hAnsi="Times New Roman" w:eastAsia="宋体"/>
          <w:color w:val="auto"/>
          <w:highlight w:val="none"/>
        </w:rPr>
        <w:t>的目的，从而降低生产成本，减少末端污染物的产生量和排放量。通过采用清洁生产和循环利用技术，要明显减降企业生产过程对环境的影响，提高原材料及能源的使用效率，减少资源的浪费，降低生产成本，减少污染物的产生量及排放量，促进企业的技术进步，提高企业的经济效益和管理水平。</w:t>
      </w:r>
    </w:p>
    <w:p>
      <w:pPr>
        <w:pStyle w:val="5"/>
        <w:rPr>
          <w:rFonts w:ascii="Times New Roman" w:hAnsi="Times New Roman" w:eastAsia="宋体"/>
          <w:color w:val="auto"/>
          <w:highlight w:val="none"/>
        </w:rPr>
      </w:pPr>
      <w:bookmarkStart w:id="153" w:name="_Toc106663477"/>
      <w:r>
        <w:rPr>
          <w:rFonts w:hint="eastAsia" w:ascii="Times New Roman" w:hAnsi="Times New Roman" w:eastAsia="宋体"/>
          <w:color w:val="auto"/>
          <w:highlight w:val="none"/>
        </w:rPr>
        <w:t>3.6.2清洁生产水平分析</w:t>
      </w:r>
      <w:bookmarkEnd w:id="153"/>
    </w:p>
    <w:p>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ascii="Times New Roman" w:hAnsi="Times New Roman" w:eastAsia="宋体"/>
          <w:color w:val="auto"/>
          <w:highlight w:val="none"/>
        </w:rPr>
        <w:t>.1清洁生产定性评价指标</w:t>
      </w:r>
    </w:p>
    <w:p>
      <w:pPr>
        <w:ind w:firstLine="480"/>
        <w:rPr>
          <w:rFonts w:ascii="Times New Roman" w:hAnsi="Times New Roman" w:eastAsia="宋体"/>
          <w:color w:val="auto"/>
          <w:highlight w:val="none"/>
        </w:rPr>
      </w:pPr>
      <w:r>
        <w:rPr>
          <w:rFonts w:ascii="Times New Roman" w:hAnsi="Times New Roman" w:eastAsia="宋体"/>
          <w:color w:val="auto"/>
          <w:highlight w:val="none"/>
        </w:rPr>
        <w:t>1、生产工艺与装备要求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在生产工艺和设备水平上通过选择清洁生产工艺，控制场内用水量，节约资源，减少污染物的排放，主要有：</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选用优良的蛋鸡鸡种，鸡只的良种产蛋体系；按照清洁生产的标准建立绿色蛋鸡养殖基地和产品基地，全程控制蛋鸡的饲养和管理。</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采用先进的养殖技术；加强饲养管理，保持良好的生态环境，减少细菌、病毒的致病机会，减少药品的使用。严禁高残留和违禁药物的使用。</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蛋鸡上笼时作好的免疫接种，如新城疫、禽流感等疫苗。</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对鸡粪实施干清粪工艺；</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采用自动给料机喂食和自动补水槽供应饮水，避免了饲料和水资源浪费，同时减少养殖舍内污染物的产生。</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所需饲料均为外购，在饲料中不额外添加兴奋剂、镇静剂、激素类、砷制剂等；选用的蛋鸡均为优良品种，由天康现代化专业蛋鸡场提供，确保饲料的营养性和安全性，避免了由于基因劣质及饲料不符合标准造成的损失及危害，符合清洁生产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2、资源能源利用指标</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本项目生产过程中主要使用能耗为电能和水，项目项目在建设及设备选型过程均采用低能耗，符合国家标准要求的设备，以减少电能的使用，降低了产品能耗指标。</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节能降耗：在冬季取暖合理分配取暖能源的利用，本项目员工的日常办公、生活均需要能源，而且冬季气温下降，鸡极易患病。因此冬季取暖期应合理分配取暖能源的利用，尽量使项目达到资源的充分利用，降低成本。</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按生产流向，合理地布置设备，减少物料往返运送次数，从而节省能源；总图布置上力求紧凑，要求贮存和成品仓库等都要靠近生产车间，按物料流向布置，缩短原料及成品的输送距离，尽量避免产品大量二次倒运，从而节省能源。</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对鸡粪进行资源化利用，外售给有机肥厂。</w:t>
      </w:r>
    </w:p>
    <w:p>
      <w:pPr>
        <w:ind w:firstLine="480"/>
        <w:rPr>
          <w:rFonts w:ascii="Times New Roman" w:hAnsi="Times New Roman" w:eastAsia="宋体"/>
          <w:color w:val="auto"/>
          <w:highlight w:val="none"/>
        </w:rPr>
      </w:pPr>
      <w:r>
        <w:rPr>
          <w:rFonts w:ascii="Times New Roman" w:hAnsi="Times New Roman" w:eastAsia="宋体"/>
          <w:color w:val="auto"/>
          <w:highlight w:val="none"/>
        </w:rPr>
        <w:t>3、废物回收利用</w:t>
      </w:r>
    </w:p>
    <w:p>
      <w:pPr>
        <w:ind w:firstLine="480"/>
        <w:rPr>
          <w:rFonts w:ascii="Times New Roman" w:hAnsi="Times New Roman" w:eastAsia="宋体"/>
          <w:color w:val="auto"/>
          <w:highlight w:val="none"/>
        </w:rPr>
      </w:pPr>
      <w:r>
        <w:rPr>
          <w:rFonts w:ascii="Times New Roman" w:hAnsi="Times New Roman" w:eastAsia="宋体"/>
          <w:color w:val="auto"/>
          <w:highlight w:val="none"/>
        </w:rPr>
        <w:t>鸡舍冲洗废水排入</w:t>
      </w:r>
      <w:r>
        <w:rPr>
          <w:rFonts w:hint="eastAsia"/>
          <w:color w:val="auto"/>
          <w:highlight w:val="none"/>
          <w:lang w:eastAsia="zh-CN"/>
        </w:rPr>
        <w:t>废水收集池</w:t>
      </w:r>
      <w:r>
        <w:rPr>
          <w:rFonts w:hint="eastAsia"/>
          <w:color w:val="auto"/>
          <w:highlight w:val="none"/>
          <w:lang w:val="en-US" w:eastAsia="zh-CN"/>
        </w:rPr>
        <w:t>经预处理后用作农肥</w:t>
      </w:r>
      <w:r>
        <w:rPr>
          <w:rFonts w:ascii="Times New Roman" w:hAnsi="Times New Roman" w:eastAsia="宋体"/>
          <w:color w:val="auto"/>
          <w:highlight w:val="none"/>
        </w:rPr>
        <w:t>。项目采用全自动干清粪工艺，鸡粪采用自动清粪系统清理后直接拉运至有机肥厂生产公司作为原料。</w:t>
      </w:r>
    </w:p>
    <w:p>
      <w:pPr>
        <w:ind w:firstLine="480"/>
        <w:rPr>
          <w:rFonts w:ascii="Times New Roman" w:hAnsi="Times New Roman" w:eastAsia="宋体"/>
          <w:color w:val="auto"/>
          <w:highlight w:val="none"/>
        </w:rPr>
      </w:pPr>
      <w:r>
        <w:rPr>
          <w:rFonts w:ascii="Times New Roman" w:hAnsi="Times New Roman" w:eastAsia="宋体"/>
          <w:color w:val="auto"/>
          <w:highlight w:val="none"/>
        </w:rPr>
        <w:t>4、污染物产生和排放</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废水资源化利用</w:t>
      </w:r>
    </w:p>
    <w:p>
      <w:pPr>
        <w:ind w:firstLine="480"/>
        <w:rPr>
          <w:rFonts w:hint="default" w:ascii="Times New Roman" w:hAnsi="Times New Roman" w:eastAsia="宋体"/>
          <w:color w:val="auto"/>
          <w:highlight w:val="none"/>
          <w:lang w:val="en-US"/>
        </w:rPr>
      </w:pPr>
      <w:r>
        <w:rPr>
          <w:rFonts w:ascii="Times New Roman" w:hAnsi="Times New Roman" w:eastAsia="宋体"/>
          <w:color w:val="auto"/>
          <w:highlight w:val="none"/>
        </w:rPr>
        <w:t>根据工程分析，本项目采用干清粪处理工艺，鸡舍冲洗废水排入</w:t>
      </w:r>
      <w:r>
        <w:rPr>
          <w:rFonts w:hint="eastAsia"/>
          <w:color w:val="auto"/>
          <w:highlight w:val="none"/>
          <w:lang w:eastAsia="zh-CN"/>
        </w:rPr>
        <w:t>废水收集池</w:t>
      </w:r>
      <w:r>
        <w:rPr>
          <w:rFonts w:hint="eastAsia"/>
          <w:color w:val="auto"/>
          <w:highlight w:val="none"/>
          <w:lang w:val="en-US" w:eastAsia="zh-CN"/>
        </w:rPr>
        <w:t>经预处理后用作农肥。</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废气排放指标</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项目外排的主要是无组织排放的恶臭气体、NH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S，圈舍内加强通风，喷洒除臭剂；场区圈舍四周进行绿化阻隔臭气的扩散，根据分析，项目在采取各项治理措施后，废气均能达标排放，对环境影响不大。</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噪声达标排放</w:t>
      </w:r>
    </w:p>
    <w:p>
      <w:pPr>
        <w:ind w:firstLine="480"/>
        <w:rPr>
          <w:rFonts w:ascii="Times New Roman" w:hAnsi="Times New Roman" w:eastAsia="宋体"/>
          <w:color w:val="auto"/>
          <w:highlight w:val="none"/>
        </w:rPr>
      </w:pPr>
      <w:r>
        <w:rPr>
          <w:rFonts w:ascii="Times New Roman" w:hAnsi="Times New Roman" w:eastAsia="宋体"/>
          <w:color w:val="auto"/>
          <w:highlight w:val="none"/>
        </w:rPr>
        <w:t>项目运营期设备运转产生的噪声，通过采取设备基础减振、厂房隔声等措施，再经厂界距离衰减后，可以在厂界噪声达标排放。</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固体废物资源化利用</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本项目产生的固体废物主要为鸡粪及散落羽毛、病死鸡只、废弃包装物、生活垃圾、医疗废物。本项目区产生的</w:t>
      </w:r>
      <w:r>
        <w:rPr>
          <w:rFonts w:hint="eastAsia"/>
          <w:color w:val="auto"/>
          <w:highlight w:val="none"/>
          <w:lang w:eastAsia="zh-CN"/>
        </w:rPr>
        <w:t>鸡粪及散落羽毛采用自动清粪系统清理与废水收集池污泥</w:t>
      </w:r>
      <w:r>
        <w:rPr>
          <w:rFonts w:hint="eastAsia" w:ascii="Times New Roman" w:hAnsi="Times New Roman" w:eastAsia="宋体"/>
          <w:color w:val="auto"/>
          <w:highlight w:val="none"/>
          <w:lang w:val="en-US" w:eastAsia="zh-CN"/>
        </w:rPr>
        <w:t>外售</w:t>
      </w:r>
      <w:r>
        <w:rPr>
          <w:rFonts w:ascii="Times New Roman" w:hAnsi="Times New Roman" w:eastAsia="宋体"/>
          <w:color w:val="auto"/>
          <w:highlight w:val="none"/>
        </w:rPr>
        <w:t>有机肥生产公司作为有机肥生产的原料，由其负责定期清运工作。病死鸡只根据具体死因，见疾病病死鸡采用填埋井对其进行无害化处理，若因为鸡瘟、新城疫等传染性疾病死亡的鸡只，交由防疫部门处置。本项目饲料包装袋最终返回原包装袋购置厂家回收，废弃包装物得到了合理利用。本项目生活垃圾集中收集由当地环卫部门处置。本项目对蛋鸡进行防疫、治疗过程中产生少量废弃药品、废针管、过期兽药等，医疗废物属于HW01类危险废物，储存于</w:t>
      </w:r>
      <w:r>
        <w:rPr>
          <w:rFonts w:hint="eastAsia"/>
          <w:color w:val="auto"/>
          <w:highlight w:val="none"/>
          <w:lang w:eastAsia="zh-CN"/>
        </w:rPr>
        <w:t>医疗废物暂存间</w:t>
      </w:r>
      <w:r>
        <w:rPr>
          <w:rFonts w:ascii="Times New Roman" w:hAnsi="Times New Roman" w:eastAsia="宋体"/>
          <w:color w:val="auto"/>
          <w:highlight w:val="none"/>
        </w:rPr>
        <w:t>，交由当地有处理资质的单位进行处置。</w:t>
      </w:r>
    </w:p>
    <w:p>
      <w:pPr>
        <w:ind w:firstLine="480"/>
        <w:rPr>
          <w:rFonts w:ascii="Times New Roman" w:hAnsi="Times New Roman" w:eastAsia="宋体"/>
          <w:color w:val="auto"/>
          <w:highlight w:val="none"/>
        </w:rPr>
      </w:pPr>
      <w:r>
        <w:rPr>
          <w:rFonts w:ascii="Times New Roman" w:hAnsi="Times New Roman" w:eastAsia="宋体"/>
          <w:color w:val="auto"/>
          <w:highlight w:val="none"/>
        </w:rPr>
        <w:t>5、环境管理要求</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选址</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本项目的建设符合国家产业政策，选址、平面布置及污染防治措施符合《畜禽养殖业污染防治技术规范》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、《动物防疫条件审查办法》</w:t>
      </w:r>
      <w:r>
        <w:rPr>
          <w:rFonts w:hint="eastAsia"/>
          <w:color w:val="auto"/>
          <w:highlight w:val="none"/>
          <w:lang w:eastAsia="zh-CN"/>
        </w:rPr>
        <w:t>（</w:t>
      </w:r>
      <w:r>
        <w:rPr>
          <w:rFonts w:ascii="Times New Roman" w:hAnsi="Times New Roman" w:eastAsia="宋体"/>
          <w:color w:val="auto"/>
          <w:highlight w:val="none"/>
        </w:rPr>
        <w:t>农业部令2010年第7号</w:t>
      </w:r>
      <w:r>
        <w:rPr>
          <w:rFonts w:hint="eastAsia"/>
          <w:color w:val="auto"/>
          <w:highlight w:val="none"/>
          <w:lang w:eastAsia="zh-CN"/>
        </w:rPr>
        <w:t>）</w:t>
      </w:r>
      <w:r>
        <w:rPr>
          <w:rFonts w:ascii="Times New Roman" w:hAnsi="Times New Roman" w:eastAsia="宋体"/>
          <w:color w:val="auto"/>
          <w:highlight w:val="none"/>
        </w:rPr>
        <w:t>、《畜禽养殖业污染防治技术规范》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、《玛纳斯县畜禽养殖禁养区和限养区划定工作实施方案》</w:t>
      </w:r>
      <w:r>
        <w:rPr>
          <w:rFonts w:hint="eastAsia"/>
          <w:color w:val="auto"/>
          <w:highlight w:val="none"/>
          <w:lang w:eastAsia="zh-CN"/>
        </w:rPr>
        <w:t>（</w:t>
      </w:r>
      <w:r>
        <w:rPr>
          <w:rFonts w:ascii="Times New Roman" w:hAnsi="Times New Roman" w:eastAsia="宋体"/>
          <w:color w:val="auto"/>
          <w:highlight w:val="none"/>
        </w:rPr>
        <w:t>玛政办发〔2017〕20号</w:t>
      </w:r>
      <w:r>
        <w:rPr>
          <w:rFonts w:hint="eastAsia"/>
          <w:color w:val="auto"/>
          <w:highlight w:val="none"/>
          <w:lang w:eastAsia="zh-CN"/>
        </w:rPr>
        <w:t>）</w:t>
      </w:r>
      <w:r>
        <w:rPr>
          <w:rFonts w:ascii="Times New Roman" w:hAnsi="Times New Roman" w:eastAsia="宋体"/>
          <w:color w:val="auto"/>
          <w:highlight w:val="none"/>
        </w:rPr>
        <w:t>等相关文件的要求。</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防疫措施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严格执行科学的卫生防疫措施，有效预防和控制传染病的发生。养殖场布局须合理，生产、生活区严格分开，养殖区周围设立防护设施，非生产人员不得随意进入养殖区；养殖场内设置隔离舍，对病鸡进行隔离观察诊治；对死亡的鸡只，</w:t>
      </w:r>
    </w:p>
    <w:p>
      <w:pPr>
        <w:ind w:firstLine="480"/>
        <w:rPr>
          <w:rFonts w:ascii="Times New Roman" w:hAnsi="Times New Roman" w:eastAsia="宋体"/>
          <w:color w:val="auto"/>
          <w:highlight w:val="none"/>
        </w:rPr>
      </w:pPr>
      <w:r>
        <w:rPr>
          <w:rFonts w:ascii="Times New Roman" w:hAnsi="Times New Roman" w:eastAsia="宋体"/>
          <w:color w:val="auto"/>
          <w:highlight w:val="none"/>
        </w:rPr>
        <w:t>采取深埋法处置措施，严格执行消毒措施，对进出养殖场的运输车辆进行严格消毒。</w:t>
      </w:r>
    </w:p>
    <w:p>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3.6.</w:t>
      </w:r>
      <w:r>
        <w:rPr>
          <w:rFonts w:hint="eastAsia" w:ascii="Times New Roman" w:hAnsi="Times New Roman" w:eastAsia="宋体"/>
          <w:b/>
          <w:bCs/>
          <w:color w:val="auto"/>
          <w:highlight w:val="none"/>
          <w:lang w:val="en-US" w:eastAsia="zh-CN"/>
        </w:rPr>
        <w:t>2.2清洁生产小结</w:t>
      </w:r>
    </w:p>
    <w:p>
      <w:pPr>
        <w:keepNext w:val="0"/>
        <w:keepLines w:val="0"/>
        <w:pageBreakBefore w:val="0"/>
        <w:widowControl w:val="0"/>
        <w:kinsoku/>
        <w:wordWrap/>
        <w:overflowPunct/>
        <w:topLinePunct w:val="0"/>
        <w:autoSpaceDE/>
        <w:autoSpaceDN/>
        <w:bidi w:val="0"/>
        <w:adjustRightInd/>
        <w:snapToGrid/>
        <w:spacing w:line="480" w:lineRule="exact"/>
        <w:ind w:left="0" w:right="0" w:firstLine="482"/>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项目建成后企业将设立健全的环境管理机构和专职管理人员，制订较完善环境管理制度，严格控制各种污染物的产生及排放，严格控制风险事故的发生。</w:t>
      </w:r>
    </w:p>
    <w:p>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从养殖过程、污染防治技术、节能降耗等环节采用切实可行的清洁生产技术，从源头控制污染，过程控制和污染控制技术比较完备；工艺技术路线及装备符合目前国家产业政策和环保政策要求；能耗、物耗、水耗水平等符合清洁生产要求。只要加强营运后日常生产管理与维护，保证各项环保设施正常运行，采取工程设计和评价建议的污染防治措施和清洁生产措施，确保各项环保设施正常运行，与国内同行业相比，本项目水耗、物耗、能耗低，污染物排放量小，生产工艺及管理符合清洁生产要求。综上所述，本项目符合清洁生产要求。</w:t>
      </w:r>
    </w:p>
    <w:p>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3.6.</w:t>
      </w:r>
      <w:r>
        <w:rPr>
          <w:rFonts w:hint="eastAsia" w:ascii="Times New Roman" w:hAnsi="Times New Roman" w:eastAsia="宋体"/>
          <w:b/>
          <w:bCs/>
          <w:color w:val="auto"/>
          <w:highlight w:val="none"/>
          <w:lang w:val="en-US" w:eastAsia="zh-CN"/>
        </w:rPr>
        <w:t>2.3清洁生产建议</w:t>
      </w:r>
    </w:p>
    <w:p>
      <w:pPr>
        <w:ind w:firstLine="480"/>
        <w:rPr>
          <w:rFonts w:ascii="Times New Roman" w:hAnsi="Times New Roman" w:eastAsia="宋体"/>
          <w:color w:val="auto"/>
          <w:highlight w:val="none"/>
        </w:rPr>
      </w:pPr>
      <w:r>
        <w:rPr>
          <w:rFonts w:ascii="Times New Roman" w:hAnsi="Times New Roman" w:eastAsia="宋体"/>
          <w:color w:val="auto"/>
          <w:highlight w:val="none"/>
        </w:rPr>
        <w:t>经分析，拟建项目虽然符合清洁生产的要求，但还有进一步加强清洁生产的潜力，为此提出如下建议：</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注重生产现场技术管理，保证生产过程的连续性、比例性和协调性。</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生产过程中必须加强循环利用和再资源化，对排放物的有效处理和回收利用，既可创造经济效益，又可减少污染。</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进一步降低电耗、水耗，降低单位产品消耗水平，从而降低产品成本，增强市场竞争力。</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进一步减少生产过程中的跑、冒、滴、漏，降低对环境造成的危害。</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落实环评报告书所提出的各项污染防治措施，加强污染防治设施的运行维护和管理，确保对周围环境影响的最小化。</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建立严格完善的生产管理制度，加强业务培训和宣传教育工作，使每个职工树立节能意识，环保意识，保障清洁生产的目的顺利实施。</w:t>
      </w:r>
    </w:p>
    <w:p>
      <w:pPr>
        <w:ind w:firstLine="480"/>
        <w:rPr>
          <w:rFonts w:ascii="Times New Roman" w:hAnsi="Times New Roman" w:eastAsia="宋体"/>
          <w:color w:val="auto"/>
          <w:highlight w:val="none"/>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color w:val="auto"/>
          <w:highlight w:val="none"/>
          <w:lang w:eastAsia="zh-CN"/>
        </w:rPr>
        <w:t>（</w:t>
      </w:r>
      <w:r>
        <w:rPr>
          <w:rFonts w:ascii="Times New Roman" w:hAnsi="Times New Roman" w:eastAsia="宋体"/>
          <w:color w:val="auto"/>
          <w:highlight w:val="none"/>
        </w:rPr>
        <w:t>7</w:t>
      </w:r>
      <w:r>
        <w:rPr>
          <w:rFonts w:hint="eastAsia"/>
          <w:color w:val="auto"/>
          <w:highlight w:val="none"/>
          <w:lang w:eastAsia="zh-CN"/>
        </w:rPr>
        <w:t>）</w:t>
      </w:r>
      <w:r>
        <w:rPr>
          <w:rFonts w:ascii="Times New Roman" w:hAnsi="Times New Roman" w:eastAsia="宋体"/>
          <w:color w:val="auto"/>
          <w:highlight w:val="none"/>
        </w:rPr>
        <w:t>拟建项目应参照ISO14000标准的要求建立并运行环境管理体系，不断健全环境管理手册、程序文件及作业文件，进一步理顺全厂环境管理的关系，抓好企业环境管理。同时开展清洁生产审核，持续改进和提高企业环境管理水平。</w:t>
      </w:r>
    </w:p>
    <w:p>
      <w:pPr>
        <w:pStyle w:val="3"/>
        <w:rPr>
          <w:rFonts w:ascii="Times New Roman" w:hAnsi="Times New Roman" w:eastAsia="宋体"/>
          <w:color w:val="auto"/>
          <w:highlight w:val="none"/>
        </w:rPr>
      </w:pPr>
      <w:bookmarkStart w:id="154" w:name="_Toc89619339"/>
      <w:bookmarkStart w:id="155" w:name="_Toc106663478"/>
      <w:r>
        <w:rPr>
          <w:rFonts w:hint="eastAsia" w:ascii="Times New Roman" w:hAnsi="Times New Roman" w:eastAsia="宋体"/>
          <w:color w:val="auto"/>
          <w:highlight w:val="none"/>
        </w:rPr>
        <w:t>4、环境现状调查与评价</w:t>
      </w:r>
      <w:bookmarkEnd w:id="154"/>
      <w:bookmarkEnd w:id="155"/>
    </w:p>
    <w:p>
      <w:pPr>
        <w:pStyle w:val="4"/>
        <w:rPr>
          <w:rFonts w:ascii="Times New Roman" w:hAnsi="Times New Roman" w:eastAsia="宋体"/>
          <w:color w:val="auto"/>
          <w:highlight w:val="none"/>
        </w:rPr>
      </w:pPr>
      <w:bookmarkStart w:id="156" w:name="_Toc106663479"/>
      <w:bookmarkStart w:id="157" w:name="_Toc89619340"/>
      <w:r>
        <w:rPr>
          <w:rFonts w:hint="eastAsia" w:ascii="Times New Roman" w:hAnsi="Times New Roman" w:eastAsia="宋体"/>
          <w:color w:val="auto"/>
          <w:highlight w:val="none"/>
        </w:rPr>
        <w:t>4.1自然环境概况</w:t>
      </w:r>
      <w:bookmarkEnd w:id="156"/>
      <w:bookmarkEnd w:id="157"/>
    </w:p>
    <w:p>
      <w:pPr>
        <w:pStyle w:val="5"/>
        <w:rPr>
          <w:rFonts w:ascii="Times New Roman" w:hAnsi="Times New Roman" w:eastAsia="宋体"/>
          <w:color w:val="auto"/>
          <w:highlight w:val="none"/>
        </w:rPr>
      </w:pPr>
      <w:bookmarkStart w:id="158" w:name="_Toc106663480"/>
      <w:r>
        <w:rPr>
          <w:rFonts w:hint="eastAsia" w:ascii="Times New Roman" w:hAnsi="Times New Roman" w:eastAsia="宋体"/>
          <w:color w:val="auto"/>
          <w:highlight w:val="none"/>
        </w:rPr>
        <w:t>4.1.1地理位置</w:t>
      </w:r>
      <w:bookmarkEnd w:id="158"/>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Times New Roman" w:hAnsi="Times New Roman" w:eastAsia="宋体"/>
          <w:color w:val="auto"/>
          <w:highlight w:val="none"/>
        </w:rPr>
      </w:pPr>
      <w:r>
        <w:rPr>
          <w:rFonts w:ascii="Times New Roman" w:hAnsi="Times New Roman" w:eastAsia="宋体"/>
          <w:color w:val="auto"/>
          <w:highlight w:val="none"/>
        </w:rPr>
        <w:t>玛纳斯县位于北疆沿天山中段伊林——哈比尔尕山的北麓，古尔班通古特沙漠南侧，地跨北纬43°28′29″~45°38′52″，东经85°41′16″~86°43′10″。东面以干河子为界与呼图壁县相邻，西以玛纳斯河为界与石河子市、沙湾县相望，北面在沙漠中与阿尔泰地区的布克赛尔、福海县相连，南面在天山中与和静县接壤。南北最大长度241.7km，东西最大宽度88.7km，通过县城的东西宽度30.65km。</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Times New Roman" w:hAnsi="Times New Roman" w:eastAsia="宋体"/>
          <w:color w:val="auto"/>
          <w:highlight w:val="none"/>
        </w:rPr>
      </w:pPr>
      <w:r>
        <w:rPr>
          <w:rFonts w:ascii="Times New Roman" w:hAnsi="Times New Roman" w:eastAsia="宋体"/>
          <w:color w:val="auto"/>
          <w:highlight w:val="none"/>
        </w:rPr>
        <w:t>本项目位于昌吉州玛纳斯县广东地乡苇坝村东侧1.6km处，项目北侧为空地，西侧为乡村道路，</w:t>
      </w:r>
      <w:r>
        <w:rPr>
          <w:rFonts w:hint="eastAsia"/>
          <w:color w:val="auto"/>
          <w:highlight w:val="none"/>
          <w:lang w:eastAsia="zh-CN"/>
        </w:rPr>
        <w:t>南侧为农田</w:t>
      </w:r>
      <w:r>
        <w:rPr>
          <w:rFonts w:ascii="Times New Roman" w:hAnsi="Times New Roman" w:eastAsia="宋体"/>
          <w:color w:val="auto"/>
          <w:highlight w:val="none"/>
        </w:rPr>
        <w:t>，东侧为棉花地。项目中心地理坐标：86°19′54″E，44°20′39″N。</w:t>
      </w:r>
    </w:p>
    <w:p>
      <w:pPr>
        <w:pStyle w:val="5"/>
        <w:rPr>
          <w:rFonts w:ascii="Times New Roman" w:hAnsi="Times New Roman" w:eastAsia="宋体"/>
          <w:color w:val="auto"/>
          <w:highlight w:val="none"/>
        </w:rPr>
      </w:pPr>
      <w:bookmarkStart w:id="159" w:name="_Toc106663481"/>
      <w:r>
        <w:rPr>
          <w:rFonts w:hint="eastAsia" w:ascii="Times New Roman" w:hAnsi="Times New Roman" w:eastAsia="宋体"/>
          <w:color w:val="auto"/>
          <w:highlight w:val="none"/>
        </w:rPr>
        <w:t>4.1.2地形、地貌</w:t>
      </w:r>
      <w:bookmarkEnd w:id="159"/>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地处准噶尔盆地玛纳斯河山前冲积倾斜平原地中下部位，在玛纳斯河洪冲积扇上。南部为东西走向的天山山脉。拟建场地地势基本平坦、开阔，地貌单一，海拔高度485m。表层土壤为充填土层，主要由粉土、沙砾石组成。地势受区域地形的制约，由南向北倾斜，自然坡度在1%左右。</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玛纳斯县域可划分为南部山区、山前冲积平原和北部沙漠三个大地貌单元。</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南部山区：由于地形复杂，山势高度相差很大，南部山区可分为后山，中山和前山三个小地貌单元。后山各山峰一般在海拔2800m以上，最高可达5222.4m，山势雄伟险峻，多悬崖峭壁。中山各山峰均在1500-2800m之间，山势比较平缓，峰谷相间，由南向北倾斜，冬季有季节性积雪，夏季降水充沛，冬暖夏凉。前山主要有阴山、苏克拜乔克山和竟拉乔克山，海拔高度在500-1500m之间。由塔西河谷石门子到玛纳斯河谷红坑的断裂带，将本区分成南部低山和北部丘陵两部分。</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中部平原：从前山丘陵至沙漠前沿海拔450-600m之间为中部平原，整个地势由东南向西北倾斜，南靠为玛纳斯河、塔西河和干河子的冲积扇，坡降1.0-1.5%。此处除一部分戈壁地，由于土层薄，质地粗，渗水严重，除林用和牧用外，其余部分已开垦农用。北部为玛纳斯河、塔西河和干河子的冲积平原和古河道三角洲平原。地势平坦，坡降仅有0.2-0.3%，土地肥沃，除一部分低洼盐碱和十分缺水的地区牧用外，均已开垦农用，此处热量充足，是著名的粮棉油产地。农作物主要有小麦、玉米、水稻、油菜、甜菜和棉花等。</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北部沙漠：玛纳斯县北部262-450m之间是古尔班通古特大沙漠的一部分，地势由东南向西北倾斜，沙漠被莫索湾湖积低地分成南北两部分，南部沙漠分布在莫索湾垦区与北五岔、六户地乡之间，沙漠宽约10-30km，莫索湾以北的沙漠称为莫北沙漠，面积十分广大。南部沙漠多为沙丘、沙垄和西北东南向的新月形固定和半固定沙丘链。沙丘高度15m左右，沙丘，沙垄之间有很多小面积的谷地、凹地，俗称沙窝岛。沙丘之上植被稀少，沙丘之间有胡杨、红柳、梭梭及荒漠植被，覆盖度很小，因缺少人畜饮水，只能在冬季地面积雪后放牧之用。</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处在沙漠之中湖积平原的莫索湾地区，地势平坦，沙丘稀少，土地肥沃，现已开垦农用，盛产棉花、玉米、小麦、瓜果，这就是著名的莫索湾垦区。</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莫北沙漠北部小盐池周围是平坦的湖滨沙地，小盐池以北是广大的湖积平原除有牧草生长外，还有少量的灌木林，如水源能够解决，可开垦农用。</w:t>
      </w:r>
    </w:p>
    <w:p>
      <w:pPr>
        <w:pStyle w:val="5"/>
        <w:rPr>
          <w:rFonts w:ascii="Times New Roman" w:hAnsi="Times New Roman" w:eastAsia="宋体"/>
          <w:color w:val="auto"/>
          <w:highlight w:val="none"/>
        </w:rPr>
      </w:pPr>
      <w:bookmarkStart w:id="160" w:name="_Toc106663483"/>
      <w:r>
        <w:rPr>
          <w:rFonts w:hint="eastAsia" w:ascii="Times New Roman" w:hAnsi="Times New Roman" w:eastAsia="宋体"/>
          <w:color w:val="auto"/>
          <w:highlight w:val="none"/>
        </w:rPr>
        <w:t>4.1.3水文地质</w:t>
      </w:r>
      <w:bookmarkEnd w:id="160"/>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玛纳斯县境内主要有玛纳斯河和塔西河两条河流，年总流量14.88亿m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w:t>
      </w:r>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河是玛纳斯县最大的河流，发源于天山中段山结的伊林——哈比尔尕山，汇有清水河、瞎熊沟、芦草沟、大白杨沟、小白杨沟等支流。该河出山后在十里墩分成两支，后于下桥子汇合，流经玛纳斯和沙湾两县，最后注入玛纳斯湖，全长300余km。玛纳斯河径流主要来源是降水、冰雪融水和地下水，年总流量10.32-l5.57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由于玛纳斯河发源地冰川面积大，流域广，高山积差和地下水有调节流量的作用，所以玛纳斯河流量年际变化小，由于温度和降水的影响，季节变化和日变化大。径流主要集中在6-8月，这三个月的总流量占全年流量的66%，因冬季靠地下水补给，流量小。</w:t>
      </w:r>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塔西河发源于关山中段阿尔善山北侧，径流主要靠降水、冰雪融水和地下水。流经本县东部，年总流量2.31亿m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，斗渠口实际引水1.127亿m</w:t>
      </w:r>
      <w:r>
        <w:rPr>
          <w:rFonts w:hint="eastAsia" w:ascii="Times New Roman" w:hAnsi="Times New Roman" w:eastAsia="宋体"/>
          <w:color w:val="auto"/>
          <w:highlight w:val="none"/>
          <w:vertAlign w:val="superscript"/>
          <w:lang w:val="en-US" w:eastAsia="zh-CN"/>
        </w:rPr>
        <w:t>3</w:t>
      </w:r>
      <w:r>
        <w:rPr>
          <w:rFonts w:ascii="Times New Roman" w:hAnsi="Times New Roman" w:eastAsia="宋体"/>
          <w:color w:val="auto"/>
          <w:highlight w:val="none"/>
        </w:rPr>
        <w:t>。因为源头短，流域面积小，流量年际变化、季节变化和日变化都大。夏季温度突升或山区有大降水产生，常常出现洪水。</w:t>
      </w:r>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全县有小水库18座</w:t>
      </w:r>
      <w:r>
        <w:rPr>
          <w:rFonts w:hint="eastAsia"/>
          <w:color w:val="auto"/>
          <w:highlight w:val="none"/>
          <w:lang w:eastAsia="zh-CN"/>
        </w:rPr>
        <w:t>（</w:t>
      </w:r>
      <w:r>
        <w:rPr>
          <w:rFonts w:ascii="Times New Roman" w:hAnsi="Times New Roman" w:eastAsia="宋体"/>
          <w:color w:val="auto"/>
          <w:highlight w:val="none"/>
        </w:rPr>
        <w:t>驻县单位水库除外</w:t>
      </w:r>
      <w:r>
        <w:rPr>
          <w:rFonts w:hint="eastAsia"/>
          <w:color w:val="auto"/>
          <w:highlight w:val="none"/>
          <w:lang w:eastAsia="zh-CN"/>
        </w:rPr>
        <w:t>）</w:t>
      </w:r>
      <w:r>
        <w:rPr>
          <w:rFonts w:ascii="Times New Roman" w:hAnsi="Times New Roman" w:eastAsia="宋体"/>
          <w:color w:val="auto"/>
          <w:highlight w:val="none"/>
        </w:rPr>
        <w:t>，设计库容5530万m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。由于泥沙沉积，现蓄水能力只有3580万m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，主要有白土坑水库、新户坪水库、塔西河水库等。</w:t>
      </w:r>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玛纳斯县地方引用水为玛纳斯河水，多年平均实际引水量1.8亿m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，引水率为76.27%，地方引用塔西河水水量1.38亿m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，引水量为72.3%，清水河及芦草沟是玛纳斯上游支流，灌溉期引用清水河水1.167亿m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，引用率为73.8%。县属可利用地表水总量为4.35亿m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，而实际引用量为3.37亿m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，引用率78.9%。地下水：全县地下水资源总量为1.7484亿m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，可开采量1.6744亿m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w:t>
      </w:r>
    </w:p>
    <w:p>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地下水流向自西南向北东方向径流，水力坡度4‰左右。</w:t>
      </w:r>
    </w:p>
    <w:p>
      <w:pPr>
        <w:pStyle w:val="5"/>
        <w:rPr>
          <w:rFonts w:ascii="Times New Roman" w:hAnsi="Times New Roman" w:eastAsia="宋体"/>
          <w:color w:val="auto"/>
          <w:highlight w:val="none"/>
        </w:rPr>
      </w:pPr>
      <w:bookmarkStart w:id="161" w:name="_Toc106663484"/>
      <w:r>
        <w:rPr>
          <w:rFonts w:hint="eastAsia" w:ascii="Times New Roman" w:hAnsi="Times New Roman" w:eastAsia="宋体"/>
          <w:color w:val="auto"/>
          <w:highlight w:val="none"/>
        </w:rPr>
        <w:t>4.1.4气候、气象</w:t>
      </w:r>
      <w:bookmarkEnd w:id="161"/>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位于大陆腹地，年平均气温为2.9℃~6.8℃，极端最高气温为42.0~43.1℃极端最低气温为-38.0~-42.8℃，年较差为43.5~44.7℃。年降水总量为117.2~543.5mm，年蒸发量最高可达1194.4mm。相当于降水量的4~11倍。冬季严寒，夏季酷热，降水少，空气干燥，是典型的大陆性气候。</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玛纳斯县前山、平原和沙漠地区属于中温带，中山和后山属于寒温带。</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风速：玛纳斯县各地年平均风速以平原为最大，北部沙漠次之，南部山区最小。从季节变化来看平原和沙漠地区平均风速以春夏秋三季为最大，冬季最小。南部山区平均风速全年各月相差不大。</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风向：玛纳斯县各地年最多风向频率，以南部山区为最大，平原次之，沙漠最小。平原和南部山区出现在6-7月。而北部沙漠地区出现在1-3月。</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最多风向频率的风向，靠近天山北麓的平原1-2月、5-12月和南部山区的1-2月、4-12月均为西南风。这种情况说明在一般天气条件下该地区的风向主要受山谷风的影响。北部沙漠地区除夏季外，一年三季盛行东风，主要是冬季和春秋季该地区经常处在蒙古冷高压的西南侧回流之中。6-7月转为西风，是由于经常处在低压或低槽南部。</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春夏秋三季在无天气影响情况下风向有明显的日变化，白天刮上山风</w:t>
      </w:r>
      <w:r>
        <w:rPr>
          <w:rFonts w:hint="eastAsia"/>
          <w:color w:val="auto"/>
          <w:szCs w:val="24"/>
          <w:highlight w:val="none"/>
          <w:lang w:eastAsia="zh-CN"/>
        </w:rPr>
        <w:t>（</w:t>
      </w:r>
      <w:r>
        <w:rPr>
          <w:rFonts w:ascii="Times New Roman" w:hAnsi="Times New Roman" w:eastAsia="宋体"/>
          <w:color w:val="auto"/>
          <w:szCs w:val="24"/>
          <w:highlight w:val="none"/>
        </w:rPr>
        <w:t>山风</w:t>
      </w:r>
      <w:r>
        <w:rPr>
          <w:rFonts w:hint="eastAsia"/>
          <w:color w:val="auto"/>
          <w:szCs w:val="24"/>
          <w:highlight w:val="none"/>
          <w:lang w:eastAsia="zh-CN"/>
        </w:rPr>
        <w:t>）</w:t>
      </w:r>
      <w:r>
        <w:rPr>
          <w:rFonts w:ascii="Times New Roman" w:hAnsi="Times New Roman" w:eastAsia="宋体"/>
          <w:color w:val="auto"/>
          <w:szCs w:val="24"/>
          <w:highlight w:val="none"/>
        </w:rPr>
        <w:t>，夜间刮下山风</w:t>
      </w:r>
      <w:r>
        <w:rPr>
          <w:rFonts w:hint="eastAsia"/>
          <w:color w:val="auto"/>
          <w:szCs w:val="24"/>
          <w:highlight w:val="none"/>
          <w:lang w:eastAsia="zh-CN"/>
        </w:rPr>
        <w:t>（</w:t>
      </w:r>
      <w:r>
        <w:rPr>
          <w:rFonts w:ascii="Times New Roman" w:hAnsi="Times New Roman" w:eastAsia="宋体"/>
          <w:color w:val="auto"/>
          <w:szCs w:val="24"/>
          <w:highlight w:val="none"/>
        </w:rPr>
        <w:t>谷风</w:t>
      </w:r>
      <w:r>
        <w:rPr>
          <w:rFonts w:hint="eastAsia"/>
          <w:color w:val="auto"/>
          <w:szCs w:val="24"/>
          <w:highlight w:val="none"/>
          <w:lang w:eastAsia="zh-CN"/>
        </w:rPr>
        <w:t>）</w:t>
      </w:r>
      <w:r>
        <w:rPr>
          <w:rFonts w:ascii="Times New Roman" w:hAnsi="Times New Roman" w:eastAsia="宋体"/>
          <w:color w:val="auto"/>
          <w:szCs w:val="24"/>
          <w:highlight w:val="none"/>
        </w:rPr>
        <w:t>，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气候属内陆干旱区，根据邻近玛纳斯县气象站资料：</w:t>
      </w:r>
      <w:r>
        <w:rPr>
          <w:rFonts w:hint="eastAsia" w:ascii="Times New Roman" w:hAnsi="Times New Roman" w:eastAsia="宋体"/>
          <w:color w:val="auto"/>
          <w:szCs w:val="24"/>
          <w:highlight w:val="none"/>
          <w:lang w:val="en-US" w:eastAsia="zh-CN"/>
        </w:rPr>
        <w:t>表</w:t>
      </w:r>
      <w:r>
        <w:rPr>
          <w:rFonts w:ascii="Times New Roman" w:hAnsi="Times New Roman" w:eastAsia="宋体"/>
          <w:color w:val="auto"/>
          <w:szCs w:val="24"/>
          <w:highlight w:val="none"/>
        </w:rPr>
        <w:t>4</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1</w:t>
      </w:r>
      <w:r>
        <w:rPr>
          <w:rFonts w:hint="eastAsia" w:ascii="Times New Roman" w:hAnsi="Times New Roman" w:eastAsia="宋体"/>
          <w:color w:val="auto"/>
          <w:szCs w:val="24"/>
          <w:highlight w:val="none"/>
        </w:rPr>
        <w:t>-1。</w:t>
      </w:r>
    </w:p>
    <w:p>
      <w:pPr>
        <w:pStyle w:val="160"/>
        <w:keepNext w:val="0"/>
        <w:keepLines w:val="0"/>
        <w:pageBreakBefore w:val="0"/>
        <w:widowControl w:val="0"/>
        <w:kinsoku/>
        <w:wordWrap/>
        <w:overflowPunct/>
        <w:topLinePunct w:val="0"/>
        <w:autoSpaceDE/>
        <w:autoSpaceDN/>
        <w:bidi w:val="0"/>
        <w:adjustRightInd w:val="0"/>
        <w:snapToGrid/>
        <w:spacing w:line="360" w:lineRule="auto"/>
        <w:ind w:left="0" w:right="0" w:rightChars="0" w:firstLine="0"/>
        <w:jc w:val="center"/>
        <w:textAlignment w:val="baseline"/>
        <w:rPr>
          <w:rFonts w:ascii="Times New Roman" w:hAnsi="Times New Roman" w:eastAsia="宋体"/>
          <w:b/>
          <w:bCs/>
          <w:color w:val="auto"/>
          <w:highlight w:val="none"/>
        </w:rPr>
      </w:pPr>
      <w:r>
        <w:rPr>
          <w:rFonts w:hint="eastAsia" w:ascii="Times New Roman" w:hAnsi="Times New Roman" w:eastAsia="宋体" w:cs="宋体"/>
          <w:b/>
          <w:bCs/>
          <w:color w:val="auto"/>
          <w:highlight w:val="none"/>
        </w:rPr>
        <w:t>表</w:t>
      </w:r>
      <w:r>
        <w:rPr>
          <w:rFonts w:ascii="Times New Roman" w:hAnsi="Times New Roman" w:eastAsia="宋体"/>
          <w:b/>
          <w:bCs/>
          <w:color w:val="auto"/>
          <w:highlight w:val="none"/>
        </w:rPr>
        <w:t>4</w:t>
      </w:r>
      <w:r>
        <w:rPr>
          <w:rFonts w:hint="eastAsia" w:ascii="Times New Roman" w:hAnsi="Times New Roman" w:eastAsia="宋体"/>
          <w:b/>
          <w:bCs/>
          <w:color w:val="auto"/>
          <w:highlight w:val="none"/>
        </w:rPr>
        <w:t>.</w:t>
      </w:r>
      <w:r>
        <w:rPr>
          <w:rFonts w:ascii="Times New Roman" w:hAnsi="Times New Roman" w:eastAsia="宋体"/>
          <w:b/>
          <w:bCs/>
          <w:color w:val="auto"/>
          <w:highlight w:val="none"/>
        </w:rPr>
        <w:t>1</w:t>
      </w:r>
      <w:r>
        <w:rPr>
          <w:rFonts w:hint="eastAsia" w:ascii="Times New Roman" w:hAnsi="Times New Roman" w:eastAsia="宋体"/>
          <w:b/>
          <w:bCs/>
          <w:color w:val="auto"/>
          <w:highlight w:val="none"/>
        </w:rPr>
        <w:t>-1</w:t>
      </w:r>
      <w:r>
        <w:rPr>
          <w:rFonts w:hint="eastAsia" w:ascii="Times New Roman" w:hAnsi="Times New Roman" w:eastAsia="宋体" w:cs="宋体"/>
          <w:b/>
          <w:bCs/>
          <w:color w:val="auto"/>
          <w:highlight w:val="none"/>
        </w:rPr>
        <w:t>项目所在地区域主要气象要素表</w:t>
      </w:r>
    </w:p>
    <w:tbl>
      <w:tblPr>
        <w:tblStyle w:val="176"/>
        <w:tblW w:w="4999" w:type="pct"/>
        <w:jc w:val="center"/>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autofit"/>
        <w:tblCellMar>
          <w:top w:w="0" w:type="dxa"/>
          <w:left w:w="0" w:type="dxa"/>
          <w:bottom w:w="0" w:type="dxa"/>
          <w:right w:w="0" w:type="dxa"/>
        </w:tblCellMar>
      </w:tblPr>
      <w:tblGrid>
        <w:gridCol w:w="4013"/>
        <w:gridCol w:w="430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4"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年平均风速：</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2.6m/s</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主导风向：</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2"/>
                <w:highlight w:val="none"/>
                <w:lang w:eastAsia="zh-CN"/>
              </w:rPr>
            </w:pPr>
            <w:r>
              <w:rPr>
                <w:rFonts w:ascii="Times New Roman" w:hAnsi="Times New Roman" w:eastAsia="宋体" w:cs="Times New Roman"/>
                <w:color w:val="auto"/>
                <w:spacing w:val="0"/>
                <w:sz w:val="21"/>
                <w:szCs w:val="22"/>
                <w:highlight w:val="none"/>
              </w:rPr>
              <w:t>SW</w:t>
            </w:r>
            <w:r>
              <w:rPr>
                <w:rFonts w:hint="eastAsia" w:cs="宋体"/>
                <w:color w:val="auto"/>
                <w:spacing w:val="0"/>
                <w:sz w:val="21"/>
                <w:szCs w:val="22"/>
                <w:highlight w:val="none"/>
                <w:lang w:eastAsia="zh-CN"/>
              </w:rPr>
              <w:t>（</w:t>
            </w:r>
            <w:r>
              <w:rPr>
                <w:rFonts w:ascii="Times New Roman" w:hAnsi="Times New Roman" w:eastAsia="宋体" w:cs="宋体"/>
                <w:color w:val="auto"/>
                <w:spacing w:val="0"/>
                <w:sz w:val="21"/>
                <w:szCs w:val="22"/>
                <w:highlight w:val="none"/>
              </w:rPr>
              <w:t>频率</w:t>
            </w:r>
            <w:r>
              <w:rPr>
                <w:rFonts w:ascii="Times New Roman" w:hAnsi="Times New Roman" w:eastAsia="宋体" w:cs="Times New Roman"/>
                <w:color w:val="auto"/>
                <w:spacing w:val="0"/>
                <w:sz w:val="21"/>
                <w:szCs w:val="22"/>
                <w:highlight w:val="none"/>
              </w:rPr>
              <w:t>16%</w:t>
            </w:r>
            <w:r>
              <w:rPr>
                <w:rFonts w:hint="eastAsia" w:cs="宋体"/>
                <w:color w:val="auto"/>
                <w:spacing w:val="0"/>
                <w:sz w:val="21"/>
                <w:szCs w:val="22"/>
                <w:highlight w:val="none"/>
                <w:lang w:eastAsia="zh-CN"/>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年均温度：</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6.8</w:t>
            </w:r>
            <w:r>
              <w:rPr>
                <w:rFonts w:ascii="Times New Roman" w:hAnsi="Times New Roman" w:eastAsia="宋体" w:cs="宋体"/>
                <w:color w:val="auto"/>
                <w:spacing w:val="0"/>
                <w:sz w:val="21"/>
                <w:szCs w:val="24"/>
                <w:highlight w:val="none"/>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绝对最高温度：</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42</w:t>
            </w:r>
            <w:r>
              <w:rPr>
                <w:rFonts w:ascii="Times New Roman" w:hAnsi="Times New Roman" w:eastAsia="宋体" w:cs="宋体"/>
                <w:color w:val="auto"/>
                <w:spacing w:val="0"/>
                <w:sz w:val="21"/>
                <w:szCs w:val="24"/>
                <w:highlight w:val="none"/>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绝对最低温度：</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-36.8</w:t>
            </w:r>
            <w:r>
              <w:rPr>
                <w:rFonts w:ascii="Times New Roman" w:hAnsi="Times New Roman" w:eastAsia="宋体" w:cs="宋体"/>
                <w:color w:val="auto"/>
                <w:spacing w:val="0"/>
                <w:sz w:val="21"/>
                <w:szCs w:val="24"/>
                <w:highlight w:val="none"/>
              </w:rPr>
              <w: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年均降水量：</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164.5mm</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年均蒸发量：</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1778.9mm</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最大积雪厚度：</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400mm</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4"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最大冻土厚度：</w:t>
            </w:r>
          </w:p>
        </w:tc>
        <w:tc>
          <w:tcPr>
            <w:tcW w:w="2586"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125cm</w:t>
            </w:r>
          </w:p>
        </w:tc>
      </w:tr>
    </w:tbl>
    <w:p>
      <w:pPr>
        <w:keepNext w:val="0"/>
        <w:keepLines w:val="0"/>
        <w:pageBreakBefore w:val="0"/>
        <w:widowControl w:val="0"/>
        <w:kinsoku/>
        <w:wordWrap/>
        <w:overflowPunct/>
        <w:topLinePunct w:val="0"/>
        <w:autoSpaceDE/>
        <w:autoSpaceDN/>
        <w:bidi w:val="0"/>
        <w:snapToGrid/>
        <w:spacing w:line="480" w:lineRule="exact"/>
        <w:ind w:left="0" w:right="0" w:rightChars="0" w:firstLine="562" w:firstLineChars="200"/>
        <w:jc w:val="both"/>
        <w:outlineLvl w:val="9"/>
        <w:rPr>
          <w:rFonts w:hint="eastAsia" w:ascii="Times New Roman" w:hAnsi="Times New Roman" w:eastAsia="宋体" w:cs="Times New Roman"/>
          <w:b/>
          <w:bCs/>
          <w:color w:val="auto"/>
          <w:sz w:val="28"/>
          <w:szCs w:val="32"/>
          <w:highlight w:val="none"/>
          <w:lang w:val="en-US" w:eastAsia="zh-CN" w:bidi="ar-SA"/>
        </w:rPr>
      </w:pPr>
      <w:r>
        <w:rPr>
          <w:rFonts w:hint="eastAsia" w:ascii="Times New Roman" w:hAnsi="Times New Roman" w:eastAsia="宋体" w:cs="Times New Roman"/>
          <w:b/>
          <w:bCs/>
          <w:color w:val="auto"/>
          <w:sz w:val="28"/>
          <w:szCs w:val="32"/>
          <w:highlight w:val="none"/>
          <w:lang w:val="en-US" w:eastAsia="zh-CN" w:bidi="ar-SA"/>
        </w:rPr>
        <w:t>4.1.5自然资源</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1</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森林资源</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rPr>
          <w:rFonts w:ascii="Times New Roman" w:hAnsi="Times New Roman" w:eastAsia="宋体" w:cs="Times New Roman"/>
          <w:b w:val="0"/>
          <w:color w:val="auto"/>
          <w:spacing w:val="0"/>
          <w:position w:val="0"/>
          <w:sz w:val="24"/>
          <w:szCs w:val="24"/>
          <w:highlight w:val="none"/>
        </w:rPr>
        <w:t>60086hm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，林业用地</w:t>
      </w:r>
      <w:r>
        <w:rPr>
          <w:rFonts w:ascii="Times New Roman" w:hAnsi="Times New Roman" w:eastAsia="宋体" w:cs="Times New Roman"/>
          <w:b w:val="0"/>
          <w:color w:val="auto"/>
          <w:spacing w:val="0"/>
          <w:position w:val="0"/>
          <w:sz w:val="24"/>
          <w:szCs w:val="24"/>
          <w:highlight w:val="none"/>
        </w:rPr>
        <w:t>25710hm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，其中林地面积</w:t>
      </w:r>
      <w:r>
        <w:rPr>
          <w:rFonts w:ascii="Times New Roman" w:hAnsi="Times New Roman" w:eastAsia="宋体" w:cs="Times New Roman"/>
          <w:b w:val="0"/>
          <w:color w:val="auto"/>
          <w:spacing w:val="0"/>
          <w:position w:val="0"/>
          <w:sz w:val="24"/>
          <w:szCs w:val="24"/>
          <w:highlight w:val="none"/>
        </w:rPr>
        <w:t>5220hm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，未成林造林面积</w:t>
      </w:r>
      <w:r>
        <w:rPr>
          <w:rFonts w:ascii="Times New Roman" w:hAnsi="Times New Roman" w:eastAsia="宋体" w:cs="Times New Roman"/>
          <w:b w:val="0"/>
          <w:color w:val="auto"/>
          <w:spacing w:val="0"/>
          <w:position w:val="0"/>
          <w:sz w:val="24"/>
          <w:szCs w:val="24"/>
          <w:highlight w:val="none"/>
        </w:rPr>
        <w:t>1019hm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，苗圃地面积</w:t>
      </w:r>
      <w:r>
        <w:rPr>
          <w:rFonts w:ascii="Times New Roman" w:hAnsi="Times New Roman" w:eastAsia="宋体" w:cs="Times New Roman"/>
          <w:b w:val="0"/>
          <w:color w:val="auto"/>
          <w:spacing w:val="0"/>
          <w:position w:val="0"/>
          <w:sz w:val="24"/>
          <w:szCs w:val="24"/>
          <w:highlight w:val="none"/>
        </w:rPr>
        <w:t>4hm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，宜林地面积</w:t>
      </w:r>
      <w:r>
        <w:rPr>
          <w:rFonts w:ascii="Times New Roman" w:hAnsi="Times New Roman" w:eastAsia="宋体" w:cs="Times New Roman"/>
          <w:b w:val="0"/>
          <w:color w:val="auto"/>
          <w:spacing w:val="0"/>
          <w:position w:val="0"/>
          <w:sz w:val="24"/>
          <w:szCs w:val="24"/>
          <w:highlight w:val="none"/>
        </w:rPr>
        <w:t>1558hm</w:t>
      </w:r>
      <w:r>
        <w:rPr>
          <w:rFonts w:hint="eastAsia" w:ascii="Times New Roman" w:hAnsi="Times New Roman" w:eastAsia="宋体" w:cs="Times New Roman"/>
          <w:b w:val="0"/>
          <w:color w:val="auto"/>
          <w:spacing w:val="0"/>
          <w:position w:val="0"/>
          <w:sz w:val="24"/>
          <w:szCs w:val="15"/>
          <w:highlight w:val="none"/>
          <w:lang w:val="en-US" w:eastAsia="zh-CN"/>
        </w:rPr>
        <w:t>+</w:t>
      </w:r>
      <w:r>
        <w:rPr>
          <w:rFonts w:ascii="Times New Roman" w:hAnsi="Times New Roman" w:eastAsia="宋体" w:cs="宋体"/>
          <w:b w:val="0"/>
          <w:color w:val="auto"/>
          <w:spacing w:val="0"/>
          <w:position w:val="0"/>
          <w:sz w:val="24"/>
          <w:szCs w:val="24"/>
          <w:highlight w:val="none"/>
        </w:rPr>
        <w:t>；森林总蓄积</w:t>
      </w:r>
      <w:r>
        <w:rPr>
          <w:rFonts w:ascii="Times New Roman" w:hAnsi="Times New Roman" w:eastAsia="宋体" w:cs="Times New Roman"/>
          <w:b w:val="0"/>
          <w:color w:val="auto"/>
          <w:spacing w:val="0"/>
          <w:position w:val="0"/>
          <w:sz w:val="24"/>
          <w:szCs w:val="24"/>
          <w:highlight w:val="none"/>
        </w:rPr>
        <w:t>3229052m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。有林地蓄积</w:t>
      </w:r>
      <w:r>
        <w:rPr>
          <w:rFonts w:ascii="Times New Roman" w:hAnsi="Times New Roman" w:eastAsia="宋体" w:cs="Times New Roman"/>
          <w:b w:val="0"/>
          <w:color w:val="auto"/>
          <w:spacing w:val="0"/>
          <w:position w:val="0"/>
          <w:sz w:val="24"/>
          <w:szCs w:val="24"/>
          <w:highlight w:val="none"/>
        </w:rPr>
        <w:t>2866871m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，疏林地蓄积</w:t>
      </w:r>
      <w:r>
        <w:rPr>
          <w:rFonts w:ascii="Times New Roman" w:hAnsi="Times New Roman" w:eastAsia="宋体" w:cs="Times New Roman"/>
          <w:b w:val="0"/>
          <w:color w:val="auto"/>
          <w:spacing w:val="0"/>
          <w:position w:val="0"/>
          <w:sz w:val="24"/>
          <w:szCs w:val="24"/>
          <w:highlight w:val="none"/>
        </w:rPr>
        <w:t>347898m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，散生木蓄积</w:t>
      </w:r>
      <w:r>
        <w:rPr>
          <w:rFonts w:ascii="Times New Roman" w:hAnsi="Times New Roman" w:eastAsia="宋体" w:cs="Times New Roman"/>
          <w:b w:val="0"/>
          <w:color w:val="auto"/>
          <w:spacing w:val="0"/>
          <w:position w:val="0"/>
          <w:sz w:val="24"/>
          <w:szCs w:val="24"/>
          <w:highlight w:val="none"/>
        </w:rPr>
        <w:t>14283m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。另外，还有</w:t>
      </w:r>
      <w:r>
        <w:rPr>
          <w:rFonts w:ascii="Times New Roman" w:hAnsi="Times New Roman" w:eastAsia="宋体" w:cs="Times New Roman"/>
          <w:b w:val="0"/>
          <w:color w:val="auto"/>
          <w:spacing w:val="0"/>
          <w:position w:val="0"/>
          <w:sz w:val="24"/>
          <w:szCs w:val="24"/>
          <w:highlight w:val="none"/>
        </w:rPr>
        <w:t>1562.2hm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的河谷次生林，树种主要是密叶杨和榆树。中部平原人工林地带，林业用地面积</w:t>
      </w:r>
      <w:r>
        <w:rPr>
          <w:rFonts w:ascii="Times New Roman" w:hAnsi="Times New Roman" w:eastAsia="宋体" w:cs="Times New Roman"/>
          <w:b w:val="0"/>
          <w:color w:val="auto"/>
          <w:spacing w:val="0"/>
          <w:position w:val="0"/>
          <w:sz w:val="24"/>
          <w:szCs w:val="24"/>
          <w:highlight w:val="none"/>
        </w:rPr>
        <w:t>5614.8hm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，其中有林地</w:t>
      </w:r>
      <w:r>
        <w:rPr>
          <w:rFonts w:ascii="Times New Roman" w:hAnsi="Times New Roman" w:eastAsia="宋体" w:cs="Times New Roman"/>
          <w:b w:val="0"/>
          <w:color w:val="auto"/>
          <w:spacing w:val="0"/>
          <w:position w:val="0"/>
          <w:sz w:val="24"/>
          <w:szCs w:val="24"/>
          <w:highlight w:val="none"/>
        </w:rPr>
        <w:t>3825.6hm</w:t>
      </w:r>
      <w:r>
        <w:rPr>
          <w:rFonts w:hint="eastAsia" w:ascii="Times New Roman" w:hAnsi="Times New Roman" w:eastAsia="宋体" w:cs="Times New Roman"/>
          <w:b w:val="0"/>
          <w:color w:val="auto"/>
          <w:spacing w:val="0"/>
          <w:position w:val="0"/>
          <w:sz w:val="24"/>
          <w:szCs w:val="15"/>
          <w:highlight w:val="none"/>
          <w:vertAlign w:val="superscript"/>
          <w:lang w:val="en-US" w:eastAsia="zh-CN"/>
        </w:rPr>
        <w:t>[</w:t>
      </w:r>
      <w:r>
        <w:rPr>
          <w:rFonts w:ascii="Times New Roman" w:hAnsi="Times New Roman" w:eastAsia="宋体" w:cs="宋体"/>
          <w:b w:val="0"/>
          <w:color w:val="auto"/>
          <w:spacing w:val="0"/>
          <w:position w:val="0"/>
          <w:sz w:val="24"/>
          <w:szCs w:val="24"/>
          <w:highlight w:val="none"/>
        </w:rPr>
        <w:t>宜林地</w:t>
      </w:r>
      <w:r>
        <w:rPr>
          <w:rFonts w:ascii="Times New Roman" w:hAnsi="Times New Roman" w:eastAsia="宋体" w:cs="Times New Roman"/>
          <w:b w:val="0"/>
          <w:color w:val="auto"/>
          <w:spacing w:val="0"/>
          <w:position w:val="0"/>
          <w:sz w:val="24"/>
          <w:szCs w:val="24"/>
          <w:highlight w:val="none"/>
        </w:rPr>
        <w:t>1277hm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、疏林地</w:t>
      </w:r>
      <w:r>
        <w:rPr>
          <w:rFonts w:ascii="Times New Roman" w:hAnsi="Times New Roman" w:eastAsia="宋体" w:cs="Times New Roman"/>
          <w:b w:val="0"/>
          <w:color w:val="auto"/>
          <w:spacing w:val="0"/>
          <w:position w:val="0"/>
          <w:sz w:val="24"/>
          <w:szCs w:val="24"/>
          <w:highlight w:val="none"/>
        </w:rPr>
        <w:t>6.8hm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，未成林造林地</w:t>
      </w:r>
      <w:r>
        <w:rPr>
          <w:rFonts w:ascii="Times New Roman" w:hAnsi="Times New Roman" w:eastAsia="宋体" w:cs="Times New Roman"/>
          <w:b w:val="0"/>
          <w:color w:val="auto"/>
          <w:spacing w:val="0"/>
          <w:position w:val="0"/>
          <w:sz w:val="24"/>
          <w:szCs w:val="24"/>
          <w:highlight w:val="none"/>
        </w:rPr>
        <w:t>0.56hm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，活立木蓄积</w:t>
      </w:r>
      <w:r>
        <w:rPr>
          <w:rFonts w:ascii="Times New Roman" w:hAnsi="Times New Roman" w:eastAsia="宋体" w:cs="Times New Roman"/>
          <w:b w:val="0"/>
          <w:color w:val="auto"/>
          <w:spacing w:val="0"/>
          <w:position w:val="0"/>
          <w:sz w:val="24"/>
          <w:szCs w:val="24"/>
          <w:highlight w:val="none"/>
        </w:rPr>
        <w:t>358699m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。北部沙漠主要分布梭梭、红柳、沙拐枣、琵琶柴等为主的灌木林，总面积为</w:t>
      </w:r>
      <w:r>
        <w:rPr>
          <w:rFonts w:ascii="Times New Roman" w:hAnsi="Times New Roman" w:eastAsia="宋体" w:cs="Times New Roman"/>
          <w:b w:val="0"/>
          <w:color w:val="auto"/>
          <w:spacing w:val="0"/>
          <w:position w:val="0"/>
          <w:sz w:val="24"/>
          <w:szCs w:val="24"/>
          <w:highlight w:val="none"/>
        </w:rPr>
        <w:t>62299.95hm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2</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野生动植物资源</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县境内野生动植物种类繁多，数量丰富。主要植物有云杉、桦树、密叶杨、山杨、胡杨、准噶尔柳、天山桦楸、白梭梭、沙枣、柳树、青杨、白蜡、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3</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矿产资源</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全县煤的总储量</w:t>
      </w:r>
      <w:r>
        <w:rPr>
          <w:rFonts w:ascii="Times New Roman" w:hAnsi="Times New Roman" w:eastAsia="宋体" w:cs="Times New Roman"/>
          <w:b w:val="0"/>
          <w:color w:val="auto"/>
          <w:spacing w:val="0"/>
          <w:position w:val="0"/>
          <w:sz w:val="24"/>
          <w:szCs w:val="24"/>
          <w:highlight w:val="none"/>
        </w:rPr>
        <w:t>16</w:t>
      </w:r>
      <w:r>
        <w:rPr>
          <w:rFonts w:ascii="Times New Roman" w:hAnsi="Times New Roman" w:eastAsia="宋体" w:cs="宋体"/>
          <w:b w:val="0"/>
          <w:color w:val="auto"/>
          <w:spacing w:val="0"/>
          <w:position w:val="0"/>
          <w:sz w:val="24"/>
          <w:szCs w:val="24"/>
          <w:highlight w:val="none"/>
        </w:rPr>
        <w:t>亿</w:t>
      </w:r>
      <w:r>
        <w:rPr>
          <w:rFonts w:ascii="Times New Roman" w:hAnsi="Times New Roman" w:eastAsia="宋体" w:cs="Times New Roman"/>
          <w:b w:val="0"/>
          <w:color w:val="auto"/>
          <w:spacing w:val="0"/>
          <w:position w:val="0"/>
          <w:sz w:val="24"/>
          <w:szCs w:val="24"/>
          <w:highlight w:val="none"/>
        </w:rPr>
        <w:t>t</w:t>
      </w:r>
      <w:r>
        <w:rPr>
          <w:rFonts w:ascii="Times New Roman" w:hAnsi="Times New Roman" w:eastAsia="宋体" w:cs="宋体"/>
          <w:b w:val="0"/>
          <w:color w:val="auto"/>
          <w:spacing w:val="0"/>
          <w:position w:val="0"/>
          <w:sz w:val="24"/>
          <w:szCs w:val="24"/>
          <w:highlight w:val="none"/>
        </w:rPr>
        <w:t>，现开采的主要有煤窑沟、大西沟两个矿。玉石矿分布在清水河、塔西河上游沿天山雪线一带，是大型碧玉矿。县内金矿属中型矿，铜矿属小型矿，总储量达</w:t>
      </w:r>
      <w:r>
        <w:rPr>
          <w:rFonts w:ascii="Times New Roman" w:hAnsi="Times New Roman" w:eastAsia="宋体" w:cs="Times New Roman"/>
          <w:b w:val="0"/>
          <w:color w:val="auto"/>
          <w:spacing w:val="0"/>
          <w:position w:val="0"/>
          <w:sz w:val="24"/>
          <w:szCs w:val="24"/>
          <w:highlight w:val="none"/>
        </w:rPr>
        <w:t>1000t</w:t>
      </w:r>
      <w:r>
        <w:rPr>
          <w:rFonts w:ascii="Times New Roman" w:hAnsi="Times New Roman" w:eastAsia="宋体" w:cs="宋体"/>
          <w:b w:val="0"/>
          <w:color w:val="auto"/>
          <w:spacing w:val="0"/>
          <w:position w:val="0"/>
          <w:sz w:val="24"/>
          <w:szCs w:val="24"/>
          <w:highlight w:val="none"/>
        </w:rPr>
        <w:t>。黄铁矿属小型矿，储量为</w:t>
      </w:r>
      <w:r>
        <w:rPr>
          <w:rFonts w:ascii="Times New Roman" w:hAnsi="Times New Roman" w:eastAsia="宋体" w:cs="Times New Roman"/>
          <w:b w:val="0"/>
          <w:color w:val="auto"/>
          <w:spacing w:val="0"/>
          <w:position w:val="0"/>
          <w:sz w:val="24"/>
          <w:szCs w:val="24"/>
          <w:highlight w:val="none"/>
        </w:rPr>
        <w:t>33.56</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t</w:t>
      </w:r>
      <w:r>
        <w:rPr>
          <w:rFonts w:ascii="Times New Roman" w:hAnsi="Times New Roman" w:eastAsia="宋体" w:cs="宋体"/>
          <w:b w:val="0"/>
          <w:color w:val="auto"/>
          <w:spacing w:val="0"/>
          <w:position w:val="0"/>
          <w:sz w:val="24"/>
          <w:szCs w:val="24"/>
          <w:highlight w:val="none"/>
        </w:rPr>
        <w:t>。石灰石分布于玛纳斯河上游及干沟地区，含量丰富，开采方便，现建窑</w:t>
      </w:r>
      <w:r>
        <w:rPr>
          <w:rFonts w:ascii="Times New Roman" w:hAnsi="Times New Roman" w:eastAsia="宋体" w:cs="Times New Roman"/>
          <w:b w:val="0"/>
          <w:color w:val="auto"/>
          <w:spacing w:val="0"/>
          <w:position w:val="0"/>
          <w:sz w:val="24"/>
          <w:szCs w:val="24"/>
          <w:highlight w:val="none"/>
        </w:rPr>
        <w:t>10</w:t>
      </w:r>
      <w:r>
        <w:rPr>
          <w:rFonts w:ascii="Times New Roman" w:hAnsi="Times New Roman" w:eastAsia="宋体" w:cs="宋体"/>
          <w:b w:val="0"/>
          <w:color w:val="auto"/>
          <w:spacing w:val="0"/>
          <w:position w:val="0"/>
          <w:sz w:val="24"/>
          <w:szCs w:val="24"/>
          <w:highlight w:val="none"/>
        </w:rPr>
        <w:t>座，年产石灰千吨以上。石油主要分布在北部沙漠地区。</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4</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水能资源</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玛纳斯河地形落差大，水能理论储量为</w:t>
      </w:r>
      <w:r>
        <w:rPr>
          <w:rFonts w:ascii="Times New Roman" w:hAnsi="Times New Roman" w:eastAsia="宋体" w:cs="Times New Roman"/>
          <w:b w:val="0"/>
          <w:color w:val="auto"/>
          <w:spacing w:val="0"/>
          <w:position w:val="0"/>
          <w:sz w:val="24"/>
          <w:szCs w:val="24"/>
          <w:highlight w:val="none"/>
        </w:rPr>
        <w:t>3337</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，由自治区统一规划开发。塔西河水能理论储量</w:t>
      </w:r>
      <w:r>
        <w:rPr>
          <w:rFonts w:ascii="Times New Roman" w:hAnsi="Times New Roman" w:eastAsia="宋体" w:cs="Times New Roman"/>
          <w:b w:val="0"/>
          <w:color w:val="auto"/>
          <w:spacing w:val="0"/>
          <w:position w:val="0"/>
          <w:sz w:val="24"/>
          <w:szCs w:val="24"/>
          <w:highlight w:val="none"/>
        </w:rPr>
        <w:t>3.02</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，清水河水能储量</w:t>
      </w:r>
      <w:r>
        <w:rPr>
          <w:rFonts w:ascii="Times New Roman" w:hAnsi="Times New Roman" w:eastAsia="宋体" w:cs="Times New Roman"/>
          <w:b w:val="0"/>
          <w:color w:val="auto"/>
          <w:spacing w:val="0"/>
          <w:position w:val="0"/>
          <w:sz w:val="24"/>
          <w:szCs w:val="24"/>
          <w:highlight w:val="none"/>
        </w:rPr>
        <w:t>2.47</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5</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旅游资源</w:t>
      </w:r>
    </w:p>
    <w:p>
      <w:pPr>
        <w:pStyle w:val="160"/>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b w:val="0"/>
          <w:bCs/>
          <w:color w:val="auto"/>
          <w:spacing w:val="0"/>
          <w:position w:val="0"/>
          <w:sz w:val="24"/>
          <w:highlight w:val="none"/>
        </w:rPr>
      </w:pPr>
      <w:r>
        <w:rPr>
          <w:rFonts w:ascii="Times New Roman" w:hAnsi="Times New Roman" w:eastAsia="宋体" w:cs="宋体"/>
          <w:b w:val="0"/>
          <w:color w:val="auto"/>
          <w:spacing w:val="0"/>
          <w:position w:val="0"/>
          <w:sz w:val="24"/>
          <w:szCs w:val="24"/>
          <w:highlight w:val="none"/>
        </w:rP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址、遗迹和多样的旅游商品，独特的民俗风情。</w:t>
      </w:r>
    </w:p>
    <w:p>
      <w:pPr>
        <w:pStyle w:val="4"/>
        <w:rPr>
          <w:rFonts w:ascii="Times New Roman" w:hAnsi="Times New Roman" w:eastAsia="宋体"/>
          <w:color w:val="auto"/>
          <w:highlight w:val="none"/>
        </w:rPr>
      </w:pPr>
      <w:bookmarkStart w:id="162" w:name="_Toc106663485"/>
      <w:bookmarkStart w:id="163" w:name="_Toc89619341"/>
      <w:r>
        <w:rPr>
          <w:rFonts w:hint="eastAsia" w:ascii="Times New Roman" w:hAnsi="Times New Roman" w:eastAsia="宋体"/>
          <w:color w:val="auto"/>
          <w:highlight w:val="none"/>
        </w:rPr>
        <w:t>4.2环境质量现状调查与评价</w:t>
      </w:r>
      <w:bookmarkEnd w:id="162"/>
      <w:bookmarkEnd w:id="163"/>
    </w:p>
    <w:p>
      <w:pPr>
        <w:pStyle w:val="5"/>
        <w:rPr>
          <w:rFonts w:ascii="Times New Roman" w:hAnsi="Times New Roman" w:eastAsia="宋体"/>
          <w:color w:val="auto"/>
          <w:highlight w:val="none"/>
        </w:rPr>
      </w:pPr>
      <w:bookmarkStart w:id="164" w:name="_Toc106663486"/>
      <w:r>
        <w:rPr>
          <w:rFonts w:hint="eastAsia" w:ascii="Times New Roman" w:hAnsi="Times New Roman" w:eastAsia="宋体"/>
          <w:color w:val="auto"/>
          <w:highlight w:val="none"/>
        </w:rPr>
        <w:t>4.2.1大气环境现状调查与评价</w:t>
      </w:r>
      <w:bookmarkEnd w:id="164"/>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4.2.1.1环境空气污染物基本项目</w:t>
      </w:r>
    </w:p>
    <w:p>
      <w:pPr>
        <w:spacing w:line="500" w:lineRule="exact"/>
        <w:ind w:firstLine="480"/>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根据《环境影响评价技术导则大气环境》（HJ2.2-2018）的要求，分别对基本污染物的环境质量现状进行评价。昌吉州202</w:t>
      </w:r>
      <w:r>
        <w:rPr>
          <w:rFonts w:hint="eastAsia" w:ascii="Times New Roman" w:hAnsi="Times New Roman" w:eastAsia="宋体"/>
          <w:color w:val="auto"/>
          <w:szCs w:val="24"/>
          <w:highlight w:val="none"/>
          <w:lang w:val="en-US" w:eastAsia="zh-CN"/>
        </w:rPr>
        <w:t>1</w:t>
      </w:r>
      <w:r>
        <w:rPr>
          <w:rFonts w:hint="eastAsia" w:ascii="Times New Roman" w:hAnsi="Times New Roman" w:eastAsia="宋体"/>
          <w:color w:val="auto"/>
          <w:szCs w:val="24"/>
          <w:highlight w:val="none"/>
        </w:rPr>
        <w:t>年SO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、NO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年均浓度分别为</w:t>
      </w:r>
      <w:r>
        <w:rPr>
          <w:rFonts w:hint="eastAsia" w:ascii="Times New Roman" w:hAnsi="Times New Roman" w:eastAsia="宋体"/>
          <w:color w:val="auto"/>
          <w:szCs w:val="24"/>
          <w:highlight w:val="none"/>
          <w:lang w:val="en-US" w:eastAsia="zh-CN"/>
        </w:rPr>
        <w:t>11</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35</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84</w:t>
      </w:r>
      <w:r>
        <w:rPr>
          <w:rFonts w:hint="eastAsia" w:ascii="Times New Roman" w:hAnsi="Times New Roman" w:eastAsia="宋体"/>
          <w:color w:val="auto"/>
          <w:szCs w:val="24"/>
          <w:highlight w:val="none"/>
        </w:rPr>
        <w:t>μ</w:t>
      </w:r>
      <w:r>
        <w:rPr>
          <w:rFonts w:ascii="Times New Roman" w:hAnsi="Times New Roman" w:eastAsia="宋体"/>
          <w:color w:val="auto"/>
          <w:szCs w:val="24"/>
          <w:highlight w:val="none"/>
        </w:rPr>
        <w:t>g</w:t>
      </w:r>
      <w:r>
        <w:rPr>
          <w:rFonts w:hint="eastAsia" w:ascii="Times New Roman" w:hAnsi="Times New Roman" w:eastAsia="宋体"/>
          <w:color w:val="auto"/>
          <w:szCs w:val="24"/>
          <w:highlight w:val="none"/>
        </w:rPr>
        <w:t>/m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51</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；CO24小时平均第95百分位数为</w:t>
      </w:r>
      <w:r>
        <w:rPr>
          <w:rFonts w:hint="eastAsia" w:ascii="Times New Roman" w:hAnsi="Times New Roman" w:eastAsia="宋体"/>
          <w:color w:val="auto"/>
          <w:szCs w:val="24"/>
          <w:highlight w:val="none"/>
          <w:lang w:val="en-US" w:eastAsia="zh-CN"/>
        </w:rPr>
        <w:t>2.6</w:t>
      </w:r>
      <w:r>
        <w:rPr>
          <w:rFonts w:hint="eastAsia" w:ascii="Times New Roman" w:hAnsi="Times New Roman" w:eastAsia="宋体"/>
          <w:color w:val="auto"/>
          <w:szCs w:val="24"/>
          <w:highlight w:val="none"/>
        </w:rPr>
        <w:t>mg/m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，O</w:t>
      </w:r>
      <w:r>
        <w:rPr>
          <w:rFonts w:hint="eastAsia" w:ascii="Times New Roman" w:hAnsi="Times New Roman" w:eastAsia="宋体"/>
          <w:color w:val="auto"/>
          <w:szCs w:val="24"/>
          <w:highlight w:val="none"/>
          <w:vertAlign w:val="subscript"/>
        </w:rPr>
        <w:t>3</w:t>
      </w:r>
      <w:r>
        <w:rPr>
          <w:rFonts w:hint="eastAsia" w:ascii="Times New Roman" w:hAnsi="Times New Roman" w:eastAsia="宋体"/>
          <w:color w:val="auto"/>
          <w:szCs w:val="24"/>
          <w:highlight w:val="none"/>
        </w:rPr>
        <w:t>日最大8小时平均第90百分位数为</w:t>
      </w:r>
      <w:r>
        <w:rPr>
          <w:rFonts w:hint="eastAsia" w:ascii="Times New Roman" w:hAnsi="Times New Roman" w:eastAsia="宋体"/>
          <w:color w:val="auto"/>
          <w:szCs w:val="24"/>
          <w:highlight w:val="none"/>
          <w:lang w:val="en-US" w:eastAsia="zh-CN"/>
        </w:rPr>
        <w:t>138</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；超过《环境空气质量标准》（GB3095-2012）中二级标准限值的污染物为PM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（1）数据来源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根据《环境影响评价技术导则大气环境》（HJ2.2-2018）对环境质量现状数据的要求，本次选择昌吉回族自治州监测站2020年的监测数据为本次环境空气质量评价的数据。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项目所在区域环境空气质量执行《环境空气质量标准》（GB3095-2012）二级标准。环境空气质量标准限值见表4.2-1。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表4.2-1环境空气污染物基本项目浓度限值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20"/>
        <w:gridCol w:w="2361"/>
        <w:gridCol w:w="2361"/>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1126" w:type="pc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污染物项目</w:t>
            </w:r>
          </w:p>
        </w:tc>
        <w:tc>
          <w:tcPr>
            <w:tcW w:w="1385" w:type="pc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平均时间</w:t>
            </w:r>
          </w:p>
        </w:tc>
        <w:tc>
          <w:tcPr>
            <w:tcW w:w="1385" w:type="pc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w:t>
            </w:r>
            <w:r>
              <w:rPr>
                <w:rFonts w:ascii="Times New Roman" w:hAnsi="Times New Roman" w:eastAsia="宋体"/>
                <w:color w:val="auto"/>
                <w:sz w:val="21"/>
                <w:szCs w:val="21"/>
                <w:highlight w:val="none"/>
              </w:rPr>
              <w:t>限值</w:t>
            </w:r>
          </w:p>
        </w:tc>
        <w:tc>
          <w:tcPr>
            <w:tcW w:w="678" w:type="pc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SO</w:t>
            </w:r>
            <w:r>
              <w:rPr>
                <w:rFonts w:ascii="Times New Roman" w:hAnsi="Times New Roman" w:eastAsia="宋体"/>
                <w:bCs/>
                <w:color w:val="auto"/>
                <w:sz w:val="21"/>
                <w:szCs w:val="21"/>
                <w:highlight w:val="none"/>
                <w:vertAlign w:val="subscript"/>
              </w:rPr>
              <w:t>2</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60</w:t>
            </w:r>
          </w:p>
        </w:tc>
        <w:tc>
          <w:tcPr>
            <w:tcW w:w="678" w:type="pct"/>
            <w:vMerge w:val="restart"/>
            <w:vAlign w:val="center"/>
          </w:tcPr>
          <w:p>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w:t>
            </w:r>
            <w:r>
              <w:rPr>
                <w:rFonts w:hint="eastAsia" w:ascii="Times New Roman" w:hAnsi="Times New Roman" w:eastAsia="宋体"/>
                <w:bCs/>
                <w:color w:val="auto"/>
                <w:sz w:val="21"/>
                <w:szCs w:val="21"/>
                <w:highlight w:val="none"/>
              </w:rPr>
              <w:t>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15</w:t>
            </w:r>
            <w:r>
              <w:rPr>
                <w:rFonts w:hint="eastAsia" w:ascii="Times New Roman" w:hAnsi="Times New Roman" w:eastAsia="宋体"/>
                <w:bCs/>
                <w:color w:val="auto"/>
                <w:sz w:val="21"/>
                <w:szCs w:val="21"/>
                <w:highlight w:val="none"/>
              </w:rPr>
              <w:t>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500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NO</w:t>
            </w:r>
            <w:r>
              <w:rPr>
                <w:rFonts w:ascii="Times New Roman" w:hAnsi="Times New Roman" w:eastAsia="宋体"/>
                <w:bCs/>
                <w:color w:val="auto"/>
                <w:sz w:val="21"/>
                <w:szCs w:val="21"/>
                <w:highlight w:val="none"/>
                <w:vertAlign w:val="subscript"/>
              </w:rPr>
              <w:t>2</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80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200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3</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CO</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w:t>
            </w:r>
          </w:p>
        </w:tc>
        <w:tc>
          <w:tcPr>
            <w:tcW w:w="678" w:type="pct"/>
            <w:vMerge w:val="restart"/>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color w:val="auto"/>
                <w:sz w:val="21"/>
                <w:szCs w:val="21"/>
                <w:highlight w:val="none"/>
              </w:rPr>
              <w:t>mg</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4</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O</w:t>
            </w:r>
            <w:r>
              <w:rPr>
                <w:rFonts w:ascii="Times New Roman" w:hAnsi="Times New Roman" w:eastAsia="宋体"/>
                <w:bCs/>
                <w:color w:val="auto"/>
                <w:sz w:val="21"/>
                <w:szCs w:val="21"/>
                <w:highlight w:val="none"/>
                <w:vertAlign w:val="subscript"/>
              </w:rPr>
              <w:t>3</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日</w:t>
            </w:r>
            <w:r>
              <w:rPr>
                <w:rFonts w:hint="eastAsia" w:ascii="Times New Roman" w:hAnsi="Times New Roman" w:eastAsia="宋体"/>
                <w:bCs/>
                <w:color w:val="auto"/>
                <w:sz w:val="21"/>
                <w:szCs w:val="21"/>
                <w:highlight w:val="none"/>
              </w:rPr>
              <w:t>最</w:t>
            </w:r>
            <w:r>
              <w:rPr>
                <w:rFonts w:ascii="Times New Roman" w:hAnsi="Times New Roman" w:eastAsia="宋体"/>
                <w:bCs/>
                <w:color w:val="auto"/>
                <w:sz w:val="21"/>
                <w:szCs w:val="21"/>
                <w:highlight w:val="none"/>
              </w:rPr>
              <w:t>大8小时平均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160</w:t>
            </w:r>
          </w:p>
        </w:tc>
        <w:tc>
          <w:tcPr>
            <w:tcW w:w="678" w:type="pct"/>
            <w:vMerge w:val="restart"/>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200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5</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PM</w:t>
            </w:r>
            <w:r>
              <w:rPr>
                <w:rFonts w:ascii="Times New Roman" w:hAnsi="Times New Roman" w:eastAsia="宋体"/>
                <w:bCs/>
                <w:color w:val="auto"/>
                <w:sz w:val="21"/>
                <w:szCs w:val="21"/>
                <w:highlight w:val="none"/>
                <w:vertAlign w:val="subscript"/>
              </w:rPr>
              <w:t>10</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150</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6</w:t>
            </w:r>
          </w:p>
        </w:tc>
        <w:tc>
          <w:tcPr>
            <w:tcW w:w="1126" w:type="pct"/>
            <w:vMerge w:val="restar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PM</w:t>
            </w:r>
            <w:r>
              <w:rPr>
                <w:rFonts w:ascii="Times New Roman" w:hAnsi="Times New Roman" w:eastAsia="宋体"/>
                <w:bCs/>
                <w:color w:val="auto"/>
                <w:sz w:val="21"/>
                <w:szCs w:val="21"/>
                <w:highlight w:val="none"/>
                <w:vertAlign w:val="subscript"/>
              </w:rPr>
              <w:t>2.5</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35</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75</w:t>
            </w:r>
          </w:p>
        </w:tc>
        <w:tc>
          <w:tcPr>
            <w:tcW w:w="678" w:type="pct"/>
            <w:vMerge w:val="continue"/>
            <w:vAlign w:val="center"/>
          </w:tcPr>
          <w:p>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采用标准指数法评价大气污染物在评价区域内的环境质量现状，计算公式如下：</w:t>
      </w:r>
    </w:p>
    <w:p>
      <w:pPr>
        <w:ind w:firstLine="0" w:firstLineChars="0"/>
        <w:jc w:val="center"/>
        <w:rPr>
          <w:rFonts w:ascii="Times New Roman" w:hAnsi="Times New Roman" w:eastAsia="宋体"/>
          <w:color w:val="auto"/>
          <w:highlight w:val="none"/>
        </w:rPr>
      </w:pPr>
      <w:r>
        <w:rPr>
          <w:rFonts w:ascii="Times New Roman" w:hAnsi="Times New Roman" w:eastAsia="宋体" w:cs="宋体"/>
          <w:color w:val="auto"/>
          <w:szCs w:val="21"/>
          <w:highlight w:val="none"/>
        </w:rPr>
        <w:object>
          <v:shape id="_x0000_i1027" o:spt="75" type="#_x0000_t75" style="height:35.8pt;width:88.45pt;" o:ole="t" filled="f" o:preferrelative="t" stroked="f" coordsize="21600,21600">
            <v:path/>
            <v:fill on="f" focussize="0,0"/>
            <v:stroke on="f" joinstyle="miter"/>
            <v:imagedata r:id="rId34" o:title=""/>
            <o:lock v:ext="edit" aspectratio="t"/>
            <w10:wrap type="none"/>
            <w10:anchorlock/>
          </v:shape>
          <o:OLEObject Type="Embed" ProgID="Equation.AxMath" ShapeID="_x0000_i1027" DrawAspect="Content" ObjectID="_1468075727" r:id="rId37">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——污染物i的单项污染指数，%；</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——污染物i的平均浓度值，</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——污染物i的环境空气质量浓度标准，</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≥1时，说明环境中i污染物含量超过标准值，当P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&lt;1时，则说明i污染物符合标准。某污染物的P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值越大，则污染相对越严重。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（4）评价结果统计</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区域环境空气质量现状评价结果见表4.2-2。</w:t>
      </w:r>
    </w:p>
    <w:p>
      <w:pPr>
        <w:spacing w:line="500" w:lineRule="exact"/>
        <w:ind w:firstLine="480"/>
        <w:jc w:val="left"/>
        <w:rPr>
          <w:rFonts w:ascii="Times New Roman" w:hAnsi="Times New Roman" w:eastAsia="宋体"/>
          <w:bCs/>
          <w:color w:val="auto"/>
          <w:highlight w:val="none"/>
        </w:rPr>
      </w:pPr>
      <w:r>
        <w:rPr>
          <w:rFonts w:hint="eastAsia" w:ascii="Times New Roman" w:hAnsi="Times New Roman" w:eastAsia="宋体"/>
          <w:color w:val="auto"/>
          <w:szCs w:val="24"/>
          <w:highlight w:val="none"/>
        </w:rPr>
        <w:t>基本污染物：引用环境空气质量模型技术支持服务系统昌吉市新区政务中心SO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、NO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、CO、O</w:t>
      </w:r>
      <w:r>
        <w:rPr>
          <w:rFonts w:hint="eastAsia" w:ascii="Times New Roman" w:hAnsi="Times New Roman" w:eastAsia="宋体"/>
          <w:color w:val="auto"/>
          <w:szCs w:val="24"/>
          <w:highlight w:val="none"/>
          <w:vertAlign w:val="subscript"/>
        </w:rPr>
        <w:t>3</w:t>
      </w:r>
      <w:r>
        <w:rPr>
          <w:rFonts w:hint="eastAsia" w:ascii="Times New Roman" w:hAnsi="Times New Roman" w:eastAsia="宋体"/>
          <w:color w:val="auto"/>
          <w:szCs w:val="24"/>
          <w:highlight w:val="none"/>
        </w:rPr>
        <w:t>六项基本污染物20</w:t>
      </w:r>
      <w:r>
        <w:rPr>
          <w:rFonts w:ascii="Times New Roman" w:hAnsi="Times New Roman" w:eastAsia="宋体"/>
          <w:color w:val="auto"/>
          <w:szCs w:val="24"/>
          <w:highlight w:val="none"/>
        </w:rPr>
        <w:t>2</w:t>
      </w:r>
      <w:r>
        <w:rPr>
          <w:rFonts w:hint="eastAsia"/>
          <w:color w:val="auto"/>
          <w:szCs w:val="24"/>
          <w:highlight w:val="none"/>
          <w:lang w:val="en-US" w:eastAsia="zh-CN"/>
        </w:rPr>
        <w:t>1</w:t>
      </w:r>
      <w:r>
        <w:rPr>
          <w:rFonts w:hint="eastAsia" w:ascii="Times New Roman" w:hAnsi="Times New Roman" w:eastAsia="宋体"/>
          <w:color w:val="auto"/>
          <w:szCs w:val="24"/>
          <w:highlight w:val="none"/>
        </w:rPr>
        <w:t>年的环境质量数据，昌吉市新区政务中心监测站位于本项目东部3</w:t>
      </w:r>
      <w:r>
        <w:rPr>
          <w:rFonts w:ascii="Times New Roman" w:hAnsi="Times New Roman" w:eastAsia="宋体"/>
          <w:color w:val="auto"/>
          <w:szCs w:val="24"/>
          <w:highlight w:val="none"/>
        </w:rPr>
        <w:t>2km</w:t>
      </w:r>
      <w:r>
        <w:rPr>
          <w:rFonts w:hint="eastAsia" w:ascii="Times New Roman" w:hAnsi="Times New Roman" w:eastAsia="宋体"/>
          <w:color w:val="auto"/>
          <w:szCs w:val="24"/>
          <w:highlight w:val="none"/>
        </w:rPr>
        <w:t>。20</w:t>
      </w:r>
      <w:r>
        <w:rPr>
          <w:rFonts w:ascii="Times New Roman" w:hAnsi="Times New Roman" w:eastAsia="宋体"/>
          <w:color w:val="auto"/>
          <w:szCs w:val="24"/>
          <w:highlight w:val="none"/>
        </w:rPr>
        <w:t>2</w:t>
      </w:r>
      <w:r>
        <w:rPr>
          <w:rFonts w:hint="eastAsia"/>
          <w:color w:val="auto"/>
          <w:szCs w:val="24"/>
          <w:highlight w:val="none"/>
          <w:lang w:val="en-US" w:eastAsia="zh-CN"/>
        </w:rPr>
        <w:t>1</w:t>
      </w:r>
      <w:r>
        <w:rPr>
          <w:rFonts w:hint="eastAsia" w:ascii="Times New Roman" w:hAnsi="Times New Roman" w:eastAsia="宋体"/>
          <w:color w:val="auto"/>
          <w:szCs w:val="24"/>
          <w:highlight w:val="none"/>
        </w:rPr>
        <w:t>年度监测结统计果见表</w:t>
      </w:r>
      <w:r>
        <w:rPr>
          <w:rFonts w:ascii="Times New Roman" w:hAnsi="Times New Roman" w:eastAsia="宋体"/>
          <w:color w:val="auto"/>
          <w:szCs w:val="24"/>
          <w:highlight w:val="none"/>
        </w:rPr>
        <w:t>4</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2</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2</w:t>
      </w:r>
      <w:r>
        <w:rPr>
          <w:rFonts w:hint="eastAsia" w:ascii="Times New Roman" w:hAnsi="Times New Roman" w:eastAsia="宋体"/>
          <w:color w:val="auto"/>
          <w:szCs w:val="24"/>
          <w:highlight w:val="none"/>
        </w:rPr>
        <w:t>。</w:t>
      </w:r>
    </w:p>
    <w:p>
      <w:pPr>
        <w:pStyle w:val="162"/>
        <w:spacing w:before="163" w:beforeLines="50" w:line="240" w:lineRule="auto"/>
        <w:ind w:firstLine="480"/>
        <w:outlineLvl w:val="9"/>
        <w:rPr>
          <w:rFonts w:ascii="Times New Roman" w:hAnsi="Times New Roman" w:eastAsia="宋体"/>
          <w:color w:val="auto"/>
          <w:highlight w:val="none"/>
        </w:rPr>
      </w:pPr>
      <w:bookmarkStart w:id="165" w:name="_Toc1382278"/>
      <w:r>
        <w:rPr>
          <w:rFonts w:ascii="Times New Roman" w:hAnsi="Times New Roman" w:eastAsia="宋体"/>
          <w:color w:val="auto"/>
          <w:highlight w:val="none"/>
        </w:rPr>
        <w:t>表4.2-2</w:t>
      </w:r>
      <w:bookmarkEnd w:id="165"/>
      <w:r>
        <w:rPr>
          <w:rFonts w:hint="eastAsia" w:ascii="Times New Roman" w:hAnsi="Times New Roman" w:eastAsia="宋体"/>
          <w:color w:val="auto"/>
          <w:highlight w:val="none"/>
        </w:rPr>
        <w:t>环境空气质量现状评价</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17"/>
        <w:gridCol w:w="1418"/>
        <w:gridCol w:w="1421"/>
        <w:gridCol w:w="14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评价因子</w:t>
            </w:r>
          </w:p>
        </w:tc>
        <w:tc>
          <w:tcPr>
            <w:tcW w:w="1384"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年评价指标</w:t>
            </w:r>
          </w:p>
        </w:tc>
        <w:tc>
          <w:tcPr>
            <w:tcW w:w="1381"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现状浓度</w:t>
            </w:r>
          </w:p>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µg/m</w:t>
            </w:r>
            <w:r>
              <w:rPr>
                <w:rFonts w:ascii="Times New Roman" w:hAnsi="Times New Roman" w:eastAsia="宋体"/>
                <w:bCs/>
                <w:color w:val="auto"/>
                <w:sz w:val="21"/>
                <w:szCs w:val="21"/>
                <w:highlight w:val="none"/>
                <w:vertAlign w:val="superscript"/>
              </w:rPr>
              <w:t>3</w:t>
            </w:r>
          </w:p>
        </w:tc>
        <w:tc>
          <w:tcPr>
            <w:tcW w:w="1382"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标准限值</w:t>
            </w:r>
          </w:p>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µg/m</w:t>
            </w:r>
            <w:r>
              <w:rPr>
                <w:rFonts w:ascii="Times New Roman" w:hAnsi="Times New Roman" w:eastAsia="宋体"/>
                <w:bCs/>
                <w:color w:val="auto"/>
                <w:sz w:val="21"/>
                <w:szCs w:val="21"/>
                <w:highlight w:val="none"/>
                <w:vertAlign w:val="superscript"/>
              </w:rPr>
              <w:t>3</w:t>
            </w:r>
          </w:p>
        </w:tc>
        <w:tc>
          <w:tcPr>
            <w:tcW w:w="1385"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占标率%</w:t>
            </w:r>
          </w:p>
        </w:tc>
        <w:tc>
          <w:tcPr>
            <w:tcW w:w="1387" w:type="dxa"/>
            <w:tcBorders>
              <w:top w:val="single" w:color="auto" w:sz="12" w:space="0"/>
              <w:bottom w:val="single" w:color="auto" w:sz="12" w:space="0"/>
              <w:tl2br w:val="nil"/>
              <w:tr2bl w:val="nil"/>
            </w:tcBorders>
            <w:vAlign w:val="center"/>
          </w:tcPr>
          <w:p>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4" w:type="dxa"/>
            <w:tcBorders>
              <w:top w:val="single" w:color="auto" w:sz="12" w:space="0"/>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SO</w:t>
            </w:r>
            <w:r>
              <w:rPr>
                <w:rFonts w:hint="eastAsia" w:ascii="Times New Roman" w:hAnsi="Times New Roman" w:eastAsia="宋体"/>
                <w:bCs/>
                <w:color w:val="auto"/>
                <w:sz w:val="21"/>
                <w:szCs w:val="21"/>
                <w:highlight w:val="none"/>
                <w:vertAlign w:val="subscript"/>
              </w:rPr>
              <w:t>2</w:t>
            </w:r>
          </w:p>
        </w:tc>
        <w:tc>
          <w:tcPr>
            <w:tcW w:w="1384" w:type="dxa"/>
            <w:tcBorders>
              <w:top w:val="single" w:color="auto" w:sz="12" w:space="0"/>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op w:val="single" w:color="auto" w:sz="12" w:space="0"/>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11</w:t>
            </w:r>
          </w:p>
        </w:tc>
        <w:tc>
          <w:tcPr>
            <w:tcW w:w="1382" w:type="dxa"/>
            <w:tcBorders>
              <w:top w:val="single" w:color="auto" w:sz="12" w:space="0"/>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60</w:t>
            </w:r>
          </w:p>
        </w:tc>
        <w:tc>
          <w:tcPr>
            <w:tcW w:w="1385" w:type="dxa"/>
            <w:tcBorders>
              <w:top w:val="single" w:color="auto" w:sz="12" w:space="0"/>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w:t>
            </w:r>
            <w:r>
              <w:rPr>
                <w:rFonts w:hint="eastAsia" w:ascii="Times New Roman" w:hAnsi="Times New Roman" w:eastAsia="宋体"/>
                <w:bCs/>
                <w:color w:val="auto"/>
                <w:sz w:val="21"/>
                <w:szCs w:val="21"/>
                <w:highlight w:val="none"/>
              </w:rPr>
              <w:t>3.3</w:t>
            </w:r>
          </w:p>
        </w:tc>
        <w:tc>
          <w:tcPr>
            <w:tcW w:w="1387" w:type="dxa"/>
            <w:tcBorders>
              <w:top w:val="single" w:color="auto" w:sz="12" w:space="0"/>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NO</w:t>
            </w:r>
            <w:r>
              <w:rPr>
                <w:rFonts w:hint="eastAsia" w:ascii="Times New Roman" w:hAnsi="Times New Roman" w:eastAsia="宋体"/>
                <w:bCs/>
                <w:color w:val="auto"/>
                <w:sz w:val="21"/>
                <w:szCs w:val="21"/>
                <w:highlight w:val="none"/>
                <w:vertAlign w:val="subscript"/>
              </w:rPr>
              <w:t>2</w:t>
            </w:r>
          </w:p>
        </w:tc>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35</w:t>
            </w:r>
          </w:p>
        </w:tc>
        <w:tc>
          <w:tcPr>
            <w:tcW w:w="1382"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40</w:t>
            </w:r>
          </w:p>
        </w:tc>
        <w:tc>
          <w:tcPr>
            <w:tcW w:w="1385"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82</w:t>
            </w:r>
            <w:r>
              <w:rPr>
                <w:rFonts w:hint="eastAsia" w:ascii="Times New Roman" w:hAnsi="Times New Roman" w:eastAsia="宋体"/>
                <w:bCs/>
                <w:color w:val="auto"/>
                <w:sz w:val="21"/>
                <w:szCs w:val="21"/>
                <w:highlight w:val="none"/>
              </w:rPr>
              <w:t>.5</w:t>
            </w:r>
          </w:p>
        </w:tc>
        <w:tc>
          <w:tcPr>
            <w:tcW w:w="1387"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CO</w:t>
            </w:r>
          </w:p>
        </w:tc>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第95百分位数日平均</w:t>
            </w:r>
          </w:p>
        </w:tc>
        <w:tc>
          <w:tcPr>
            <w:tcW w:w="1381" w:type="dxa"/>
            <w:tcBorders>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2.6</w:t>
            </w:r>
          </w:p>
        </w:tc>
        <w:tc>
          <w:tcPr>
            <w:tcW w:w="1382"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w:t>
            </w:r>
          </w:p>
        </w:tc>
        <w:tc>
          <w:tcPr>
            <w:tcW w:w="1385"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6</w:t>
            </w:r>
            <w:r>
              <w:rPr>
                <w:rFonts w:hint="eastAsia" w:ascii="Times New Roman" w:hAnsi="Times New Roman" w:eastAsia="宋体"/>
                <w:bCs/>
                <w:color w:val="auto"/>
                <w:sz w:val="21"/>
                <w:szCs w:val="21"/>
                <w:highlight w:val="none"/>
              </w:rPr>
              <w:t>2.5</w:t>
            </w:r>
          </w:p>
        </w:tc>
        <w:tc>
          <w:tcPr>
            <w:tcW w:w="1387"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O</w:t>
            </w:r>
            <w:r>
              <w:rPr>
                <w:rFonts w:hint="eastAsia" w:ascii="Times New Roman" w:hAnsi="Times New Roman" w:eastAsia="宋体"/>
                <w:bCs/>
                <w:color w:val="auto"/>
                <w:sz w:val="21"/>
                <w:szCs w:val="21"/>
                <w:highlight w:val="none"/>
                <w:vertAlign w:val="subscript"/>
              </w:rPr>
              <w:t>3</w:t>
            </w:r>
          </w:p>
        </w:tc>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第90百分位数日平均</w:t>
            </w:r>
          </w:p>
        </w:tc>
        <w:tc>
          <w:tcPr>
            <w:tcW w:w="1381" w:type="dxa"/>
            <w:tcBorders>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138</w:t>
            </w:r>
          </w:p>
        </w:tc>
        <w:tc>
          <w:tcPr>
            <w:tcW w:w="1382"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160</w:t>
            </w:r>
          </w:p>
        </w:tc>
        <w:tc>
          <w:tcPr>
            <w:tcW w:w="1385"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81.87</w:t>
            </w:r>
          </w:p>
        </w:tc>
        <w:tc>
          <w:tcPr>
            <w:tcW w:w="1387"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PM</w:t>
            </w:r>
            <w:r>
              <w:rPr>
                <w:rFonts w:hint="eastAsia" w:ascii="Times New Roman" w:hAnsi="Times New Roman" w:eastAsia="宋体"/>
                <w:bCs/>
                <w:color w:val="auto"/>
                <w:sz w:val="21"/>
                <w:szCs w:val="21"/>
                <w:highlight w:val="none"/>
                <w:vertAlign w:val="subscript"/>
              </w:rPr>
              <w:t>10</w:t>
            </w:r>
          </w:p>
        </w:tc>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84</w:t>
            </w:r>
          </w:p>
        </w:tc>
        <w:tc>
          <w:tcPr>
            <w:tcW w:w="1382"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70</w:t>
            </w:r>
          </w:p>
        </w:tc>
        <w:tc>
          <w:tcPr>
            <w:tcW w:w="1385"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125.7</w:t>
            </w:r>
          </w:p>
        </w:tc>
        <w:tc>
          <w:tcPr>
            <w:tcW w:w="1387"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PM</w:t>
            </w:r>
            <w:r>
              <w:rPr>
                <w:rFonts w:hint="eastAsia" w:ascii="Times New Roman" w:hAnsi="Times New Roman" w:eastAsia="宋体"/>
                <w:bCs/>
                <w:color w:val="auto"/>
                <w:sz w:val="21"/>
                <w:szCs w:val="21"/>
                <w:highlight w:val="none"/>
                <w:vertAlign w:val="subscript"/>
              </w:rPr>
              <w:t>2.5</w:t>
            </w:r>
          </w:p>
        </w:tc>
        <w:tc>
          <w:tcPr>
            <w:tcW w:w="1384"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51</w:t>
            </w:r>
          </w:p>
        </w:tc>
        <w:tc>
          <w:tcPr>
            <w:tcW w:w="1382"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35</w:t>
            </w:r>
          </w:p>
        </w:tc>
        <w:tc>
          <w:tcPr>
            <w:tcW w:w="1385"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157.1</w:t>
            </w:r>
          </w:p>
        </w:tc>
        <w:tc>
          <w:tcPr>
            <w:tcW w:w="1387" w:type="dxa"/>
            <w:tcBorders>
              <w:tl2br w:val="nil"/>
              <w:tr2bl w:val="nil"/>
            </w:tcBorders>
            <w:vAlign w:val="center"/>
          </w:tcPr>
          <w:p>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超标</w:t>
            </w:r>
          </w:p>
        </w:tc>
      </w:tr>
    </w:tbl>
    <w:p>
      <w:pPr>
        <w:spacing w:line="500" w:lineRule="exact"/>
        <w:ind w:firstLine="480"/>
        <w:rPr>
          <w:rFonts w:ascii="Times New Roman" w:hAnsi="Times New Roman" w:eastAsia="宋体"/>
          <w:color w:val="auto"/>
          <w:highlight w:val="none"/>
        </w:rPr>
      </w:pPr>
      <w:r>
        <w:rPr>
          <w:rFonts w:hint="eastAsia" w:ascii="Times New Roman" w:hAnsi="Times New Roman" w:eastAsia="宋体"/>
          <w:color w:val="auto"/>
          <w:highlight w:val="none"/>
        </w:rPr>
        <w:t>由表4.2-2可知，</w:t>
      </w:r>
      <w:bookmarkStart w:id="166" w:name="_Hlk88042713"/>
      <w:r>
        <w:rPr>
          <w:rFonts w:ascii="Times New Roman" w:hAnsi="Times New Roman" w:eastAsia="宋体"/>
          <w:color w:val="auto"/>
          <w:highlight w:val="none"/>
        </w:rPr>
        <w:t>项目所在区域PM</w:t>
      </w:r>
      <w:r>
        <w:rPr>
          <w:rFonts w:ascii="Times New Roman" w:hAnsi="Times New Roman" w:eastAsia="宋体"/>
          <w:color w:val="auto"/>
          <w:highlight w:val="none"/>
          <w:vertAlign w:val="subscript"/>
        </w:rPr>
        <w:t>10</w:t>
      </w:r>
      <w:r>
        <w:rPr>
          <w:rFonts w:ascii="Times New Roman" w:hAnsi="Times New Roman" w:eastAsia="宋体"/>
          <w:color w:val="auto"/>
          <w:highlight w:val="none"/>
        </w:rPr>
        <w:t>、PM</w:t>
      </w:r>
      <w:r>
        <w:rPr>
          <w:rFonts w:ascii="Times New Roman" w:hAnsi="Times New Roman" w:eastAsia="宋体"/>
          <w:color w:val="auto"/>
          <w:highlight w:val="none"/>
          <w:vertAlign w:val="subscript"/>
        </w:rPr>
        <w:t>2.5</w:t>
      </w:r>
      <w:r>
        <w:rPr>
          <w:rFonts w:ascii="Times New Roman" w:hAnsi="Times New Roman" w:eastAsia="宋体"/>
          <w:color w:val="auto"/>
          <w:highlight w:val="none"/>
        </w:rPr>
        <w:t>年平均浓度均超过《环境空气质量标准》（GB3095-2012）的二级标准要求；O</w:t>
      </w:r>
      <w:r>
        <w:rPr>
          <w:rFonts w:ascii="Times New Roman" w:hAnsi="Times New Roman" w:eastAsia="宋体"/>
          <w:color w:val="auto"/>
          <w:highlight w:val="none"/>
          <w:vertAlign w:val="subscript"/>
        </w:rPr>
        <w:t>3</w:t>
      </w:r>
      <w:r>
        <w:rPr>
          <w:rFonts w:ascii="Times New Roman" w:hAnsi="Times New Roman" w:eastAsia="宋体"/>
          <w:color w:val="auto"/>
          <w:highlight w:val="none"/>
        </w:rPr>
        <w:t>最大8小时平均浓度及NO</w:t>
      </w:r>
      <w:r>
        <w:rPr>
          <w:rFonts w:ascii="Times New Roman" w:hAnsi="Times New Roman" w:eastAsia="宋体"/>
          <w:color w:val="auto"/>
          <w:highlight w:val="none"/>
          <w:vertAlign w:val="subscript"/>
        </w:rPr>
        <w:t>2</w:t>
      </w:r>
      <w:r>
        <w:rPr>
          <w:rFonts w:ascii="Times New Roman" w:hAnsi="Times New Roman" w:eastAsia="宋体"/>
          <w:color w:val="auto"/>
          <w:highlight w:val="none"/>
        </w:rPr>
        <w:t>、CO、SO</w:t>
      </w:r>
      <w:r>
        <w:rPr>
          <w:rFonts w:ascii="Times New Roman" w:hAnsi="Times New Roman" w:eastAsia="宋体"/>
          <w:color w:val="auto"/>
          <w:highlight w:val="none"/>
          <w:vertAlign w:val="subscript"/>
        </w:rPr>
        <w:t>2</w:t>
      </w:r>
      <w:r>
        <w:rPr>
          <w:rFonts w:ascii="Times New Roman" w:hAnsi="Times New Roman" w:eastAsia="宋体"/>
          <w:color w:val="auto"/>
          <w:highlight w:val="none"/>
        </w:rPr>
        <w:t>的日、年均浓度均满足《环境空气质量标准》（GB3095-2012）的二级标准要求，本项目所在区域为</w:t>
      </w:r>
      <w:r>
        <w:rPr>
          <w:rFonts w:hint="eastAsia" w:ascii="Times New Roman" w:hAnsi="Times New Roman" w:eastAsia="宋体"/>
          <w:color w:val="auto"/>
          <w:highlight w:val="none"/>
        </w:rPr>
        <w:t>不</w:t>
      </w:r>
      <w:r>
        <w:rPr>
          <w:rFonts w:ascii="Times New Roman" w:hAnsi="Times New Roman" w:eastAsia="宋体"/>
          <w:color w:val="auto"/>
          <w:highlight w:val="none"/>
        </w:rPr>
        <w:t>达标区域</w:t>
      </w:r>
      <w:bookmarkEnd w:id="166"/>
      <w:r>
        <w:rPr>
          <w:rFonts w:ascii="Times New Roman" w:hAnsi="Times New Roman" w:eastAsia="宋体"/>
          <w:color w:val="auto"/>
          <w:highlight w:val="none"/>
        </w:rPr>
        <w:t>。</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4.2.1.2环境空气特征污染物</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（1）数据来源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本项目特征污染物环境空气质量现状评价数据委托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对项目所在进行了监测，监测时间为202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日~</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rPr>
        <w:t>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（2）监测项目及频率</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监测点位：W1：项目区</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86</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19</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51.47</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E</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44</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46.39</w:t>
      </w:r>
      <w:r>
        <w:rPr>
          <w:rFonts w:hint="default" w:ascii="Times New Roman" w:hAnsi="Times New Roman" w:eastAsia="宋体"/>
          <w:color w:val="auto"/>
          <w:highlight w:val="none"/>
          <w:lang w:val="en-US" w:eastAsia="zh-CN"/>
        </w:rPr>
        <w:t>″</w:t>
      </w:r>
      <w:r>
        <w:rPr>
          <w:rFonts w:ascii="Times New Roman" w:hAnsi="Times New Roman" w:eastAsia="宋体"/>
          <w:color w:val="auto"/>
          <w:highlight w:val="none"/>
        </w:rPr>
        <w:t>N）</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W1：项目区</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86</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0.20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E</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44</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38.74</w:t>
      </w:r>
      <w:r>
        <w:rPr>
          <w:rFonts w:hint="default" w:ascii="Times New Roman" w:hAnsi="Times New Roman" w:eastAsia="宋体"/>
          <w:color w:val="auto"/>
          <w:highlight w:val="none"/>
          <w:lang w:val="en-US" w:eastAsia="zh-CN"/>
        </w:rPr>
        <w:t>″</w:t>
      </w:r>
      <w:r>
        <w:rPr>
          <w:rFonts w:ascii="Times New Roman" w:hAnsi="Times New Roman" w:eastAsia="宋体"/>
          <w:color w:val="auto"/>
          <w:highlight w:val="none"/>
        </w:rPr>
        <w:t>N）</w:t>
      </w:r>
      <w:r>
        <w:rPr>
          <w:rFonts w:hint="eastAsia" w:ascii="Times New Roman" w:hAnsi="Times New Roman" w:eastAsia="宋体"/>
          <w:color w:val="auto"/>
          <w:highlight w:val="none"/>
        </w:rPr>
        <w:t>，见附图4.2-1；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监测项目：硫化氢、氨；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监测频率：连续采样7个有效天，每天采样4次，每次1小时。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域属于环境空气功能区二类区，环境空气质量执行《环境空气质量标准》（GB3095-2012）中二级标准；硫化氢和氨参照执行《环境影响评价技术导则大气环境》（HJ2.2-2018）附录D中的标准值。标准限值见表4.2-3。</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表4.2-3环境空气特征污染物浓度限值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976"/>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序号</w:t>
            </w:r>
          </w:p>
        </w:tc>
        <w:tc>
          <w:tcPr>
            <w:tcW w:w="17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污染物名称</w:t>
            </w:r>
          </w:p>
        </w:tc>
        <w:tc>
          <w:tcPr>
            <w:tcW w:w="2608"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1h评价标准值（mg/m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w:t>
            </w:r>
          </w:p>
        </w:tc>
        <w:tc>
          <w:tcPr>
            <w:tcW w:w="17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H</w:t>
            </w:r>
            <w:r>
              <w:rPr>
                <w:rFonts w:hint="eastAsia" w:ascii="Times New Roman" w:hAnsi="Times New Roman" w:eastAsia="宋体"/>
                <w:color w:val="auto"/>
                <w:kern w:val="2"/>
                <w:sz w:val="21"/>
                <w:szCs w:val="21"/>
                <w:highlight w:val="none"/>
                <w:vertAlign w:val="subscript"/>
              </w:rPr>
              <w:t>2</w:t>
            </w:r>
            <w:r>
              <w:rPr>
                <w:rFonts w:hint="eastAsia" w:ascii="Times New Roman" w:hAnsi="Times New Roman" w:eastAsia="宋体"/>
                <w:color w:val="auto"/>
                <w:kern w:val="2"/>
                <w:sz w:val="21"/>
                <w:szCs w:val="21"/>
                <w:highlight w:val="none"/>
              </w:rPr>
              <w:t>S</w:t>
            </w:r>
          </w:p>
        </w:tc>
        <w:tc>
          <w:tcPr>
            <w:tcW w:w="2608"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w:t>
            </w:r>
          </w:p>
        </w:tc>
        <w:tc>
          <w:tcPr>
            <w:tcW w:w="17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NH</w:t>
            </w:r>
            <w:r>
              <w:rPr>
                <w:rFonts w:hint="eastAsia" w:ascii="Times New Roman" w:hAnsi="Times New Roman" w:eastAsia="宋体"/>
                <w:color w:val="auto"/>
                <w:kern w:val="2"/>
                <w:sz w:val="21"/>
                <w:szCs w:val="21"/>
                <w:highlight w:val="none"/>
                <w:vertAlign w:val="subscript"/>
              </w:rPr>
              <w:t>3</w:t>
            </w:r>
          </w:p>
        </w:tc>
        <w:tc>
          <w:tcPr>
            <w:tcW w:w="2608"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3</w:t>
            </w:r>
          </w:p>
        </w:tc>
        <w:tc>
          <w:tcPr>
            <w:tcW w:w="174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T</w:t>
            </w:r>
            <w:r>
              <w:rPr>
                <w:rFonts w:ascii="Times New Roman" w:hAnsi="Times New Roman" w:eastAsia="宋体"/>
                <w:color w:val="auto"/>
                <w:kern w:val="2"/>
                <w:sz w:val="21"/>
                <w:szCs w:val="21"/>
                <w:highlight w:val="none"/>
              </w:rPr>
              <w:t>SP</w:t>
            </w:r>
          </w:p>
        </w:tc>
        <w:tc>
          <w:tcPr>
            <w:tcW w:w="2608"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0.9</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采用标准指数法评价大气污染物在评价区域内的环境质量现状，计算公式如下：</w:t>
      </w:r>
    </w:p>
    <w:p>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object>
          <v:shape id="_x0000_i1028" o:spt="75" type="#_x0000_t75" style="height:35.8pt;width:72pt;" o:ole="t" filled="f" o:preferrelative="t" stroked="f" coordsize="21600,21600">
            <v:path/>
            <v:fill on="f" focussize="0,0"/>
            <v:stroke on="f" joinstyle="miter"/>
            <v:imagedata r:id="rId39" o:title=""/>
            <o:lock v:ext="edit" aspectratio="t"/>
            <w10:wrap type="none"/>
            <w10:anchorlock/>
          </v:shape>
          <o:OLEObject Type="Embed" ProgID="Equation.AxMath" ShapeID="_x0000_i1028" DrawAspect="Content" ObjectID="_1468075728" r:id="rId38">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——污染物i的单项污染指数，%；</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——污染物i的监测浓度值，</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——污染物i的环境空气质量浓度标准，μg/m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≥1时，说明环境中i污染物含量超过标准值，当P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&lt;1时，则说明i污染物符合标准。某污染物的P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值越大，则污染相对越严重。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（4）监测结果分析及评价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w:t>
      </w:r>
      <w:r>
        <w:rPr>
          <w:rFonts w:hint="eastAsia" w:ascii="Times New Roman" w:hAnsi="Times New Roman" w:eastAsia="宋体"/>
          <w:color w:val="auto"/>
          <w:highlight w:val="none"/>
        </w:rPr>
        <w:t>、</w:t>
      </w:r>
      <w:r>
        <w:rPr>
          <w:rFonts w:ascii="Times New Roman" w:hAnsi="Times New Roman" w:eastAsia="宋体"/>
          <w:color w:val="auto"/>
          <w:highlight w:val="none"/>
        </w:rPr>
        <w:t>NH</w:t>
      </w:r>
      <w:r>
        <w:rPr>
          <w:rFonts w:ascii="Times New Roman" w:hAnsi="Times New Roman" w:eastAsia="宋体"/>
          <w:color w:val="auto"/>
          <w:highlight w:val="none"/>
          <w:vertAlign w:val="subscript"/>
        </w:rPr>
        <w:t>3</w:t>
      </w:r>
      <w:r>
        <w:rPr>
          <w:rFonts w:hint="eastAsia" w:ascii="Times New Roman" w:hAnsi="Times New Roman" w:eastAsia="宋体"/>
          <w:color w:val="auto"/>
          <w:highlight w:val="none"/>
        </w:rPr>
        <w:t>监测结果见表4.2-4，</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w:t>
      </w:r>
      <w:r>
        <w:rPr>
          <w:rFonts w:hint="eastAsia" w:ascii="Times New Roman" w:hAnsi="Times New Roman" w:eastAsia="宋体"/>
          <w:color w:val="auto"/>
          <w:highlight w:val="none"/>
        </w:rPr>
        <w:t>、</w:t>
      </w:r>
      <w:r>
        <w:rPr>
          <w:rFonts w:ascii="Times New Roman" w:hAnsi="Times New Roman" w:eastAsia="宋体"/>
          <w:color w:val="auto"/>
          <w:highlight w:val="none"/>
        </w:rPr>
        <w:t>NH</w:t>
      </w:r>
      <w:r>
        <w:rPr>
          <w:rFonts w:ascii="Times New Roman" w:hAnsi="Times New Roman" w:eastAsia="宋体"/>
          <w:color w:val="auto"/>
          <w:highlight w:val="none"/>
          <w:vertAlign w:val="subscript"/>
        </w:rPr>
        <w:t>3</w:t>
      </w:r>
      <w:r>
        <w:rPr>
          <w:rFonts w:hint="eastAsia" w:ascii="Times New Roman" w:hAnsi="Times New Roman" w:eastAsia="宋体"/>
          <w:color w:val="auto"/>
          <w:highlight w:val="none"/>
        </w:rPr>
        <w:t>、TSP评价结果见表4.2-5。</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表4.2-4H</w:t>
      </w:r>
      <w:r>
        <w:rPr>
          <w:rFonts w:hint="eastAsia" w:ascii="Times New Roman" w:hAnsi="Times New Roman" w:eastAsia="宋体"/>
          <w:color w:val="auto"/>
          <w:sz w:val="24"/>
          <w:szCs w:val="22"/>
          <w:highlight w:val="none"/>
          <w:vertAlign w:val="subscript"/>
        </w:rPr>
        <w:t>2</w:t>
      </w:r>
      <w:r>
        <w:rPr>
          <w:rFonts w:hint="eastAsia" w:ascii="Times New Roman" w:hAnsi="Times New Roman" w:eastAsia="宋体"/>
          <w:color w:val="auto"/>
          <w:sz w:val="24"/>
          <w:szCs w:val="22"/>
          <w:highlight w:val="none"/>
        </w:rPr>
        <w:t>S、NH</w:t>
      </w:r>
      <w:r>
        <w:rPr>
          <w:rFonts w:hint="eastAsia" w:ascii="Times New Roman" w:hAnsi="Times New Roman" w:eastAsia="宋体"/>
          <w:color w:val="auto"/>
          <w:sz w:val="24"/>
          <w:szCs w:val="22"/>
          <w:highlight w:val="none"/>
          <w:vertAlign w:val="subscript"/>
        </w:rPr>
        <w:t>3</w:t>
      </w:r>
      <w:bookmarkStart w:id="167" w:name="_Hlk106060003"/>
      <w:r>
        <w:rPr>
          <w:rFonts w:hint="eastAsia" w:ascii="Times New Roman" w:hAnsi="Times New Roman" w:eastAsia="宋体"/>
          <w:color w:val="auto"/>
          <w:sz w:val="24"/>
          <w:szCs w:val="22"/>
          <w:highlight w:val="none"/>
        </w:rPr>
        <w:t>、</w:t>
      </w:r>
      <w:r>
        <w:rPr>
          <w:rFonts w:ascii="Times New Roman" w:hAnsi="Times New Roman" w:eastAsia="宋体"/>
          <w:color w:val="auto"/>
          <w:sz w:val="24"/>
          <w:szCs w:val="22"/>
          <w:highlight w:val="none"/>
        </w:rPr>
        <w:t>TSP</w:t>
      </w:r>
      <w:bookmarkEnd w:id="167"/>
      <w:r>
        <w:rPr>
          <w:rFonts w:hint="eastAsia" w:ascii="Times New Roman" w:hAnsi="Times New Roman" w:eastAsia="宋体"/>
          <w:color w:val="auto"/>
          <w:sz w:val="24"/>
          <w:szCs w:val="22"/>
          <w:highlight w:val="none"/>
        </w:rPr>
        <w:t>监测结果表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403"/>
        <w:gridCol w:w="1403"/>
        <w:gridCol w:w="2043"/>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采样点位</w:t>
            </w: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采样时间</w:t>
            </w: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采样频次</w:t>
            </w:r>
          </w:p>
        </w:tc>
        <w:tc>
          <w:tcPr>
            <w:tcW w:w="2534" w:type="pct"/>
            <w:gridSpan w:val="2"/>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检测项目（mg/m</w:t>
            </w:r>
            <w:r>
              <w:rPr>
                <w:rFonts w:ascii="Times New Roman" w:hAnsi="Times New Roman" w:eastAsia="宋体"/>
                <w:color w:val="auto"/>
                <w:kern w:val="2"/>
                <w:sz w:val="21"/>
                <w:szCs w:val="21"/>
                <w:highlight w:val="none"/>
                <w:vertAlign w:val="superscript"/>
              </w:rPr>
              <w:t>3</w:t>
            </w:r>
            <w:r>
              <w:rPr>
                <w:rFonts w:ascii="Times New Roman" w:hAnsi="Times New Roman" w:eastAsia="宋体"/>
                <w:color w:val="auto"/>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1199"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硫化氢</w:t>
            </w:r>
          </w:p>
        </w:tc>
        <w:tc>
          <w:tcPr>
            <w:tcW w:w="1334"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r>
              <w:rPr>
                <w:rFonts w:hint="eastAsia" w:ascii="Times New Roman" w:hAnsi="Times New Roman" w:eastAsia="宋体"/>
                <w:color w:val="auto"/>
                <w:kern w:val="2"/>
                <w:sz w:val="21"/>
                <w:szCs w:val="21"/>
                <w:highlight w:val="none"/>
              </w:rPr>
              <w:t>项目区</w:t>
            </w: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8</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9</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0</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1</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4月1</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3</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w:t>
            </w:r>
            <w:r>
              <w:rPr>
                <w:rFonts w:hint="eastAsia" w:ascii="Times New Roman" w:hAnsi="Times New Roman" w:eastAsia="宋体"/>
                <w:color w:val="auto"/>
                <w:kern w:val="2"/>
                <w:sz w:val="21"/>
                <w:szCs w:val="21"/>
                <w:highlight w:val="none"/>
              </w:rPr>
              <w:t>项目区</w:t>
            </w: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8</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9</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0</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1</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4月1</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3</w:t>
            </w:r>
            <w:r>
              <w:rPr>
                <w:rFonts w:ascii="Times New Roman" w:hAnsi="Times New Roman" w:eastAsia="宋体"/>
                <w:color w:val="auto"/>
                <w:kern w:val="2"/>
                <w:sz w:val="21"/>
                <w:szCs w:val="21"/>
                <w:highlight w:val="none"/>
              </w:rPr>
              <w:t>号</w:t>
            </w: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bl>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表4.2-5H</w:t>
      </w:r>
      <w:r>
        <w:rPr>
          <w:rFonts w:hint="eastAsia" w:ascii="Times New Roman" w:hAnsi="Times New Roman" w:eastAsia="宋体"/>
          <w:color w:val="auto"/>
          <w:sz w:val="24"/>
          <w:szCs w:val="22"/>
          <w:highlight w:val="none"/>
          <w:vertAlign w:val="subscript"/>
        </w:rPr>
        <w:t>2</w:t>
      </w:r>
      <w:r>
        <w:rPr>
          <w:rFonts w:hint="eastAsia" w:ascii="Times New Roman" w:hAnsi="Times New Roman" w:eastAsia="宋体"/>
          <w:color w:val="auto"/>
          <w:sz w:val="24"/>
          <w:szCs w:val="22"/>
          <w:highlight w:val="none"/>
        </w:rPr>
        <w:t>S、NH</w:t>
      </w:r>
      <w:r>
        <w:rPr>
          <w:rFonts w:hint="eastAsia" w:ascii="Times New Roman" w:hAnsi="Times New Roman" w:eastAsia="宋体"/>
          <w:color w:val="auto"/>
          <w:sz w:val="24"/>
          <w:szCs w:val="22"/>
          <w:highlight w:val="none"/>
          <w:vertAlign w:val="subscript"/>
        </w:rPr>
        <w:t>3</w:t>
      </w:r>
      <w:r>
        <w:rPr>
          <w:rFonts w:hint="eastAsia" w:ascii="Times New Roman" w:hAnsi="Times New Roman" w:eastAsia="宋体"/>
          <w:color w:val="auto"/>
          <w:sz w:val="24"/>
          <w:szCs w:val="22"/>
          <w:highlight w:val="none"/>
        </w:rPr>
        <w:t>评价结果表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2543"/>
        <w:gridCol w:w="217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监测点</w:t>
            </w: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项目</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硫化氢</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restart"/>
            <w:vAlign w:val="center"/>
          </w:tcPr>
          <w:p>
            <w:pPr>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ascii="Times New Roman" w:hAnsi="Times New Roman" w:eastAsia="宋体"/>
                <w:color w:val="auto"/>
                <w:kern w:val="2"/>
                <w:sz w:val="21"/>
                <w:szCs w:val="21"/>
                <w:highlight w:val="none"/>
              </w:rPr>
              <w:t>W1：</w:t>
            </w:r>
            <w:r>
              <w:rPr>
                <w:rFonts w:hint="eastAsia" w:ascii="Times New Roman" w:hAnsi="Times New Roman" w:eastAsia="宋体"/>
                <w:color w:val="auto"/>
                <w:kern w:val="2"/>
                <w:sz w:val="21"/>
                <w:szCs w:val="21"/>
                <w:highlight w:val="none"/>
                <w:lang w:val="en-US" w:eastAsia="zh-CN"/>
              </w:rPr>
              <w:t>下风向</w:t>
            </w: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有效日数</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浓度范围（mg/m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276" w:type="pct"/>
            <w:vAlign w:val="center"/>
          </w:tcPr>
          <w:p>
            <w:pPr>
              <w:spacing w:line="240" w:lineRule="auto"/>
              <w:ind w:firstLine="0" w:firstLineChars="0"/>
              <w:jc w:val="center"/>
              <w:rPr>
                <w:rFonts w:hint="eastAsia" w:ascii="Times New Roman" w:hAnsi="Times New Roman" w:eastAsia="宋体"/>
                <w:color w:val="auto"/>
                <w:kern w:val="2"/>
                <w:sz w:val="21"/>
                <w:szCs w:val="21"/>
                <w:highlight w:val="none"/>
                <w:lang w:val="en-US" w:eastAsia="zh-CN"/>
              </w:rPr>
            </w:pPr>
            <w:r>
              <w:rPr>
                <w:rFonts w:ascii="Times New Roman" w:hAnsi="Times New Roman" w:eastAsia="宋体"/>
                <w:color w:val="auto"/>
                <w:kern w:val="2"/>
                <w:sz w:val="21"/>
                <w:szCs w:val="21"/>
                <w:highlight w:val="none"/>
              </w:rPr>
              <w:t>0.</w:t>
            </w:r>
            <w:r>
              <w:rPr>
                <w:rFonts w:hint="eastAsia" w:ascii="Times New Roman" w:hAnsi="Times New Roman" w:eastAsia="宋体"/>
                <w:color w:val="auto"/>
                <w:kern w:val="2"/>
                <w:sz w:val="21"/>
                <w:szCs w:val="21"/>
                <w:highlight w:val="none"/>
                <w:lang w:val="en-US" w:eastAsia="zh-CN"/>
              </w:rPr>
              <w:t>07</w:t>
            </w:r>
            <w:r>
              <w:rPr>
                <w:rFonts w:ascii="Times New Roman" w:hAnsi="Times New Roman" w:eastAsia="宋体"/>
                <w:color w:val="auto"/>
                <w:kern w:val="2"/>
                <w:sz w:val="21"/>
                <w:szCs w:val="21"/>
                <w:highlight w:val="none"/>
              </w:rPr>
              <w:t>-0.1</w:t>
            </w:r>
            <w:r>
              <w:rPr>
                <w:rFonts w:hint="eastAsia" w:ascii="Times New Roman" w:hAnsi="Times New Roman" w:eastAsia="宋体"/>
                <w:color w:val="auto"/>
                <w:kern w:val="2"/>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超标率（%）</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最大超标倍数</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P</w:t>
            </w:r>
            <w:r>
              <w:rPr>
                <w:rFonts w:hint="eastAsia" w:ascii="Times New Roman" w:hAnsi="Times New Roman" w:eastAsia="宋体"/>
                <w:color w:val="auto"/>
                <w:kern w:val="2"/>
                <w:sz w:val="21"/>
                <w:szCs w:val="21"/>
                <w:highlight w:val="none"/>
                <w:vertAlign w:val="subscript"/>
              </w:rPr>
              <w:t>i</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30-40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50</w:t>
            </w:r>
            <w:r>
              <w:rPr>
                <w:rFonts w:hint="eastAsia" w:ascii="Times New Roman" w:hAnsi="Times New Roman" w:eastAsia="宋体"/>
                <w:color w:val="auto"/>
                <w:kern w:val="2"/>
                <w:sz w:val="21"/>
                <w:szCs w:val="21"/>
                <w:highlight w:val="none"/>
              </w:rPr>
              <w:t>%~</w:t>
            </w:r>
            <w:r>
              <w:rPr>
                <w:rFonts w:ascii="Times New Roman" w:hAnsi="Times New Roman" w:eastAsia="宋体"/>
                <w:color w:val="auto"/>
                <w:kern w:val="2"/>
                <w:sz w:val="21"/>
                <w:szCs w:val="21"/>
                <w:highlight w:val="none"/>
              </w:rPr>
              <w:t>9</w:t>
            </w:r>
            <w:r>
              <w:rPr>
                <w:rFonts w:hint="eastAsia" w:ascii="Times New Roman" w:hAnsi="Times New Roman" w:eastAsia="宋体"/>
                <w:color w:val="auto"/>
                <w:kern w:val="2"/>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restart"/>
            <w:vAlign w:val="center"/>
          </w:tcPr>
          <w:p>
            <w:pPr>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ascii="Times New Roman" w:hAnsi="Times New Roman" w:eastAsia="宋体"/>
                <w:color w:val="auto"/>
                <w:kern w:val="2"/>
                <w:sz w:val="21"/>
                <w:szCs w:val="21"/>
                <w:highlight w:val="none"/>
              </w:rPr>
              <w:t>W</w:t>
            </w:r>
            <w:r>
              <w:rPr>
                <w:rFonts w:hint="eastAsia" w:ascii="Times New Roman" w:hAnsi="Times New Roman" w:eastAsia="宋体"/>
                <w:color w:val="auto"/>
                <w:kern w:val="2"/>
                <w:sz w:val="21"/>
                <w:szCs w:val="21"/>
                <w:highlight w:val="none"/>
                <w:lang w:val="en-US" w:eastAsia="zh-CN"/>
              </w:rPr>
              <w:t>2</w:t>
            </w:r>
            <w:r>
              <w:rPr>
                <w:rFonts w:hint="eastAsia" w:ascii="Times New Roman" w:hAnsi="Times New Roman" w:eastAsia="宋体"/>
                <w:color w:val="auto"/>
                <w:kern w:val="2"/>
                <w:sz w:val="21"/>
                <w:szCs w:val="21"/>
                <w:highlight w:val="none"/>
              </w:rPr>
              <w:t>：</w:t>
            </w:r>
            <w:r>
              <w:rPr>
                <w:rFonts w:hint="eastAsia" w:ascii="Times New Roman" w:hAnsi="Times New Roman" w:eastAsia="宋体"/>
                <w:color w:val="auto"/>
                <w:kern w:val="2"/>
                <w:sz w:val="21"/>
                <w:szCs w:val="21"/>
                <w:highlight w:val="none"/>
                <w:lang w:val="en-US" w:eastAsia="zh-CN"/>
              </w:rPr>
              <w:t>下风向</w:t>
            </w: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有效日数</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浓度范围（mg/m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0.10-0.18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超标率（%）</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最大超标倍数</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P</w:t>
            </w:r>
            <w:r>
              <w:rPr>
                <w:rFonts w:hint="eastAsia" w:ascii="Times New Roman" w:hAnsi="Times New Roman" w:eastAsia="宋体"/>
                <w:color w:val="auto"/>
                <w:kern w:val="2"/>
                <w:sz w:val="21"/>
                <w:szCs w:val="21"/>
                <w:highlight w:val="none"/>
                <w:vertAlign w:val="subscript"/>
              </w:rPr>
              <w:t>i</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30-40</w:t>
            </w:r>
          </w:p>
        </w:tc>
        <w:tc>
          <w:tcPr>
            <w:tcW w:w="1276" w:type="pct"/>
            <w:vAlign w:val="center"/>
          </w:tcPr>
          <w:p>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50</w:t>
            </w:r>
            <w:r>
              <w:rPr>
                <w:rFonts w:hint="eastAsia" w:ascii="Times New Roman" w:hAnsi="Times New Roman" w:eastAsia="宋体"/>
                <w:color w:val="auto"/>
                <w:kern w:val="2"/>
                <w:sz w:val="21"/>
                <w:szCs w:val="21"/>
                <w:highlight w:val="none"/>
              </w:rPr>
              <w:t>%~</w:t>
            </w:r>
            <w:r>
              <w:rPr>
                <w:rFonts w:ascii="Times New Roman" w:hAnsi="Times New Roman" w:eastAsia="宋体"/>
                <w:color w:val="auto"/>
                <w:kern w:val="2"/>
                <w:sz w:val="21"/>
                <w:szCs w:val="21"/>
                <w:highlight w:val="none"/>
              </w:rPr>
              <w:t>9</w:t>
            </w:r>
            <w:r>
              <w:rPr>
                <w:rFonts w:hint="eastAsia" w:ascii="Times New Roman" w:hAnsi="Times New Roman" w:eastAsia="宋体"/>
                <w:color w:val="auto"/>
                <w:kern w:val="2"/>
                <w:sz w:val="21"/>
                <w:szCs w:val="21"/>
                <w:highlight w:val="none"/>
              </w:rPr>
              <w:t>0%</w:t>
            </w:r>
          </w:p>
        </w:tc>
      </w:tr>
    </w:tbl>
    <w:p>
      <w:pPr>
        <w:ind w:firstLine="42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注：硫化氢的检出限为0.005mg/m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根据监测结果，特征污染物硫化氢和氨在监测时段内浓度值满足《环境影响评价技术导则大气环境》（HJ2.2-2018）附录D中的标准值，硫化氢和氨在监测时段内达标，区域内硫化氢和氨空气质量现状良好。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综上所述，项目区域SO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10</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2.5</w:t>
      </w:r>
      <w:r>
        <w:rPr>
          <w:rFonts w:hint="eastAsia" w:ascii="Times New Roman" w:hAnsi="Times New Roman" w:eastAsia="宋体"/>
          <w:color w:val="auto"/>
          <w:highlight w:val="none"/>
        </w:rPr>
        <w:t>、CO和O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等基本污染物浓度满足《环境空气质量标准》（GB3095-2012）二级浓度限值，环境空气特征污染物硫化氢和氨在监测时段内浓度值满足《环境影响评价技术导则大气环境》（HJ2.2-2018）附录D中的标准值，综合判定项目所在区域为环境空气质量达标区。</w:t>
      </w:r>
    </w:p>
    <w:p>
      <w:pPr>
        <w:pStyle w:val="5"/>
        <w:rPr>
          <w:rFonts w:ascii="Times New Roman" w:hAnsi="Times New Roman" w:eastAsia="宋体"/>
          <w:color w:val="auto"/>
          <w:highlight w:val="none"/>
        </w:rPr>
      </w:pPr>
      <w:bookmarkStart w:id="168" w:name="_Toc106663487"/>
      <w:r>
        <w:rPr>
          <w:rFonts w:hint="eastAsia" w:ascii="Times New Roman" w:hAnsi="Times New Roman" w:eastAsia="宋体"/>
          <w:color w:val="auto"/>
          <w:highlight w:val="none"/>
        </w:rPr>
        <w:t>4.2.2地表水环境质量现状评价</w:t>
      </w:r>
      <w:bookmarkEnd w:id="16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根据《环境影响评价技术导则地表水环境》（HJ2.3-2018），项目地表水评价等级判定为三级B，结合本项目工程特点，运营期废水为间接排放且项目区不存在地表水，因此不对本项目地表水进行现状评价。</w:t>
      </w:r>
    </w:p>
    <w:p>
      <w:pPr>
        <w:pStyle w:val="5"/>
        <w:rPr>
          <w:rFonts w:ascii="Times New Roman" w:hAnsi="Times New Roman" w:eastAsia="宋体"/>
          <w:color w:val="auto"/>
          <w:highlight w:val="none"/>
        </w:rPr>
      </w:pPr>
      <w:bookmarkStart w:id="169" w:name="_Toc106663488"/>
      <w:r>
        <w:rPr>
          <w:rFonts w:hint="eastAsia" w:ascii="Times New Roman" w:hAnsi="Times New Roman" w:eastAsia="宋体"/>
          <w:color w:val="auto"/>
          <w:highlight w:val="none"/>
        </w:rPr>
        <w:t>4.2.3地下水环境现状调查与评价</w:t>
      </w:r>
      <w:bookmarkEnd w:id="169"/>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4.2.3.1数据来源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本项目地下水环境现状调查数据委托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进行现场监测，监测时间202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ascii="Times New Roman" w:hAnsi="Times New Roman" w:eastAsia="宋体"/>
          <w:color w:val="auto"/>
          <w:highlight w:val="none"/>
        </w:rPr>
        <w:t>1</w:t>
      </w:r>
      <w:r>
        <w:rPr>
          <w:rFonts w:hint="eastAsia" w:ascii="Times New Roman" w:hAnsi="Times New Roman" w:eastAsia="宋体"/>
          <w:color w:val="auto"/>
          <w:highlight w:val="none"/>
        </w:rPr>
        <w:t>2日。监测点基本情况见表4.2-6，地下水监测点相对于本项目的位置见附图4.2-</w:t>
      </w:r>
      <w:r>
        <w:rPr>
          <w:rFonts w:hint="eastAsia"/>
          <w:color w:val="auto"/>
          <w:highlight w:val="none"/>
          <w:lang w:val="en-US" w:eastAsia="zh-CN"/>
        </w:rPr>
        <w:t>1</w:t>
      </w:r>
      <w:r>
        <w:rPr>
          <w:rFonts w:hint="eastAsia" w:ascii="Times New Roman" w:hAnsi="Times New Roman" w:eastAsia="宋体"/>
          <w:color w:val="auto"/>
          <w:highlight w:val="none"/>
        </w:rPr>
        <w:t>。</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表4.2-6地下水环境质量现状监测点位表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2"/>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7"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w:t>
            </w:r>
          </w:p>
        </w:tc>
        <w:tc>
          <w:tcPr>
            <w:tcW w:w="259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1</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：项目区内地下水井出口</w:t>
            </w:r>
          </w:p>
        </w:tc>
        <w:tc>
          <w:tcPr>
            <w:tcW w:w="259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18</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48.78</w:t>
            </w:r>
            <w:r>
              <w:rPr>
                <w:rFonts w:hint="default"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27.28</w:t>
            </w:r>
            <w:r>
              <w:rPr>
                <w:rFonts w:hint="default" w:ascii="Times New Roman" w:hAnsi="Times New Roman" w:eastAsia="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2</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：项目区上游地下水井</w:t>
            </w:r>
          </w:p>
        </w:tc>
        <w:tc>
          <w:tcPr>
            <w:tcW w:w="259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54.77370</w:t>
            </w:r>
            <w:r>
              <w:rPr>
                <w:rFonts w:hint="default"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5.69510</w:t>
            </w:r>
            <w:r>
              <w:rPr>
                <w:rFonts w:hint="default" w:ascii="Times New Roman" w:hAnsi="Times New Roman" w:eastAsia="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3</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：项目区下游地下水井</w:t>
            </w:r>
          </w:p>
        </w:tc>
        <w:tc>
          <w:tcPr>
            <w:tcW w:w="259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54.77370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5.69510</w:t>
            </w:r>
            <w:r>
              <w:rPr>
                <w:rFonts w:hint="default" w:ascii="Times New Roman" w:hAnsi="Times New Roman" w:eastAsia="宋体"/>
                <w:color w:val="auto"/>
                <w:sz w:val="21"/>
                <w:szCs w:val="21"/>
                <w:highlight w:val="none"/>
                <w:lang w:val="en-US" w:eastAsia="zh-CN"/>
              </w:rPr>
              <w:t>″</w:t>
            </w:r>
          </w:p>
        </w:tc>
      </w:tr>
    </w:tbl>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4.2.3.2监测项目及分析方法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监测项目：pH（无量纲）、耗氧量、阴离子表面活性剂、氨氮、挥发酚、总硬度、硝酸盐氮、硫酸盐、氟化物、氰化物、总大肠菌群、溶解性总固体、六价铬、汞、砷、硒、铜、铅、锌、镉、铁、锰等。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本次环评水质现状监测、采样及分析方法按《地下水环境监测技术规范》（HJ/T164-2004）、《环境水质监测质量保证手册》及《水和废水监测分析方法》有关规定和要求执行。</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4.2.3.3评价标准及方法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ascii="Times New Roman" w:hAnsi="Times New Roman" w:eastAsia="宋体"/>
          <w:color w:val="auto"/>
          <w:highlight w:val="none"/>
        </w:rPr>
        <w:t>评价标准</w:t>
      </w:r>
    </w:p>
    <w:p>
      <w:pPr>
        <w:ind w:firstLine="480"/>
        <w:rPr>
          <w:rFonts w:ascii="Times New Roman" w:hAnsi="Times New Roman" w:eastAsia="宋体"/>
          <w:color w:val="auto"/>
          <w:highlight w:val="none"/>
        </w:rPr>
      </w:pPr>
      <w:r>
        <w:rPr>
          <w:rFonts w:ascii="Times New Roman" w:hAnsi="Times New Roman" w:eastAsia="宋体"/>
          <w:color w:val="auto"/>
          <w:highlight w:val="none"/>
        </w:rPr>
        <w:t>采用《地下水质量标准》（GB</w:t>
      </w:r>
      <w:r>
        <w:rPr>
          <w:rFonts w:hint="eastAsia" w:ascii="Times New Roman" w:hAnsi="Times New Roman" w:eastAsia="宋体"/>
          <w:color w:val="auto"/>
          <w:highlight w:val="none"/>
        </w:rPr>
        <w:t>/</w:t>
      </w:r>
      <w:r>
        <w:rPr>
          <w:rFonts w:ascii="Times New Roman" w:hAnsi="Times New Roman" w:eastAsia="宋体"/>
          <w:color w:val="auto"/>
          <w:highlight w:val="none"/>
        </w:rPr>
        <w:t>T14848-2017）</w:t>
      </w:r>
      <w:r>
        <w:rPr>
          <w:rFonts w:hint="eastAsia" w:ascii="Times New Roman" w:hAnsi="Times New Roman" w:eastAsia="宋体" w:cs="宋体"/>
          <w:color w:val="auto"/>
          <w:highlight w:val="none"/>
        </w:rPr>
        <w:t>Ⅲ</w:t>
      </w:r>
      <w:r>
        <w:rPr>
          <w:rFonts w:ascii="Times New Roman" w:hAnsi="Times New Roman" w:eastAsia="宋体"/>
          <w:color w:val="auto"/>
          <w:highlight w:val="none"/>
        </w:rPr>
        <w:t>类标准对各监测点位地下水水质进行评价。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采用单项标准指数法对地下水进行评价。</w:t>
      </w:r>
    </w:p>
    <w:p>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29" o:spt="75" type="#_x0000_t75" style="height:38.4pt;width:39.85pt;" o:ole="t" filled="f" o:preferrelative="t" stroked="f" coordsize="21600,21600">
            <v:path/>
            <v:fill on="f" focussize="0,0"/>
            <v:stroke on="f" joinstyle="miter"/>
            <v:imagedata r:id="rId41" o:title=""/>
            <o:lock v:ext="edit" aspectratio="t"/>
            <w10:wrap type="none"/>
            <w10:anchorlock/>
          </v:shape>
          <o:OLEObject Type="Embed" ProgID="Equation.AxMath" ShapeID="_x0000_i1029" DrawAspect="Content" ObjectID="_1468075729" r:id="rId40">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——第i个水质因子的标准指数，无量纲；</w:t>
      </w:r>
    </w:p>
    <w:p>
      <w:pPr>
        <w:ind w:firstLine="1320" w:firstLineChars="55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——第i个水质因子的监测浓度值，mg/L；</w:t>
      </w:r>
    </w:p>
    <w:p>
      <w:pPr>
        <w:ind w:firstLine="1320" w:firstLineChars="55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si</w:t>
      </w:r>
      <w:r>
        <w:rPr>
          <w:rFonts w:hint="eastAsia" w:ascii="Times New Roman" w:hAnsi="Times New Roman" w:eastAsia="宋体"/>
          <w:color w:val="auto"/>
          <w:highlight w:val="none"/>
        </w:rPr>
        <w:t>——第i个水质因子的标准浓度值，mg/L。</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pH的标准指数为：</w:t>
      </w:r>
    </w:p>
    <w:p>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0" o:spt="75" type="#_x0000_t75" style="height:39.85pt;width:159.35pt;" o:ole="t" filled="f" o:preferrelative="t" stroked="f" coordsize="21600,21600">
            <v:path/>
            <v:fill on="f" focussize="0,0"/>
            <v:stroke on="f" joinstyle="miter"/>
            <v:imagedata r:id="rId43" o:title=""/>
            <o:lock v:ext="edit" aspectratio="t"/>
            <w10:wrap type="none"/>
            <w10:anchorlock/>
          </v:shape>
          <o:OLEObject Type="Embed" ProgID="Equation.AxMath" ShapeID="_x0000_i1030" DrawAspect="Content" ObjectID="_1468075730" r:id="rId42">
            <o:LockedField>false</o:LockedField>
          </o:OLEObject>
        </w:object>
      </w:r>
    </w:p>
    <w:p>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1" o:spt="75" type="#_x0000_t75" style="height:38.9pt;width:156.95pt;" o:ole="t" filled="f" o:preferrelative="t" stroked="f" coordsize="21600,21600">
            <v:path/>
            <v:fill on="f" focussize="0,0"/>
            <v:stroke on="f" joinstyle="miter"/>
            <v:imagedata r:id="rId45" o:title=""/>
            <o:lock v:ext="edit" aspectratio="t"/>
            <w10:wrap type="none"/>
            <w10:anchorlock/>
          </v:shape>
          <o:OLEObject Type="Embed" ProgID="Equation.AxMath" ShapeID="_x0000_i1031" DrawAspect="Content" ObjectID="_1468075731" r:id="rId44">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——pH的标准指数，无量纲；</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pH—pH监测值；</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w:t>
      </w:r>
      <w:r>
        <w:rPr>
          <w:rFonts w:hint="eastAsia" w:ascii="Times New Roman" w:hAnsi="Times New Roman" w:eastAsia="宋体"/>
          <w:color w:val="auto"/>
          <w:highlight w:val="none"/>
          <w:vertAlign w:val="subscript"/>
        </w:rPr>
        <w:t>su</w:t>
      </w:r>
      <w:r>
        <w:rPr>
          <w:rFonts w:hint="eastAsia" w:ascii="Times New Roman" w:hAnsi="Times New Roman" w:eastAsia="宋体"/>
          <w:color w:val="auto"/>
          <w:highlight w:val="none"/>
        </w:rPr>
        <w:t>——标准中pH的上限值；</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w:t>
      </w:r>
      <w:r>
        <w:rPr>
          <w:rFonts w:hint="eastAsia" w:ascii="Times New Roman" w:hAnsi="Times New Roman" w:eastAsia="宋体"/>
          <w:color w:val="auto"/>
          <w:highlight w:val="none"/>
          <w:vertAlign w:val="subscript"/>
        </w:rPr>
        <w:t>sd</w:t>
      </w:r>
      <w:r>
        <w:rPr>
          <w:rFonts w:hint="eastAsia" w:ascii="Times New Roman" w:hAnsi="Times New Roman" w:eastAsia="宋体"/>
          <w:color w:val="auto"/>
          <w:highlight w:val="none"/>
        </w:rPr>
        <w:t>——标准中pH的下限值；</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＞1时，表明该水质参数超过了规定的水质标准，P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＜1时，说明该水质可以达到规定的水质标准。</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4.2.3.4评价结果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地下水现状评价结果见表4.2-7。</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表4.2-7地下水现状评价结果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763"/>
        <w:gridCol w:w="774"/>
        <w:gridCol w:w="1122"/>
        <w:gridCol w:w="1122"/>
        <w:gridCol w:w="1126"/>
        <w:gridCol w:w="126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restar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序号</w:t>
            </w:r>
          </w:p>
        </w:tc>
        <w:tc>
          <w:tcPr>
            <w:tcW w:w="1034" w:type="pct"/>
            <w:vMerge w:val="restar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检测项目</w:t>
            </w:r>
          </w:p>
        </w:tc>
        <w:tc>
          <w:tcPr>
            <w:tcW w:w="454" w:type="pct"/>
            <w:vMerge w:val="restar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单位</w:t>
            </w:r>
          </w:p>
        </w:tc>
        <w:tc>
          <w:tcPr>
            <w:tcW w:w="1976" w:type="pct"/>
            <w:gridSpan w:val="3"/>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检测结果</w:t>
            </w:r>
          </w:p>
        </w:tc>
        <w:tc>
          <w:tcPr>
            <w:tcW w:w="1210" w:type="pct"/>
            <w:gridSpan w:val="2"/>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1034" w:type="pct"/>
            <w:vMerge w:val="continue"/>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454" w:type="pct"/>
            <w:vMerge w:val="continue"/>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658"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658"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2</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658"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3</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标准限值</w:t>
            </w: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p>
        </w:tc>
        <w:tc>
          <w:tcPr>
            <w:tcW w:w="1034" w:type="pct"/>
            <w:vAlign w:val="center"/>
          </w:tcPr>
          <w:p>
            <w:pPr>
              <w:keepNext w:val="0"/>
              <w:keepLines w:val="0"/>
              <w:pageBreakBefore w:val="0"/>
              <w:widowControl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pH</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000000"/>
                <w:kern w:val="0"/>
                <w:sz w:val="21"/>
                <w:szCs w:val="21"/>
                <w:highlight w:val="none"/>
              </w:rPr>
              <w:t>无量纲</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shd w:val="clear"/>
                <w:lang w:val="en-US" w:eastAsia="zh-CN"/>
              </w:rPr>
              <w:t>7.6</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7.8</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7.7</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000000"/>
                <w:kern w:val="0"/>
                <w:sz w:val="21"/>
                <w:szCs w:val="21"/>
                <w:highlight w:val="none"/>
                <w:lang w:val="en-US" w:eastAsia="zh-CN"/>
              </w:rPr>
              <w:t>6.5~8.5</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4"/>
                <w:highlight w:val="none"/>
                <w:lang w:eastAsia="zh-CN"/>
              </w:rPr>
              <w:t>挥发酚</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0.0003</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0.002</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镉</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0.005</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砷</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shd w:val="clear"/>
                <w:lang w:val="en-US" w:eastAsia="zh-CN"/>
              </w:rPr>
              <w:t>0.6</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0.01</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5</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汞</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0.001</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铅</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10</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0.01</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氨氮</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0.047</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0.071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0.047</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0.50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总硬度</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184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172</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164</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450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9</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硝酸盐氮</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2.74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0.39</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0.49</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10</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亚硝酸盐氮</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color w:val="auto"/>
                <w:sz w:val="21"/>
                <w:szCs w:val="21"/>
                <w:highlight w:val="none"/>
                <w:lang w:val="en-US" w:eastAsia="zh-CN"/>
              </w:rPr>
              <w:t>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color w:val="auto"/>
                <w:sz w:val="21"/>
                <w:szCs w:val="21"/>
                <w:highlight w:val="none"/>
                <w:lang w:val="en-US" w:eastAsia="zh-CN"/>
              </w:rPr>
              <w:t>0.003</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11</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氰化物</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0.004</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0.05</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12</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氟化物</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0.22</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0.24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0.22</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13</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溶解性总固体</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432</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272</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275</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14</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铜</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15</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铁</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0.03</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0.3</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16</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六价铬</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0.004</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0.50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17</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锌</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0.05</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18</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耗氧量（高锰酸钾指数）</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2.0</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1.9</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1.9</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3.0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19</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氯化物</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24</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14</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250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20</w:t>
            </w:r>
          </w:p>
        </w:tc>
        <w:tc>
          <w:tcPr>
            <w:tcW w:w="103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硫酸盐</w:t>
            </w:r>
          </w:p>
        </w:tc>
        <w:tc>
          <w:tcPr>
            <w:tcW w:w="454"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113</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250</w:t>
            </w:r>
            <w:r>
              <w:rPr>
                <w:rFonts w:ascii="Times New Roman" w:hAnsi="Times New Roman" w:eastAsia="宋体"/>
                <w:color w:val="000000"/>
                <w:kern w:val="0"/>
                <w:sz w:val="21"/>
                <w:szCs w:val="21"/>
                <w:highlight w:val="none"/>
              </w:rPr>
              <w:t>mg/L</w:t>
            </w:r>
          </w:p>
        </w:tc>
        <w:tc>
          <w:tcPr>
            <w:tcW w:w="471" w:type="pct"/>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由上表看出，各监测点均满足</w:t>
      </w:r>
      <w:r>
        <w:rPr>
          <w:rFonts w:hint="eastAsia" w:ascii="Times New Roman" w:hAnsi="Times New Roman" w:eastAsia="宋体"/>
          <w:color w:val="auto"/>
          <w:spacing w:val="-2"/>
          <w:szCs w:val="24"/>
          <w:highlight w:val="none"/>
          <w:lang w:val="zh-CN"/>
        </w:rPr>
        <w:t>《地下水质量标准》（GB/T14848-2017）中Ⅲ类标准，地下水环境质量现状良好。</w:t>
      </w:r>
    </w:p>
    <w:p>
      <w:pPr>
        <w:pStyle w:val="5"/>
        <w:rPr>
          <w:rFonts w:ascii="Times New Roman" w:hAnsi="Times New Roman" w:eastAsia="宋体"/>
          <w:color w:val="auto"/>
          <w:highlight w:val="none"/>
        </w:rPr>
      </w:pPr>
      <w:bookmarkStart w:id="170" w:name="_Toc106663489"/>
      <w:r>
        <w:rPr>
          <w:rFonts w:hint="eastAsia" w:ascii="Times New Roman" w:hAnsi="Times New Roman" w:eastAsia="宋体"/>
          <w:color w:val="auto"/>
          <w:highlight w:val="none"/>
        </w:rPr>
        <w:t>4.2.4声环境质量现状调查与评价</w:t>
      </w:r>
      <w:bookmarkEnd w:id="17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本次声环境质量现状评价委托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对项目所在地声环境质量现状进行了监测，监测时间为202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（1）监测点位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本项目在厂址四周设置四个监测点位，噪声监测点位图见附图4.2-</w:t>
      </w:r>
      <w:r>
        <w:rPr>
          <w:rFonts w:hint="eastAsia"/>
          <w:color w:val="auto"/>
          <w:highlight w:val="none"/>
          <w:lang w:val="en-US" w:eastAsia="zh-CN"/>
        </w:rPr>
        <w:t>1</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根据《声环境质量标准》（GB3096-2008）适用区域划分规定，项目所在地区域属于</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类标准适用区，执行《声环境质量标准》（GB3096-2008）中</w:t>
      </w:r>
      <w:r>
        <w:rPr>
          <w:rFonts w:ascii="Times New Roman" w:hAnsi="Times New Roman" w:eastAsia="宋体"/>
          <w:color w:val="auto"/>
          <w:highlight w:val="none"/>
        </w:rPr>
        <w:t>1</w:t>
      </w:r>
      <w:r>
        <w:rPr>
          <w:rFonts w:hint="eastAsia" w:ascii="Times New Roman" w:hAnsi="Times New Roman" w:eastAsia="宋体"/>
          <w:color w:val="auto"/>
          <w:highlight w:val="none"/>
        </w:rPr>
        <w:t>类标准限值，即昼间</w:t>
      </w:r>
      <w:r>
        <w:rPr>
          <w:rFonts w:hint="eastAsia" w:ascii="Times New Roman" w:hAnsi="Times New Roman" w:eastAsia="宋体"/>
          <w:color w:val="auto"/>
          <w:highlight w:val="none"/>
          <w:lang w:val="en-US" w:eastAsia="zh-CN"/>
        </w:rPr>
        <w:t>60</w:t>
      </w:r>
      <w:r>
        <w:rPr>
          <w:rFonts w:hint="eastAsia" w:ascii="Times New Roman" w:hAnsi="Times New Roman" w:eastAsia="宋体"/>
          <w:color w:val="auto"/>
          <w:highlight w:val="none"/>
        </w:rPr>
        <w:t>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，夜间</w:t>
      </w:r>
      <w:r>
        <w:rPr>
          <w:rFonts w:hint="eastAsia" w:ascii="Times New Roman" w:hAnsi="Times New Roman" w:eastAsia="宋体"/>
          <w:color w:val="auto"/>
          <w:highlight w:val="none"/>
          <w:lang w:val="en-US" w:eastAsia="zh-CN"/>
        </w:rPr>
        <w:t>50</w:t>
      </w:r>
      <w:r>
        <w:rPr>
          <w:rFonts w:hint="eastAsia" w:ascii="Times New Roman" w:hAnsi="Times New Roman" w:eastAsia="宋体"/>
          <w:color w:val="auto"/>
          <w:highlight w:val="none"/>
        </w:rPr>
        <w:t>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（3）监测数据及评价结果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项目区噪声监测结果见表4.2-8。</w:t>
      </w:r>
    </w:p>
    <w:p>
      <w:pPr>
        <w:pStyle w:val="1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表4.2-8噪声监测结果单位：dB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99"/>
        <w:gridCol w:w="1064"/>
        <w:gridCol w:w="800"/>
        <w:gridCol w:w="800"/>
        <w:gridCol w:w="800"/>
        <w:gridCol w:w="1064"/>
        <w:gridCol w:w="80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w:t>
            </w:r>
            <w:r>
              <w:rPr>
                <w:rFonts w:ascii="Times New Roman" w:hAnsi="Times New Roman" w:eastAsia="宋体"/>
                <w:color w:val="auto"/>
                <w:sz w:val="21"/>
                <w:szCs w:val="21"/>
                <w:highlight w:val="none"/>
              </w:rPr>
              <w:t>点位</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时间</w:t>
            </w: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测量值</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标准</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限</w:t>
            </w:r>
            <w:r>
              <w:rPr>
                <w:rFonts w:ascii="Times New Roman" w:hAnsi="Times New Roman" w:eastAsia="宋体"/>
                <w:color w:val="auto"/>
                <w:sz w:val="21"/>
                <w:szCs w:val="21"/>
                <w:highlight w:val="none"/>
              </w:rPr>
              <w:t>值</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评价</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结果</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时间</w:t>
            </w: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测</w:t>
            </w:r>
            <w:r>
              <w:rPr>
                <w:rFonts w:hint="eastAsia" w:ascii="Times New Roman" w:hAnsi="Times New Roman" w:eastAsia="宋体"/>
                <w:color w:val="auto"/>
                <w:sz w:val="21"/>
                <w:szCs w:val="21"/>
                <w:highlight w:val="none"/>
              </w:rPr>
              <w:t>量</w:t>
            </w:r>
            <w:r>
              <w:rPr>
                <w:rFonts w:ascii="Times New Roman" w:hAnsi="Times New Roman" w:eastAsia="宋体"/>
                <w:color w:val="auto"/>
                <w:sz w:val="21"/>
                <w:szCs w:val="21"/>
                <w:highlight w:val="none"/>
              </w:rPr>
              <w:t>值</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标准</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限</w:t>
            </w:r>
            <w:r>
              <w:rPr>
                <w:rFonts w:ascii="Times New Roman" w:hAnsi="Times New Roman" w:eastAsia="宋体"/>
                <w:color w:val="auto"/>
                <w:sz w:val="21"/>
                <w:szCs w:val="21"/>
                <w:highlight w:val="none"/>
              </w:rPr>
              <w:t>值</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评价</w:t>
            </w:r>
          </w:p>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侧</w:t>
            </w:r>
          </w:p>
        </w:tc>
        <w:tc>
          <w:tcPr>
            <w:tcW w:w="469" w:type="pct"/>
            <w:vMerge w:val="restar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624" w:type="pc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42</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c>
          <w:tcPr>
            <w:tcW w:w="469" w:type="pct"/>
            <w:vMerge w:val="restar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夜间</w:t>
            </w: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39</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侧</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43</w:t>
            </w:r>
          </w:p>
        </w:tc>
        <w:tc>
          <w:tcPr>
            <w:tcW w:w="469" w:type="pct"/>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w:t>
            </w:r>
          </w:p>
        </w:tc>
        <w:tc>
          <w:tcPr>
            <w:tcW w:w="469" w:type="pct"/>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西</w:t>
            </w:r>
            <w:r>
              <w:rPr>
                <w:rFonts w:hint="eastAsia" w:ascii="Times New Roman" w:hAnsi="Times New Roman" w:eastAsia="宋体"/>
                <w:color w:val="auto"/>
                <w:sz w:val="21"/>
                <w:szCs w:val="21"/>
                <w:highlight w:val="none"/>
              </w:rPr>
              <w:t>侧</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42</w:t>
            </w:r>
          </w:p>
        </w:tc>
        <w:tc>
          <w:tcPr>
            <w:tcW w:w="469" w:type="pct"/>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39</w:t>
            </w:r>
          </w:p>
        </w:tc>
        <w:tc>
          <w:tcPr>
            <w:tcW w:w="469" w:type="pct"/>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侧</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43</w:t>
            </w:r>
          </w:p>
        </w:tc>
        <w:tc>
          <w:tcPr>
            <w:tcW w:w="469" w:type="pct"/>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w:t>
            </w:r>
          </w:p>
        </w:tc>
        <w:tc>
          <w:tcPr>
            <w:tcW w:w="469" w:type="pct"/>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根据噪声监测结果可知，项目区厂界噪声值较低，厂界四周环境噪声均未超过《声环境质量标准》（GB3096-2008）中</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类标准的限值，均能达到声环境质量标准的要求。</w:t>
      </w:r>
    </w:p>
    <w:p>
      <w:pPr>
        <w:pStyle w:val="5"/>
        <w:rPr>
          <w:rFonts w:ascii="Times New Roman" w:hAnsi="Times New Roman" w:eastAsia="宋体"/>
          <w:color w:val="auto"/>
          <w:highlight w:val="none"/>
        </w:rPr>
      </w:pPr>
      <w:bookmarkStart w:id="171" w:name="_Toc106663490"/>
      <w:r>
        <w:rPr>
          <w:rFonts w:hint="eastAsia" w:ascii="Times New Roman" w:hAnsi="Times New Roman" w:eastAsia="宋体"/>
          <w:color w:val="auto"/>
          <w:highlight w:val="none"/>
        </w:rPr>
        <w:t>4.2.5土壤环境质量现状调查与评价</w:t>
      </w:r>
      <w:bookmarkEnd w:id="17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本次土壤环境质量现状监测委托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对项目区土壤环境进行监测，监测时间为202</w:t>
      </w:r>
      <w:r>
        <w:rPr>
          <w:rFonts w:hint="eastAsia"/>
          <w:color w:val="auto"/>
          <w:highlight w:val="none"/>
          <w:lang w:val="en-US" w:eastAsia="zh-CN"/>
        </w:rPr>
        <w:t>3</w:t>
      </w:r>
      <w:r>
        <w:rPr>
          <w:rFonts w:hint="eastAsia" w:ascii="Times New Roman" w:hAnsi="Times New Roman" w:eastAsia="宋体"/>
          <w:color w:val="auto"/>
          <w:highlight w:val="none"/>
        </w:rPr>
        <w:t>年</w:t>
      </w:r>
      <w:r>
        <w:rPr>
          <w:rFonts w:hint="eastAsia"/>
          <w:color w:val="auto"/>
          <w:highlight w:val="none"/>
          <w:lang w:val="en-US" w:eastAsia="zh-CN"/>
        </w:rPr>
        <w:t>7</w:t>
      </w:r>
      <w:r>
        <w:rPr>
          <w:rFonts w:hint="eastAsia" w:ascii="Times New Roman" w:hAnsi="Times New Roman" w:eastAsia="宋体"/>
          <w:color w:val="auto"/>
          <w:highlight w:val="none"/>
        </w:rPr>
        <w:t>月</w:t>
      </w:r>
      <w:r>
        <w:rPr>
          <w:rFonts w:hint="eastAsia"/>
          <w:color w:val="auto"/>
          <w:highlight w:val="none"/>
          <w:lang w:val="en-US" w:eastAsia="zh-CN"/>
        </w:rPr>
        <w:t>7</w:t>
      </w:r>
      <w:r>
        <w:rPr>
          <w:rFonts w:hint="eastAsia" w:ascii="Times New Roman" w:hAnsi="Times New Roman" w:eastAsia="宋体"/>
          <w:color w:val="auto"/>
          <w:highlight w:val="none"/>
        </w:rPr>
        <w:t>日。</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（1）监测布点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根据《环境影响评价技术导则土壤环境（试行）》（HJ964-2018），本次土壤现状监测在占地范围内布设三个表层样点。监测点位信息见表4.2-9，监测点位图见附图4.2-</w:t>
      </w:r>
      <w:r>
        <w:rPr>
          <w:rFonts w:hint="eastAsia"/>
          <w:color w:val="auto"/>
          <w:highlight w:val="none"/>
          <w:lang w:val="en-US" w:eastAsia="zh-CN"/>
        </w:rPr>
        <w:t>1</w:t>
      </w:r>
      <w:r>
        <w:rPr>
          <w:rFonts w:hint="eastAsia" w:ascii="Times New Roman" w:hAnsi="Times New Roman" w:eastAsia="宋体"/>
          <w:color w:val="auto"/>
          <w:highlight w:val="none"/>
        </w:rPr>
        <w:t>。</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表4.2-9土壤现状监测信息一览表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857"/>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监测点位</w:t>
            </w:r>
          </w:p>
        </w:tc>
        <w:tc>
          <w:tcPr>
            <w:tcW w:w="226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编号</w:t>
            </w:r>
          </w:p>
        </w:tc>
        <w:tc>
          <w:tcPr>
            <w:tcW w:w="184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restar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项目区内</w:t>
            </w:r>
          </w:p>
        </w:tc>
        <w:tc>
          <w:tcPr>
            <w:tcW w:w="226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1</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：项目区南侧（表层样：0~0.2m）</w:t>
            </w:r>
          </w:p>
        </w:tc>
        <w:tc>
          <w:tcPr>
            <w:tcW w:w="184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46.56</w:t>
            </w:r>
            <w:r>
              <w:rPr>
                <w:rFonts w:hint="default" w:ascii="Times New Roman" w:hAnsi="Times New Roman" w:eastAsia="宋体"/>
                <w:color w:val="auto"/>
                <w:sz w:val="21"/>
                <w:szCs w:val="21"/>
                <w:highlight w:val="none"/>
                <w:lang w:val="en-US" w:eastAsia="zh-CN"/>
              </w:rPr>
              <w:t>″</w:t>
            </w:r>
            <w:r>
              <w:rPr>
                <w:rFonts w:ascii="Times New Roman" w:hAnsi="Times New Roman" w:eastAsia="宋体"/>
                <w:color w:val="auto"/>
                <w:sz w:val="21"/>
                <w:szCs w:val="21"/>
                <w:highlight w:val="none"/>
              </w:rPr>
              <w:t>E，</w:t>
            </w:r>
            <w:r>
              <w:rPr>
                <w:rFonts w:hint="eastAsia" w:ascii="Times New Roman" w:hAnsi="Times New Roman" w:eastAsia="宋体"/>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54.42</w:t>
            </w:r>
            <w:r>
              <w:rPr>
                <w:rFonts w:hint="default" w:ascii="Times New Roman" w:hAnsi="Times New Roman" w:eastAsia="宋体"/>
                <w:color w:val="auto"/>
                <w:sz w:val="21"/>
                <w:szCs w:val="21"/>
                <w:highlight w:val="none"/>
                <w:lang w:val="en-US" w:eastAsia="zh-CN"/>
              </w:rPr>
              <w:t>″</w:t>
            </w:r>
            <w:r>
              <w:rPr>
                <w:rFonts w:ascii="Times New Roman" w:hAnsi="Times New Roman" w:eastAsia="宋体"/>
                <w:color w:val="auto"/>
                <w:sz w:val="21"/>
                <w:szCs w:val="21"/>
                <w:highlight w:val="non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26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：项目区中间（表层样：0~0.2m）</w:t>
            </w:r>
          </w:p>
        </w:tc>
        <w:tc>
          <w:tcPr>
            <w:tcW w:w="184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6°53′7.101″E，</w:t>
            </w:r>
            <w:r>
              <w:rPr>
                <w:rFonts w:hint="eastAsia" w:ascii="Times New Roman" w:hAnsi="Times New Roman" w:eastAsia="宋体"/>
                <w:color w:val="auto"/>
                <w:sz w:val="21"/>
                <w:szCs w:val="21"/>
                <w:highlight w:val="none"/>
              </w:rPr>
              <w:t>44</w:t>
            </w:r>
            <w:r>
              <w:rPr>
                <w:rFonts w:ascii="Times New Roman" w:hAnsi="Times New Roman" w:eastAsia="宋体"/>
                <w:color w:val="auto"/>
                <w:sz w:val="21"/>
                <w:szCs w:val="21"/>
                <w:highlight w:val="none"/>
              </w:rPr>
              <w:t>°22′7.992″N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pPr>
              <w:spacing w:line="240" w:lineRule="auto"/>
              <w:ind w:firstLine="0" w:firstLineChars="0"/>
              <w:jc w:val="center"/>
              <w:rPr>
                <w:rFonts w:ascii="Times New Roman" w:hAnsi="Times New Roman" w:eastAsia="宋体"/>
                <w:color w:val="auto"/>
                <w:sz w:val="21"/>
                <w:szCs w:val="21"/>
                <w:highlight w:val="none"/>
              </w:rPr>
            </w:pPr>
          </w:p>
        </w:tc>
        <w:tc>
          <w:tcPr>
            <w:tcW w:w="2263"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3</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：项目区北侧（表层样：0~0.2m）</w:t>
            </w:r>
          </w:p>
        </w:tc>
        <w:tc>
          <w:tcPr>
            <w:tcW w:w="1842" w:type="pct"/>
            <w:vAlign w:val="center"/>
          </w:tcPr>
          <w:p>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6°53′5.825″E，</w:t>
            </w:r>
            <w:r>
              <w:rPr>
                <w:rFonts w:hint="eastAsia" w:ascii="Times New Roman" w:hAnsi="Times New Roman" w:eastAsia="宋体"/>
                <w:color w:val="auto"/>
                <w:sz w:val="21"/>
                <w:szCs w:val="21"/>
                <w:highlight w:val="none"/>
              </w:rPr>
              <w:t>44</w:t>
            </w:r>
            <w:r>
              <w:rPr>
                <w:rFonts w:ascii="Times New Roman" w:hAnsi="Times New Roman" w:eastAsia="宋体"/>
                <w:color w:val="auto"/>
                <w:sz w:val="21"/>
                <w:szCs w:val="21"/>
                <w:highlight w:val="none"/>
              </w:rPr>
              <w:t>°22′10.179″N</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（2）监测项目</w:t>
      </w:r>
    </w:p>
    <w:p>
      <w:pPr>
        <w:ind w:firstLine="480"/>
        <w:rPr>
          <w:rFonts w:ascii="Times New Roman" w:hAnsi="Times New Roman" w:eastAsia="宋体"/>
          <w:color w:val="auto"/>
          <w:highlight w:val="none"/>
        </w:rPr>
      </w:pPr>
      <w:r>
        <w:rPr>
          <w:rFonts w:hint="eastAsia" w:ascii="Times New Roman" w:hAnsi="Times New Roman" w:eastAsia="宋体" w:cs="Times New Roman"/>
          <w:bCs/>
          <w:color w:val="auto"/>
          <w:kern w:val="0"/>
          <w:szCs w:val="24"/>
          <w:highlight w:val="none"/>
        </w:rPr>
        <w:t>镉、汞、砷、铅、</w:t>
      </w:r>
      <w:r>
        <w:rPr>
          <w:rFonts w:hint="eastAsia" w:ascii="Times New Roman" w:hAnsi="Times New Roman" w:eastAsia="宋体" w:cs="Times New Roman"/>
          <w:bCs/>
          <w:color w:val="auto"/>
          <w:kern w:val="0"/>
          <w:szCs w:val="24"/>
          <w:highlight w:val="none"/>
          <w:lang w:eastAsia="zh-CN"/>
        </w:rPr>
        <w:t>六价</w:t>
      </w:r>
      <w:r>
        <w:rPr>
          <w:rFonts w:hint="eastAsia" w:ascii="Times New Roman" w:hAnsi="Times New Roman" w:eastAsia="宋体" w:cs="Times New Roman"/>
          <w:bCs/>
          <w:color w:val="auto"/>
          <w:kern w:val="0"/>
          <w:szCs w:val="24"/>
          <w:highlight w:val="none"/>
        </w:rPr>
        <w:t>铬、铜、镍、</w:t>
      </w:r>
      <w:r>
        <w:rPr>
          <w:rFonts w:hint="eastAsia" w:ascii="Times New Roman" w:hAnsi="Times New Roman" w:eastAsia="宋体" w:cs="Times New Roman"/>
          <w:bCs/>
          <w:color w:val="auto"/>
          <w:kern w:val="0"/>
          <w:szCs w:val="24"/>
          <w:highlight w:val="none"/>
          <w:lang w:eastAsia="zh-CN"/>
        </w:rPr>
        <w:t>四氯化碳、氯仿、氯甲烷、1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1-二氯乙烷、1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1-二氯乙烯、顺-1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2-二氯乙烯、反-1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2-二氯乙烯、二氯甲烷、1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2-四氯乙烷、1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2-四氯乙烷、四氯乙烯、1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1-三氯乙烷、1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2-三氯乙烷、三氯乙烯、1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3-三氯丙烷、氯乙烯、苯、氯苯、1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4-二氯苯、乙苯、苯乙烯、甲苯、间二甲苯+对二甲苯、邻二甲苯、硝基苯、苯胺、2-氯苯酚、苯并[a]蒽、苯并[a]芘、苯并[b]荧蒽、苯并[k]荧蒽、䓛、二苯并[a</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h]蒽、茚并[1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3-cd]芘、萘。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本次土壤环境质量评价采用《土壤环境质量农用地土壤污染风险管控标准》（试行）（GB</w:t>
      </w:r>
      <w:r>
        <w:rPr>
          <w:rFonts w:ascii="Times New Roman" w:hAnsi="Times New Roman" w:eastAsia="宋体"/>
          <w:color w:val="auto"/>
          <w:highlight w:val="none"/>
        </w:rPr>
        <w:t>15618</w:t>
      </w:r>
      <w:r>
        <w:rPr>
          <w:rFonts w:hint="eastAsia" w:ascii="Times New Roman" w:hAnsi="Times New Roman" w:eastAsia="宋体"/>
          <w:color w:val="auto"/>
          <w:highlight w:val="none"/>
        </w:rPr>
        <w:t>-2018）中农用地土壤污染风险筛选值、风险管理值。</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（4）监测数据及评价结果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监测数据及评价结果见表4.2-10。</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表4.2-10土壤环境质量现状监测结果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64"/>
        <w:gridCol w:w="1235"/>
        <w:gridCol w:w="1114"/>
        <w:gridCol w:w="1093"/>
        <w:gridCol w:w="1105"/>
        <w:gridCol w:w="121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采样点位</w:t>
            </w:r>
          </w:p>
        </w:tc>
        <w:tc>
          <w:tcPr>
            <w:tcW w:w="74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监测项目</w:t>
            </w:r>
          </w:p>
        </w:tc>
        <w:tc>
          <w:tcPr>
            <w:tcW w:w="72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单位</w:t>
            </w:r>
          </w:p>
        </w:tc>
        <w:tc>
          <w:tcPr>
            <w:tcW w:w="1942" w:type="pct"/>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检测结果</w:t>
            </w:r>
          </w:p>
        </w:tc>
        <w:tc>
          <w:tcPr>
            <w:tcW w:w="71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标准限值（</w:t>
            </w:r>
            <w:r>
              <w:rPr>
                <w:rFonts w:ascii="Times New Roman" w:hAnsi="Times New Roman" w:eastAsia="宋体"/>
                <w:color w:val="auto"/>
                <w:kern w:val="0"/>
                <w:sz w:val="21"/>
                <w:szCs w:val="21"/>
                <w:highlight w:val="none"/>
              </w:rPr>
              <w:t>mg/kg</w:t>
            </w:r>
            <w:r>
              <w:rPr>
                <w:rFonts w:hint="eastAsia" w:ascii="Times New Roman" w:hAnsi="Times New Roman" w:eastAsia="宋体"/>
                <w:color w:val="auto"/>
                <w:kern w:val="0"/>
                <w:sz w:val="21"/>
                <w:szCs w:val="21"/>
                <w:highlight w:val="none"/>
              </w:rPr>
              <w:t>）</w:t>
            </w:r>
          </w:p>
        </w:tc>
        <w:tc>
          <w:tcPr>
            <w:tcW w:w="502"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2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hint="eastAsia" w:ascii="Times New Roman" w:hAnsi="Times New Roman" w:eastAsia="宋体"/>
                <w:color w:val="auto"/>
                <w:kern w:val="0"/>
                <w:sz w:val="21"/>
                <w:szCs w:val="21"/>
                <w:highlight w:val="none"/>
              </w:rPr>
              <w:t>#</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2</w:t>
            </w:r>
            <w:r>
              <w:rPr>
                <w:rFonts w:hint="eastAsia" w:ascii="Times New Roman" w:hAnsi="Times New Roman" w:eastAsia="宋体"/>
                <w:color w:val="auto"/>
                <w:kern w:val="0"/>
                <w:sz w:val="21"/>
                <w:szCs w:val="21"/>
                <w:highlight w:val="none"/>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3</w:t>
            </w:r>
            <w:r>
              <w:rPr>
                <w:rFonts w:hint="eastAsia" w:ascii="Times New Roman" w:hAnsi="Times New Roman" w:eastAsia="宋体"/>
                <w:color w:val="auto"/>
                <w:kern w:val="0"/>
                <w:sz w:val="21"/>
                <w:szCs w:val="21"/>
                <w:highlight w:val="none"/>
              </w:rPr>
              <w:t>#</w:t>
            </w:r>
          </w:p>
        </w:tc>
        <w:tc>
          <w:tcPr>
            <w:tcW w:w="71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502"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北侧</w:t>
            </w:r>
            <w:r>
              <w:rPr>
                <w:rFonts w:hint="eastAsia"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2</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中间</w:t>
            </w:r>
            <w:r>
              <w:rPr>
                <w:rFonts w:hint="eastAsia"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3</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南</w:t>
            </w:r>
            <w:r>
              <w:rPr>
                <w:rFonts w:hint="eastAsia" w:ascii="Times New Roman" w:hAnsi="Times New Roman" w:eastAsia="宋体"/>
                <w:color w:val="auto"/>
                <w:kern w:val="0"/>
                <w:sz w:val="21"/>
                <w:szCs w:val="21"/>
                <w:highlight w:val="none"/>
              </w:rPr>
              <w:t>、</w:t>
            </w: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氯乙烯</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1.5</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16"/>
                <w:highlight w:val="none"/>
                <w:lang w:val="en-US" w:eastAsia="zh-CN"/>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0.43</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1-二氯乙烯</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0.8</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66</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二氯甲烷</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2.6</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616</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反-1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2-二氯乙烯</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54</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1-二氯乙烷</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1.6</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9</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顺-1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2-二氯乙烯</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596</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氯仿</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1.5</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0.9</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1-三氯乙烷</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1.1</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840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四氯化碳</w:t>
            </w:r>
          </w:p>
        </w:tc>
        <w:tc>
          <w:tcPr>
            <w:tcW w:w="724"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2.1</w:t>
            </w:r>
          </w:p>
        </w:tc>
        <w:tc>
          <w:tcPr>
            <w:tcW w:w="641"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2-二氯乙烷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1.3</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6</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4</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三氯乙烯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1.9</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甲苯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&lt;2.0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1200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2-三氯乙烷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1.4</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四氯乙烯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0.8</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53</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氯苯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270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2-四氯乙烷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乙苯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1.2</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间</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对-二甲苯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3.6</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570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邻-二甲苯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1.3</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640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苯乙烯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1.6</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1290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2-四氯乙烷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3-三氯丙烷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0.5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4-二氯苯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1.2</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560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氯甲烷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lang w:val="en-US" w:eastAsia="zh-CN"/>
              </w:rPr>
              <w:t>.0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37</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硝基苯</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0.09</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76</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苯胺</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&lt;3.78</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260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2-氯</w:t>
            </w:r>
            <w:r>
              <w:rPr>
                <w:rFonts w:hint="eastAsia" w:ascii="Times New Roman" w:hAnsi="Times New Roman" w:eastAsia="宋体" w:cs="Times New Roman"/>
                <w:color w:val="auto"/>
                <w:kern w:val="0"/>
                <w:sz w:val="21"/>
                <w:szCs w:val="21"/>
                <w:highlight w:val="none"/>
                <w:lang w:val="en-US" w:eastAsia="zh-CN"/>
              </w:rPr>
              <w:t>苯</w:t>
            </w:r>
            <w:r>
              <w:rPr>
                <w:rFonts w:hint="default" w:ascii="Times New Roman" w:hAnsi="Times New Roman" w:eastAsia="宋体" w:cs="Times New Roman"/>
                <w:color w:val="auto"/>
                <w:kern w:val="0"/>
                <w:sz w:val="21"/>
                <w:szCs w:val="21"/>
                <w:highlight w:val="none"/>
                <w:lang w:val="en-US" w:eastAsia="zh-CN"/>
              </w:rPr>
              <w:t>酚</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&lt;0.051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2256</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苯并[a]蒽</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苯并[a]芘</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苯并[b]荧蒽</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0.2</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苯并[k]荧蒽</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151</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䓛</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1293</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二苯并[a</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h]蒽</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茚并[1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3-cd]芘</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&lt;0.1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萘</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09</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70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砷</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5.53</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6.38</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6.30</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铅</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24</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21</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25</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800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汞</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0.089</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0.114</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0.124</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38</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镉</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0.10</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0.11</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0.10</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65</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铜</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21</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22</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25</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18000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镍</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24</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23</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23</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900</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六价</w:t>
            </w:r>
            <w:r>
              <w:rPr>
                <w:rFonts w:hint="eastAsia" w:ascii="Times New Roman" w:hAnsi="Times New Roman" w:eastAsia="宋体"/>
                <w:color w:val="auto"/>
                <w:kern w:val="0"/>
                <w:sz w:val="21"/>
                <w:szCs w:val="21"/>
                <w:highlight w:val="none"/>
                <w:lang w:eastAsia="zh-CN"/>
              </w:rPr>
              <w:t>铬</w:t>
            </w:r>
          </w:p>
        </w:tc>
        <w:tc>
          <w:tcPr>
            <w:tcW w:w="72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0.8</w:t>
            </w:r>
          </w:p>
        </w:tc>
        <w:tc>
          <w:tcPr>
            <w:tcW w:w="64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1.0</w:t>
            </w:r>
          </w:p>
        </w:tc>
        <w:tc>
          <w:tcPr>
            <w:tcW w:w="6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0.9</w:t>
            </w:r>
          </w:p>
        </w:tc>
        <w:tc>
          <w:tcPr>
            <w:tcW w:w="71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5.7</w:t>
            </w:r>
          </w:p>
        </w:tc>
        <w:tc>
          <w:tcPr>
            <w:tcW w:w="50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根据监测结果可知，项目所在区域土壤环境质量满足《土壤环境质量农用地土壤污染风险管控标准》（试行）（GB</w:t>
      </w:r>
      <w:r>
        <w:rPr>
          <w:rFonts w:ascii="Times New Roman" w:hAnsi="Times New Roman" w:eastAsia="宋体"/>
          <w:color w:val="auto"/>
          <w:highlight w:val="none"/>
        </w:rPr>
        <w:t>15618</w:t>
      </w:r>
      <w:r>
        <w:rPr>
          <w:rFonts w:hint="eastAsia" w:ascii="Times New Roman" w:hAnsi="Times New Roman" w:eastAsia="宋体"/>
          <w:color w:val="auto"/>
          <w:highlight w:val="none"/>
        </w:rPr>
        <w:t>-2018）中农用地风险筛选值。</w:t>
      </w:r>
    </w:p>
    <w:p>
      <w:pPr>
        <w:pStyle w:val="5"/>
        <w:rPr>
          <w:rFonts w:ascii="Times New Roman" w:hAnsi="Times New Roman" w:eastAsia="宋体"/>
          <w:color w:val="auto"/>
          <w:highlight w:val="none"/>
        </w:rPr>
      </w:pPr>
      <w:bookmarkStart w:id="172" w:name="_Toc106663491"/>
      <w:r>
        <w:rPr>
          <w:rFonts w:hint="eastAsia" w:ascii="Times New Roman" w:hAnsi="Times New Roman" w:eastAsia="宋体"/>
          <w:color w:val="auto"/>
          <w:highlight w:val="none"/>
        </w:rPr>
        <w:t>4.2.6生态现状调查</w:t>
      </w:r>
      <w:bookmarkEnd w:id="172"/>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（1）生态功能区划</w:t>
      </w:r>
    </w:p>
    <w:p>
      <w:pPr>
        <w:pStyle w:val="155"/>
        <w:ind w:firstLine="480"/>
        <w:rPr>
          <w:rFonts w:ascii="Times New Roman" w:hAnsi="Times New Roman" w:eastAsia="宋体"/>
          <w:color w:val="auto"/>
          <w:highlight w:val="none"/>
        </w:rPr>
      </w:pPr>
      <w:r>
        <w:rPr>
          <w:rFonts w:ascii="Times New Roman" w:hAnsi="Times New Roman" w:eastAsia="宋体"/>
          <w:color w:val="auto"/>
          <w:highlight w:val="none"/>
        </w:rPr>
        <w:t>根据《新疆生态功能区划》，本项目所在区域属于</w:t>
      </w:r>
      <w:r>
        <w:rPr>
          <w:rFonts w:hint="eastAsia"/>
          <w:color w:val="auto"/>
          <w:highlight w:val="none"/>
          <w:lang w:eastAsia="zh-CN"/>
        </w:rPr>
        <w:t>”</w:t>
      </w:r>
      <w:r>
        <w:rPr>
          <w:rFonts w:ascii="Times New Roman" w:hAnsi="Times New Roman" w:eastAsia="宋体"/>
          <w:color w:val="auto"/>
          <w:highlight w:val="none"/>
        </w:rPr>
        <w:t>准噶尔盆地温性荒漠与绿洲农业生态区</w:t>
      </w:r>
      <w:r>
        <w:rPr>
          <w:rFonts w:hint="eastAsia"/>
          <w:color w:val="auto"/>
          <w:highlight w:val="none"/>
          <w:lang w:eastAsia="zh-CN"/>
        </w:rPr>
        <w:t>（</w:t>
      </w:r>
      <w:r>
        <w:rPr>
          <w:rFonts w:ascii="Times New Roman" w:hAnsi="Times New Roman" w:eastAsia="宋体"/>
          <w:color w:val="auto"/>
          <w:highlight w:val="none"/>
        </w:rPr>
        <w:t>Ⅱ</w:t>
      </w:r>
      <w:r>
        <w:rPr>
          <w:rFonts w:hint="eastAsia"/>
          <w:color w:val="auto"/>
          <w:highlight w:val="none"/>
          <w:lang w:eastAsia="zh-CN"/>
        </w:rPr>
        <w:t>）</w:t>
      </w:r>
      <w:r>
        <w:rPr>
          <w:rFonts w:ascii="Times New Roman" w:hAnsi="Times New Roman" w:eastAsia="宋体"/>
          <w:color w:val="auto"/>
          <w:highlight w:val="none"/>
        </w:rPr>
        <w:t>准噶尔盆地南部荒漠绿洲农业生态亚区</w:t>
      </w:r>
      <w:r>
        <w:rPr>
          <w:rFonts w:hint="eastAsia"/>
          <w:color w:val="auto"/>
          <w:highlight w:val="none"/>
          <w:lang w:eastAsia="zh-CN"/>
        </w:rPr>
        <w:t>（</w:t>
      </w:r>
      <w:r>
        <w:rPr>
          <w:rFonts w:ascii="Times New Roman" w:hAnsi="Times New Roman" w:eastAsia="宋体"/>
          <w:color w:val="auto"/>
          <w:highlight w:val="none"/>
        </w:rPr>
        <w:t>Ⅱ3</w:t>
      </w:r>
      <w:r>
        <w:rPr>
          <w:rFonts w:hint="eastAsia"/>
          <w:color w:val="auto"/>
          <w:highlight w:val="none"/>
          <w:lang w:eastAsia="zh-CN"/>
        </w:rPr>
        <w:t>）</w:t>
      </w:r>
      <w:r>
        <w:rPr>
          <w:rFonts w:ascii="Times New Roman" w:hAnsi="Times New Roman" w:eastAsia="宋体"/>
          <w:color w:val="auto"/>
          <w:highlight w:val="none"/>
        </w:rPr>
        <w:t>23古尔班通古特沙漠化敏感及植被保护生态功能区</w:t>
      </w:r>
      <w:r>
        <w:rPr>
          <w:rFonts w:hint="eastAsia"/>
          <w:color w:val="auto"/>
          <w:highlight w:val="none"/>
          <w:lang w:eastAsia="zh-CN"/>
        </w:rPr>
        <w:t>”</w:t>
      </w:r>
      <w:r>
        <w:rPr>
          <w:rFonts w:ascii="Times New Roman" w:hAnsi="Times New Roman" w:eastAsia="宋体"/>
          <w:color w:val="auto"/>
          <w:highlight w:val="none"/>
        </w:rPr>
        <w:t>。该生态功能区的主要生态服务功能、生态敏感因子、主要生态环境问题和主要保护目标见表4.2-1</w:t>
      </w:r>
      <w:r>
        <w:rPr>
          <w:rFonts w:hint="eastAsia" w:ascii="Times New Roman" w:hAnsi="Times New Roman" w:eastAsia="宋体"/>
          <w:color w:val="auto"/>
          <w:highlight w:val="none"/>
        </w:rPr>
        <w:t>1</w:t>
      </w:r>
      <w:r>
        <w:rPr>
          <w:rFonts w:ascii="Times New Roman" w:hAnsi="Times New Roman" w:eastAsia="宋体"/>
          <w:color w:val="auto"/>
          <w:highlight w:val="none"/>
        </w:rPr>
        <w:t>。</w:t>
      </w:r>
    </w:p>
    <w:p>
      <w:pPr>
        <w:pStyle w:val="162"/>
        <w:spacing w:before="163" w:beforeLines="50" w:line="240" w:lineRule="auto"/>
        <w:ind w:firstLine="480"/>
        <w:outlineLvl w:val="9"/>
        <w:rPr>
          <w:rFonts w:ascii="Times New Roman" w:hAnsi="Times New Roman" w:eastAsia="宋体"/>
          <w:color w:val="auto"/>
          <w:highlight w:val="none"/>
        </w:rPr>
      </w:pPr>
      <w:r>
        <w:rPr>
          <w:rFonts w:ascii="Times New Roman" w:hAnsi="Times New Roman" w:eastAsia="宋体"/>
          <w:color w:val="auto"/>
          <w:highlight w:val="none"/>
        </w:rPr>
        <w:t>表4.2-1</w:t>
      </w:r>
      <w:r>
        <w:rPr>
          <w:rFonts w:hint="eastAsia" w:ascii="Times New Roman" w:hAnsi="Times New Roman" w:eastAsia="宋体"/>
          <w:color w:val="auto"/>
          <w:highlight w:val="none"/>
        </w:rPr>
        <w:t>1</w:t>
      </w:r>
      <w:r>
        <w:rPr>
          <w:rFonts w:ascii="Times New Roman" w:hAnsi="Times New Roman" w:eastAsia="宋体"/>
          <w:color w:val="auto"/>
          <w:highlight w:val="none"/>
        </w:rPr>
        <w:t>评价区生态功能区划</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7"/>
        <w:gridCol w:w="1341"/>
        <w:gridCol w:w="6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6"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生态功能分区单元</w:t>
            </w:r>
          </w:p>
        </w:tc>
        <w:tc>
          <w:tcPr>
            <w:tcW w:w="80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生态区</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Ⅱ准噶尔盆地温性荒漠与绿洲农业生态区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576"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0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生态亚区</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Ⅱ</w:t>
            </w:r>
            <w:r>
              <w:rPr>
                <w:rFonts w:ascii="Times New Roman" w:hAnsi="Times New Roman" w:eastAsia="宋体" w:cs="Times New Roman"/>
                <w:color w:val="auto"/>
                <w:spacing w:val="0"/>
                <w:position w:val="-2"/>
                <w:sz w:val="21"/>
                <w:szCs w:val="14"/>
                <w:highlight w:val="none"/>
              </w:rPr>
              <w:t>3</w:t>
            </w:r>
            <w:r>
              <w:rPr>
                <w:rFonts w:ascii="Times New Roman" w:hAnsi="Times New Roman" w:eastAsia="宋体" w:cs="宋体"/>
                <w:color w:val="auto"/>
                <w:spacing w:val="0"/>
                <w:sz w:val="21"/>
                <w:szCs w:val="21"/>
                <w:highlight w:val="none"/>
              </w:rPr>
              <w:t>准噶尔盆地南部荒漠绿洲农业生态亚区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576"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0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生态功能区</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古尔班通古特沙漠化敏感及植被保护生态功能区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主要生态服务功能</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工农畜产品生产、人居环境、荒漠化控制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主要生态环境问题</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6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地下水超采、荒漠植被退化、土地荒漠化与盐渍化、大气和水质及土壤污染、良田减少、绿洲外围受到沙漠化威胁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201"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生态敏感因子敏感程度</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生物多样性和生境中度敏感，土地沙漠化、土壤侵蚀不敏感，土壤盐渍化不敏感</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轻度敏感。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保护目标</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97"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保护绿洲农田、保护城市大气和水环境质量、保护荒漠植被、保护农田土壤环境质量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保护措施</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节水灌溉、严格控制地下水开采、污染物达标排放、提高城镇建设规划水平、控制城镇建设用地、荒漠草场禁牧休牧、完善防护林体系、加强农田投入品的使用管理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138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发展方向</w:t>
            </w:r>
          </w:p>
        </w:tc>
        <w:tc>
          <w:tcPr>
            <w:tcW w:w="361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16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发展优质高效农牧业，美化城市环境，建设健康、稳定的城乡生态系统与人居环境。</w:t>
            </w:r>
          </w:p>
        </w:tc>
      </w:tr>
    </w:tbl>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lang w:val="en-US" w:eastAsia="zh-CN"/>
        </w:rPr>
        <w:t>2</w:t>
      </w:r>
      <w:r>
        <w:rPr>
          <w:rFonts w:hint="eastAsia"/>
          <w:color w:val="auto"/>
          <w:highlight w:val="none"/>
          <w:lang w:eastAsia="zh-CN"/>
        </w:rPr>
        <w:t>）</w:t>
      </w:r>
      <w:r>
        <w:rPr>
          <w:rFonts w:hint="eastAsia" w:ascii="Times New Roman" w:hAnsi="Times New Roman" w:eastAsia="宋体"/>
          <w:color w:val="auto"/>
          <w:highlight w:val="none"/>
        </w:rPr>
        <w:t>现状用地性质</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玛纳斯县目前现状用地性质为：国有耕地18.8660hm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、集体耕地8.0956hm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、国有林地0.9345hm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、集体林地2.7590hm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、国有荒地32.9091hm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、集体荒地1.0397hm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、农民宅基地0.1601hm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、国有殡葬用地0.0061hm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、国有农村道路用地0.2116hm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、国有设施农业用地1.6848hm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本项目昌吉州玛纳斯县广东地乡苇坝村东侧1.6km处，用地性质为设施农用地，土地利用现状为荒草地。</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lang w:val="en-US" w:eastAsia="zh-CN"/>
        </w:rPr>
        <w:t>3</w:t>
      </w:r>
      <w:r>
        <w:rPr>
          <w:rFonts w:hint="eastAsia"/>
          <w:color w:val="auto"/>
          <w:highlight w:val="none"/>
          <w:lang w:eastAsia="zh-CN"/>
        </w:rPr>
        <w:t>）</w:t>
      </w:r>
      <w:r>
        <w:rPr>
          <w:rFonts w:hint="eastAsia" w:ascii="Times New Roman" w:hAnsi="Times New Roman" w:eastAsia="宋体"/>
          <w:color w:val="auto"/>
          <w:highlight w:val="none"/>
        </w:rPr>
        <w:t>土壤类型</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土质以轻壤、中壤为主，其次是沙壤、重壤、粘土等，土壤有机质含量为2.39%，含氮0.14%、含磷0.18%、碳酸钙14.9%，土壤PH值为5.5~6.5。土壤理化和生物性能良好，土质宜农宜牧。</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植被环境</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根据项目所在区域的用地性质主要为国有耕地及集体耕地，植被分布主要为农户种植的农作物，包括小麦、玉米、油葵、棉花等农作物，平均生物量1.1kg/m</w:t>
      </w:r>
      <w:r>
        <w:rPr>
          <w:rFonts w:hint="eastAsia" w:ascii="Times New Roman" w:hAnsi="Times New Roman" w:eastAsia="宋体"/>
          <w:color w:val="auto"/>
          <w:highlight w:val="none"/>
          <w:vertAlign w:val="superscript"/>
        </w:rPr>
        <w:t>2</w:t>
      </w:r>
      <w:r>
        <w:rPr>
          <w:rFonts w:hint="eastAsia"/>
          <w:color w:val="auto"/>
          <w:highlight w:val="none"/>
          <w:lang w:eastAsia="zh-CN"/>
        </w:rPr>
        <w:t>（</w:t>
      </w:r>
      <w:r>
        <w:rPr>
          <w:rFonts w:hint="eastAsia" w:ascii="Times New Roman" w:hAnsi="Times New Roman" w:eastAsia="宋体"/>
          <w:color w:val="auto"/>
          <w:highlight w:val="none"/>
        </w:rPr>
        <w:t>平均净生产力644g/</w:t>
      </w:r>
      <w:r>
        <w:rPr>
          <w:rFonts w:hint="eastAsia"/>
          <w:color w:val="auto"/>
          <w:highlight w:val="none"/>
          <w:lang w:eastAsia="zh-CN"/>
        </w:rPr>
        <w:t>（</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；国有林地及集体林地植被主要有杨树、榆树、沙枣树等；国有荒地及集体荒地植被分布主要有蒿类、禾草类、杂草苜蓿、新疆针茅等小禾草外，还有春季短生植物等，植被覆盖度约25%，产草量＜200kg/hm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，平均生物量0.02kg/m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动物现状调查与评价</w:t>
      </w:r>
    </w:p>
    <w:p>
      <w:pPr>
        <w:ind w:firstLine="480"/>
        <w:rPr>
          <w:rFonts w:ascii="Times New Roman" w:hAnsi="Times New Roman" w:eastAsia="宋体"/>
          <w:color w:val="auto"/>
          <w:highlight w:val="none"/>
        </w:rPr>
        <w:sectPr>
          <w:headerReference r:id="rId21" w:type="default"/>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ascii="Times New Roman" w:hAnsi="Times New Roman" w:eastAsia="宋体"/>
          <w:color w:val="auto"/>
          <w:highlight w:val="none"/>
        </w:rPr>
        <w:t>本工程所在区域由于人类活动，无珍稀野生动物分布，仅生存着小型啮齿类动物，如麻雀、燕子、野鼠类等。。</w:t>
      </w:r>
    </w:p>
    <w:p>
      <w:pPr>
        <w:pStyle w:val="3"/>
        <w:rPr>
          <w:rFonts w:ascii="Times New Roman" w:hAnsi="Times New Roman" w:eastAsia="宋体"/>
          <w:color w:val="auto"/>
          <w:highlight w:val="none"/>
        </w:rPr>
      </w:pPr>
      <w:bookmarkStart w:id="173" w:name="_Toc106663492"/>
      <w:bookmarkStart w:id="174" w:name="_Toc89619342"/>
      <w:r>
        <w:rPr>
          <w:rFonts w:hint="eastAsia" w:ascii="Times New Roman" w:hAnsi="Times New Roman" w:eastAsia="宋体"/>
          <w:color w:val="auto"/>
          <w:highlight w:val="none"/>
        </w:rPr>
        <w:t>5、建设项目环境影响分析</w:t>
      </w:r>
      <w:bookmarkEnd w:id="173"/>
      <w:bookmarkEnd w:id="174"/>
    </w:p>
    <w:p>
      <w:pPr>
        <w:pStyle w:val="4"/>
        <w:rPr>
          <w:rFonts w:ascii="Times New Roman" w:hAnsi="Times New Roman" w:eastAsia="宋体"/>
          <w:color w:val="auto"/>
          <w:highlight w:val="none"/>
        </w:rPr>
      </w:pPr>
      <w:bookmarkStart w:id="175" w:name="_Toc89619343"/>
      <w:bookmarkStart w:id="176" w:name="_Toc106663493"/>
      <w:r>
        <w:rPr>
          <w:rFonts w:hint="eastAsia" w:ascii="Times New Roman" w:hAnsi="Times New Roman" w:eastAsia="宋体"/>
          <w:color w:val="auto"/>
          <w:highlight w:val="none"/>
        </w:rPr>
        <w:t>5.1施工期环境影响分析</w:t>
      </w:r>
      <w:bookmarkEnd w:id="175"/>
      <w:bookmarkEnd w:id="176"/>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期主要包括基础工程、主体工程、设备安装、装饰工程、工程验收等工序，其过程主要污染物为施工期厂界范围内的施工扬尘、施工设备燃油废气、施工噪声、施工废水、施工生活废水、施工填方、取土、施工建筑弃土、建筑废渣及施工占地产生的生态环境。</w:t>
      </w:r>
    </w:p>
    <w:p>
      <w:pPr>
        <w:pStyle w:val="5"/>
        <w:rPr>
          <w:rFonts w:ascii="Times New Roman" w:hAnsi="Times New Roman" w:eastAsia="宋体"/>
          <w:color w:val="auto"/>
          <w:highlight w:val="none"/>
        </w:rPr>
      </w:pPr>
      <w:bookmarkStart w:id="177" w:name="_Toc106663494"/>
      <w:r>
        <w:rPr>
          <w:rFonts w:hint="eastAsia" w:ascii="Times New Roman" w:hAnsi="Times New Roman" w:eastAsia="宋体"/>
          <w:color w:val="auto"/>
          <w:highlight w:val="none"/>
        </w:rPr>
        <w:t>5.1.1施工期大气环境影响分析</w:t>
      </w:r>
      <w:bookmarkEnd w:id="177"/>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5.1.1.1施工扬尘</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施工期扬尘主要是主体工程、辅助工程、公用工程基础施工、环保工程等的土建挖取土（石）、推土、场地平整、施工沙石材料等的装卸、运输过程中产生的扬尘以及土石方的临时堆放过程中产生的扬尘，施工扬尘产生与施工管理、气象（特别是风速）条件等密切相关，也与扬尘本身沉降速度有关。如遇干旱无雨季节，在大风时，施工扬尘将更严重。据有关调查显示，施工工地的扬尘主要是由运输车辆行驶产生，与道路路面及车辆行驶速度有关，约占扬尘总量的60%。在完全干燥情况下，可按经验公式计算：</w:t>
      </w:r>
    </w:p>
    <w:p>
      <w:pPr>
        <w:ind w:firstLine="0" w:firstLineChars="0"/>
        <w:jc w:val="center"/>
        <w:rPr>
          <w:rFonts w:ascii="Times New Roman" w:hAnsi="Times New Roman" w:eastAsia="宋体"/>
          <w:bCs/>
          <w:color w:val="auto"/>
          <w:highlight w:val="none"/>
        </w:rPr>
      </w:pPr>
      <w:r>
        <w:rPr>
          <w:rFonts w:ascii="Times New Roman" w:hAnsi="Times New Roman" w:eastAsia="宋体"/>
          <w:color w:val="auto"/>
          <w:position w:val="-36"/>
          <w:highlight w:val="none"/>
        </w:rPr>
        <w:object>
          <v:shape id="_x0000_i1032" o:spt="75" type="#_x0000_t75" style="height:35.05pt;width:154.1pt;" o:ole="t" filled="f" o:preferrelative="t" stroked="f" coordsize="21600,21600">
            <v:path/>
            <v:fill on="f" focussize="0,0"/>
            <v:stroke on="f" joinstyle="miter"/>
            <v:imagedata r:id="rId47" o:title=""/>
            <o:lock v:ext="edit" aspectratio="t"/>
            <w10:wrap type="none"/>
            <w10:anchorlock/>
          </v:shape>
          <o:OLEObject Type="Embed" ProgID="Equation.AxMath" ShapeID="_x0000_i1032" DrawAspect="Content" ObjectID="_1468075732" r:id="rId46">
            <o:LockedField>false</o:LockedField>
          </o:OLEObject>
        </w:object>
      </w:r>
    </w:p>
    <w:p>
      <w:pPr>
        <w:ind w:firstLine="480"/>
        <w:rPr>
          <w:rFonts w:ascii="Times New Roman" w:hAnsi="Times New Roman" w:eastAsia="宋体"/>
          <w:bCs/>
          <w:color w:val="auto"/>
          <w:highlight w:val="none"/>
        </w:rPr>
      </w:pPr>
      <w:r>
        <w:rPr>
          <w:rFonts w:ascii="Times New Roman" w:hAnsi="Times New Roman" w:eastAsia="宋体"/>
          <w:bCs/>
          <w:color w:val="auto"/>
          <w:highlight w:val="none"/>
        </w:rPr>
        <w:t>式中：Q</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汽车行驶时的扬尘，kg/km.辆；</w:t>
      </w:r>
    </w:p>
    <w:p>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V</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汽车速度，km/h；</w:t>
      </w:r>
    </w:p>
    <w:p>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W</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汽车载重量，吨；</w:t>
      </w:r>
    </w:p>
    <w:p>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P</w:t>
      </w:r>
      <w:r>
        <w:rPr>
          <w:rFonts w:hint="eastAsia" w:ascii="Times New Roman" w:hAnsi="Times New Roman" w:eastAsia="宋体"/>
          <w:bCs/>
          <w:color w:val="auto"/>
          <w:highlight w:val="none"/>
        </w:rPr>
        <w:t>——</w:t>
      </w:r>
      <w:r>
        <w:rPr>
          <w:rFonts w:ascii="Times New Roman" w:hAnsi="Times New Roman" w:eastAsia="宋体"/>
          <w:bCs/>
          <w:color w:val="auto"/>
          <w:highlight w:val="none"/>
        </w:rPr>
        <w:t>道路表面粉尘量，kg/m</w:t>
      </w:r>
      <w:r>
        <w:rPr>
          <w:rFonts w:ascii="Times New Roman" w:hAnsi="Times New Roman" w:eastAsia="宋体"/>
          <w:bCs/>
          <w:color w:val="auto"/>
          <w:highlight w:val="none"/>
          <w:vertAlign w:val="superscript"/>
        </w:rPr>
        <w:t>2</w:t>
      </w:r>
    </w:p>
    <w:p>
      <w:pPr>
        <w:ind w:firstLine="480"/>
        <w:rPr>
          <w:rFonts w:ascii="Times New Roman" w:hAnsi="Times New Roman" w:eastAsia="宋体"/>
          <w:color w:val="auto"/>
          <w:highlight w:val="none"/>
        </w:rPr>
      </w:pPr>
      <w:r>
        <w:rPr>
          <w:rFonts w:ascii="Times New Roman" w:hAnsi="Times New Roman" w:eastAsia="宋体"/>
          <w:color w:val="auto"/>
          <w:highlight w:val="none"/>
        </w:rPr>
        <w:t>一辆载重20t的卡车，通过一段长度为500m的路面时，不同表面清洁程度，不同行驶速度情况下产生的扬尘量如表5.1-1所示。</w:t>
      </w:r>
    </w:p>
    <w:p>
      <w:pPr>
        <w:pStyle w:val="10"/>
        <w:rPr>
          <w:rFonts w:ascii="Times New Roman" w:hAnsi="Times New Roman" w:eastAsia="宋体"/>
          <w:color w:val="auto"/>
          <w:highlight w:val="none"/>
        </w:rPr>
      </w:pPr>
      <w:r>
        <w:rPr>
          <w:rFonts w:ascii="Times New Roman" w:hAnsi="Times New Roman" w:eastAsia="宋体"/>
          <w:color w:val="auto"/>
          <w:highlight w:val="none"/>
        </w:rPr>
        <w:t>表5.1-1</w:t>
      </w:r>
      <w:r>
        <w:rPr>
          <w:rFonts w:hint="eastAsia" w:ascii="Times New Roman" w:hAnsi="Times New Roman" w:eastAsia="宋体"/>
          <w:color w:val="auto"/>
          <w:highlight w:val="none"/>
        </w:rPr>
        <w:t>不同车速和地面清洁程度时的汽车扬尘单位：kg/km·辆</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7"/>
        <w:gridCol w:w="1285"/>
        <w:gridCol w:w="999"/>
        <w:gridCol w:w="1111"/>
        <w:gridCol w:w="1113"/>
        <w:gridCol w:w="1109"/>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车速</w:t>
            </w:r>
            <w:r>
              <w:rPr>
                <w:rFonts w:ascii="Times New Roman" w:hAnsi="Times New Roman" w:eastAsia="宋体"/>
                <w:bCs/>
                <w:color w:val="auto"/>
                <w:kern w:val="2"/>
                <w:sz w:val="21"/>
                <w:szCs w:val="21"/>
                <w:highlight w:val="none"/>
              </w:rPr>
              <w:t>（</w:t>
            </w:r>
            <w:r>
              <w:rPr>
                <w:rFonts w:hint="eastAsia" w:ascii="Times New Roman" w:hAnsi="Times New Roman" w:eastAsia="宋体"/>
                <w:bCs/>
                <w:color w:val="auto"/>
                <w:kern w:val="2"/>
                <w:sz w:val="21"/>
                <w:szCs w:val="21"/>
                <w:highlight w:val="none"/>
              </w:rPr>
              <w:t>k</w:t>
            </w:r>
            <w:r>
              <w:rPr>
                <w:rFonts w:ascii="Times New Roman" w:hAnsi="Times New Roman" w:eastAsia="宋体"/>
                <w:bCs/>
                <w:color w:val="auto"/>
                <w:kern w:val="2"/>
                <w:sz w:val="21"/>
                <w:szCs w:val="21"/>
                <w:highlight w:val="none"/>
              </w:rPr>
              <w:t>m/</w:t>
            </w:r>
            <w:r>
              <w:rPr>
                <w:rFonts w:hint="eastAsia" w:ascii="Times New Roman" w:hAnsi="Times New Roman" w:eastAsia="宋体"/>
                <w:bCs/>
                <w:color w:val="auto"/>
                <w:kern w:val="2"/>
                <w:sz w:val="21"/>
                <w:szCs w:val="21"/>
                <w:highlight w:val="none"/>
              </w:rPr>
              <w:t>h</w:t>
            </w:r>
            <w:r>
              <w:rPr>
                <w:rFonts w:ascii="Times New Roman" w:hAnsi="Times New Roman" w:eastAsia="宋体"/>
                <w:bCs/>
                <w:color w:val="auto"/>
                <w:kern w:val="2"/>
                <w:sz w:val="21"/>
                <w:szCs w:val="21"/>
                <w:highlight w:val="none"/>
              </w:rPr>
              <w:t>）</w:t>
            </w:r>
          </w:p>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P（kg</w:t>
            </w:r>
            <w:r>
              <w:rPr>
                <w:rFonts w:hint="eastAsia" w:ascii="Times New Roman" w:hAnsi="Times New Roman" w:eastAsia="宋体" w:cs="宋体"/>
                <w:bCs/>
                <w:color w:val="auto"/>
                <w:kern w:val="2"/>
                <w:sz w:val="21"/>
                <w:szCs w:val="21"/>
                <w:highlight w:val="none"/>
              </w:rPr>
              <w:t>/</w:t>
            </w:r>
            <w:r>
              <w:rPr>
                <w:rFonts w:hint="eastAsia" w:ascii="Times New Roman" w:hAnsi="Times New Roman" w:eastAsia="宋体"/>
                <w:bCs/>
                <w:color w:val="auto"/>
                <w:kern w:val="2"/>
                <w:sz w:val="21"/>
                <w:szCs w:val="21"/>
                <w:highlight w:val="none"/>
              </w:rPr>
              <w:t>m</w:t>
            </w:r>
            <w:r>
              <w:rPr>
                <w:rFonts w:hint="eastAsia" w:ascii="Times New Roman" w:hAnsi="Times New Roman" w:eastAsia="宋体"/>
                <w:bCs/>
                <w:color w:val="auto"/>
                <w:kern w:val="2"/>
                <w:sz w:val="21"/>
                <w:szCs w:val="21"/>
                <w:highlight w:val="none"/>
                <w:vertAlign w:val="superscript"/>
              </w:rPr>
              <w:t>2</w:t>
            </w:r>
            <w:r>
              <w:rPr>
                <w:rFonts w:hint="eastAsia" w:ascii="Times New Roman" w:hAnsi="Times New Roman" w:eastAsia="宋体"/>
                <w:bCs/>
                <w:color w:val="auto"/>
                <w:kern w:val="2"/>
                <w:sz w:val="21"/>
                <w:szCs w:val="21"/>
                <w:highlight w:val="none"/>
              </w:rPr>
              <w:t>）</w:t>
            </w:r>
          </w:p>
        </w:tc>
        <w:tc>
          <w:tcPr>
            <w:tcW w:w="660"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0.1</w:t>
            </w:r>
          </w:p>
        </w:tc>
        <w:tc>
          <w:tcPr>
            <w:tcW w:w="513"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0.2</w:t>
            </w:r>
          </w:p>
        </w:tc>
        <w:tc>
          <w:tcPr>
            <w:tcW w:w="571"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0.3</w:t>
            </w:r>
          </w:p>
        </w:tc>
        <w:tc>
          <w:tcPr>
            <w:tcW w:w="572"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0.4</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0.5</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5</w:t>
            </w:r>
          </w:p>
        </w:tc>
        <w:tc>
          <w:tcPr>
            <w:tcW w:w="66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0.0323</w:t>
            </w:r>
          </w:p>
        </w:tc>
        <w:tc>
          <w:tcPr>
            <w:tcW w:w="51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0.0576</w:t>
            </w:r>
          </w:p>
        </w:tc>
        <w:tc>
          <w:tcPr>
            <w:tcW w:w="57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0.0946</w:t>
            </w:r>
          </w:p>
        </w:tc>
        <w:tc>
          <w:tcPr>
            <w:tcW w:w="57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0.1427</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0.1760</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10</w:t>
            </w:r>
          </w:p>
        </w:tc>
        <w:tc>
          <w:tcPr>
            <w:tcW w:w="66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0.0716</w:t>
            </w:r>
          </w:p>
        </w:tc>
        <w:tc>
          <w:tcPr>
            <w:tcW w:w="51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0.1253</w:t>
            </w:r>
          </w:p>
        </w:tc>
        <w:tc>
          <w:tcPr>
            <w:tcW w:w="57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0.1638</w:t>
            </w:r>
          </w:p>
        </w:tc>
        <w:tc>
          <w:tcPr>
            <w:tcW w:w="57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0.2325</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0.2231</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15</w:t>
            </w:r>
          </w:p>
        </w:tc>
        <w:tc>
          <w:tcPr>
            <w:tcW w:w="66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0.1050</w:t>
            </w:r>
          </w:p>
        </w:tc>
        <w:tc>
          <w:tcPr>
            <w:tcW w:w="51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0.1636</w:t>
            </w:r>
          </w:p>
        </w:tc>
        <w:tc>
          <w:tcPr>
            <w:tcW w:w="57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0.2342</w:t>
            </w:r>
          </w:p>
        </w:tc>
        <w:tc>
          <w:tcPr>
            <w:tcW w:w="57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0.3603</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0.4314</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0.6878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20</w:t>
            </w:r>
          </w:p>
        </w:tc>
        <w:tc>
          <w:tcPr>
            <w:tcW w:w="66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0.1433</w:t>
            </w:r>
          </w:p>
        </w:tc>
        <w:tc>
          <w:tcPr>
            <w:tcW w:w="513"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0.2105</w:t>
            </w:r>
          </w:p>
        </w:tc>
        <w:tc>
          <w:tcPr>
            <w:tcW w:w="57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0.2741</w:t>
            </w:r>
          </w:p>
        </w:tc>
        <w:tc>
          <w:tcPr>
            <w:tcW w:w="572"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0.4204</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0.5828</w:t>
            </w:r>
          </w:p>
        </w:tc>
        <w:tc>
          <w:tcPr>
            <w:tcW w:w="570"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0.8471</w:t>
            </w:r>
          </w:p>
        </w:tc>
      </w:tr>
    </w:tbl>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由表5.1-1可见，在同样路面清洁情况下，车速越快，扬尘量越大；而在同样车速情况下，路面清洁度越差，则扬尘量越大。根据类比调查，一般情况下，施工场地、施工道路在自然风作用下产生的扬尘所影响的范围在100m以内。</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抑制扬尘的一个简洁有效的措施是洒水。如果在施工期内对车辆行驶的路面实施洒水抑尘，每天洒水4-5次，可使扬尘减少70%左右。</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对水泥、粉煤灰等细颗粒散体材料在运输、储存时采取遮盖、密封的措施，防止和减少飞扬。</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针对施工期扬尘，根据《防治城市扬尘污染技术规范》（HJ/T393-2007）中有关规定要求，本环评要求加强对施工工地扬尘污染的管理与控制。</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5.1.1.2燃油机械及机动车废气</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施工期主要是施工机械以及运输车辆排放的尾气，尾气中主要污染物有THC、颗粒物、CO、NO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等。但由于车辆主要在施工现场范围内活动，尾气呈面源污染形式，车辆排气高度较低，尾气扩散范围不大，加之项目区较为平坦开阔，尾气扩散条件良好，另外，施工机械及车辆为非连续行驶状态，污染物排放时间及排放量也相对较小，因此施工机械以及运输车辆尾气对周围区域影响较小。</w:t>
      </w:r>
    </w:p>
    <w:p>
      <w:pPr>
        <w:pStyle w:val="5"/>
        <w:rPr>
          <w:rFonts w:ascii="Times New Roman" w:hAnsi="Times New Roman" w:eastAsia="宋体"/>
          <w:color w:val="auto"/>
          <w:highlight w:val="none"/>
        </w:rPr>
      </w:pPr>
      <w:bookmarkStart w:id="178" w:name="_Toc106663495"/>
      <w:r>
        <w:rPr>
          <w:rFonts w:hint="eastAsia" w:ascii="Times New Roman" w:hAnsi="Times New Roman" w:eastAsia="宋体"/>
          <w:color w:val="auto"/>
          <w:highlight w:val="none"/>
        </w:rPr>
        <w:t>5.1.2施工期水环境影响分析</w:t>
      </w:r>
      <w:bookmarkEnd w:id="178"/>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5.1.2.1施工废水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废水主要是指在制砂浆、混凝土养护等作业中，多余或泄漏的废水，以及清洗模板、机具、车辆设备、场地卫生等排放的污水。主要污染因子为SS，含一定量的泥沙、少量水泥和油污，随工程进度不同产生情况不同，也与操作人员的经验、素质等因素有关，产生量与排放量较难估算。废水中含固体杂质较多，以泥沙为主，施工期废水水量不大，一般产生不了径流，形成不了有组织排水，这部分废水在施工现场因自然蒸发、渗漏等原因而消耗，但若不经处理或处理不当直接外排，同样危害环境。因此要求建设项目的工地应设置简易防渗沉淀池沉淀后回用于生产，项目产生的施工废水均不外排。生产废水的产生量与工地管理水平关系极大，如果管理不善，可能造成施工现场污水横流，对工地周围的环境会造成一定的影响。</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5.1.2.2生活废水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本项目施工期施工工人约30人左右，生活污水排放量约为0.96m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/d。在施工期外排生活污水若不集中处理，其对环境的影响主要表现在：影响施工区环境卫生、有可能污染地下水、易造成土壤理化性质改变，土壤层缺氧及臭气污染等。</w:t>
      </w:r>
    </w:p>
    <w:p>
      <w:pPr>
        <w:pStyle w:val="5"/>
        <w:rPr>
          <w:rFonts w:ascii="Times New Roman" w:hAnsi="Times New Roman" w:eastAsia="宋体"/>
          <w:color w:val="auto"/>
          <w:highlight w:val="none"/>
        </w:rPr>
      </w:pPr>
      <w:bookmarkStart w:id="179" w:name="_Toc106663496"/>
      <w:r>
        <w:rPr>
          <w:rFonts w:hint="eastAsia" w:ascii="Times New Roman" w:hAnsi="Times New Roman" w:eastAsia="宋体"/>
          <w:color w:val="auto"/>
          <w:highlight w:val="none"/>
        </w:rPr>
        <w:t>5.1.3施工期声环境影响分析</w:t>
      </w:r>
      <w:bookmarkEnd w:id="17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工程分析可知，本项目施工噪声主要来源于土方阶段、基础施工阶段、主体结构阶段、装修阶段施工中各类施工机械和运输车辆，施工噪声具有阶段性、临时性和不固定性，不同的施工设备产生的噪声不同。在多台机械设备同时作业时，各台设备产生的噪声会产生叠加，根据类比调查，叠加后的噪声增值约为3～8dB，施工机械和运输车辆的单体声功率级一般均在100dB（A）以上，其中声级最大的是打桩机，声级可达到120dB，施工机械主要有推土机、挖掘机、装载机、电锯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根据施工现场噪声源的特点和周围环境状况，选择声源在半自由空间的距离衰减模式。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计算公式：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（1）噪声衰减</w:t>
      </w:r>
    </w:p>
    <w:p>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olor w:val="auto"/>
          <w:highlight w:val="none"/>
        </w:rPr>
        <w:drawing>
          <wp:inline distT="0" distB="0" distL="0" distR="0">
            <wp:extent cx="1914525" cy="390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14525" cy="390525"/>
                    </a:xfrm>
                    <a:prstGeom prst="rect">
                      <a:avLst/>
                    </a:prstGeom>
                    <a:noFill/>
                    <a:ln>
                      <a:noFill/>
                    </a:ln>
                    <a:effectLst/>
                  </pic:spPr>
                </pic:pic>
              </a:graphicData>
            </a:graphic>
          </wp:inline>
        </w:drawing>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式中：L</w:t>
      </w:r>
      <w:r>
        <w:rPr>
          <w:rFonts w:hint="eastAsia" w:ascii="Times New Roman" w:hAnsi="Times New Roman" w:eastAsia="宋体"/>
          <w:color w:val="auto"/>
          <w:highlight w:val="none"/>
          <w:vertAlign w:val="subscript"/>
        </w:rPr>
        <w:t>A（r）</w:t>
      </w:r>
      <w:r>
        <w:rPr>
          <w:rFonts w:hint="eastAsia" w:ascii="Times New Roman" w:hAnsi="Times New Roman" w:eastAsia="宋体"/>
          <w:color w:val="auto"/>
          <w:highlight w:val="none"/>
        </w:rPr>
        <w:t>——距声源r处的等效声级，dB（A）；</w:t>
      </w:r>
    </w:p>
    <w:p>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L</w:t>
      </w:r>
      <w:r>
        <w:rPr>
          <w:rFonts w:hint="eastAsia" w:ascii="Times New Roman" w:hAnsi="Times New Roman" w:eastAsia="宋体"/>
          <w:color w:val="auto"/>
          <w:highlight w:val="none"/>
          <w:vertAlign w:val="subscript"/>
        </w:rPr>
        <w:t>W（A）</w:t>
      </w:r>
      <w:r>
        <w:rPr>
          <w:rFonts w:hint="eastAsia" w:ascii="Times New Roman" w:hAnsi="Times New Roman" w:eastAsia="宋体"/>
          <w:color w:val="auto"/>
          <w:highlight w:val="none"/>
        </w:rPr>
        <w:t>——噪声源的声功率级，dB（A）；</w:t>
      </w:r>
    </w:p>
    <w:p>
      <w:pPr>
        <w:ind w:firstLine="960" w:firstLineChars="400"/>
        <w:rPr>
          <w:rFonts w:ascii="Times New Roman" w:hAnsi="Times New Roman" w:eastAsia="宋体"/>
          <w:color w:val="auto"/>
          <w:highlight w:val="none"/>
        </w:rPr>
      </w:pPr>
      <w:r>
        <w:rPr>
          <w:rFonts w:ascii="Times New Roman" w:hAnsi="Times New Roman" w:eastAsia="宋体"/>
          <w:color w:val="auto"/>
          <w:highlight w:val="none"/>
        </w:rPr>
        <w:t>r</w:t>
      </w:r>
      <w:r>
        <w:rPr>
          <w:rFonts w:hint="eastAsia" w:ascii="Times New Roman" w:hAnsi="Times New Roman" w:eastAsia="宋体"/>
          <w:color w:val="auto"/>
          <w:highlight w:val="none"/>
        </w:rPr>
        <w:t>——噪声源距受声点的距离，</w:t>
      </w:r>
      <w:r>
        <w:rPr>
          <w:rFonts w:ascii="Times New Roman" w:hAnsi="Times New Roman" w:eastAsia="宋体"/>
          <w:color w:val="auto"/>
          <w:highlight w:val="none"/>
        </w:rPr>
        <w:t>m</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（2）噪声影响预测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工程施工不同距离的噪声预测值见表5.1-2。</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表5.1-2施工阶段噪声预测值</w:t>
      </w:r>
    </w:p>
    <w:tbl>
      <w:tblPr>
        <w:tblStyle w:val="3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553"/>
        <w:gridCol w:w="791"/>
        <w:gridCol w:w="883"/>
        <w:gridCol w:w="1015"/>
        <w:gridCol w:w="1005"/>
        <w:gridCol w:w="1015"/>
        <w:gridCol w:w="821"/>
        <w:gridCol w:w="829"/>
        <w:gridCol w:w="829"/>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施工</w:t>
            </w:r>
            <w:r>
              <w:rPr>
                <w:rFonts w:hint="eastAsia" w:ascii="Times New Roman" w:hAnsi="Times New Roman" w:eastAsia="宋体"/>
                <w:color w:val="auto"/>
                <w:sz w:val="21"/>
                <w:szCs w:val="21"/>
                <w:highlight w:val="none"/>
              </w:rPr>
              <w:t>机械</w:t>
            </w:r>
          </w:p>
        </w:tc>
        <w:tc>
          <w:tcPr>
            <w:tcW w:w="4189" w:type="pct"/>
            <w:gridSpan w:val="9"/>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离施工现场噪声源距离（m）</w:t>
            </w:r>
            <w:r>
              <w:rPr>
                <w:rFonts w:ascii="Times New Roman" w:hAnsi="Times New Roman" w:eastAsia="宋体"/>
                <w:color w:val="auto"/>
                <w:sz w:val="21"/>
                <w:szCs w:val="21"/>
                <w:highlight w:val="none"/>
              </w:rPr>
              <w:t>dB</w:t>
            </w:r>
            <w:r>
              <w:rPr>
                <w:rFonts w:hint="eastAsia"/>
                <w:color w:val="auto"/>
                <w:sz w:val="21"/>
                <w:szCs w:val="21"/>
                <w:highlight w:val="none"/>
                <w:lang w:eastAsia="zh-CN"/>
              </w:rPr>
              <w:t>（</w:t>
            </w:r>
            <w:r>
              <w:rPr>
                <w:rFonts w:ascii="Times New Roman" w:hAnsi="Times New Roman" w:eastAsia="宋体"/>
                <w:color w:val="auto"/>
                <w:sz w:val="21"/>
                <w:szCs w:val="21"/>
                <w:highlight w:val="none"/>
              </w:rPr>
              <w:t>A</w:t>
            </w:r>
            <w:r>
              <w:rPr>
                <w:rFonts w:hint="eastAsia"/>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40</w:t>
            </w:r>
          </w:p>
        </w:tc>
        <w:tc>
          <w:tcPr>
            <w:tcW w:w="429" w:type="pct"/>
            <w:tcBorders>
              <w:right w:val="single" w:color="auto" w:sz="4" w:space="0"/>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50</w:t>
            </w:r>
          </w:p>
        </w:tc>
        <w:tc>
          <w:tcPr>
            <w:tcW w:w="433" w:type="pct"/>
            <w:tcBorders>
              <w:left w:val="single" w:color="auto" w:sz="4" w:space="0"/>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33" w:type="pct"/>
            <w:tcBorders>
              <w:left w:val="single" w:color="auto" w:sz="4" w:space="0"/>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150</w:t>
            </w:r>
          </w:p>
        </w:tc>
        <w:tc>
          <w:tcPr>
            <w:tcW w:w="435" w:type="pct"/>
            <w:tcBorders>
              <w:left w:val="single" w:color="auto" w:sz="4" w:space="0"/>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kern w:val="2"/>
                <w:sz w:val="21"/>
                <w:szCs w:val="21"/>
                <w:highlight w:val="none"/>
              </w:rPr>
              <w:t>推土机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115</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81.4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77.8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装载机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105</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71.4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65</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57</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53.6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挖掘机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自卸卡车</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空压机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110</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76.4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72.8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68.2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电锯</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115</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81.4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77.8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卷扬机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切割机</w:t>
            </w:r>
          </w:p>
        </w:tc>
        <w:tc>
          <w:tcPr>
            <w:tcW w:w="41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110</w:t>
            </w:r>
          </w:p>
        </w:tc>
        <w:tc>
          <w:tcPr>
            <w:tcW w:w="461"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76.4</w:t>
            </w:r>
          </w:p>
        </w:tc>
        <w:tc>
          <w:tcPr>
            <w:tcW w:w="52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72.8</w:t>
            </w:r>
          </w:p>
        </w:tc>
        <w:tc>
          <w:tcPr>
            <w:tcW w:w="530"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429"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68.2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w:t>
            </w:r>
          </w:p>
        </w:tc>
        <w:tc>
          <w:tcPr>
            <w:tcW w:w="433"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58.6</w:t>
            </w:r>
          </w:p>
        </w:tc>
        <w:tc>
          <w:tcPr>
            <w:tcW w:w="435"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56</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注：按《建筑施工场界环境噪声排放标准》（GB12523-2011）进行评价。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按照《建筑施工场界环境噪声排放标准》（GB12523-2011）的规定，昼间的厂界噪声限值为70dB，夜间厂界噪声限值为55dB。表5.1-2表明：项目施工方阶段厂界昼间施工噪声于声源外约100m处达标，估算夜间于355m处达标；基础施工阶段厂界昼间施工噪声于声源外125m处达标，夜间噪声达标距离估算在210m；主体结构阶段昼间厂界施工噪声于声源外100m处达标，估算夜间于380m处达标；装修阶段施工噪声昼间于声源外40m处达标，夜间于100m处达标。项目施工机械在靠近厂界边施工时，昼夜施工厂界噪声超过《建筑施工厂界环境噪声排放标准》（GB12523-2011）中限值的要求，本项目评价范围内无声环境敏感目标，施工期噪声经衰减后对环境影响甚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根据项目施工期的施工特点，提出如下噪声防治措施：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（1）施工单位施工过程中尽量避免在靠近厂界处的同一地点安排大量动力机械设备施工，以减缓局部叠加声级过高造成的厂界噪声超标的风险。</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（2）设备选型上，在不影响施工质量的前提下，在土石方、装修等施工过程应采用低噪声、低振动的设备，对施工设备进行定期维修保养，避免因设备性能减退而使噪声增强的现象发生。</w:t>
      </w:r>
    </w:p>
    <w:p>
      <w:pPr>
        <w:pStyle w:val="5"/>
        <w:rPr>
          <w:rFonts w:ascii="Times New Roman" w:hAnsi="Times New Roman" w:eastAsia="宋体"/>
          <w:color w:val="auto"/>
          <w:highlight w:val="none"/>
        </w:rPr>
      </w:pPr>
      <w:bookmarkStart w:id="180" w:name="_Toc106663497"/>
      <w:r>
        <w:rPr>
          <w:rFonts w:hint="eastAsia" w:ascii="Times New Roman" w:hAnsi="Times New Roman" w:eastAsia="宋体"/>
          <w:color w:val="auto"/>
          <w:highlight w:val="none"/>
        </w:rPr>
        <w:t>5.1.4施工期固体废物环境影响分析</w:t>
      </w:r>
      <w:bookmarkEnd w:id="18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由工程分析可知，施工期固体废物主要由施工建筑垃圾和施工人员产生的生活垃圾组成。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（1）施工建筑垃圾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施工中会产生碎砖块、砂浆、桩头、水泥、钢筋、涂料和包装材料等建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的生活垃圾和建筑垃圾不得随意倾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建筑垃圾的影响主要体现在其堆放过程中，在风力作用下，引起垃圾及粉尘随风飘散，对空气造成污染影响。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（2）生活垃圾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本项目施工高峰期施工人员及工地管理人员约30人，生活垃圾总排放量为1.35t，产生的少量生活垃圾在施工区定点收集，后统一清运交由</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环卫部门统一处理。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施工过程中的生活垃圾，如不及时处理，在气温适宜的条件下则会滋生蚊虫、产生恶臭、传播疾病，对周围环境产生不利影响，必须及时清运，杜绝因乱堆乱放对环境产生的影响。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垃圾若处置不当，会造成大面积占用土地，引起二次扬尘污染，影响景观等，生活垃圾若不合理堆放，及时清运，夏季气温较高，容易孳生蚊蝇和产生恶臭气体和垃圾沥水，会对当地环境卫生和空气质量造成不利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施工期项目的固体废弃物排放是暂时的，随着施工的结束而减小，通过积极有效的施工管理，施工期固体废弃物对环境造成的影响不大。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针对项目施工期固体废弃物种类及特点，提出如下防治措施：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（1）临时土石方于施工区就近堆放，采取覆盖围护措施，防止大风和大雨时造成的水土流失。堆放前设置挡土墙，堆放后表土覆盖防尘布，抑制扬尘产生。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施工中产生的不能再利用的建筑垃圾，应进行分类收集、分类管理，能够回收利用的尽量回收再利用，以节约资源；对于不能回收利用的要进行收集并于施工区内固定地点集中暂存，施工完成后及时处理，拉运至当地市政部门指定的建筑垃圾填埋场填埋处置或委托处置建筑垃圾的单位及时处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车辆运输建筑垃圾时，须采取覆盖措施，不得沿途漏撒；施工单位应在施工前5日向当地建设局申报工程垃圾处置计划，如实填报建筑垃圾的种类、数量、运输路线及处置方案等事项，并与有关管理部门签订环境卫生责任书。</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（5）工程完工后1个月内，应当将施工场地的剩余建筑垃圾处置干净，不得占用道路或其他类型土地来堆放建筑垃圾。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采取以上措施后，施工期固体废物对周围环境影响较小。</w:t>
      </w:r>
    </w:p>
    <w:p>
      <w:pPr>
        <w:pStyle w:val="5"/>
        <w:rPr>
          <w:rFonts w:ascii="Times New Roman" w:hAnsi="Times New Roman" w:eastAsia="宋体"/>
          <w:color w:val="auto"/>
          <w:highlight w:val="none"/>
        </w:rPr>
      </w:pPr>
      <w:bookmarkStart w:id="181" w:name="_Toc106663498"/>
      <w:r>
        <w:rPr>
          <w:rFonts w:hint="eastAsia" w:ascii="Times New Roman" w:hAnsi="Times New Roman" w:eastAsia="宋体"/>
          <w:color w:val="auto"/>
          <w:highlight w:val="none"/>
        </w:rPr>
        <w:t>5.1.5施工期生态影响分析</w:t>
      </w:r>
      <w:bookmarkEnd w:id="18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项目施工期对生态环境的影响主要是场地平整时破坏了项目区原有土壤理化性质和可能产生的水土流失影响。项目建设期对生态的影响主要体现在因施工造成的区域水土流失。</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（1）占地影响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项目占地均为永久性占地，拟建项目永久占地面积约</w:t>
      </w:r>
      <w:r>
        <w:rPr>
          <w:rFonts w:hint="eastAsia" w:ascii="Times New Roman" w:hAnsi="Times New Roman" w:eastAsia="宋体"/>
          <w:color w:val="auto"/>
          <w:highlight w:val="none"/>
          <w:lang w:eastAsia="zh-CN"/>
        </w:rPr>
        <w:t>7.01</w:t>
      </w:r>
      <w:r>
        <w:rPr>
          <w:rFonts w:hint="eastAsia" w:ascii="Times New Roman" w:hAnsi="Times New Roman" w:eastAsia="宋体"/>
          <w:color w:val="auto"/>
          <w:highlight w:val="none"/>
        </w:rPr>
        <w:t>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方在施工前应先做好施工组织，做出详细的规划，划定施工活动范围，包括材料的堆存范围、人员食宿及运动范围，尽量减少临时占地数量。在施工过程中需加强管理，严禁不按操作规程野蛮施工。施工监理部门和当地环保部门也应紧密合作，进行监督管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（2）对植被的影响分析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项目的建设将不可避免的破坏、扰动原地形地貌和植被；建设占地对区域植被的破坏是永久性的，这部分植被将永远失去生产能力，从而降低该区域植被覆盖率和生物多样性，造成植被生物量的减少。</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物区系、植被类型的影响较小，不会导致区域内现有种类和植被类型的消失灭绝。</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（3）对动物的影响分析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具有较强的迁移能力，因此，施工期对这些动物的生存影响较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（4）对其他生态环境的影响分析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用的砂土若随意堆放和场地平整后未及时绿化，在大风天气将产生风蚀，造成环境空气污染，雨季又会产生水蚀，加重地表水体污染。因此必须采取相应的措施。如：施工砂土在室内堆放或搭建顶棚，大风天气设置围档。场地平整后尽快夯实、硬化，大风天气适量洒水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（5）对水土流失的影响分析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水土流失将造成一定程度的生态影响，具体表现在：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①因施工开挖，将改变原土壤结构和地表物质组成，影响土壤肥力，从而导致土地生产力降低，给区域植被带来一定影响。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②施工期运输机械往来，使施工区表层土碾压疏松，大风天将产生扬尘，加剧区域水土流失。</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③施工时产生大量的临时堆土，虽然堆置为临时堆置，但受大风影响也会产生水土流失。</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④土建工程施工过程中对占地区造成扰动，降低土壤抗侵蚀能力，使施工期间项目部分区域土壤侵蚀强度呈增加趋势。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区域土壤侵蚀主要为风蚀，项目建设不可避免地要加重区域水土流失。拟建项目产生的水土流失可以分为三个阶段，第一阶段是在施工准备期，</w:t>
      </w:r>
      <w:r>
        <w:rPr>
          <w:rFonts w:hint="eastAsia"/>
          <w:color w:val="auto"/>
          <w:highlight w:val="none"/>
          <w:lang w:eastAsia="zh-CN"/>
        </w:rPr>
        <w:t>”</w:t>
      </w:r>
      <w:r>
        <w:rPr>
          <w:rFonts w:hint="eastAsia" w:ascii="Times New Roman" w:hAnsi="Times New Roman" w:eastAsia="宋体"/>
          <w:color w:val="auto"/>
          <w:highlight w:val="none"/>
        </w:rPr>
        <w:t>三通一平</w:t>
      </w:r>
      <w:r>
        <w:rPr>
          <w:rFonts w:hint="eastAsia"/>
          <w:color w:val="auto"/>
          <w:highlight w:val="none"/>
          <w:lang w:eastAsia="zh-CN"/>
        </w:rPr>
        <w:t>”</w:t>
      </w:r>
      <w:r>
        <w:rPr>
          <w:rFonts w:hint="eastAsia" w:ascii="Times New Roman" w:hAnsi="Times New Roman" w:eastAsia="宋体"/>
          <w:color w:val="auto"/>
          <w:highlight w:val="none"/>
        </w:rPr>
        <w:t>工作产生大量土石方的开挖、运移活动，地表扰动严重，植被几乎完全被破坏，裸露的地表水土保持功能明显减弱，土壤侵蚀强度增强；第二阶段是土建期，工业场地</w:t>
      </w:r>
      <w:r>
        <w:rPr>
          <w:rFonts w:hint="eastAsia"/>
          <w:color w:val="auto"/>
          <w:highlight w:val="none"/>
          <w:lang w:eastAsia="zh-CN"/>
        </w:rPr>
        <w:t>”</w:t>
      </w:r>
      <w:r>
        <w:rPr>
          <w:rFonts w:hint="eastAsia" w:ascii="Times New Roman" w:hAnsi="Times New Roman" w:eastAsia="宋体"/>
          <w:color w:val="auto"/>
          <w:highlight w:val="none"/>
        </w:rPr>
        <w:t>三通一平</w:t>
      </w:r>
      <w:r>
        <w:rPr>
          <w:rFonts w:hint="eastAsia"/>
          <w:color w:val="auto"/>
          <w:highlight w:val="none"/>
          <w:lang w:eastAsia="zh-CN"/>
        </w:rPr>
        <w:t>”</w:t>
      </w:r>
      <w:r>
        <w:rPr>
          <w:rFonts w:hint="eastAsia" w:ascii="Times New Roman" w:hAnsi="Times New Roman" w:eastAsia="宋体"/>
          <w:color w:val="auto"/>
          <w:highlight w:val="none"/>
        </w:rPr>
        <w:t>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较建设期有明显下降，但此时仍存在裸露地表，特别是林草植被种刚刚栽植，不能完全覆盖裸露的地表，林草植被措施还不能发挥作用，此时遇侵蚀性降雨等天气仍将不可避免的产生水土流失。运营期因采取绿化补偿等措施，可有效防止水土流失。</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为减少施工期的水土流失，建设单位应精心组织，合理安排施工计划，在暴雨季节采取合理的防护措施，并减少雨季时的施工，对土石方挖填等方案进行周密论证，优选出水土流失较少的方案。</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（6）对景观的影响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施工建筑材料、土石方临时堆放、运输、土方开挖将会对周围景观的不良影响。项目在施工活动中，应注重施工活动与周围景观的协调性与完整性。建筑材料、土石方临时堆放时应整齐堆放，采用防尘布覆盖。项目施工虽然在施工期内存在对自然景观和自然生态的影响，但在运营期采取场内防疫隔离绿化带、防护林植被绿化措施后，可将施工期对景观不利影响减到最低程度。</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（7）对自然体系稳定性影响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项目对自然体系稳定状况的度量从恢复稳定性和阻抗稳定性两个角度来度量。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对自然体系阻抗稳定性的度量，是通过对植被异质性程度的改变程度来度量的。项目区的土地利用类型主要为农业生态区的人工管理生态系统。从景观生态学角度看，人工管理的生态系统相对自然生态系统的稳定性调控能力不是很强。天然植被对自然系统有着较强的调控的能力，项目区目前人为活动相对较少，天然植被大部分还未被侵扰。因此，项目实施对区域自然体系中模地组分自身的异质化程度将产生一定影响</w:t>
      </w:r>
    </w:p>
    <w:p>
      <w:pPr>
        <w:pStyle w:val="4"/>
        <w:rPr>
          <w:rFonts w:ascii="Times New Roman" w:hAnsi="Times New Roman" w:eastAsia="宋体"/>
          <w:color w:val="auto"/>
          <w:highlight w:val="none"/>
        </w:rPr>
      </w:pPr>
      <w:bookmarkStart w:id="182" w:name="_Toc89619344"/>
      <w:bookmarkStart w:id="183" w:name="_Toc106663499"/>
      <w:r>
        <w:rPr>
          <w:rFonts w:hint="eastAsia" w:ascii="Times New Roman" w:hAnsi="Times New Roman" w:eastAsia="宋体"/>
          <w:color w:val="auto"/>
          <w:highlight w:val="none"/>
        </w:rPr>
        <w:t>5.2运营期环境影响分析</w:t>
      </w:r>
      <w:bookmarkEnd w:id="182"/>
      <w:bookmarkEnd w:id="183"/>
    </w:p>
    <w:p>
      <w:pPr>
        <w:pStyle w:val="5"/>
        <w:rPr>
          <w:rFonts w:ascii="Times New Roman" w:hAnsi="Times New Roman" w:eastAsia="宋体"/>
          <w:color w:val="auto"/>
          <w:highlight w:val="none"/>
        </w:rPr>
      </w:pPr>
      <w:bookmarkStart w:id="184" w:name="_Toc106663500"/>
      <w:r>
        <w:rPr>
          <w:rFonts w:hint="eastAsia" w:ascii="Times New Roman" w:hAnsi="Times New Roman" w:eastAsia="宋体"/>
          <w:color w:val="auto"/>
          <w:highlight w:val="none"/>
        </w:rPr>
        <w:t>5.2.1大气环境影响分析与评价</w:t>
      </w:r>
      <w:bookmarkEnd w:id="184"/>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b/>
          <w:bCs/>
          <w:color w:val="auto"/>
          <w:spacing w:val="0"/>
          <w:sz w:val="24"/>
          <w:szCs w:val="24"/>
          <w:highlight w:val="none"/>
        </w:rPr>
      </w:pPr>
      <w:r>
        <w:rPr>
          <w:rFonts w:hint="eastAsia" w:ascii="Times New Roman" w:hAnsi="Times New Roman" w:eastAsia="宋体" w:cs="Times New Roman"/>
          <w:b/>
          <w:bCs/>
          <w:color w:val="auto"/>
          <w:spacing w:val="0"/>
          <w:sz w:val="24"/>
          <w:szCs w:val="24"/>
          <w:highlight w:val="none"/>
          <w:lang w:val="en-US" w:eastAsia="zh-CN"/>
        </w:rPr>
        <w:t>5</w:t>
      </w:r>
      <w:r>
        <w:rPr>
          <w:rFonts w:ascii="Times New Roman" w:hAnsi="Times New Roman" w:eastAsia="宋体" w:cs="Times New Roman"/>
          <w:b/>
          <w:bCs/>
          <w:color w:val="auto"/>
          <w:spacing w:val="0"/>
          <w:sz w:val="24"/>
          <w:szCs w:val="24"/>
          <w:highlight w:val="none"/>
        </w:rPr>
        <w:t>.2.1.1</w:t>
      </w:r>
      <w:r>
        <w:rPr>
          <w:rFonts w:ascii="Times New Roman" w:hAnsi="Times New Roman" w:eastAsia="宋体" w:cs="宋体"/>
          <w:b/>
          <w:bCs/>
          <w:color w:val="auto"/>
          <w:spacing w:val="0"/>
          <w:sz w:val="24"/>
          <w:szCs w:val="24"/>
          <w:highlight w:val="none"/>
        </w:rPr>
        <w:t>大气污染物排放源分析</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达标性分析</w:t>
      </w:r>
    </w:p>
    <w:p>
      <w:pPr>
        <w:keepNext w:val="0"/>
        <w:keepLines w:val="0"/>
        <w:pageBreakBefore w:val="0"/>
        <w:widowControl w:val="0"/>
        <w:kinsoku/>
        <w:wordWrap/>
        <w:overflowPunct/>
        <w:topLinePunct w:val="0"/>
        <w:autoSpaceDE/>
        <w:autoSpaceDN/>
        <w:bidi w:val="0"/>
        <w:adjustRightInd/>
        <w:snapToGrid/>
        <w:spacing w:line="480" w:lineRule="exact"/>
        <w:ind w:left="0" w:right="0" w:firstLine="47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根据工程分析，本项目大气污染物主要来自鸡舍、</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，为无组织排放，主要污染物为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和</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①鸡舍</w:t>
      </w:r>
    </w:p>
    <w:p>
      <w:pPr>
        <w:keepNext w:val="0"/>
        <w:keepLines w:val="0"/>
        <w:pageBreakBefore w:val="0"/>
        <w:widowControl w:val="0"/>
        <w:kinsoku/>
        <w:wordWrap/>
        <w:overflowPunct/>
        <w:topLinePunct w:val="0"/>
        <w:autoSpaceDE/>
        <w:autoSpaceDN/>
        <w:bidi w:val="0"/>
        <w:adjustRightInd/>
        <w:snapToGrid/>
        <w:spacing w:line="480" w:lineRule="exact"/>
        <w:ind w:left="0" w:right="0" w:firstLine="481"/>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运营期鸡舍采用自动清粪系统，每天及时对鸡舍内的鸡粪进行清扫，因而鸡粪在养殖区内的积累和堆存时间相对较短，拉运至有机肥厂。定期在鸡舍喷洒除臭剂，生产区与生活区通过绿化带分隔开，减少臭气的污染。</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Times New Roman" w:hAnsi="Times New Roman" w:eastAsia="宋体" w:cs="宋体"/>
          <w:color w:val="auto"/>
          <w:spacing w:val="0"/>
          <w:sz w:val="24"/>
          <w:szCs w:val="24"/>
          <w:highlight w:val="none"/>
          <w:lang w:eastAsia="zh-CN"/>
        </w:rPr>
      </w:pPr>
      <w:r>
        <w:rPr>
          <w:rFonts w:ascii="Times New Roman" w:hAnsi="Times New Roman" w:eastAsia="宋体" w:cs="宋体"/>
          <w:color w:val="auto"/>
          <w:spacing w:val="0"/>
          <w:sz w:val="24"/>
          <w:szCs w:val="24"/>
          <w:highlight w:val="none"/>
        </w:rPr>
        <w:t>②</w:t>
      </w:r>
      <w:r>
        <w:rPr>
          <w:rFonts w:hint="eastAsia" w:cs="宋体"/>
          <w:color w:val="auto"/>
          <w:spacing w:val="0"/>
          <w:sz w:val="24"/>
          <w:szCs w:val="24"/>
          <w:highlight w:val="none"/>
          <w:lang w:eastAsia="zh-CN"/>
        </w:rPr>
        <w:t>废水收集池</w:t>
      </w:r>
    </w:p>
    <w:p>
      <w:pPr>
        <w:keepNext w:val="0"/>
        <w:keepLines w:val="0"/>
        <w:pageBreakBefore w:val="0"/>
        <w:widowControl w:val="0"/>
        <w:kinsoku/>
        <w:wordWrap/>
        <w:overflowPunct/>
        <w:topLinePunct w:val="0"/>
        <w:autoSpaceDE/>
        <w:autoSpaceDN/>
        <w:bidi w:val="0"/>
        <w:adjustRightInd/>
        <w:snapToGrid/>
        <w:spacing w:line="480" w:lineRule="exact"/>
        <w:ind w:left="0" w:right="0" w:firstLine="46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鸡舍冲洗废水在暂存的过程中会产生恶臭，</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采取加盖密封的方式，释放污染物量较少。</w:t>
      </w:r>
    </w:p>
    <w:p>
      <w:pPr>
        <w:keepNext w:val="0"/>
        <w:keepLines w:val="0"/>
        <w:pageBreakBefore w:val="0"/>
        <w:widowControl w:val="0"/>
        <w:kinsoku/>
        <w:wordWrap/>
        <w:overflowPunct/>
        <w:topLinePunct w:val="0"/>
        <w:autoSpaceDE/>
        <w:autoSpaceDN/>
        <w:bidi w:val="0"/>
        <w:adjustRightInd/>
        <w:snapToGrid/>
        <w:spacing w:line="480" w:lineRule="exact"/>
        <w:ind w:left="0" w:right="0" w:firstLine="492"/>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根据类比《沙湾县沙湾县升升养殖农民专业合作社年产</w:t>
      </w:r>
      <w:r>
        <w:rPr>
          <w:rFonts w:ascii="Times New Roman" w:hAnsi="Times New Roman" w:eastAsia="宋体" w:cs="Times New Roman"/>
          <w:color w:val="auto"/>
          <w:spacing w:val="0"/>
          <w:sz w:val="24"/>
          <w:szCs w:val="24"/>
          <w:highlight w:val="none"/>
        </w:rPr>
        <w:t>30</w:t>
      </w:r>
      <w:r>
        <w:rPr>
          <w:rFonts w:ascii="Times New Roman" w:hAnsi="Times New Roman" w:eastAsia="宋体" w:cs="宋体"/>
          <w:color w:val="auto"/>
          <w:spacing w:val="0"/>
          <w:sz w:val="24"/>
          <w:szCs w:val="24"/>
          <w:highlight w:val="none"/>
        </w:rPr>
        <w:t>万羽黄麻鸡养殖项目环境影响报告书》污染源监测，规模为年产</w:t>
      </w:r>
      <w:r>
        <w:rPr>
          <w:rFonts w:ascii="Times New Roman" w:hAnsi="Times New Roman" w:eastAsia="宋体" w:cs="Times New Roman"/>
          <w:color w:val="auto"/>
          <w:spacing w:val="0"/>
          <w:sz w:val="24"/>
          <w:szCs w:val="24"/>
          <w:highlight w:val="none"/>
        </w:rPr>
        <w:t>30</w:t>
      </w:r>
      <w:r>
        <w:rPr>
          <w:rFonts w:ascii="Times New Roman" w:hAnsi="Times New Roman" w:eastAsia="宋体" w:cs="宋体"/>
          <w:color w:val="auto"/>
          <w:spacing w:val="0"/>
          <w:sz w:val="24"/>
          <w:szCs w:val="24"/>
          <w:highlight w:val="none"/>
        </w:rPr>
        <w:t>万羽黄麻鸡，针对项目区下风向</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无组织排放浓度以及厂界恶臭浓度进行了监测，监测结果见表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.2-1</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ascii="Times New Roman" w:hAnsi="Times New Roman" w:eastAsia="宋体" w:cs="Times New Roman"/>
          <w:b/>
          <w:bCs/>
          <w:color w:val="auto"/>
          <w:spacing w:val="0"/>
          <w:sz w:val="24"/>
          <w:szCs w:val="21"/>
          <w:highlight w:val="none"/>
        </w:rPr>
        <w:t>4.2-1</w:t>
      </w:r>
      <w:r>
        <w:rPr>
          <w:rFonts w:ascii="Times New Roman" w:hAnsi="Times New Roman" w:eastAsia="宋体" w:cs="黑体"/>
          <w:b/>
          <w:bCs/>
          <w:color w:val="auto"/>
          <w:spacing w:val="0"/>
          <w:sz w:val="24"/>
          <w:szCs w:val="21"/>
          <w:highlight w:val="none"/>
        </w:rPr>
        <w:t>项目区厂界下风向恶臭污染物排放浓度监测结果</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68"/>
        <w:gridCol w:w="1428"/>
        <w:gridCol w:w="1588"/>
        <w:gridCol w:w="1428"/>
        <w:gridCol w:w="2884"/>
        <w:gridCol w:w="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66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监测点位</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标准值</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151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执行标准</w:t>
            </w:r>
          </w:p>
        </w:tc>
        <w:tc>
          <w:tcPr>
            <w:tcW w:w="4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66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0.08~0.014</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w:t>
            </w:r>
          </w:p>
        </w:tc>
        <w:tc>
          <w:tcPr>
            <w:tcW w:w="151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《恶臭污染物排放标准》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GB14554-93</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新</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污染源二级标准</w:t>
            </w:r>
          </w:p>
        </w:tc>
        <w:tc>
          <w:tcPr>
            <w:tcW w:w="4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66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0.008</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0.06</w:t>
            </w:r>
          </w:p>
        </w:tc>
        <w:tc>
          <w:tcPr>
            <w:tcW w:w="151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4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jc w:val="center"/>
        </w:trPr>
        <w:tc>
          <w:tcPr>
            <w:tcW w:w="66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臭气浓度</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14~18</w:t>
            </w:r>
          </w:p>
        </w:tc>
        <w:tc>
          <w:tcPr>
            <w:tcW w:w="74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70</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无量纲</w:t>
            </w:r>
            <w:r>
              <w:rPr>
                <w:rFonts w:hint="eastAsia" w:cs="宋体"/>
                <w:color w:val="auto"/>
                <w:spacing w:val="0"/>
                <w:position w:val="0"/>
                <w:sz w:val="21"/>
                <w:szCs w:val="21"/>
                <w:highlight w:val="none"/>
                <w:lang w:eastAsia="zh-CN"/>
              </w:rPr>
              <w:t>）</w:t>
            </w:r>
          </w:p>
        </w:tc>
        <w:tc>
          <w:tcPr>
            <w:tcW w:w="151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《畜禽养殖业污染物排放标准》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GB18596-2001</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中集约化畜禽养殖业恶臭污染物排放标准</w:t>
            </w:r>
          </w:p>
        </w:tc>
        <w:tc>
          <w:tcPr>
            <w:tcW w:w="487"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本项目年出栏青年鸡</w:t>
      </w:r>
      <w:r>
        <w:rPr>
          <w:rFonts w:hint="eastAsia" w:ascii="Times New Roman" w:hAnsi="Times New Roman" w:eastAsia="宋体" w:cs="宋体"/>
          <w:color w:val="auto"/>
          <w:spacing w:val="0"/>
          <w:sz w:val="24"/>
          <w:szCs w:val="24"/>
          <w:highlight w:val="none"/>
          <w:lang w:val="en-US" w:eastAsia="zh-CN"/>
        </w:rPr>
        <w:t>72</w:t>
      </w:r>
      <w:r>
        <w:rPr>
          <w:rFonts w:ascii="Times New Roman" w:hAnsi="Times New Roman" w:eastAsia="宋体" w:cs="宋体"/>
          <w:color w:val="auto"/>
          <w:spacing w:val="0"/>
          <w:sz w:val="24"/>
          <w:szCs w:val="24"/>
          <w:highlight w:val="none"/>
        </w:rPr>
        <w:t>万羽，由此可见，本项目运行期恶臭污染物</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和</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无组织排放浓度均可满足《恶臭污染物排放标准》</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GB14554-93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中表</w:t>
      </w:r>
      <w:r>
        <w:rPr>
          <w:rFonts w:ascii="Times New Roman" w:hAnsi="Times New Roman" w:eastAsia="宋体" w:cs="Times New Roman"/>
          <w:color w:val="auto"/>
          <w:spacing w:val="0"/>
          <w:sz w:val="24"/>
          <w:szCs w:val="24"/>
          <w:highlight w:val="none"/>
        </w:rPr>
        <w:t>1</w:t>
      </w:r>
      <w:r>
        <w:rPr>
          <w:rFonts w:ascii="Times New Roman" w:hAnsi="Times New Roman" w:eastAsia="宋体" w:cs="宋体"/>
          <w:color w:val="auto"/>
          <w:spacing w:val="0"/>
          <w:sz w:val="24"/>
          <w:szCs w:val="24"/>
          <w:highlight w:val="none"/>
        </w:rPr>
        <w:t>新污染源二级标准，厂界恶臭浓度《畜禽养殖业污染物排放标准》</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GB18596-2001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中集约化畜禽养殖业恶臭污染物排放标准。</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2、大气环境影响估算</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估算模型选取</w:t>
      </w:r>
    </w:p>
    <w:p>
      <w:pPr>
        <w:keepNext w:val="0"/>
        <w:keepLines w:val="0"/>
        <w:pageBreakBefore w:val="0"/>
        <w:widowControl w:val="0"/>
        <w:kinsoku/>
        <w:wordWrap/>
        <w:overflowPunct/>
        <w:topLinePunct w:val="0"/>
        <w:autoSpaceDE/>
        <w:autoSpaceDN/>
        <w:bidi w:val="0"/>
        <w:adjustRightInd/>
        <w:snapToGrid/>
        <w:spacing w:line="480" w:lineRule="exact"/>
        <w:ind w:left="0" w:right="0" w:firstLine="481"/>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为了解本项目废气对周边环境的影响，本此评价根据《环境影响评价技术导则大气环境》</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HJ2.2-2018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，采用估算模式</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AERSCREEN</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对项目排放的废气进行预测分析。结合本项目特点，本评价选取</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作为预测估算因子。</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2</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评价标准</w:t>
      </w:r>
    </w:p>
    <w:p>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项目评价因子和和评价标准详见表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.2-2</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.2-2</w:t>
      </w:r>
      <w:r>
        <w:rPr>
          <w:rFonts w:ascii="Times New Roman" w:hAnsi="Times New Roman" w:eastAsia="宋体" w:cs="黑体"/>
          <w:b/>
          <w:bCs/>
          <w:color w:val="auto"/>
          <w:spacing w:val="0"/>
          <w:sz w:val="24"/>
          <w:szCs w:val="21"/>
          <w:highlight w:val="none"/>
        </w:rPr>
        <w:t>评价因子和评价标准一览表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66"/>
        <w:gridCol w:w="1757"/>
        <w:gridCol w:w="2078"/>
        <w:gridCol w:w="41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8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评价时段</w:t>
            </w:r>
          </w:p>
        </w:tc>
        <w:tc>
          <w:tcPr>
            <w:tcW w:w="109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标准值</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μg/m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2163"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perscript"/>
              </w:rPr>
              <w:t>3</w:t>
            </w: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小时</w:t>
            </w:r>
          </w:p>
        </w:tc>
        <w:tc>
          <w:tcPr>
            <w:tcW w:w="109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200</w:t>
            </w:r>
          </w:p>
        </w:tc>
        <w:tc>
          <w:tcPr>
            <w:tcW w:w="2163"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《环境影响评价技术导则大气环境》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0HJ2.2-2018</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D</w:t>
            </w:r>
            <w:r>
              <w:rPr>
                <w:rFonts w:ascii="Times New Roman" w:hAnsi="Times New Roman" w:eastAsia="宋体" w:cs="宋体"/>
                <w:color w:val="auto"/>
                <w:spacing w:val="0"/>
                <w:position w:val="0"/>
                <w:sz w:val="21"/>
                <w:szCs w:val="21"/>
                <w:highlight w:val="none"/>
              </w:rPr>
              <w:t>浓度限</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jc w:val="center"/>
        </w:trPr>
        <w:tc>
          <w:tcPr>
            <w:tcW w:w="8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92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小时</w:t>
            </w:r>
          </w:p>
        </w:tc>
        <w:tc>
          <w:tcPr>
            <w:tcW w:w="109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c>
          <w:tcPr>
            <w:tcW w:w="2163"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污染源强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根据工程分析，项目工程污染源具体见表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.2-3</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黑体"/>
          <w:b/>
          <w:bCs/>
          <w:color w:val="auto"/>
          <w:spacing w:val="0"/>
          <w:sz w:val="24"/>
          <w:szCs w:val="21"/>
          <w:highlight w:val="none"/>
          <w:lang w:eastAsia="zh-CN"/>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.2-3</w:t>
      </w:r>
      <w:r>
        <w:rPr>
          <w:rFonts w:ascii="Times New Roman" w:hAnsi="Times New Roman" w:eastAsia="宋体" w:cs="黑体"/>
          <w:b/>
          <w:bCs/>
          <w:color w:val="auto"/>
          <w:spacing w:val="0"/>
          <w:sz w:val="24"/>
          <w:szCs w:val="21"/>
          <w:highlight w:val="none"/>
        </w:rPr>
        <w:t>圈舍无组织废气污染源一览表</w:t>
      </w:r>
      <w:r>
        <w:rPr>
          <w:rFonts w:hint="eastAsia" w:cs="黑体"/>
          <w:b/>
          <w:bCs/>
          <w:color w:val="auto"/>
          <w:spacing w:val="0"/>
          <w:sz w:val="24"/>
          <w:szCs w:val="21"/>
          <w:highlight w:val="none"/>
          <w:lang w:eastAsia="zh-CN"/>
        </w:rPr>
        <w:t>（</w:t>
      </w:r>
      <w:r>
        <w:rPr>
          <w:rFonts w:ascii="Times New Roman" w:hAnsi="Times New Roman" w:eastAsia="宋体" w:cs="黑体"/>
          <w:b/>
          <w:bCs/>
          <w:color w:val="auto"/>
          <w:spacing w:val="0"/>
          <w:sz w:val="24"/>
          <w:szCs w:val="21"/>
          <w:highlight w:val="none"/>
        </w:rPr>
        <w:t>面源</w:t>
      </w:r>
      <w:r>
        <w:rPr>
          <w:rFonts w:hint="eastAsia" w:cs="黑体"/>
          <w:b/>
          <w:bCs/>
          <w:color w:val="auto"/>
          <w:spacing w:val="0"/>
          <w:sz w:val="24"/>
          <w:szCs w:val="21"/>
          <w:highlight w:val="none"/>
          <w:lang w:eastAsia="zh-CN"/>
        </w:rPr>
        <w:t>）</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85"/>
        <w:gridCol w:w="1761"/>
        <w:gridCol w:w="5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污染源名称</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面源中心坐标</w:t>
            </w:r>
            <w:r>
              <w:rPr>
                <w:rFonts w:ascii="Times New Roman" w:hAnsi="Times New Roman" w:eastAsia="宋体" w:cs="Times New Roman"/>
                <w:color w:val="auto"/>
                <w:spacing w:val="0"/>
                <w:position w:val="0"/>
                <w:sz w:val="21"/>
                <w:szCs w:val="21"/>
                <w:highlight w:val="none"/>
              </w:rPr>
              <w:t>/m</w:t>
            </w: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X</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446728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Y</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4910317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面源中心海拔高度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面源长度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面源宽度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面源有效排放高度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与正北方向夹角</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年排放小时</w:t>
            </w:r>
            <w:r>
              <w:rPr>
                <w:rFonts w:ascii="Times New Roman" w:hAnsi="Times New Roman" w:eastAsia="宋体" w:cs="Times New Roman"/>
                <w:color w:val="auto"/>
                <w:spacing w:val="0"/>
                <w:position w:val="0"/>
                <w:sz w:val="21"/>
                <w:szCs w:val="21"/>
                <w:highlight w:val="none"/>
              </w:rPr>
              <w:t>/h</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jc w:val="center"/>
        </w:trPr>
        <w:tc>
          <w:tcPr>
            <w:tcW w:w="233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排放工况</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jc w:val="center"/>
        </w:trPr>
        <w:tc>
          <w:tcPr>
            <w:tcW w:w="14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污染物排放速率</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kg/h</w:t>
            </w:r>
            <w:r>
              <w:rPr>
                <w:rFonts w:hint="eastAsia" w:cs="宋体"/>
                <w:color w:val="auto"/>
                <w:spacing w:val="0"/>
                <w:position w:val="0"/>
                <w:sz w:val="21"/>
                <w:szCs w:val="21"/>
                <w:highlight w:val="none"/>
                <w:lang w:eastAsia="zh-CN"/>
              </w:rPr>
              <w:t>）</w:t>
            </w: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9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2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ascii="Times New Roman" w:hAnsi="Times New Roman" w:eastAsia="宋体" w:cs="Times New Roman"/>
                <w:color w:val="auto"/>
                <w:spacing w:val="0"/>
                <w:position w:val="0"/>
                <w:sz w:val="21"/>
                <w:szCs w:val="21"/>
                <w:highlight w:val="none"/>
              </w:rPr>
              <w:t>0.00</w:t>
            </w:r>
            <w:r>
              <w:rPr>
                <w:rFonts w:hint="eastAsia" w:cs="Times New Roman"/>
                <w:color w:val="auto"/>
                <w:spacing w:val="0"/>
                <w:positio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4</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估算模型参数</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本次评价选用《环境影响评价技术导则大气环境》</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HJ2.2-2018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推荐的</w:t>
      </w:r>
      <w:r>
        <w:rPr>
          <w:rFonts w:ascii="Times New Roman" w:hAnsi="Times New Roman" w:eastAsia="宋体" w:cs="Times New Roman"/>
          <w:color w:val="auto"/>
          <w:spacing w:val="0"/>
          <w:sz w:val="24"/>
          <w:szCs w:val="24"/>
          <w:highlight w:val="none"/>
        </w:rPr>
        <w:t>AERSCREEN</w:t>
      </w:r>
      <w:r>
        <w:rPr>
          <w:rFonts w:ascii="Times New Roman" w:hAnsi="Times New Roman" w:eastAsia="宋体" w:cs="宋体"/>
          <w:color w:val="auto"/>
          <w:spacing w:val="0"/>
          <w:sz w:val="24"/>
          <w:szCs w:val="24"/>
          <w:highlight w:val="none"/>
        </w:rPr>
        <w:t>模型，估算模型参数详见表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.2-4</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.2-4</w:t>
      </w:r>
      <w:r>
        <w:rPr>
          <w:rFonts w:ascii="Times New Roman" w:hAnsi="Times New Roman" w:eastAsia="宋体" w:cs="黑体"/>
          <w:b/>
          <w:bCs/>
          <w:color w:val="auto"/>
          <w:spacing w:val="0"/>
          <w:sz w:val="24"/>
          <w:szCs w:val="21"/>
          <w:highlight w:val="none"/>
        </w:rPr>
        <w:t>估算模型参数表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72"/>
        <w:gridCol w:w="3840"/>
        <w:gridCol w:w="26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7" w:hRule="atLeast"/>
          <w:jc w:val="center"/>
        </w:trPr>
        <w:tc>
          <w:tcPr>
            <w:tcW w:w="362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参数</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城市</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农村选项</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城市</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农村</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人口数</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城市选项时</w:t>
            </w:r>
            <w:r>
              <w:rPr>
                <w:rFonts w:hint="eastAsia" w:cs="宋体"/>
                <w:color w:val="auto"/>
                <w:spacing w:val="0"/>
                <w:position w:val="0"/>
                <w:sz w:val="21"/>
                <w:szCs w:val="21"/>
                <w:highlight w:val="none"/>
                <w:lang w:eastAsia="zh-CN"/>
              </w:rPr>
              <w:t>）</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最高环境温度</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最低环境温度</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jc w:val="center"/>
        </w:trPr>
        <w:tc>
          <w:tcPr>
            <w:tcW w:w="362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土地利用类型</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农作地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362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区域湿度条件</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干燥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是否考虑地形</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考虑地形</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drawing>
                <wp:inline distT="0" distB="0" distL="0" distR="0">
                  <wp:extent cx="114300" cy="1333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9"/>
                          <a:stretch>
                            <a:fillRect/>
                          </a:stretch>
                        </pic:blipFill>
                        <pic:spPr>
                          <a:xfrm>
                            <a:off x="0" y="0"/>
                            <a:ext cx="114547" cy="133350"/>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是□否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地形数据分辨率</w:t>
            </w:r>
            <w:r>
              <w:rPr>
                <w:rFonts w:ascii="Times New Roman" w:hAnsi="Times New Roman" w:eastAsia="宋体" w:cs="Times New Roman"/>
                <w:color w:val="auto"/>
                <w:spacing w:val="0"/>
                <w:position w:val="0"/>
                <w:sz w:val="21"/>
                <w:szCs w:val="21"/>
                <w:highlight w:val="none"/>
              </w:rPr>
              <w:t>/m</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12"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是否考虑岸线熏烟</w:t>
            </w: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考虑岸线熏烟</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w:t>
            </w:r>
            <w:r>
              <w:rPr>
                <w:rFonts w:ascii="Times New Roman" w:hAnsi="Times New Roman" w:eastAsia="宋体"/>
                <w:color w:val="auto"/>
                <w:spacing w:val="0"/>
                <w:position w:val="0"/>
                <w:sz w:val="21"/>
                <w:szCs w:val="21"/>
                <w:highlight w:val="none"/>
              </w:rPr>
              <w:drawing>
                <wp:inline distT="0" distB="0" distL="0" distR="0">
                  <wp:extent cx="114300" cy="133350"/>
                  <wp:effectExtent l="0" t="0" r="0" b="0"/>
                  <wp:docPr id="50" name="IM 33"/>
                  <wp:cNvGraphicFramePr/>
                  <a:graphic xmlns:a="http://schemas.openxmlformats.org/drawingml/2006/main">
                    <a:graphicData uri="http://schemas.openxmlformats.org/drawingml/2006/picture">
                      <pic:pic xmlns:pic="http://schemas.openxmlformats.org/drawingml/2006/picture">
                        <pic:nvPicPr>
                          <pic:cNvPr id="50" name="IM 33"/>
                          <pic:cNvPicPr/>
                        </pic:nvPicPr>
                        <pic:blipFill>
                          <a:blip r:embed="rId49"/>
                          <a:stretch>
                            <a:fillRect/>
                          </a:stretch>
                        </pic:blipFill>
                        <pic:spPr>
                          <a:xfrm>
                            <a:off x="0" y="0"/>
                            <a:ext cx="114547" cy="133350"/>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12"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岸线距离</w:t>
            </w:r>
            <w:r>
              <w:rPr>
                <w:rFonts w:ascii="Times New Roman" w:hAnsi="Times New Roman" w:eastAsia="宋体" w:cs="Times New Roman"/>
                <w:color w:val="auto"/>
                <w:spacing w:val="0"/>
                <w:position w:val="0"/>
                <w:sz w:val="21"/>
                <w:szCs w:val="21"/>
                <w:highlight w:val="none"/>
              </w:rPr>
              <w:t>/km</w:t>
            </w:r>
          </w:p>
        </w:tc>
        <w:tc>
          <w:tcPr>
            <w:tcW w:w="137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5</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主要污染源估算模型计算结果</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主要污染源估算模型计算结果详见表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.2-5</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.2-5</w:t>
      </w:r>
      <w:r>
        <w:rPr>
          <w:rFonts w:ascii="Times New Roman" w:hAnsi="Times New Roman" w:eastAsia="宋体" w:cs="黑体"/>
          <w:b/>
          <w:bCs/>
          <w:color w:val="auto"/>
          <w:spacing w:val="0"/>
          <w:sz w:val="24"/>
          <w:szCs w:val="21"/>
          <w:highlight w:val="none"/>
        </w:rPr>
        <w:t>厂区硫化氢、氨气估算模式计算结果表</w:t>
      </w:r>
    </w:p>
    <w:tbl>
      <w:tblPr>
        <w:tblStyle w:val="176"/>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0"/>
        <w:gridCol w:w="1453"/>
        <w:gridCol w:w="1935"/>
        <w:gridCol w:w="1775"/>
        <w:gridCol w:w="1937"/>
        <w:gridCol w:w="1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序号</w:t>
            </w:r>
          </w:p>
        </w:tc>
        <w:tc>
          <w:tcPr>
            <w:tcW w:w="761" w:type="pct"/>
            <w:vMerge w:val="restart"/>
            <w:tcBorders>
              <w:bottom w:val="nil"/>
            </w:tcBorders>
            <w:vAlign w:val="center"/>
          </w:tcPr>
          <w:p>
            <w:pPr>
              <w:keepNext w:val="0"/>
              <w:keepLines w:val="0"/>
              <w:pageBreakBefore w:val="0"/>
              <w:widowControl w:val="0"/>
              <w:tabs>
                <w:tab w:val="left" w:pos="459"/>
              </w:tabs>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源距下风向距离</w:t>
            </w:r>
            <w:r>
              <w:rPr>
                <w:rFonts w:ascii="Times New Roman" w:hAnsi="Times New Roman" w:eastAsia="宋体" w:cs="Times New Roman"/>
                <w:b w:val="0"/>
                <w:color w:val="auto"/>
                <w:spacing w:val="0"/>
                <w:position w:val="0"/>
                <w:sz w:val="21"/>
                <w:szCs w:val="21"/>
                <w:highlight w:val="none"/>
              </w:rPr>
              <w:t>D</w:t>
            </w:r>
            <w:r>
              <w:rPr>
                <w:rFonts w:ascii="Times New Roman" w:hAnsi="Times New Roman" w:eastAsia="宋体" w:cs="宋体"/>
                <w:b w:val="0"/>
                <w:color w:val="auto"/>
                <w:spacing w:val="0"/>
                <w:position w:val="0"/>
                <w:sz w:val="21"/>
                <w:szCs w:val="21"/>
                <w:highlight w:val="none"/>
              </w:rPr>
              <w:tab/>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m</w:t>
            </w:r>
            <w:r>
              <w:rPr>
                <w:rFonts w:hint="eastAsia" w:ascii="Times New Roman" w:hAnsi="Times New Roman" w:eastAsia="宋体" w:cs="宋体"/>
                <w:b w:val="0"/>
                <w:color w:val="auto"/>
                <w:spacing w:val="0"/>
                <w:position w:val="0"/>
                <w:sz w:val="21"/>
                <w:szCs w:val="21"/>
                <w:highlight w:val="none"/>
                <w:lang w:eastAsia="zh-CN"/>
              </w:rPr>
              <w:t>）</w:t>
            </w:r>
          </w:p>
        </w:tc>
        <w:tc>
          <w:tcPr>
            <w:tcW w:w="1946"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氨气</w:t>
            </w:r>
          </w:p>
        </w:tc>
        <w:tc>
          <w:tcPr>
            <w:tcW w:w="1866"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硫化氢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2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val="0"/>
                <w:color w:val="auto"/>
                <w:spacing w:val="0"/>
                <w:position w:val="0"/>
                <w:sz w:val="21"/>
                <w:highlight w:val="none"/>
              </w:rPr>
            </w:pPr>
          </w:p>
        </w:tc>
        <w:tc>
          <w:tcPr>
            <w:tcW w:w="761"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val="0"/>
                <w:color w:val="auto"/>
                <w:spacing w:val="0"/>
                <w:position w:val="0"/>
                <w:sz w:val="21"/>
                <w:highlight w:val="none"/>
              </w:rPr>
            </w:pP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下风向预测浓度</w:t>
            </w:r>
            <w:r>
              <w:rPr>
                <w:rFonts w:hint="eastAsia" w:ascii="Times New Roman" w:hAnsi="Times New Roman" w:eastAsia="宋体" w:cs="宋体"/>
                <w:b w:val="0"/>
                <w:color w:val="auto"/>
                <w:spacing w:val="0"/>
                <w:position w:val="0"/>
                <w:sz w:val="21"/>
                <w:szCs w:val="21"/>
                <w:highlight w:val="none"/>
                <w:lang w:eastAsia="zh-CN"/>
              </w:rPr>
              <w:t>（</w:t>
            </w:r>
            <w:r>
              <w:rPr>
                <w:rFonts w:hint="eastAsia" w:ascii="Times New Roman" w:hAnsi="Times New Roman" w:eastAsia="宋体" w:cs="Times New Roman"/>
                <w:b w:val="0"/>
                <w:color w:val="auto"/>
                <w:spacing w:val="0"/>
                <w:position w:val="0"/>
                <w:sz w:val="21"/>
                <w:szCs w:val="21"/>
                <w:highlight w:val="none"/>
                <w:lang w:val="en-US" w:eastAsia="zh-CN"/>
              </w:rPr>
              <w:t>u</w:t>
            </w:r>
            <w:r>
              <w:rPr>
                <w:rFonts w:ascii="Times New Roman" w:hAnsi="Times New Roman" w:eastAsia="宋体" w:cs="Times New Roman"/>
                <w:b w:val="0"/>
                <w:color w:val="auto"/>
                <w:spacing w:val="0"/>
                <w:position w:val="0"/>
                <w:sz w:val="21"/>
                <w:szCs w:val="21"/>
                <w:highlight w:val="none"/>
              </w:rPr>
              <w:t>g/m</w:t>
            </w:r>
            <w:r>
              <w:rPr>
                <w:rFonts w:hint="eastAsia" w:ascii="Times New Roman" w:hAnsi="Times New Roman" w:eastAsia="宋体" w:cs="Times New Roman"/>
                <w:b w:val="0"/>
                <w:color w:val="auto"/>
                <w:spacing w:val="0"/>
                <w:position w:val="0"/>
                <w:sz w:val="21"/>
                <w:szCs w:val="21"/>
                <w:highlight w:val="none"/>
                <w:vertAlign w:val="superscript"/>
                <w:lang w:val="en-US" w:eastAsia="zh-CN"/>
              </w:rPr>
              <w:t>3</w:t>
            </w:r>
            <w:r>
              <w:rPr>
                <w:rFonts w:hint="eastAsia" w:ascii="Times New Roman" w:hAnsi="Times New Roman" w:eastAsia="宋体" w:cs="宋体"/>
                <w:b w:val="0"/>
                <w:color w:val="auto"/>
                <w:spacing w:val="0"/>
                <w:position w:val="0"/>
                <w:sz w:val="21"/>
                <w:szCs w:val="21"/>
                <w:highlight w:val="none"/>
                <w:lang w:eastAsia="zh-CN"/>
              </w:rPr>
              <w:t>）</w:t>
            </w:r>
          </w:p>
        </w:tc>
        <w:tc>
          <w:tcPr>
            <w:tcW w:w="9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下风向预测浓度</w:t>
            </w:r>
            <w:r>
              <w:rPr>
                <w:rFonts w:hint="eastAsia" w:ascii="Times New Roman" w:hAnsi="Times New Roman" w:eastAsia="宋体" w:cs="宋体"/>
                <w:b w:val="0"/>
                <w:color w:val="auto"/>
                <w:spacing w:val="0"/>
                <w:position w:val="0"/>
                <w:sz w:val="21"/>
                <w:szCs w:val="21"/>
                <w:highlight w:val="none"/>
                <w:lang w:eastAsia="zh-CN"/>
              </w:rPr>
              <w:t>（</w:t>
            </w:r>
            <w:r>
              <w:rPr>
                <w:rFonts w:hint="eastAsia" w:ascii="Times New Roman" w:hAnsi="Times New Roman" w:eastAsia="宋体" w:cs="Times New Roman"/>
                <w:b w:val="0"/>
                <w:color w:val="auto"/>
                <w:spacing w:val="0"/>
                <w:position w:val="0"/>
                <w:sz w:val="21"/>
                <w:szCs w:val="21"/>
                <w:highlight w:val="none"/>
                <w:lang w:val="en-US" w:eastAsia="zh-CN"/>
              </w:rPr>
              <w:t>u</w:t>
            </w:r>
            <w:r>
              <w:rPr>
                <w:rFonts w:ascii="Times New Roman" w:hAnsi="Times New Roman" w:eastAsia="宋体" w:cs="Times New Roman"/>
                <w:b w:val="0"/>
                <w:color w:val="auto"/>
                <w:spacing w:val="0"/>
                <w:position w:val="0"/>
                <w:sz w:val="21"/>
                <w:szCs w:val="21"/>
                <w:highlight w:val="none"/>
              </w:rPr>
              <w:t>g/m</w:t>
            </w:r>
            <w:r>
              <w:rPr>
                <w:rFonts w:ascii="Times New Roman" w:hAnsi="Times New Roman" w:eastAsia="宋体" w:cs="Times New Roman"/>
                <w:b w:val="0"/>
                <w:color w:val="auto"/>
                <w:spacing w:val="0"/>
                <w:position w:val="0"/>
                <w:sz w:val="21"/>
                <w:szCs w:val="14"/>
                <w:highlight w:val="none"/>
                <w:vertAlign w:val="superscript"/>
              </w:rPr>
              <w:t>3</w:t>
            </w:r>
            <w:r>
              <w:rPr>
                <w:rFonts w:hint="eastAsia" w:ascii="Times New Roman" w:hAnsi="Times New Roman" w:eastAsia="宋体" w:cs="宋体"/>
                <w:b w:val="0"/>
                <w:color w:val="auto"/>
                <w:spacing w:val="0"/>
                <w:position w:val="0"/>
                <w:sz w:val="21"/>
                <w:szCs w:val="21"/>
                <w:highlight w:val="none"/>
                <w:lang w:eastAsia="zh-CN"/>
              </w:rPr>
              <w:t>）</w:t>
            </w:r>
          </w:p>
        </w:tc>
        <w:tc>
          <w:tcPr>
            <w:tcW w:w="84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6.556</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3.278</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0.5567</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7.586</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3.793</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0.6255</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3</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9.501</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4.7505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0.7666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7.666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4</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11.16</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5.58</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0.8956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8.956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5</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11.68</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5.84</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0.93</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6</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11.37</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5.685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0.8921</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8.921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bCs/>
                <w:color w:val="auto"/>
                <w:spacing w:val="0"/>
                <w:position w:val="0"/>
                <w:sz w:val="21"/>
                <w:szCs w:val="21"/>
                <w:highlight w:val="none"/>
              </w:rPr>
              <w:t>7</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10.32</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5.16</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0.7886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7.886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8</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9.389</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4.6945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0.7057</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7.057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9</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8.611</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4.3055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0.6403</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6.403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10</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7.952</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3.976</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0.587</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11</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7.402</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3.701</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0.5435</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5.435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12</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6.927</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3.4635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0.5068</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13</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6.519</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3.2595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0.4753</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4.753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14</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1200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6.165</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3.0825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0.4486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4.486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15</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1300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5.855</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2.9275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0.4251</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4.251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16</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1400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5.574</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2.787</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0.4128</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4.128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17</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1500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5.505</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2.7525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0.3932</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18</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1600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5.261</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2.6305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0.3758</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19</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1700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5.041</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2.5205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0.3601</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3.601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20</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1800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4.843</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2.4215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0.3459</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3.459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21</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4.662</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2.331</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0.333</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22</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4.497</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2.2485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0.3212</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23</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4.346</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2.173</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0.3104</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3.104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24</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2200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4.206</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2.103</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0.3004</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25</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2300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4.077</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2.0385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0.2912</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2.912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26</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2400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3.957</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1.9785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0.2826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2.826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27</w:t>
            </w:r>
          </w:p>
        </w:tc>
        <w:tc>
          <w:tcPr>
            <w:tcW w:w="761" w:type="pct"/>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2500</w:t>
            </w:r>
          </w:p>
        </w:tc>
        <w:tc>
          <w:tcPr>
            <w:tcW w:w="193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3.845</w:t>
            </w:r>
          </w:p>
        </w:tc>
        <w:tc>
          <w:tcPr>
            <w:tcW w:w="1774"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1.9225</w:t>
            </w:r>
          </w:p>
        </w:tc>
        <w:tc>
          <w:tcPr>
            <w:tcW w:w="1936"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0.2746</w:t>
            </w:r>
          </w:p>
        </w:tc>
        <w:tc>
          <w:tcPr>
            <w:tcW w:w="1619" w:type="dxa"/>
            <w:vAlign w:val="center"/>
          </w:tcPr>
          <w:p>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18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下风向最大质量浓度及占标率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11.68</w:t>
            </w:r>
          </w:p>
        </w:tc>
        <w:tc>
          <w:tcPr>
            <w:tcW w:w="931"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5.84</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0.93</w:t>
            </w:r>
          </w:p>
        </w:tc>
        <w:tc>
          <w:tcPr>
            <w:tcW w:w="84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187"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D</w:t>
            </w:r>
            <w:r>
              <w:rPr>
                <w:rFonts w:ascii="Times New Roman" w:hAnsi="Times New Roman" w:eastAsia="宋体" w:cs="Times New Roman"/>
                <w:b w:val="0"/>
                <w:color w:val="auto"/>
                <w:spacing w:val="0"/>
                <w:position w:val="0"/>
                <w:sz w:val="21"/>
                <w:szCs w:val="14"/>
                <w:highlight w:val="none"/>
              </w:rPr>
              <w:t>10%</w:t>
            </w:r>
            <w:r>
              <w:rPr>
                <w:rFonts w:ascii="Times New Roman" w:hAnsi="Times New Roman" w:eastAsia="宋体" w:cs="宋体"/>
                <w:b w:val="0"/>
                <w:color w:val="auto"/>
                <w:spacing w:val="0"/>
                <w:position w:val="0"/>
                <w:sz w:val="21"/>
                <w:szCs w:val="21"/>
                <w:highlight w:val="none"/>
              </w:rPr>
              <w:t>最远距离</w:t>
            </w:r>
            <w:r>
              <w:rPr>
                <w:rFonts w:ascii="Times New Roman" w:hAnsi="Times New Roman" w:eastAsia="宋体" w:cs="Times New Roman"/>
                <w:b w:val="0"/>
                <w:color w:val="auto"/>
                <w:spacing w:val="0"/>
                <w:position w:val="0"/>
                <w:sz w:val="21"/>
                <w:szCs w:val="21"/>
                <w:highlight w:val="none"/>
              </w:rPr>
              <w:t>/m</w:t>
            </w:r>
          </w:p>
        </w:tc>
        <w:tc>
          <w:tcPr>
            <w:tcW w:w="3812" w:type="pct"/>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400</w:t>
            </w:r>
          </w:p>
        </w:tc>
      </w:tr>
    </w:tbl>
    <w:p>
      <w:pPr>
        <w:spacing w:before="25" w:line="224" w:lineRule="auto"/>
        <w:ind w:left="398"/>
        <w:rPr>
          <w:rFonts w:ascii="Times New Roman" w:hAnsi="Times New Roman" w:eastAsia="宋体" w:cs="宋体"/>
          <w:color w:val="auto"/>
          <w:sz w:val="18"/>
          <w:szCs w:val="18"/>
          <w:highlight w:val="none"/>
        </w:rPr>
      </w:pPr>
      <w:r>
        <w:rPr>
          <w:rFonts w:ascii="Times New Roman" w:hAnsi="Times New Roman" w:eastAsia="宋体" w:cs="宋体"/>
          <w:color w:val="auto"/>
          <w:spacing w:val="1"/>
          <w:sz w:val="18"/>
          <w:szCs w:val="18"/>
          <w:highlight w:val="none"/>
          <w14:textOutline w14:w="3265" w14:cap="flat" w14:cmpd="sng">
            <w14:solidFill>
              <w14:srgbClr w14:val="000000"/>
            </w14:solidFill>
            <w14:prstDash w14:val="solid"/>
            <w14:miter w14:val="0"/>
          </w14:textOutline>
        </w:rPr>
        <w:t>注</w:t>
      </w:r>
      <w:r>
        <w:rPr>
          <w:rFonts w:ascii="Times New Roman" w:hAnsi="Times New Roman" w:eastAsia="宋体" w:cs="宋体"/>
          <w:color w:val="auto"/>
          <w:sz w:val="18"/>
          <w:szCs w:val="18"/>
          <w:highlight w:val="none"/>
          <w14:textOutline w14:w="3265" w14:cap="flat" w14:cmpd="sng">
            <w14:solidFill>
              <w14:srgbClr w14:val="000000"/>
            </w14:solidFill>
            <w14:prstDash w14:val="solid"/>
            <w14:miter w14:val="0"/>
          </w14:textOutline>
        </w:rPr>
        <w:t>：表中黑体部分为最大落地浓度</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根据估算结果表明，</w:t>
      </w:r>
      <w:r>
        <w:rPr>
          <w:rFonts w:ascii="Times New Roman" w:hAnsi="Times New Roman" w:eastAsia="宋体" w:cs="Times New Roman"/>
          <w:i w:val="0"/>
          <w:color w:val="auto"/>
          <w:spacing w:val="0"/>
          <w:position w:val="0"/>
          <w:sz w:val="24"/>
          <w:szCs w:val="24"/>
          <w:highlight w:val="none"/>
        </w:rPr>
        <w:t>NH</w:t>
      </w:r>
      <w:r>
        <w:rPr>
          <w:rFonts w:ascii="Times New Roman" w:hAnsi="Times New Roman" w:eastAsia="宋体" w:cs="Times New Roman"/>
          <w:i w:val="0"/>
          <w:color w:val="auto"/>
          <w:spacing w:val="0"/>
          <w:position w:val="0"/>
          <w:sz w:val="24"/>
          <w:szCs w:val="15"/>
          <w:highlight w:val="none"/>
          <w:vertAlign w:val="subscript"/>
        </w:rPr>
        <w:t>3</w:t>
      </w:r>
      <w:r>
        <w:rPr>
          <w:rFonts w:ascii="Times New Roman" w:hAnsi="Times New Roman" w:eastAsia="宋体" w:cs="宋体"/>
          <w:i w:val="0"/>
          <w:color w:val="auto"/>
          <w:spacing w:val="0"/>
          <w:position w:val="0"/>
          <w:sz w:val="24"/>
          <w:szCs w:val="24"/>
          <w:highlight w:val="none"/>
        </w:rPr>
        <w:t>和</w:t>
      </w:r>
      <w:r>
        <w:rPr>
          <w:rFonts w:ascii="Times New Roman" w:hAnsi="Times New Roman" w:eastAsia="宋体" w:cs="Times New Roman"/>
          <w:i w:val="0"/>
          <w:color w:val="auto"/>
          <w:spacing w:val="0"/>
          <w:position w:val="0"/>
          <w:sz w:val="24"/>
          <w:szCs w:val="24"/>
          <w:highlight w:val="none"/>
        </w:rPr>
        <w:t>H</w:t>
      </w:r>
      <w:r>
        <w:rPr>
          <w:rFonts w:ascii="Times New Roman" w:hAnsi="Times New Roman" w:eastAsia="宋体" w:cs="Times New Roman"/>
          <w:i w:val="0"/>
          <w:color w:val="auto"/>
          <w:spacing w:val="0"/>
          <w:position w:val="0"/>
          <w:sz w:val="24"/>
          <w:szCs w:val="15"/>
          <w:highlight w:val="none"/>
          <w:vertAlign w:val="subscript"/>
        </w:rPr>
        <w:t>2</w:t>
      </w:r>
      <w:r>
        <w:rPr>
          <w:rFonts w:ascii="Times New Roman" w:hAnsi="Times New Roman" w:eastAsia="宋体" w:cs="Times New Roman"/>
          <w:i w:val="0"/>
          <w:color w:val="auto"/>
          <w:spacing w:val="0"/>
          <w:position w:val="0"/>
          <w:sz w:val="24"/>
          <w:szCs w:val="24"/>
          <w:highlight w:val="none"/>
        </w:rPr>
        <w:t>S</w:t>
      </w:r>
      <w:r>
        <w:rPr>
          <w:rFonts w:ascii="Times New Roman" w:hAnsi="Times New Roman" w:eastAsia="宋体" w:cs="宋体"/>
          <w:i w:val="0"/>
          <w:color w:val="auto"/>
          <w:spacing w:val="0"/>
          <w:position w:val="0"/>
          <w:sz w:val="24"/>
          <w:szCs w:val="24"/>
          <w:highlight w:val="none"/>
        </w:rPr>
        <w:t>最大地面空气质量浓度出现在距离厂界</w:t>
      </w:r>
      <w:r>
        <w:rPr>
          <w:rFonts w:hint="eastAsia" w:cs="Times New Roman"/>
          <w:i w:val="0"/>
          <w:color w:val="auto"/>
          <w:spacing w:val="0"/>
          <w:position w:val="0"/>
          <w:sz w:val="24"/>
          <w:szCs w:val="24"/>
          <w:highlight w:val="none"/>
          <w:lang w:val="en-US" w:eastAsia="zh-CN"/>
        </w:rPr>
        <w:t>400</w:t>
      </w:r>
      <w:r>
        <w:rPr>
          <w:rFonts w:ascii="Times New Roman" w:hAnsi="Times New Roman" w:eastAsia="宋体" w:cs="Times New Roman"/>
          <w:i w:val="0"/>
          <w:color w:val="auto"/>
          <w:spacing w:val="0"/>
          <w:position w:val="0"/>
          <w:sz w:val="24"/>
          <w:szCs w:val="24"/>
          <w:highlight w:val="none"/>
        </w:rPr>
        <w:t>m</w:t>
      </w:r>
      <w:r>
        <w:rPr>
          <w:rFonts w:ascii="Times New Roman" w:hAnsi="Times New Roman" w:eastAsia="宋体" w:cs="宋体"/>
          <w:i w:val="0"/>
          <w:color w:val="auto"/>
          <w:spacing w:val="0"/>
          <w:position w:val="0"/>
          <w:sz w:val="24"/>
          <w:szCs w:val="24"/>
          <w:highlight w:val="none"/>
        </w:rPr>
        <w:t>处，最大地面空气质量浓度分别为</w:t>
      </w:r>
      <w:r>
        <w:rPr>
          <w:rFonts w:hint="eastAsia" w:cs="Times New Roman"/>
          <w:i w:val="0"/>
          <w:color w:val="auto"/>
          <w:spacing w:val="0"/>
          <w:position w:val="0"/>
          <w:sz w:val="24"/>
          <w:szCs w:val="24"/>
          <w:highlight w:val="none"/>
          <w:lang w:val="en-US" w:eastAsia="zh-CN"/>
        </w:rPr>
        <w:t>11.68u</w:t>
      </w:r>
      <w:r>
        <w:rPr>
          <w:rFonts w:ascii="Times New Roman" w:hAnsi="Times New Roman" w:eastAsia="宋体" w:cs="Times New Roman"/>
          <w:i w:val="0"/>
          <w:color w:val="auto"/>
          <w:spacing w:val="0"/>
          <w:position w:val="0"/>
          <w:sz w:val="24"/>
          <w:szCs w:val="24"/>
          <w:highlight w:val="none"/>
        </w:rPr>
        <w:t>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和</w:t>
      </w:r>
      <w:r>
        <w:rPr>
          <w:rFonts w:hint="eastAsia" w:cs="Times New Roman"/>
          <w:i w:val="0"/>
          <w:color w:val="auto"/>
          <w:spacing w:val="0"/>
          <w:position w:val="0"/>
          <w:sz w:val="24"/>
          <w:szCs w:val="24"/>
          <w:highlight w:val="none"/>
          <w:lang w:val="en-US" w:eastAsia="zh-CN"/>
        </w:rPr>
        <w:t>0.93u</w:t>
      </w:r>
      <w:r>
        <w:rPr>
          <w:rFonts w:ascii="Times New Roman" w:hAnsi="Times New Roman" w:eastAsia="宋体" w:cs="Times New Roman"/>
          <w:i w:val="0"/>
          <w:color w:val="auto"/>
          <w:spacing w:val="0"/>
          <w:position w:val="0"/>
          <w:sz w:val="24"/>
          <w:szCs w:val="24"/>
          <w:highlight w:val="none"/>
        </w:rPr>
        <w:t>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，占标率分别为</w:t>
      </w:r>
      <w:r>
        <w:rPr>
          <w:rFonts w:hint="eastAsia" w:cs="Times New Roman"/>
          <w:i w:val="0"/>
          <w:color w:val="auto"/>
          <w:spacing w:val="0"/>
          <w:position w:val="0"/>
          <w:sz w:val="24"/>
          <w:szCs w:val="24"/>
          <w:highlight w:val="none"/>
          <w:lang w:val="en-US" w:eastAsia="zh-CN"/>
        </w:rPr>
        <w:t>5.84</w:t>
      </w:r>
      <w:r>
        <w:rPr>
          <w:rFonts w:ascii="Times New Roman" w:hAnsi="Times New Roman" w:eastAsia="宋体" w:cs="Times New Roman"/>
          <w:i w:val="0"/>
          <w:color w:val="auto"/>
          <w:spacing w:val="0"/>
          <w:position w:val="0"/>
          <w:sz w:val="24"/>
          <w:szCs w:val="24"/>
          <w:highlight w:val="none"/>
        </w:rPr>
        <w:t>%</w:t>
      </w:r>
      <w:r>
        <w:rPr>
          <w:rFonts w:ascii="Times New Roman" w:hAnsi="Times New Roman" w:eastAsia="宋体" w:cs="宋体"/>
          <w:i w:val="0"/>
          <w:color w:val="auto"/>
          <w:spacing w:val="0"/>
          <w:position w:val="0"/>
          <w:sz w:val="24"/>
          <w:szCs w:val="24"/>
          <w:highlight w:val="none"/>
        </w:rPr>
        <w:t>和</w:t>
      </w:r>
      <w:r>
        <w:rPr>
          <w:rFonts w:hint="eastAsia" w:cs="Times New Roman"/>
          <w:i w:val="0"/>
          <w:color w:val="auto"/>
          <w:spacing w:val="0"/>
          <w:position w:val="0"/>
          <w:sz w:val="24"/>
          <w:szCs w:val="24"/>
          <w:highlight w:val="none"/>
          <w:lang w:val="en-US" w:eastAsia="zh-CN"/>
        </w:rPr>
        <w:t>9.3</w:t>
      </w:r>
      <w:r>
        <w:rPr>
          <w:rFonts w:ascii="Times New Roman" w:hAnsi="Times New Roman" w:eastAsia="宋体" w:cs="Times New Roman"/>
          <w:i w:val="0"/>
          <w:color w:val="auto"/>
          <w:spacing w:val="0"/>
          <w:position w:val="0"/>
          <w:sz w:val="24"/>
          <w:szCs w:val="24"/>
          <w:highlight w:val="none"/>
        </w:rPr>
        <w:t>%</w:t>
      </w:r>
      <w:r>
        <w:rPr>
          <w:rFonts w:ascii="Times New Roman" w:hAnsi="Times New Roman" w:eastAsia="宋体" w:cs="宋体"/>
          <w:i w:val="0"/>
          <w:color w:val="auto"/>
          <w:spacing w:val="0"/>
          <w:position w:val="0"/>
          <w:sz w:val="24"/>
          <w:szCs w:val="24"/>
          <w:highlight w:val="none"/>
        </w:rPr>
        <w:t>，均远小于《环境影响评价技术导则大气环境》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0HJ2.2-2018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附录</w:t>
      </w:r>
      <w:r>
        <w:rPr>
          <w:rFonts w:ascii="Times New Roman" w:hAnsi="Times New Roman" w:eastAsia="宋体" w:cs="Times New Roman"/>
          <w:i w:val="0"/>
          <w:color w:val="auto"/>
          <w:spacing w:val="0"/>
          <w:position w:val="0"/>
          <w:sz w:val="24"/>
          <w:szCs w:val="24"/>
          <w:highlight w:val="none"/>
        </w:rPr>
        <w:t>D</w:t>
      </w:r>
      <w:r>
        <w:rPr>
          <w:rFonts w:ascii="Times New Roman" w:hAnsi="Times New Roman" w:eastAsia="宋体" w:cs="宋体"/>
          <w:i w:val="0"/>
          <w:color w:val="auto"/>
          <w:spacing w:val="0"/>
          <w:position w:val="0"/>
          <w:sz w:val="24"/>
          <w:szCs w:val="24"/>
          <w:highlight w:val="none"/>
        </w:rPr>
        <w:t>浓度限值要求。</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Times New Roman"/>
          <w:i w:val="0"/>
          <w:color w:val="auto"/>
          <w:spacing w:val="0"/>
          <w:position w:val="0"/>
          <w:sz w:val="24"/>
          <w:szCs w:val="24"/>
          <w:highlight w:val="none"/>
        </w:rPr>
        <w:t>3</w:t>
      </w:r>
      <w:r>
        <w:rPr>
          <w:rFonts w:ascii="Times New Roman" w:hAnsi="Times New Roman" w:eastAsia="宋体" w:cs="宋体"/>
          <w:i w:val="0"/>
          <w:color w:val="auto"/>
          <w:spacing w:val="0"/>
          <w:position w:val="0"/>
          <w:sz w:val="24"/>
          <w:szCs w:val="24"/>
          <w:highlight w:val="none"/>
        </w:rPr>
        <w:t>、污染物排放量核算</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项目大气污染物无组织排放量核算详见表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.2-6</w:t>
      </w:r>
      <w:r>
        <w:rPr>
          <w:rFonts w:ascii="Times New Roman" w:hAnsi="Times New Roman" w:eastAsia="宋体" w:cs="宋体"/>
          <w:i w:val="0"/>
          <w:color w:val="auto"/>
          <w:spacing w:val="0"/>
          <w:position w:val="0"/>
          <w:sz w:val="24"/>
          <w:szCs w:val="24"/>
          <w:highlight w:val="none"/>
        </w:rPr>
        <w:t>；项目大气污染物无组织排放量核算详见表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.2-7</w:t>
      </w:r>
      <w:r>
        <w:rPr>
          <w:rFonts w:ascii="Times New Roman" w:hAnsi="Times New Roman" w:eastAsia="宋体" w:cs="宋体"/>
          <w:i w:val="0"/>
          <w:color w:val="auto"/>
          <w:spacing w:val="0"/>
          <w:position w:val="0"/>
          <w:sz w:val="24"/>
          <w:szCs w:val="24"/>
          <w:highlight w:val="none"/>
        </w:rPr>
        <w:t>，大气污染物年排放量核算详见表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.2-8</w:t>
      </w:r>
      <w:r>
        <w:rPr>
          <w:rFonts w:ascii="Times New Roman" w:hAnsi="Times New Roman" w:eastAsia="宋体" w:cs="宋体"/>
          <w:i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.2-6</w:t>
      </w:r>
      <w:r>
        <w:rPr>
          <w:rFonts w:ascii="Times New Roman" w:hAnsi="Times New Roman" w:eastAsia="宋体" w:cs="黑体"/>
          <w:b/>
          <w:bCs/>
          <w:i w:val="0"/>
          <w:color w:val="auto"/>
          <w:spacing w:val="0"/>
          <w:position w:val="0"/>
          <w:sz w:val="24"/>
          <w:szCs w:val="21"/>
          <w:highlight w:val="none"/>
        </w:rPr>
        <w:t>大气污染物有组织排放量核算表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6"/>
        <w:gridCol w:w="1438"/>
        <w:gridCol w:w="1596"/>
        <w:gridCol w:w="2238"/>
        <w:gridCol w:w="1920"/>
        <w:gridCol w:w="17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jc w:val="center"/>
        </w:trPr>
        <w:tc>
          <w:tcPr>
            <w:tcW w:w="318" w:type="pc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排放口编号</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污染物</w:t>
            </w:r>
          </w:p>
        </w:tc>
        <w:tc>
          <w:tcPr>
            <w:tcW w:w="117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核算排放浓度</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mg/m</w:t>
            </w:r>
            <w:r>
              <w:rPr>
                <w:rFonts w:ascii="Times New Roman" w:hAnsi="Times New Roman" w:eastAsia="宋体" w:cs="Times New Roman"/>
                <w:i w:val="0"/>
                <w:color w:val="auto"/>
                <w:spacing w:val="0"/>
                <w:position w:val="0"/>
                <w:sz w:val="21"/>
                <w:szCs w:val="14"/>
                <w:highlight w:val="none"/>
                <w:vertAlign w:val="superscript"/>
              </w:rPr>
              <w:t>3</w:t>
            </w:r>
            <w:r>
              <w:rPr>
                <w:rFonts w:hint="eastAsia" w:cs="宋体"/>
                <w:i w:val="0"/>
                <w:color w:val="auto"/>
                <w:spacing w:val="0"/>
                <w:position w:val="0"/>
                <w:sz w:val="21"/>
                <w:szCs w:val="21"/>
                <w:highlight w:val="none"/>
                <w:lang w:eastAsia="zh-CN"/>
              </w:rPr>
              <w:t>）</w:t>
            </w:r>
          </w:p>
        </w:tc>
        <w:tc>
          <w:tcPr>
            <w:tcW w:w="10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核算排放速率</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kg/h</w:t>
            </w:r>
            <w:r>
              <w:rPr>
                <w:rFonts w:hint="eastAsia" w:cs="宋体"/>
                <w:i w:val="0"/>
                <w:color w:val="auto"/>
                <w:spacing w:val="0"/>
                <w:position w:val="0"/>
                <w:sz w:val="21"/>
                <w:szCs w:val="21"/>
                <w:highlight w:val="none"/>
                <w:lang w:eastAsia="zh-CN"/>
              </w:rPr>
              <w:t>）</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核算年排放量</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17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0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主要排放口合计</w:t>
            </w:r>
          </w:p>
        </w:tc>
        <w:tc>
          <w:tcPr>
            <w:tcW w:w="302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73" w:type="pct"/>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NOx</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VOCs</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000" w:type="pct"/>
            <w:gridSpan w:val="6"/>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一般排放口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17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00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073"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一般排放口合计</w:t>
            </w:r>
          </w:p>
        </w:tc>
        <w:tc>
          <w:tcPr>
            <w:tcW w:w="302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.2-7</w:t>
      </w:r>
      <w:r>
        <w:rPr>
          <w:rFonts w:ascii="Times New Roman" w:hAnsi="Times New Roman" w:eastAsia="宋体" w:cs="黑体"/>
          <w:b/>
          <w:bCs/>
          <w:i w:val="0"/>
          <w:color w:val="auto"/>
          <w:spacing w:val="0"/>
          <w:position w:val="0"/>
          <w:sz w:val="24"/>
          <w:szCs w:val="21"/>
          <w:highlight w:val="none"/>
        </w:rPr>
        <w:t>大气污染物无组织排放量核算表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2"/>
        <w:gridCol w:w="964"/>
        <w:gridCol w:w="796"/>
        <w:gridCol w:w="798"/>
        <w:gridCol w:w="318"/>
        <w:gridCol w:w="1120"/>
        <w:gridCol w:w="2560"/>
        <w:gridCol w:w="1278"/>
        <w:gridCol w:w="1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316"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5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排放口编号</w:t>
            </w:r>
          </w:p>
        </w:tc>
        <w:tc>
          <w:tcPr>
            <w:tcW w:w="4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产污</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环节</w:t>
            </w:r>
          </w:p>
        </w:tc>
        <w:tc>
          <w:tcPr>
            <w:tcW w:w="4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物</w:t>
            </w:r>
          </w:p>
        </w:tc>
        <w:tc>
          <w:tcPr>
            <w:tcW w:w="755"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主要防治措施</w:t>
            </w:r>
          </w:p>
        </w:tc>
        <w:tc>
          <w:tcPr>
            <w:tcW w:w="201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国家或地方污染物排放标准</w:t>
            </w:r>
          </w:p>
        </w:tc>
        <w:tc>
          <w:tcPr>
            <w:tcW w:w="5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年排放量</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31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5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55"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3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标准名称</w:t>
            </w:r>
          </w:p>
        </w:tc>
        <w:tc>
          <w:tcPr>
            <w:tcW w:w="6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浓度限值</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mg/m</w:t>
            </w:r>
            <w:r>
              <w:rPr>
                <w:rFonts w:ascii="Times New Roman" w:hAnsi="Times New Roman" w:eastAsia="宋体" w:cs="Times New Roman"/>
                <w:i w:val="0"/>
                <w:color w:val="auto"/>
                <w:spacing w:val="0"/>
                <w:position w:val="0"/>
                <w:sz w:val="21"/>
                <w:szCs w:val="14"/>
                <w:highlight w:val="none"/>
                <w:vertAlign w:val="superscript"/>
              </w:rPr>
              <w:t>3</w:t>
            </w:r>
            <w:r>
              <w:rPr>
                <w:rFonts w:hint="eastAsia" w:cs="宋体"/>
                <w:i w:val="0"/>
                <w:color w:val="auto"/>
                <w:spacing w:val="0"/>
                <w:position w:val="0"/>
                <w:sz w:val="21"/>
                <w:szCs w:val="21"/>
                <w:highlight w:val="none"/>
                <w:lang w:eastAsia="zh-CN"/>
              </w:rPr>
              <w:t>）</w:t>
            </w:r>
          </w:p>
        </w:tc>
        <w:tc>
          <w:tcPr>
            <w:tcW w:w="5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jc w:val="center"/>
        </w:trPr>
        <w:tc>
          <w:tcPr>
            <w:tcW w:w="31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w:t>
            </w:r>
          </w:p>
        </w:tc>
        <w:tc>
          <w:tcPr>
            <w:tcW w:w="5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4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养殖</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w:t>
            </w:r>
          </w:p>
        </w:tc>
        <w:tc>
          <w:tcPr>
            <w:tcW w:w="4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755"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圈舍定期喷洒除臭剂，加强通风；圈舍四周绿化</w:t>
            </w:r>
          </w:p>
        </w:tc>
        <w:tc>
          <w:tcPr>
            <w:tcW w:w="13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《恶臭污染物排放标准》</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GB14554-93</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表</w:t>
            </w:r>
            <w:r>
              <w:rPr>
                <w:rFonts w:ascii="Times New Roman" w:hAnsi="Times New Roman" w:eastAsia="宋体" w:cs="Times New Roman"/>
                <w:i w:val="0"/>
                <w:color w:val="auto"/>
                <w:spacing w:val="0"/>
                <w:position w:val="0"/>
                <w:sz w:val="21"/>
                <w:szCs w:val="21"/>
                <w:highlight w:val="none"/>
              </w:rPr>
              <w:t>1</w:t>
            </w:r>
            <w:r>
              <w:rPr>
                <w:rFonts w:ascii="Times New Roman" w:hAnsi="Times New Roman" w:eastAsia="宋体" w:cs="宋体"/>
                <w:i w:val="0"/>
                <w:color w:val="auto"/>
                <w:spacing w:val="0"/>
                <w:position w:val="0"/>
                <w:sz w:val="21"/>
                <w:szCs w:val="21"/>
                <w:highlight w:val="none"/>
              </w:rPr>
              <w:t>中二级新扩改建厂界标准限值</w:t>
            </w:r>
          </w:p>
        </w:tc>
        <w:tc>
          <w:tcPr>
            <w:tcW w:w="6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1.5</w:t>
            </w:r>
          </w:p>
        </w:tc>
        <w:tc>
          <w:tcPr>
            <w:tcW w:w="5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3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5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755"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3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6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i w:val="0"/>
                <w:color w:val="auto"/>
                <w:spacing w:val="0"/>
                <w:position w:val="0"/>
                <w:sz w:val="21"/>
                <w:szCs w:val="21"/>
                <w:highlight w:val="none"/>
                <w:lang w:val="en-US" w:eastAsia="zh-CN"/>
              </w:rPr>
            </w:pPr>
            <w:r>
              <w:rPr>
                <w:rFonts w:hint="eastAsia" w:cs="Times New Roman"/>
                <w:i w:val="0"/>
                <w:color w:val="auto"/>
                <w:spacing w:val="0"/>
                <w:position w:val="0"/>
                <w:sz w:val="21"/>
                <w:szCs w:val="21"/>
                <w:highlight w:val="none"/>
                <w:lang w:val="en-US" w:eastAsia="zh-CN"/>
              </w:rPr>
              <w:t>0.06</w:t>
            </w:r>
          </w:p>
        </w:tc>
        <w:tc>
          <w:tcPr>
            <w:tcW w:w="5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无组织排放总计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826" w:type="pct"/>
            <w:gridSpan w:val="5"/>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无组织排放总计</w:t>
            </w:r>
          </w:p>
        </w:tc>
        <w:tc>
          <w:tcPr>
            <w:tcW w:w="193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12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826" w:type="pct"/>
            <w:gridSpan w:val="5"/>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93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124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.2-8</w:t>
      </w:r>
      <w:r>
        <w:rPr>
          <w:rFonts w:ascii="Times New Roman" w:hAnsi="Times New Roman" w:eastAsia="宋体" w:cs="黑体"/>
          <w:b/>
          <w:bCs/>
          <w:i w:val="0"/>
          <w:color w:val="auto"/>
          <w:spacing w:val="0"/>
          <w:position w:val="0"/>
          <w:sz w:val="24"/>
          <w:szCs w:val="21"/>
          <w:highlight w:val="none"/>
        </w:rPr>
        <w:t>大气污染物年排放量核算表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06"/>
        <w:gridCol w:w="3357"/>
        <w:gridCol w:w="39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5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污染物</w:t>
            </w:r>
          </w:p>
        </w:tc>
        <w:tc>
          <w:tcPr>
            <w:tcW w:w="207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年排放量</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5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207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5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2</w:t>
            </w:r>
          </w:p>
        </w:tc>
        <w:tc>
          <w:tcPr>
            <w:tcW w:w="176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207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b/>
          <w:bCs/>
          <w:i w:val="0"/>
          <w:color w:val="auto"/>
          <w:spacing w:val="0"/>
          <w:position w:val="0"/>
          <w:sz w:val="24"/>
          <w:szCs w:val="24"/>
          <w:highlight w:val="none"/>
        </w:rPr>
      </w:pPr>
      <w:r>
        <w:rPr>
          <w:rFonts w:hint="eastAsia" w:ascii="Times New Roman" w:hAnsi="Times New Roman" w:eastAsia="宋体" w:cs="Times New Roman"/>
          <w:b/>
          <w:bCs/>
          <w:i w:val="0"/>
          <w:color w:val="auto"/>
          <w:spacing w:val="0"/>
          <w:position w:val="0"/>
          <w:sz w:val="24"/>
          <w:szCs w:val="24"/>
          <w:highlight w:val="none"/>
          <w:lang w:val="en-US" w:eastAsia="zh-CN"/>
        </w:rPr>
        <w:t>5</w:t>
      </w:r>
      <w:r>
        <w:rPr>
          <w:rFonts w:ascii="Times New Roman" w:hAnsi="Times New Roman" w:eastAsia="宋体" w:cs="Times New Roman"/>
          <w:b/>
          <w:bCs/>
          <w:i w:val="0"/>
          <w:color w:val="auto"/>
          <w:spacing w:val="0"/>
          <w:position w:val="0"/>
          <w:sz w:val="24"/>
          <w:szCs w:val="24"/>
          <w:highlight w:val="none"/>
        </w:rPr>
        <w:t>.2.1.2</w:t>
      </w:r>
      <w:r>
        <w:rPr>
          <w:rFonts w:ascii="Times New Roman" w:hAnsi="Times New Roman" w:eastAsia="宋体" w:cs="宋体"/>
          <w:b/>
          <w:bCs/>
          <w:i w:val="0"/>
          <w:color w:val="auto"/>
          <w:spacing w:val="0"/>
          <w:position w:val="0"/>
          <w:sz w:val="24"/>
          <w:szCs w:val="24"/>
          <w:highlight w:val="none"/>
        </w:rPr>
        <w:t>防护距离</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1</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大气环境防护距离</w:t>
      </w:r>
    </w:p>
    <w:p>
      <w:pPr>
        <w:keepNext w:val="0"/>
        <w:keepLines w:val="0"/>
        <w:pageBreakBefore w:val="0"/>
        <w:widowControl w:val="0"/>
        <w:kinsoku/>
        <w:wordWrap/>
        <w:overflowPunct/>
        <w:topLinePunct w:val="0"/>
        <w:autoSpaceDE/>
        <w:autoSpaceDN/>
        <w:bidi w:val="0"/>
        <w:adjustRightInd/>
        <w:snapToGrid/>
        <w:spacing w:line="360" w:lineRule="auto"/>
        <w:ind w:left="0" w:right="0" w:firstLine="506"/>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因为养殖场环境空气主要污染物是恶臭，也是居民在心理上最关心的。在《环境影响评价技术导则大气环境》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附录</w:t>
      </w:r>
      <w:r>
        <w:rPr>
          <w:rFonts w:ascii="Times New Roman" w:hAnsi="Times New Roman" w:eastAsia="宋体" w:cs="Times New Roman"/>
          <w:i w:val="0"/>
          <w:color w:val="auto"/>
          <w:spacing w:val="0"/>
          <w:position w:val="0"/>
          <w:sz w:val="24"/>
          <w:szCs w:val="24"/>
          <w:highlight w:val="none"/>
        </w:rPr>
        <w:t>D</w:t>
      </w:r>
      <w:r>
        <w:rPr>
          <w:rFonts w:ascii="Times New Roman" w:hAnsi="Times New Roman" w:eastAsia="宋体" w:cs="宋体"/>
          <w:i w:val="0"/>
          <w:color w:val="auto"/>
          <w:spacing w:val="0"/>
          <w:position w:val="0"/>
          <w:sz w:val="24"/>
          <w:szCs w:val="24"/>
          <w:highlight w:val="none"/>
        </w:rPr>
        <w:t>其他污染物空气质量浓度参考限值中硫化氢的最高允许浓度为</w:t>
      </w:r>
      <w:r>
        <w:rPr>
          <w:rFonts w:ascii="Times New Roman" w:hAnsi="Times New Roman" w:eastAsia="宋体" w:cs="Times New Roman"/>
          <w:i w:val="0"/>
          <w:color w:val="auto"/>
          <w:spacing w:val="0"/>
          <w:position w:val="0"/>
          <w:sz w:val="24"/>
          <w:szCs w:val="24"/>
          <w:highlight w:val="none"/>
        </w:rPr>
        <w:t>0.01mg/m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，氨气的最高允许浓度为</w:t>
      </w:r>
      <w:r>
        <w:rPr>
          <w:rFonts w:ascii="Times New Roman" w:hAnsi="Times New Roman" w:eastAsia="宋体" w:cs="Times New Roman"/>
          <w:i w:val="0"/>
          <w:color w:val="auto"/>
          <w:spacing w:val="0"/>
          <w:position w:val="0"/>
          <w:sz w:val="24"/>
          <w:szCs w:val="24"/>
          <w:highlight w:val="none"/>
        </w:rPr>
        <w:t>0.2mg/m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。本次评价采用《环境影响评价技术导则大气环境》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推荐的估算模型</w:t>
      </w:r>
      <w:r>
        <w:rPr>
          <w:rFonts w:ascii="Times New Roman" w:hAnsi="Times New Roman" w:eastAsia="宋体" w:cs="Times New Roman"/>
          <w:i w:val="0"/>
          <w:color w:val="auto"/>
          <w:spacing w:val="0"/>
          <w:position w:val="0"/>
          <w:sz w:val="24"/>
          <w:szCs w:val="24"/>
          <w:highlight w:val="none"/>
        </w:rPr>
        <w:t>AERSCREEN</w:t>
      </w:r>
      <w:r>
        <w:rPr>
          <w:rFonts w:ascii="Times New Roman" w:hAnsi="Times New Roman" w:eastAsia="宋体" w:cs="宋体"/>
          <w:i w:val="0"/>
          <w:color w:val="auto"/>
          <w:spacing w:val="0"/>
          <w:position w:val="0"/>
          <w:sz w:val="24"/>
          <w:szCs w:val="24"/>
          <w:highlight w:val="none"/>
        </w:rPr>
        <w:t>计算，本项目恶臭气体无组织排放未出现超标现象，因此项目不需设大气环境防护距离。</w:t>
      </w:r>
    </w:p>
    <w:p>
      <w:pPr>
        <w:keepNext w:val="0"/>
        <w:keepLines w:val="0"/>
        <w:pageBreakBefore w:val="0"/>
        <w:widowControl w:val="0"/>
        <w:kinsoku/>
        <w:wordWrap/>
        <w:overflowPunct/>
        <w:topLinePunct w:val="0"/>
        <w:autoSpaceDE/>
        <w:autoSpaceDN/>
        <w:bidi w:val="0"/>
        <w:adjustRightInd/>
        <w:snapToGrid/>
        <w:spacing w:line="360" w:lineRule="auto"/>
        <w:ind w:left="0" w:right="0" w:firstLine="49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2</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本项目无相关卫生距离标准，根据《畜禽养殖业污染防治技术规范》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HJ/T81-2001</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中要求，新建、改建、扩建的畜禽养殖场场界与该标准中规定的禁建区域的最小距离不得小于</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禁建区域包括：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它区域。因此确定本项目卫生防护距离为</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3</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防护距离结论</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综合上述分析，确定本项目的防护距离为</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根据现场调查，以拟建养殖场场界为起点外扩</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范围内无环境敏感点分布，满足项目环境防护距离要求。</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b/>
          <w:bCs/>
          <w:i w:val="0"/>
          <w:color w:val="auto"/>
          <w:spacing w:val="0"/>
          <w:position w:val="0"/>
          <w:sz w:val="24"/>
          <w:szCs w:val="24"/>
          <w:highlight w:val="none"/>
        </w:rPr>
      </w:pPr>
      <w:r>
        <w:rPr>
          <w:rFonts w:hint="eastAsia" w:ascii="Times New Roman" w:hAnsi="Times New Roman" w:eastAsia="宋体" w:cs="宋体"/>
          <w:b/>
          <w:bCs/>
          <w:i w:val="0"/>
          <w:color w:val="auto"/>
          <w:spacing w:val="0"/>
          <w:position w:val="0"/>
          <w:sz w:val="24"/>
          <w:szCs w:val="24"/>
          <w:highlight w:val="none"/>
          <w:lang w:val="en-US" w:eastAsia="zh-CN"/>
        </w:rPr>
        <w:t>5.2.1.3</w:t>
      </w:r>
      <w:r>
        <w:rPr>
          <w:rFonts w:ascii="Times New Roman" w:hAnsi="Times New Roman" w:eastAsia="宋体" w:cs="宋体"/>
          <w:b/>
          <w:bCs/>
          <w:i w:val="0"/>
          <w:color w:val="auto"/>
          <w:spacing w:val="0"/>
          <w:position w:val="0"/>
          <w:sz w:val="24"/>
          <w:szCs w:val="24"/>
          <w:highlight w:val="none"/>
        </w:rPr>
        <w:t>大气环境影响评价自查表</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建设项目大气环境影响评价自查表详见表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.2-9</w:t>
      </w:r>
      <w:r>
        <w:rPr>
          <w:rFonts w:ascii="Times New Roman" w:hAnsi="Times New Roman" w:eastAsia="宋体" w:cs="宋体"/>
          <w:i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.2-9</w:t>
      </w:r>
      <w:r>
        <w:rPr>
          <w:rFonts w:ascii="Times New Roman" w:hAnsi="Times New Roman" w:eastAsia="宋体" w:cs="黑体"/>
          <w:b/>
          <w:bCs/>
          <w:i w:val="0"/>
          <w:color w:val="auto"/>
          <w:spacing w:val="0"/>
          <w:position w:val="0"/>
          <w:sz w:val="24"/>
          <w:szCs w:val="21"/>
          <w:highlight w:val="none"/>
        </w:rPr>
        <w:t>建设项目大气环境影响评价自查表</w:t>
      </w:r>
    </w:p>
    <w:tbl>
      <w:tblPr>
        <w:tblStyle w:val="176"/>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4"/>
        <w:gridCol w:w="1527"/>
        <w:gridCol w:w="1389"/>
        <w:gridCol w:w="187"/>
        <w:gridCol w:w="183"/>
        <w:gridCol w:w="185"/>
        <w:gridCol w:w="187"/>
        <w:gridCol w:w="1580"/>
        <w:gridCol w:w="1080"/>
        <w:gridCol w:w="502"/>
        <w:gridCol w:w="393"/>
        <w:gridCol w:w="296"/>
        <w:gridCol w:w="277"/>
        <w:gridCol w:w="1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111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工作内容</w:t>
            </w:r>
          </w:p>
        </w:tc>
        <w:tc>
          <w:tcPr>
            <w:tcW w:w="3888" w:type="pct"/>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评价等级与范围</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评价等级</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一级</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二级</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评价范围</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=50km□</w:t>
            </w:r>
          </w:p>
        </w:tc>
        <w:tc>
          <w:tcPr>
            <w:tcW w:w="18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50km□</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=5km</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评价因子</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+NO</w:t>
            </w:r>
            <w:r>
              <w:rPr>
                <w:rFonts w:ascii="Times New Roman" w:hAnsi="Times New Roman" w:eastAsia="宋体" w:cs="Times New Roman"/>
                <w:i w:val="0"/>
                <w:iCs/>
                <w:color w:val="auto"/>
                <w:spacing w:val="0"/>
                <w:position w:val="0"/>
                <w:sz w:val="21"/>
                <w:szCs w:val="21"/>
                <w:highlight w:val="none"/>
              </w:rPr>
              <w:t>x</w:t>
            </w:r>
            <w:r>
              <w:rPr>
                <w:rFonts w:ascii="Times New Roman" w:hAnsi="Times New Roman" w:eastAsia="宋体" w:cs="宋体"/>
                <w:i w:val="0"/>
                <w:color w:val="auto"/>
                <w:spacing w:val="0"/>
                <w:position w:val="0"/>
                <w:sz w:val="21"/>
                <w:szCs w:val="21"/>
                <w:highlight w:val="none"/>
              </w:rPr>
              <w:t>排放量</w:t>
            </w:r>
          </w:p>
        </w:tc>
        <w:tc>
          <w:tcPr>
            <w:tcW w:w="8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2000t/a</w:t>
            </w:r>
            <w:r>
              <w:rPr>
                <w:rFonts w:ascii="Times New Roman" w:hAnsi="Times New Roman" w:eastAsia="宋体" w:cs="宋体"/>
                <w:i w:val="0"/>
                <w:color w:val="auto"/>
                <w:spacing w:val="0"/>
                <w:position w:val="0"/>
                <w:sz w:val="21"/>
                <w:szCs w:val="21"/>
                <w:highlight w:val="none"/>
              </w:rPr>
              <w:t>□</w:t>
            </w:r>
          </w:p>
        </w:tc>
        <w:tc>
          <w:tcPr>
            <w:tcW w:w="2154"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500~2000t/a□</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500t/a</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评价因子</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基本污染物</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10</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NOx</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CO</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O</w:t>
            </w:r>
            <w:r>
              <w:rPr>
                <w:rFonts w:ascii="Times New Roman" w:hAnsi="Times New Roman" w:eastAsia="宋体" w:cs="Times New Roman"/>
                <w:i w:val="0"/>
                <w:color w:val="auto"/>
                <w:spacing w:val="0"/>
                <w:position w:val="0"/>
                <w:sz w:val="21"/>
                <w:szCs w:val="14"/>
                <w:highlight w:val="none"/>
                <w:vertAlign w:val="subscript"/>
              </w:rPr>
              <w:t>3</w:t>
            </w:r>
            <w:r>
              <w:rPr>
                <w:rFonts w:hint="eastAsia" w:cs="Times New Roman"/>
                <w:i w:val="0"/>
                <w:color w:val="auto"/>
                <w:spacing w:val="0"/>
                <w:position w:val="0"/>
                <w:sz w:val="21"/>
                <w:szCs w:val="21"/>
                <w:highlight w:val="none"/>
                <w:lang w:eastAsia="zh-CN"/>
              </w:rPr>
              <w:t>）</w:t>
            </w:r>
          </w:p>
        </w:tc>
        <w:tc>
          <w:tcPr>
            <w:tcW w:w="1942" w:type="pct"/>
            <w:gridSpan w:val="6"/>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Times New Roman"/>
                <w:i w:val="0"/>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其他污染物</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r>
              <w:rPr>
                <w:rFonts w:hint="eastAsia" w:cs="Times New Roman"/>
                <w:i w:val="0"/>
                <w:color w:val="auto"/>
                <w:spacing w:val="0"/>
                <w:position w:val="0"/>
                <w:sz w:val="21"/>
                <w:szCs w:val="21"/>
                <w:highlight w:val="none"/>
                <w:lang w:eastAsia="zh-CN"/>
              </w:rPr>
              <w:t>）</w:t>
            </w:r>
          </w:p>
        </w:tc>
        <w:tc>
          <w:tcPr>
            <w:tcW w:w="1942" w:type="pct"/>
            <w:gridSpan w:val="6"/>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评价标准</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评价标准</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国家标准</w:t>
            </w:r>
            <w:r>
              <w:rPr>
                <w:rFonts w:ascii="Times New Roman" w:hAnsi="Times New Roman" w:eastAsia="宋体" w:cs="MS Gothic"/>
                <w:i w:val="0"/>
                <w:color w:val="auto"/>
                <w:spacing w:val="0"/>
                <w:position w:val="0"/>
                <w:sz w:val="21"/>
                <w:szCs w:val="21"/>
                <w:highlight w:val="none"/>
              </w:rPr>
              <w:t>☑</w:t>
            </w:r>
          </w:p>
        </w:tc>
        <w:tc>
          <w:tcPr>
            <w:tcW w:w="8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地方标准□</w:t>
            </w:r>
          </w:p>
        </w:tc>
        <w:tc>
          <w:tcPr>
            <w:tcW w:w="133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附录</w:t>
            </w:r>
            <w:r>
              <w:rPr>
                <w:rFonts w:ascii="Times New Roman" w:hAnsi="Times New Roman" w:eastAsia="宋体" w:cs="Times New Roman"/>
                <w:i w:val="0"/>
                <w:color w:val="auto"/>
                <w:spacing w:val="0"/>
                <w:position w:val="0"/>
                <w:sz w:val="21"/>
                <w:szCs w:val="21"/>
                <w:highlight w:val="none"/>
              </w:rPr>
              <w:t>D</w:t>
            </w:r>
            <w:r>
              <w:rPr>
                <w:rFonts w:ascii="Times New Roman" w:hAnsi="Times New Roman" w:eastAsia="宋体" w:cs="MS Gothic"/>
                <w:i w:val="0"/>
                <w:color w:val="auto"/>
                <w:spacing w:val="0"/>
                <w:position w:val="0"/>
                <w:sz w:val="21"/>
                <w:szCs w:val="21"/>
                <w:highlight w:val="none"/>
              </w:rPr>
              <w:t>☑</w:t>
            </w:r>
          </w:p>
        </w:tc>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现状评价</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环境功能区</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二类区</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一类区和二类区</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评价基准年</w:t>
            </w:r>
          </w:p>
        </w:tc>
        <w:tc>
          <w:tcPr>
            <w:tcW w:w="3888" w:type="pct"/>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202</w:t>
            </w:r>
            <w:r>
              <w:rPr>
                <w:rFonts w:hint="eastAsia" w:ascii="Times New Roman" w:hAnsi="Times New Roman" w:eastAsia="宋体" w:cs="Times New Roman"/>
                <w:i w:val="0"/>
                <w:color w:val="auto"/>
                <w:spacing w:val="0"/>
                <w:position w:val="0"/>
                <w:sz w:val="21"/>
                <w:szCs w:val="21"/>
                <w:highlight w:val="none"/>
                <w:lang w:val="en-US" w:eastAsia="zh-CN"/>
              </w:rPr>
              <w:t>1</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环境空气质量现状调查数据来源</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长期例行监测数据</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主管部门发布的数据</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现状补充监测</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现状评价</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达标区□</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不达标区</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3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污染源调查</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调查内容</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本项目正常排放源</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MS Gothic"/>
                <w:i w:val="0"/>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本项目非正常排放源</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现有污染源□</w:t>
            </w:r>
          </w:p>
        </w:tc>
        <w:tc>
          <w:tcPr>
            <w:tcW w:w="8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拟替代的污染源□</w:t>
            </w:r>
          </w:p>
        </w:tc>
        <w:tc>
          <w:tcPr>
            <w:tcW w:w="133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其他在建、拟建项目污染源</w:t>
            </w:r>
            <w:r>
              <w:rPr>
                <w:rFonts w:ascii="Times New Roman" w:hAnsi="Times New Roman" w:eastAsia="宋体" w:cs="Times New Roman"/>
                <w:i w:val="0"/>
                <w:color w:val="auto"/>
                <w:spacing w:val="0"/>
                <w:position w:val="0"/>
                <w:sz w:val="21"/>
                <w:szCs w:val="21"/>
                <w:highlight w:val="none"/>
              </w:rPr>
              <w:t>□</w:t>
            </w:r>
          </w:p>
        </w:tc>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区域污染源</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大气环境</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影响预测</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与</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预测模型</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AERMOD□</w:t>
            </w:r>
          </w:p>
        </w:tc>
        <w:tc>
          <w:tcPr>
            <w:tcW w:w="38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ADMS□</w:t>
            </w:r>
          </w:p>
        </w:tc>
        <w:tc>
          <w:tcPr>
            <w:tcW w:w="8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AUSTAL20</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00</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5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EDMS/AED</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4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CALPUF</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F</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30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网格模型</w:t>
            </w:r>
            <w:r>
              <w:rPr>
                <w:rFonts w:ascii="Times New Roman" w:hAnsi="Times New Roman" w:eastAsia="宋体" w:cs="Times New Roman"/>
                <w:i w:val="0"/>
                <w:color w:val="auto"/>
                <w:spacing w:val="0"/>
                <w:position w:val="0"/>
                <w:sz w:val="21"/>
                <w:szCs w:val="21"/>
                <w:highlight w:val="none"/>
              </w:rPr>
              <w:t>□</w:t>
            </w:r>
          </w:p>
        </w:tc>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预测范围</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50km□</w:t>
            </w:r>
          </w:p>
        </w:tc>
        <w:tc>
          <w:tcPr>
            <w:tcW w:w="18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50km□</w:t>
            </w:r>
          </w:p>
        </w:tc>
        <w:tc>
          <w:tcPr>
            <w:tcW w:w="9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预测因子</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预测因子</w:t>
            </w:r>
            <w:r>
              <w:rPr>
                <w:rFonts w:hint="eastAsia" w:cs="Times New Roman"/>
                <w:i w:val="0"/>
                <w:color w:val="auto"/>
                <w:spacing w:val="0"/>
                <w:position w:val="0"/>
                <w:sz w:val="21"/>
                <w:szCs w:val="21"/>
                <w:highlight w:val="none"/>
                <w:lang w:eastAsia="zh-CN"/>
              </w:rPr>
              <w:t>（）</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21"/>
                <w:highlight w:val="none"/>
                <w:vertAlign w:val="subscript"/>
              </w:rPr>
              <w:t>2.5</w:t>
            </w:r>
            <w:r>
              <w:rPr>
                <w:rFonts w:ascii="Times New Roman" w:hAnsi="Times New Roman" w:eastAsia="宋体" w:cs="Times New Roman"/>
                <w:i w:val="0"/>
                <w:color w:val="auto"/>
                <w:spacing w:val="0"/>
                <w:position w:val="0"/>
                <w:sz w:val="21"/>
                <w:szCs w:val="21"/>
                <w:highlight w:val="none"/>
              </w:rPr>
              <w:t>□</w:t>
            </w:r>
            <w:r>
              <w:rPr>
                <w:rFonts w:ascii="Times New Roman" w:hAnsi="Times New Roman" w:eastAsia="宋体" w:cs="宋体"/>
                <w:i w:val="0"/>
                <w:color w:val="auto"/>
                <w:spacing w:val="0"/>
                <w:position w:val="0"/>
                <w:sz w:val="21"/>
                <w:szCs w:val="21"/>
                <w:highlight w:val="none"/>
              </w:rPr>
              <w:t>不包括二次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21"/>
                <w:highlight w:val="none"/>
                <w:vertAlign w:val="subscript"/>
              </w:rPr>
              <w:t>2.5</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正常排放短期浓度贡献值</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100%□</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Times New Roman"/>
                <w:i w:val="0"/>
                <w:color w:val="auto"/>
                <w:spacing w:val="0"/>
                <w:position w:val="0"/>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正常排放年均浓度贡献值</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w:t>
            </w:r>
          </w:p>
        </w:tc>
        <w:tc>
          <w:tcPr>
            <w:tcW w:w="12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本项目最大标率＞</w:t>
            </w:r>
            <w:r>
              <w:rPr>
                <w:rFonts w:ascii="Times New Roman" w:hAnsi="Times New Roman" w:eastAsia="宋体" w:cs="Times New Roman"/>
                <w:i w:val="0"/>
                <w:color w:val="auto"/>
                <w:spacing w:val="0"/>
                <w:position w:val="0"/>
                <w:sz w:val="21"/>
                <w:szCs w:val="21"/>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二类区</w:t>
            </w:r>
          </w:p>
        </w:tc>
        <w:tc>
          <w:tcPr>
            <w:tcW w:w="12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30%□</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本项目最大标率＞</w:t>
            </w:r>
            <w:r>
              <w:rPr>
                <w:rFonts w:ascii="Times New Roman" w:hAnsi="Times New Roman" w:eastAsia="宋体" w:cs="Times New Roman"/>
                <w:i w:val="0"/>
                <w:color w:val="auto"/>
                <w:spacing w:val="0"/>
                <w:position w:val="0"/>
                <w:sz w:val="21"/>
                <w:szCs w:val="21"/>
                <w:highlight w:val="none"/>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非正常排放</w:t>
            </w:r>
            <w:r>
              <w:rPr>
                <w:rFonts w:ascii="Times New Roman" w:hAnsi="Times New Roman" w:eastAsia="宋体" w:cs="Times New Roman"/>
                <w:i w:val="0"/>
                <w:color w:val="auto"/>
                <w:spacing w:val="0"/>
                <w:position w:val="0"/>
                <w:sz w:val="21"/>
                <w:szCs w:val="21"/>
                <w:highlight w:val="none"/>
              </w:rPr>
              <w:t>1h</w:t>
            </w:r>
            <w:r>
              <w:rPr>
                <w:rFonts w:ascii="Times New Roman" w:hAnsi="Times New Roman" w:eastAsia="宋体" w:cs="宋体"/>
                <w:i w:val="0"/>
                <w:color w:val="auto"/>
                <w:spacing w:val="0"/>
                <w:position w:val="0"/>
                <w:sz w:val="21"/>
                <w:szCs w:val="21"/>
                <w:highlight w:val="none"/>
              </w:rPr>
              <w:t>浓</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度贡献值</w:t>
            </w:r>
          </w:p>
        </w:tc>
        <w:tc>
          <w:tcPr>
            <w:tcW w:w="922"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非正常持续时长</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h</w:t>
            </w:r>
          </w:p>
        </w:tc>
        <w:tc>
          <w:tcPr>
            <w:tcW w:w="1852"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非正常占标率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100%□</w:t>
            </w:r>
          </w:p>
        </w:tc>
        <w:tc>
          <w:tcPr>
            <w:tcW w:w="1114"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非正常占标率＞</w:t>
            </w:r>
            <w:r>
              <w:rPr>
                <w:rFonts w:ascii="Times New Roman" w:hAnsi="Times New Roman" w:eastAsia="宋体" w:cs="Times New Roman"/>
                <w:i w:val="0"/>
                <w:color w:val="auto"/>
                <w:spacing w:val="0"/>
                <w:position w:val="0"/>
                <w:sz w:val="21"/>
                <w:szCs w:val="21"/>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保证率日平均浓度和年平均浓度叠加值</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叠加达标</w:t>
            </w:r>
            <w:r>
              <w:rPr>
                <w:rFonts w:ascii="Times New Roman" w:hAnsi="Times New Roman" w:eastAsia="宋体" w:cs="Times New Roman"/>
                <w:i w:val="0"/>
                <w:color w:val="auto"/>
                <w:spacing w:val="0"/>
                <w:position w:val="0"/>
                <w:sz w:val="21"/>
                <w:szCs w:val="21"/>
                <w:highlight w:val="none"/>
              </w:rPr>
              <w:t>□</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叠加不达标</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区域环境质量的整体变化情况</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iCs/>
                <w:color w:val="auto"/>
                <w:spacing w:val="0"/>
                <w:position w:val="0"/>
                <w:sz w:val="21"/>
                <w:szCs w:val="21"/>
                <w:highlight w:val="none"/>
              </w:rPr>
              <w:t>k</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w:t>
            </w:r>
          </w:p>
        </w:tc>
        <w:tc>
          <w:tcPr>
            <w:tcW w:w="194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iCs/>
                <w:color w:val="auto"/>
                <w:spacing w:val="0"/>
                <w:position w:val="0"/>
                <w:sz w:val="21"/>
                <w:szCs w:val="21"/>
                <w:highlight w:val="none"/>
              </w:rPr>
              <w:t>k</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环境监测计划</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污染源监测</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监测因子：</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r>
              <w:rPr>
                <w:rFonts w:hint="eastAsia" w:cs="宋体"/>
                <w:i w:val="0"/>
                <w:color w:val="auto"/>
                <w:spacing w:val="0"/>
                <w:position w:val="0"/>
                <w:sz w:val="21"/>
                <w:szCs w:val="21"/>
                <w:highlight w:val="none"/>
                <w:lang w:eastAsia="zh-CN"/>
              </w:rPr>
              <w:t>）</w:t>
            </w:r>
          </w:p>
        </w:tc>
        <w:tc>
          <w:tcPr>
            <w:tcW w:w="133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有组织废气监测</w:t>
            </w:r>
            <w:r>
              <w:rPr>
                <w:rFonts w:ascii="Times New Roman" w:hAnsi="Times New Roman" w:eastAsia="宋体" w:cs="MS Gothic"/>
                <w:i w:val="0"/>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无组织废气监测</w:t>
            </w:r>
            <w:r>
              <w:rPr>
                <w:rFonts w:ascii="Times New Roman" w:hAnsi="Times New Roman" w:eastAsia="宋体" w:cs="MS Gothic"/>
                <w:i w:val="0"/>
                <w:color w:val="auto"/>
                <w:spacing w:val="0"/>
                <w:position w:val="0"/>
                <w:sz w:val="21"/>
                <w:szCs w:val="21"/>
                <w:highlight w:val="none"/>
              </w:rPr>
              <w:t>☑</w:t>
            </w:r>
          </w:p>
        </w:tc>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无监测</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环境质量监测</w:t>
            </w:r>
          </w:p>
        </w:tc>
        <w:tc>
          <w:tcPr>
            <w:tcW w:w="194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监测因子：</w:t>
            </w:r>
            <w:r>
              <w:rPr>
                <w:rFonts w:hint="eastAsia" w:cs="宋体"/>
                <w:i w:val="0"/>
                <w:color w:val="auto"/>
                <w:spacing w:val="0"/>
                <w:position w:val="0"/>
                <w:sz w:val="21"/>
                <w:szCs w:val="21"/>
                <w:highlight w:val="none"/>
                <w:lang w:eastAsia="zh-CN"/>
              </w:rPr>
              <w:t>（）</w:t>
            </w:r>
          </w:p>
        </w:tc>
        <w:tc>
          <w:tcPr>
            <w:tcW w:w="1334"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监测点位数</w:t>
            </w:r>
            <w:r>
              <w:rPr>
                <w:rFonts w:hint="eastAsia" w:cs="宋体"/>
                <w:i w:val="0"/>
                <w:color w:val="auto"/>
                <w:spacing w:val="0"/>
                <w:position w:val="0"/>
                <w:sz w:val="21"/>
                <w:szCs w:val="21"/>
                <w:highlight w:val="none"/>
                <w:lang w:eastAsia="zh-CN"/>
              </w:rPr>
              <w:t>（）</w:t>
            </w:r>
          </w:p>
        </w:tc>
        <w:tc>
          <w:tcPr>
            <w:tcW w:w="6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无监测</w:t>
            </w:r>
            <w:r>
              <w:rPr>
                <w:rFonts w:ascii="Times New Roman" w:hAnsi="Times New Roman" w:eastAsia="宋体" w:cs="MS Gothic"/>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评价结论</w:t>
            </w: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环境影响</w:t>
            </w:r>
          </w:p>
        </w:tc>
        <w:tc>
          <w:tcPr>
            <w:tcW w:w="111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可以接受</w:t>
            </w:r>
            <w:r>
              <w:rPr>
                <w:rFonts w:ascii="Times New Roman" w:hAnsi="Times New Roman" w:eastAsia="宋体" w:cs="MS Gothic"/>
                <w:i w:val="0"/>
                <w:color w:val="auto"/>
                <w:spacing w:val="0"/>
                <w:position w:val="0"/>
                <w:sz w:val="21"/>
                <w:szCs w:val="21"/>
                <w:highlight w:val="none"/>
              </w:rPr>
              <w:t>☑</w:t>
            </w:r>
          </w:p>
        </w:tc>
        <w:tc>
          <w:tcPr>
            <w:tcW w:w="2771"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不可以接受</w:t>
            </w:r>
            <w:r>
              <w:rPr>
                <w:rFonts w:ascii="Times New Roman" w:hAnsi="Times New Roman" w:eastAsia="宋体" w:cs="Times New Roman"/>
                <w:i w:val="0"/>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大气环境防护距离</w:t>
            </w:r>
          </w:p>
        </w:tc>
        <w:tc>
          <w:tcPr>
            <w:tcW w:w="3888" w:type="pct"/>
            <w:gridSpan w:val="1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距</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厂界最远</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污染源年排放量</w:t>
            </w:r>
          </w:p>
        </w:tc>
        <w:tc>
          <w:tcPr>
            <w:tcW w:w="1019"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rPr>
              <w:t>2</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9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NOx:</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1190"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75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VOCs:</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5000" w:type="pct"/>
            <w:gridSpan w:val="1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注：</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为勾选项，填</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hint="eastAsia" w:cs="宋体"/>
                <w:i w:val="0"/>
                <w:color w:val="auto"/>
                <w:spacing w:val="0"/>
                <w:position w:val="0"/>
                <w:sz w:val="21"/>
                <w:szCs w:val="21"/>
                <w:highlight w:val="none"/>
                <w:lang w:eastAsia="zh-CN"/>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为内容填写项</w:t>
            </w:r>
          </w:p>
        </w:tc>
      </w:tr>
    </w:tbl>
    <w:p>
      <w:pPr>
        <w:rPr>
          <w:rFonts w:ascii="Times New Roman" w:hAnsi="Times New Roman" w:eastAsia="宋体"/>
          <w:color w:val="auto"/>
          <w:sz w:val="21"/>
          <w:highlight w:val="none"/>
        </w:rPr>
      </w:pPr>
    </w:p>
    <w:p>
      <w:pPr>
        <w:rPr>
          <w:rFonts w:ascii="Times New Roman" w:hAnsi="Times New Roman" w:eastAsia="宋体"/>
          <w:color w:val="auto"/>
          <w:highlight w:val="none"/>
        </w:rPr>
        <w:sectPr>
          <w:headerReference r:id="rId23" w:type="default"/>
          <w:footerReference r:id="rId24" w:type="default"/>
          <w:pgSz w:w="11907" w:h="16839"/>
          <w:pgMar w:top="1119" w:right="1108" w:bottom="1208" w:left="1277" w:header="877" w:footer="980" w:gutter="0"/>
          <w:pgBorders>
            <w:top w:val="none" w:sz="0" w:space="0"/>
            <w:left w:val="none" w:sz="0" w:space="0"/>
            <w:bottom w:val="none" w:sz="0" w:space="0"/>
            <w:right w:val="none" w:sz="0" w:space="0"/>
          </w:pgBorders>
          <w:pgNumType w:fmt="decimal"/>
          <w:cols w:space="720" w:num="1"/>
        </w:sectPr>
      </w:pPr>
    </w:p>
    <w:p>
      <w:pPr>
        <w:pStyle w:val="5"/>
        <w:rPr>
          <w:rFonts w:ascii="Times New Roman" w:hAnsi="Times New Roman" w:eastAsia="宋体"/>
          <w:color w:val="auto"/>
          <w:highlight w:val="none"/>
        </w:rPr>
      </w:pPr>
      <w:bookmarkStart w:id="185" w:name="_Toc106663501"/>
      <w:r>
        <w:rPr>
          <w:rFonts w:hint="eastAsia" w:ascii="Times New Roman" w:hAnsi="Times New Roman" w:eastAsia="宋体"/>
          <w:color w:val="auto"/>
          <w:highlight w:val="none"/>
        </w:rPr>
        <w:t>5.2.2水环境影响预测与评价</w:t>
      </w:r>
      <w:bookmarkEnd w:id="185"/>
    </w:p>
    <w:p>
      <w:pPr>
        <w:ind w:firstLine="480"/>
        <w:rPr>
          <w:rFonts w:ascii="Times New Roman" w:hAnsi="Times New Roman" w:eastAsia="宋体"/>
          <w:color w:val="auto"/>
          <w:highlight w:val="none"/>
        </w:rPr>
      </w:pPr>
      <w:r>
        <w:rPr>
          <w:rFonts w:ascii="Times New Roman" w:hAnsi="Times New Roman" w:eastAsia="宋体"/>
          <w:color w:val="auto"/>
          <w:highlight w:val="none"/>
        </w:rPr>
        <w:t>根据工程分析，本项目废水包括养殖废水、生活污水</w:t>
      </w:r>
      <w:r>
        <w:rPr>
          <w:rFonts w:hint="eastAsia" w:ascii="Times New Roman" w:hAnsi="Times New Roman" w:eastAsia="宋体"/>
          <w:color w:val="auto"/>
          <w:highlight w:val="none"/>
        </w:rPr>
        <w:t>。</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5.2.2.1地表水环境影响分析</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本项目运营期废水主要为鸡舍冲洗废水和生活污水。</w:t>
      </w:r>
    </w:p>
    <w:p>
      <w:pPr>
        <w:keepNext w:val="0"/>
        <w:keepLines w:val="0"/>
        <w:pageBreakBefore w:val="0"/>
        <w:widowControl w:val="0"/>
        <w:kinsoku/>
        <w:wordWrap/>
        <w:overflowPunct/>
        <w:topLinePunct w:val="0"/>
        <w:autoSpaceDE/>
        <w:autoSpaceDN/>
        <w:bidi w:val="0"/>
        <w:adjustRightInd/>
        <w:snapToGrid/>
        <w:spacing w:line="360" w:lineRule="auto"/>
        <w:ind w:left="0" w:right="0" w:firstLine="473"/>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本项目采用干清粪工艺，圈舍粪便日产日清，鸡舍在一个饲养周期结束，全部转出后进行冲洗。鸡舍冲洗废水的产生浓度为</w:t>
      </w:r>
      <w:r>
        <w:rPr>
          <w:rFonts w:ascii="Times New Roman" w:hAnsi="Times New Roman" w:eastAsia="宋体" w:cs="Times New Roman"/>
          <w:color w:val="auto"/>
          <w:spacing w:val="0"/>
          <w:position w:val="0"/>
          <w:sz w:val="24"/>
          <w:szCs w:val="24"/>
          <w:highlight w:val="none"/>
        </w:rPr>
        <w:t>COD</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3040mg/L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BOD</w:t>
      </w:r>
      <w:r>
        <w:rPr>
          <w:rFonts w:ascii="Times New Roman" w:hAnsi="Times New Roman" w:eastAsia="宋体" w:cs="Times New Roman"/>
          <w:color w:val="auto"/>
          <w:spacing w:val="0"/>
          <w:position w:val="0"/>
          <w:sz w:val="24"/>
          <w:szCs w:val="15"/>
          <w:highlight w:val="none"/>
          <w:vertAlign w:val="subscript"/>
        </w:rPr>
        <w:t>5</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800mg/L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SS</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NH</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TP</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150mg/L</w:t>
      </w:r>
      <w:r>
        <w:rPr>
          <w:rFonts w:ascii="Times New Roman" w:hAnsi="Times New Roman" w:eastAsia="宋体" w:cs="宋体"/>
          <w:color w:val="auto"/>
          <w:spacing w:val="0"/>
          <w:position w:val="0"/>
          <w:sz w:val="24"/>
          <w:szCs w:val="24"/>
          <w:highlight w:val="none"/>
        </w:rPr>
        <w:t>。鸡舍冲洗废水排入</w:t>
      </w:r>
      <w:r>
        <w:rPr>
          <w:rFonts w:hint="eastAsia" w:cs="宋体"/>
          <w:color w:val="auto"/>
          <w:spacing w:val="0"/>
          <w:position w:val="0"/>
          <w:sz w:val="24"/>
          <w:szCs w:val="24"/>
          <w:highlight w:val="none"/>
          <w:lang w:eastAsia="zh-CN"/>
        </w:rPr>
        <w:t>废水收集池经预处理后用作农肥。</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生活污水直接排入下水管网，最终进入玛纳斯县城污水处理厂；项目区所产生的废水均得到有效处理，无外排废水。项目对场区进行分区硬化防渗处置，项目产生的各类废水均得到合理处置，均不外排。本项目废水不会进入天然地表水体，与地表水也不发生水力联系，对地表水环境影响不大。</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地表水环境影响评价自查表见表</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.2-10</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.2-10</w:t>
      </w:r>
      <w:r>
        <w:rPr>
          <w:rFonts w:ascii="Times New Roman" w:hAnsi="Times New Roman" w:eastAsia="宋体" w:cs="黑体"/>
          <w:b/>
          <w:bCs/>
          <w:color w:val="auto"/>
          <w:spacing w:val="0"/>
          <w:position w:val="0"/>
          <w:sz w:val="24"/>
          <w:szCs w:val="21"/>
          <w:highlight w:val="none"/>
        </w:rPr>
        <w:t>地表水环境影响评价自查表</w:t>
      </w:r>
    </w:p>
    <w:tbl>
      <w:tblPr>
        <w:tblStyle w:val="176"/>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377"/>
        <w:gridCol w:w="1054"/>
        <w:gridCol w:w="484"/>
        <w:gridCol w:w="22"/>
        <w:gridCol w:w="20"/>
        <w:gridCol w:w="654"/>
        <w:gridCol w:w="989"/>
        <w:gridCol w:w="263"/>
        <w:gridCol w:w="126"/>
        <w:gridCol w:w="123"/>
        <w:gridCol w:w="926"/>
        <w:gridCol w:w="289"/>
        <w:gridCol w:w="330"/>
        <w:gridCol w:w="1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0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工作内容</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影响识别</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影响类型</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；水文要素影响型</w:t>
            </w:r>
            <w:r>
              <w:rPr>
                <w:rFonts w:ascii="Times New Roman" w:hAnsi="Times New Roman" w:eastAsia="宋体"/>
                <w:color w:val="auto"/>
                <w:spacing w:val="0"/>
                <w:position w:val="0"/>
                <w:sz w:val="21"/>
                <w:szCs w:val="21"/>
                <w:highlight w:val="none"/>
              </w:rPr>
              <w:drawing>
                <wp:inline distT="0" distB="0" distL="0" distR="0">
                  <wp:extent cx="116205" cy="97790"/>
                  <wp:effectExtent l="0" t="0" r="17145" b="16510"/>
                  <wp:docPr id="109" name="IM 34"/>
                  <wp:cNvGraphicFramePr/>
                  <a:graphic xmlns:a="http://schemas.openxmlformats.org/drawingml/2006/main">
                    <a:graphicData uri="http://schemas.openxmlformats.org/drawingml/2006/picture">
                      <pic:pic xmlns:pic="http://schemas.openxmlformats.org/drawingml/2006/picture">
                        <pic:nvPicPr>
                          <pic:cNvPr id="109" name="IM 34"/>
                          <pic:cNvPicPr/>
                        </pic:nvPicPr>
                        <pic:blipFill>
                          <a:blip r:embed="rId50"/>
                          <a:stretch>
                            <a:fillRect/>
                          </a:stretch>
                        </pic:blipFill>
                        <pic:spPr>
                          <a:xfrm>
                            <a:off x="0" y="0"/>
                            <a:ext cx="116668"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水环境保护目标</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饮用水水源保护区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11" name="IM 35"/>
                  <wp:cNvGraphicFramePr/>
                  <a:graphic xmlns:a="http://schemas.openxmlformats.org/drawingml/2006/main">
                    <a:graphicData uri="http://schemas.openxmlformats.org/drawingml/2006/picture">
                      <pic:pic xmlns:pic="http://schemas.openxmlformats.org/drawingml/2006/picture">
                        <pic:nvPicPr>
                          <pic:cNvPr id="111" name="IM 35"/>
                          <pic:cNvPicPr/>
                        </pic:nvPicPr>
                        <pic:blipFill>
                          <a:blip r:embed="rId50"/>
                          <a:stretch>
                            <a:fillRect/>
                          </a:stretch>
                        </pic:blipFill>
                        <pic:spPr>
                          <a:xfrm>
                            <a:off x="0" y="0"/>
                            <a:ext cx="11347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；饮用水取水口；涉水的自然保护区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0"/>
                          <a:stretch>
                            <a:fillRect/>
                          </a:stretch>
                        </pic:blipFill>
                        <pic:spPr>
                          <a:xfrm>
                            <a:off x="0" y="0"/>
                            <a:ext cx="11347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；重要湿地；重点保护与珍惜水生生物的栖息地</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12" name="IM 37"/>
                  <wp:cNvGraphicFramePr/>
                  <a:graphic xmlns:a="http://schemas.openxmlformats.org/drawingml/2006/main">
                    <a:graphicData uri="http://schemas.openxmlformats.org/drawingml/2006/picture">
                      <pic:pic xmlns:pic="http://schemas.openxmlformats.org/drawingml/2006/picture">
                        <pic:nvPicPr>
                          <pic:cNvPr id="112" name="IM 37"/>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；重要水生生物的自然产卵场及索饵场、越冬场和洄游通道、天然渔场等渔业水体</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0" name="IM 38"/>
                  <wp:cNvGraphicFramePr/>
                  <a:graphic xmlns:a="http://schemas.openxmlformats.org/drawingml/2006/main">
                    <a:graphicData uri="http://schemas.openxmlformats.org/drawingml/2006/picture">
                      <pic:pic xmlns:pic="http://schemas.openxmlformats.org/drawingml/2006/picture">
                        <pic:nvPicPr>
                          <pic:cNvPr id="120" name="IM 38"/>
                          <pic:cNvPicPr/>
                        </pic:nvPicPr>
                        <pic:blipFill>
                          <a:blip r:embed="rId51"/>
                          <a:stretch>
                            <a:fillRect/>
                          </a:stretch>
                        </pic:blipFill>
                        <pic:spPr>
                          <a:xfrm>
                            <a:off x="0" y="0"/>
                            <a:ext cx="11325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；涉水的风景名胜区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1" name="IM 39"/>
                  <wp:cNvGraphicFramePr/>
                  <a:graphic xmlns:a="http://schemas.openxmlformats.org/drawingml/2006/main">
                    <a:graphicData uri="http://schemas.openxmlformats.org/drawingml/2006/picture">
                      <pic:pic xmlns:pic="http://schemas.openxmlformats.org/drawingml/2006/picture">
                        <pic:nvPicPr>
                          <pic:cNvPr id="121" name="IM 39"/>
                          <pic:cNvPicPr/>
                        </pic:nvPicPr>
                        <pic:blipFill>
                          <a:blip r:embed="rId50"/>
                          <a:stretch>
                            <a:fillRect/>
                          </a:stretch>
                        </pic:blipFill>
                        <pic:spPr>
                          <a:xfrm>
                            <a:off x="0" y="0"/>
                            <a:ext cx="11325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2" name="IM 40"/>
                  <wp:cNvGraphicFramePr/>
                  <a:graphic xmlns:a="http://schemas.openxmlformats.org/drawingml/2006/main">
                    <a:graphicData uri="http://schemas.openxmlformats.org/drawingml/2006/picture">
                      <pic:pic xmlns:pic="http://schemas.openxmlformats.org/drawingml/2006/picture">
                        <pic:nvPicPr>
                          <pic:cNvPr id="122" name="IM 40"/>
                          <pic:cNvPicPr/>
                        </pic:nvPicPr>
                        <pic:blipFill>
                          <a:blip r:embed="rId51"/>
                          <a:stretch>
                            <a:fillRect/>
                          </a:stretch>
                        </pic:blipFill>
                        <pic:spPr>
                          <a:xfrm>
                            <a:off x="0" y="0"/>
                            <a:ext cx="113254"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影响途径</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水文要素影响型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直接排放</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2"/>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；间接排放</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24" name="IM 42"/>
                  <wp:cNvGraphicFramePr/>
                  <a:graphic xmlns:a="http://schemas.openxmlformats.org/drawingml/2006/main">
                    <a:graphicData uri="http://schemas.openxmlformats.org/drawingml/2006/picture">
                      <pic:pic xmlns:pic="http://schemas.openxmlformats.org/drawingml/2006/picture">
                        <pic:nvPicPr>
                          <pic:cNvPr id="124" name="IM 42"/>
                          <pic:cNvPicPr/>
                        </pic:nvPicPr>
                        <pic:blipFill>
                          <a:blip r:embed="rId53"/>
                          <a:stretch>
                            <a:fillRect/>
                          </a:stretch>
                        </pic:blipFill>
                        <pic:spPr>
                          <a:xfrm>
                            <a:off x="0" y="0"/>
                            <a:ext cx="1102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s="微软雅黑"/>
                <w:color w:val="auto"/>
                <w:spacing w:val="0"/>
                <w:position w:val="0"/>
                <w:sz w:val="21"/>
                <w:szCs w:val="21"/>
                <w:highlight w:val="none"/>
              </w:rPr>
              <w:t>团</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水温</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5" name="IM 43"/>
                  <wp:cNvGraphicFramePr/>
                  <a:graphic xmlns:a="http://schemas.openxmlformats.org/drawingml/2006/main">
                    <a:graphicData uri="http://schemas.openxmlformats.org/drawingml/2006/picture">
                      <pic:pic xmlns:pic="http://schemas.openxmlformats.org/drawingml/2006/picture">
                        <pic:nvPicPr>
                          <pic:cNvPr id="125" name="IM 43"/>
                          <pic:cNvPicPr/>
                        </pic:nvPicPr>
                        <pic:blipFill>
                          <a:blip r:embed="rId52"/>
                          <a:stretch>
                            <a:fillRect/>
                          </a:stretch>
                        </pic:blipFill>
                        <pic:spPr>
                          <a:xfrm>
                            <a:off x="0" y="0"/>
                            <a:ext cx="11196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；径流</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6" name="IM 44"/>
                  <wp:cNvGraphicFramePr/>
                  <a:graphic xmlns:a="http://schemas.openxmlformats.org/drawingml/2006/main">
                    <a:graphicData uri="http://schemas.openxmlformats.org/drawingml/2006/picture">
                      <pic:pic xmlns:pic="http://schemas.openxmlformats.org/drawingml/2006/picture">
                        <pic:nvPicPr>
                          <pic:cNvPr id="126" name="IM 44"/>
                          <pic:cNvPicPr/>
                        </pic:nvPicPr>
                        <pic:blipFill>
                          <a:blip r:embed="rId54"/>
                          <a:stretch>
                            <a:fillRect/>
                          </a:stretch>
                        </pic:blipFill>
                        <pic:spPr>
                          <a:xfrm>
                            <a:off x="0" y="0"/>
                            <a:ext cx="11196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；水域面积</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7" name="IM 45"/>
                  <wp:cNvGraphicFramePr/>
                  <a:graphic xmlns:a="http://schemas.openxmlformats.org/drawingml/2006/main">
                    <a:graphicData uri="http://schemas.openxmlformats.org/drawingml/2006/picture">
                      <pic:pic xmlns:pic="http://schemas.openxmlformats.org/drawingml/2006/picture">
                        <pic:nvPicPr>
                          <pic:cNvPr id="127" name="IM 45"/>
                          <pic:cNvPicPr/>
                        </pic:nvPicPr>
                        <pic:blipFill>
                          <a:blip r:embed="rId52"/>
                          <a:stretch>
                            <a:fillRect/>
                          </a:stretch>
                        </pic:blipFill>
                        <pic:spPr>
                          <a:xfrm>
                            <a:off x="0" y="0"/>
                            <a:ext cx="111969"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影响因子</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持久性污染物</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；有毒有害污染物</w:t>
            </w:r>
            <w:r>
              <w:rPr>
                <w:rFonts w:ascii="Times New Roman" w:hAnsi="Times New Roman" w:eastAsia="宋体" w:cs="宋体"/>
                <w:color w:val="auto"/>
                <w:spacing w:val="0"/>
                <w:position w:val="0"/>
                <w:sz w:val="21"/>
                <w:szCs w:val="21"/>
                <w:highlight w:val="none"/>
              </w:rPr>
              <w:drawing>
                <wp:inline distT="0" distB="0" distL="0" distR="0">
                  <wp:extent cx="106045" cy="97790"/>
                  <wp:effectExtent l="0" t="0" r="8255" b="1651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3"/>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；非持久性污染物</w:t>
            </w:r>
            <w:r>
              <w:rPr>
                <w:rFonts w:ascii="Times New Roman" w:hAnsi="Times New Roman" w:eastAsia="宋体"/>
                <w:color w:val="auto"/>
                <w:spacing w:val="0"/>
                <w:position w:val="0"/>
                <w:sz w:val="21"/>
                <w:szCs w:val="21"/>
                <w:highlight w:val="none"/>
              </w:rPr>
              <w:drawing>
                <wp:inline distT="0" distB="0" distL="0" distR="0">
                  <wp:extent cx="106045" cy="97790"/>
                  <wp:effectExtent l="0" t="0" r="8255" b="1651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2"/>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值</w:t>
            </w:r>
            <w:r>
              <w:rPr>
                <w:rFonts w:ascii="Times New Roman" w:hAnsi="Times New Roman" w:eastAsia="宋体"/>
                <w:color w:val="auto"/>
                <w:spacing w:val="0"/>
                <w:position w:val="0"/>
                <w:sz w:val="21"/>
                <w:szCs w:val="21"/>
                <w:highlight w:val="none"/>
              </w:rPr>
              <w:drawing>
                <wp:inline distT="0" distB="0" distL="0" distR="0">
                  <wp:extent cx="106045" cy="97790"/>
                  <wp:effectExtent l="0" t="0" r="8255" b="1651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2"/>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；热污染</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28" name="IM 50"/>
                  <wp:cNvGraphicFramePr/>
                  <a:graphic xmlns:a="http://schemas.openxmlformats.org/drawingml/2006/main">
                    <a:graphicData uri="http://schemas.openxmlformats.org/drawingml/2006/picture">
                      <pic:pic xmlns:pic="http://schemas.openxmlformats.org/drawingml/2006/picture">
                        <pic:nvPicPr>
                          <pic:cNvPr id="128" name="IM 50"/>
                          <pic:cNvPicPr/>
                        </pic:nvPicPr>
                        <pic:blipFill>
                          <a:blip r:embed="rId52"/>
                          <a:stretch>
                            <a:fillRect/>
                          </a:stretch>
                        </pic:blipFill>
                        <pic:spPr>
                          <a:xfrm>
                            <a:off x="0" y="0"/>
                            <a:ext cx="110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；富营养化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3"/>
                          <a:stretch>
                            <a:fillRect/>
                          </a:stretch>
                        </pic:blipFill>
                        <pic:spPr>
                          <a:xfrm>
                            <a:off x="0" y="0"/>
                            <a:ext cx="110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s="微软雅黑"/>
                <w:color w:val="auto"/>
                <w:spacing w:val="0"/>
                <w:position w:val="0"/>
                <w:sz w:val="21"/>
                <w:szCs w:val="21"/>
                <w:highlight w:val="none"/>
              </w:rPr>
              <w:t>团</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水温</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29" name="IM 52"/>
                  <wp:cNvGraphicFramePr/>
                  <a:graphic xmlns:a="http://schemas.openxmlformats.org/drawingml/2006/main">
                    <a:graphicData uri="http://schemas.openxmlformats.org/drawingml/2006/picture">
                      <pic:pic xmlns:pic="http://schemas.openxmlformats.org/drawingml/2006/picture">
                        <pic:nvPicPr>
                          <pic:cNvPr id="129" name="IM 52"/>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；水位</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水深</w:t>
            </w:r>
            <w:r>
              <w:rPr>
                <w:rFonts w:hint="eastAsia" w:cs="宋体"/>
                <w:color w:val="auto"/>
                <w:spacing w:val="0"/>
                <w:position w:val="0"/>
                <w:sz w:val="21"/>
                <w:szCs w:val="21"/>
                <w:highlight w:val="none"/>
                <w:lang w:eastAsia="zh-CN"/>
              </w:rPr>
              <w:t>）</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30" name="IM 53"/>
                  <wp:cNvGraphicFramePr/>
                  <a:graphic xmlns:a="http://schemas.openxmlformats.org/drawingml/2006/main">
                    <a:graphicData uri="http://schemas.openxmlformats.org/drawingml/2006/picture">
                      <pic:pic xmlns:pic="http://schemas.openxmlformats.org/drawingml/2006/picture">
                        <pic:nvPicPr>
                          <pic:cNvPr id="130" name="IM 53"/>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；流速</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31" name="IM 54"/>
                  <wp:cNvGraphicFramePr/>
                  <a:graphic xmlns:a="http://schemas.openxmlformats.org/drawingml/2006/main">
                    <a:graphicData uri="http://schemas.openxmlformats.org/drawingml/2006/picture">
                      <pic:pic xmlns:pic="http://schemas.openxmlformats.org/drawingml/2006/picture">
                        <pic:nvPicPr>
                          <pic:cNvPr id="131" name="IM 54"/>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；流量</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2" name="IM 55"/>
                  <wp:cNvGraphicFramePr/>
                  <a:graphic xmlns:a="http://schemas.openxmlformats.org/drawingml/2006/main">
                    <a:graphicData uri="http://schemas.openxmlformats.org/drawingml/2006/picture">
                      <pic:pic xmlns:pic="http://schemas.openxmlformats.org/drawingml/2006/picture">
                        <pic:nvPicPr>
                          <pic:cNvPr id="132" name="IM 55"/>
                          <pic:cNvPicPr/>
                        </pic:nvPicPr>
                        <pic:blipFill>
                          <a:blip r:embed="rId53"/>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3" name="IM 56"/>
                  <wp:cNvGraphicFramePr/>
                  <a:graphic xmlns:a="http://schemas.openxmlformats.org/drawingml/2006/main">
                    <a:graphicData uri="http://schemas.openxmlformats.org/drawingml/2006/picture">
                      <pic:pic xmlns:pic="http://schemas.openxmlformats.org/drawingml/2006/picture">
                        <pic:nvPicPr>
                          <pic:cNvPr id="133" name="IM 56"/>
                          <pic:cNvPicPr/>
                        </pic:nvPicPr>
                        <pic:blipFill>
                          <a:blip r:embed="rId52"/>
                          <a:stretch>
                            <a:fillRect/>
                          </a:stretch>
                        </pic:blipFill>
                        <pic:spPr>
                          <a:xfrm>
                            <a:off x="0" y="0"/>
                            <a:ext cx="110213"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89"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评价等级</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水文要素影响型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89"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4" name="IM 57"/>
                  <wp:cNvGraphicFramePr/>
                  <a:graphic xmlns:a="http://schemas.openxmlformats.org/drawingml/2006/main">
                    <a:graphicData uri="http://schemas.openxmlformats.org/drawingml/2006/picture">
                      <pic:pic xmlns:pic="http://schemas.openxmlformats.org/drawingml/2006/picture">
                        <pic:nvPicPr>
                          <pic:cNvPr id="134" name="IM 57"/>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；二级</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5" name="IM 58"/>
                  <wp:cNvGraphicFramePr/>
                  <a:graphic xmlns:a="http://schemas.openxmlformats.org/drawingml/2006/main">
                    <a:graphicData uri="http://schemas.openxmlformats.org/drawingml/2006/picture">
                      <pic:pic xmlns:pic="http://schemas.openxmlformats.org/drawingml/2006/picture">
                        <pic:nvPicPr>
                          <pic:cNvPr id="135" name="IM 58"/>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s="Times New Roman"/>
                <w:color w:val="auto"/>
                <w:spacing w:val="0"/>
                <w:position w:val="0"/>
                <w:sz w:val="21"/>
                <w:szCs w:val="21"/>
                <w:highlight w:val="none"/>
              </w:rPr>
              <w:t>A</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6" name="IM 59"/>
                  <wp:cNvGraphicFramePr/>
                  <a:graphic xmlns:a="http://schemas.openxmlformats.org/drawingml/2006/main">
                    <a:graphicData uri="http://schemas.openxmlformats.org/drawingml/2006/picture">
                      <pic:pic xmlns:pic="http://schemas.openxmlformats.org/drawingml/2006/picture">
                        <pic:nvPicPr>
                          <pic:cNvPr id="136" name="IM 59"/>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s="Times New Roman"/>
                <w:color w:val="auto"/>
                <w:spacing w:val="0"/>
                <w:position w:val="0"/>
                <w:sz w:val="21"/>
                <w:szCs w:val="21"/>
                <w:highlight w:val="none"/>
              </w:rPr>
              <w:t>B</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7" name="IM 60"/>
                  <wp:cNvGraphicFramePr/>
                  <a:graphic xmlns:a="http://schemas.openxmlformats.org/drawingml/2006/main">
                    <a:graphicData uri="http://schemas.openxmlformats.org/drawingml/2006/picture">
                      <pic:pic xmlns:pic="http://schemas.openxmlformats.org/drawingml/2006/picture">
                        <pic:nvPicPr>
                          <pic:cNvPr id="137" name="IM 60"/>
                          <pic:cNvPicPr/>
                        </pic:nvPicPr>
                        <pic:blipFill>
                          <a:blip r:embed="rId55"/>
                          <a:stretch>
                            <a:fillRect/>
                          </a:stretch>
                        </pic:blipFill>
                        <pic:spPr>
                          <a:xfrm>
                            <a:off x="0" y="0"/>
                            <a:ext cx="11312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；二级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8" name="IM 61"/>
                  <wp:cNvGraphicFramePr/>
                  <a:graphic xmlns:a="http://schemas.openxmlformats.org/drawingml/2006/main">
                    <a:graphicData uri="http://schemas.openxmlformats.org/drawingml/2006/picture">
                      <pic:pic xmlns:pic="http://schemas.openxmlformats.org/drawingml/2006/picture">
                        <pic:nvPicPr>
                          <pic:cNvPr id="138" name="IM 61"/>
                          <pic:cNvPicPr/>
                        </pic:nvPicPr>
                        <pic:blipFill>
                          <a:blip r:embed="rId56"/>
                          <a:stretch>
                            <a:fillRect/>
                          </a:stretch>
                        </pic:blipFill>
                        <pic:spPr>
                          <a:xfrm>
                            <a:off x="0" y="0"/>
                            <a:ext cx="11312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9" name="IM 62"/>
                  <wp:cNvGraphicFramePr/>
                  <a:graphic xmlns:a="http://schemas.openxmlformats.org/drawingml/2006/main">
                    <a:graphicData uri="http://schemas.openxmlformats.org/drawingml/2006/picture">
                      <pic:pic xmlns:pic="http://schemas.openxmlformats.org/drawingml/2006/picture">
                        <pic:nvPicPr>
                          <pic:cNvPr id="139" name="IM 62"/>
                          <pic:cNvPicPr/>
                        </pic:nvPicPr>
                        <pic:blipFill>
                          <a:blip r:embed="rId55"/>
                          <a:stretch>
                            <a:fillRect/>
                          </a:stretch>
                        </pic:blipFill>
                        <pic:spPr>
                          <a:xfrm>
                            <a:off x="0" y="0"/>
                            <a:ext cx="113125"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现状调查</w:t>
            </w: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区域污染源</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调查项目</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4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已建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0" name="IM 63"/>
                  <wp:cNvGraphicFramePr/>
                  <a:graphic xmlns:a="http://schemas.openxmlformats.org/drawingml/2006/main">
                    <a:graphicData uri="http://schemas.openxmlformats.org/drawingml/2006/picture">
                      <pic:pic xmlns:pic="http://schemas.openxmlformats.org/drawingml/2006/picture">
                        <pic:nvPicPr>
                          <pic:cNvPr id="140" name="IM 63"/>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；在建</w:t>
            </w:r>
            <w:r>
              <w:rPr>
                <w:rFonts w:ascii="Times New Roman" w:hAnsi="Times New Roman" w:eastAsia="宋体" w:cs="宋体"/>
                <w:color w:val="auto"/>
                <w:spacing w:val="0"/>
                <w:position w:val="0"/>
                <w:sz w:val="21"/>
                <w:szCs w:val="21"/>
                <w:highlight w:val="none"/>
              </w:rPr>
              <w:drawing>
                <wp:inline distT="0" distB="0" distL="0" distR="0">
                  <wp:extent cx="104775" cy="97790"/>
                  <wp:effectExtent l="0" t="0" r="9525" b="16510"/>
                  <wp:docPr id="141" name="IM 64"/>
                  <wp:cNvGraphicFramePr/>
                  <a:graphic xmlns:a="http://schemas.openxmlformats.org/drawingml/2006/main">
                    <a:graphicData uri="http://schemas.openxmlformats.org/drawingml/2006/picture">
                      <pic:pic xmlns:pic="http://schemas.openxmlformats.org/drawingml/2006/picture">
                        <pic:nvPicPr>
                          <pic:cNvPr id="141" name="IM 64"/>
                          <pic:cNvPicPr/>
                        </pic:nvPicPr>
                        <pic:blipFill>
                          <a:blip r:embed="rId50"/>
                          <a:stretch>
                            <a:fillRect/>
                          </a:stretch>
                        </pic:blipFill>
                        <pic:spPr>
                          <a:xfrm>
                            <a:off x="0" y="0"/>
                            <a:ext cx="10487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；拟建</w:t>
            </w:r>
            <w:r>
              <w:rPr>
                <w:rFonts w:ascii="Times New Roman" w:hAnsi="Times New Roman" w:eastAsia="宋体"/>
                <w:color w:val="auto"/>
                <w:spacing w:val="0"/>
                <w:position w:val="0"/>
                <w:sz w:val="21"/>
                <w:szCs w:val="21"/>
                <w:highlight w:val="none"/>
              </w:rPr>
              <w:drawing>
                <wp:inline distT="0" distB="0" distL="0" distR="0">
                  <wp:extent cx="104775" cy="97790"/>
                  <wp:effectExtent l="0" t="0" r="9525" b="16510"/>
                  <wp:docPr id="142" name="IM 65"/>
                  <wp:cNvGraphicFramePr/>
                  <a:graphic xmlns:a="http://schemas.openxmlformats.org/drawingml/2006/main">
                    <a:graphicData uri="http://schemas.openxmlformats.org/drawingml/2006/picture">
                      <pic:pic xmlns:pic="http://schemas.openxmlformats.org/drawingml/2006/picture">
                        <pic:nvPicPr>
                          <pic:cNvPr id="142" name="IM 65"/>
                          <pic:cNvPicPr/>
                        </pic:nvPicPr>
                        <pic:blipFill>
                          <a:blip r:embed="rId50"/>
                          <a:stretch>
                            <a:fillRect/>
                          </a:stretch>
                        </pic:blipFill>
                        <pic:spPr>
                          <a:xfrm>
                            <a:off x="0" y="0"/>
                            <a:ext cx="10487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3" name="IM 66"/>
                  <wp:cNvGraphicFramePr/>
                  <a:graphic xmlns:a="http://schemas.openxmlformats.org/drawingml/2006/main">
                    <a:graphicData uri="http://schemas.openxmlformats.org/drawingml/2006/picture">
                      <pic:pic xmlns:pic="http://schemas.openxmlformats.org/drawingml/2006/picture">
                        <pic:nvPicPr>
                          <pic:cNvPr id="143" name="IM 66"/>
                          <pic:cNvPicPr/>
                        </pic:nvPicPr>
                        <pic:blipFill>
                          <a:blip r:embed="rId50"/>
                          <a:stretch>
                            <a:fillRect/>
                          </a:stretch>
                        </pic:blipFill>
                        <pic:spPr>
                          <a:xfrm>
                            <a:off x="0" y="0"/>
                            <a:ext cx="107613" cy="97878"/>
                          </a:xfrm>
                          <a:prstGeom prst="rect">
                            <a:avLst/>
                          </a:prstGeom>
                        </pic:spPr>
                      </pic:pic>
                    </a:graphicData>
                  </a:graphic>
                </wp:inline>
              </w:drawing>
            </w:r>
          </w:p>
        </w:tc>
        <w:tc>
          <w:tcPr>
            <w:tcW w:w="100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拟替代的污染源</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4" name="IM 67"/>
                  <wp:cNvGraphicFramePr/>
                  <a:graphic xmlns:a="http://schemas.openxmlformats.org/drawingml/2006/main">
                    <a:graphicData uri="http://schemas.openxmlformats.org/drawingml/2006/picture">
                      <pic:pic xmlns:pic="http://schemas.openxmlformats.org/drawingml/2006/picture">
                        <pic:nvPicPr>
                          <pic:cNvPr id="144" name="IM 67"/>
                          <pic:cNvPicPr/>
                        </pic:nvPicPr>
                        <pic:blipFill>
                          <a:blip r:embed="rId51"/>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排污许可证</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45" name="IM 68"/>
                  <wp:cNvGraphicFramePr/>
                  <a:graphic xmlns:a="http://schemas.openxmlformats.org/drawingml/2006/main">
                    <a:graphicData uri="http://schemas.openxmlformats.org/drawingml/2006/picture">
                      <pic:pic xmlns:pic="http://schemas.openxmlformats.org/drawingml/2006/picture">
                        <pic:nvPicPr>
                          <pic:cNvPr id="145" name="IM 68"/>
                          <pic:cNvPicPr/>
                        </pic:nvPicPr>
                        <pic:blipFill>
                          <a:blip r:embed="rId57"/>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；环评</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46" name="IM 69"/>
                  <wp:cNvGraphicFramePr/>
                  <a:graphic xmlns:a="http://schemas.openxmlformats.org/drawingml/2006/main">
                    <a:graphicData uri="http://schemas.openxmlformats.org/drawingml/2006/picture">
                      <pic:pic xmlns:pic="http://schemas.openxmlformats.org/drawingml/2006/picture">
                        <pic:nvPicPr>
                          <pic:cNvPr id="146" name="IM 69"/>
                          <pic:cNvPicPr/>
                        </pic:nvPicPr>
                        <pic:blipFill>
                          <a:blip r:embed="rId50"/>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；环保验收</w:t>
            </w:r>
            <w:r>
              <w:rPr>
                <w:rFonts w:ascii="Times New Roman" w:hAnsi="Times New Roman" w:eastAsia="宋体" w:cs="宋体"/>
                <w:color w:val="auto"/>
                <w:spacing w:val="0"/>
                <w:position w:val="0"/>
                <w:sz w:val="21"/>
                <w:szCs w:val="21"/>
                <w:highlight w:val="none"/>
              </w:rPr>
              <w:drawing>
                <wp:inline distT="0" distB="0" distL="0" distR="0">
                  <wp:extent cx="109220" cy="97790"/>
                  <wp:effectExtent l="0" t="0" r="5080" b="16510"/>
                  <wp:docPr id="147" name="IM 70"/>
                  <wp:cNvGraphicFramePr/>
                  <a:graphic xmlns:a="http://schemas.openxmlformats.org/drawingml/2006/main">
                    <a:graphicData uri="http://schemas.openxmlformats.org/drawingml/2006/picture">
                      <pic:pic xmlns:pic="http://schemas.openxmlformats.org/drawingml/2006/picture">
                        <pic:nvPicPr>
                          <pic:cNvPr id="147" name="IM 70"/>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；即有实施</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148" name="IM 71"/>
                  <wp:cNvGraphicFramePr/>
                  <a:graphic xmlns:a="http://schemas.openxmlformats.org/drawingml/2006/main">
                    <a:graphicData uri="http://schemas.openxmlformats.org/drawingml/2006/picture">
                      <pic:pic xmlns:pic="http://schemas.openxmlformats.org/drawingml/2006/picture">
                        <pic:nvPicPr>
                          <pic:cNvPr id="148" name="IM 71"/>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；现场监测</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149" name="IM 72"/>
                  <wp:cNvGraphicFramePr/>
                  <a:graphic xmlns:a="http://schemas.openxmlformats.org/drawingml/2006/main">
                    <a:graphicData uri="http://schemas.openxmlformats.org/drawingml/2006/picture">
                      <pic:pic xmlns:pic="http://schemas.openxmlformats.org/drawingml/2006/picture">
                        <pic:nvPicPr>
                          <pic:cNvPr id="149" name="IM 72"/>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；入河排放口数据</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50" name="IM 73"/>
                  <wp:cNvGraphicFramePr/>
                  <a:graphic xmlns:a="http://schemas.openxmlformats.org/drawingml/2006/main">
                    <a:graphicData uri="http://schemas.openxmlformats.org/drawingml/2006/picture">
                      <pic:pic xmlns:pic="http://schemas.openxmlformats.org/drawingml/2006/picture">
                        <pic:nvPicPr>
                          <pic:cNvPr id="150" name="IM 73"/>
                          <pic:cNvPicPr/>
                        </pic:nvPicPr>
                        <pic:blipFill>
                          <a:blip r:embed="rId57"/>
                          <a:stretch>
                            <a:fillRect/>
                          </a:stretch>
                        </pic:blipFill>
                        <pic:spPr>
                          <a:xfrm>
                            <a:off x="0" y="0"/>
                            <a:ext cx="1102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51" name="IM 74"/>
                  <wp:cNvGraphicFramePr/>
                  <a:graphic xmlns:a="http://schemas.openxmlformats.org/drawingml/2006/main">
                    <a:graphicData uri="http://schemas.openxmlformats.org/drawingml/2006/picture">
                      <pic:pic xmlns:pic="http://schemas.openxmlformats.org/drawingml/2006/picture">
                        <pic:nvPicPr>
                          <pic:cNvPr id="151" name="IM 74"/>
                          <pic:cNvPicPr/>
                        </pic:nvPicPr>
                        <pic:blipFill>
                          <a:blip r:embed="rId50"/>
                          <a:stretch>
                            <a:fillRect/>
                          </a:stretch>
                        </pic:blipFill>
                        <pic:spPr>
                          <a:xfrm>
                            <a:off x="0" y="0"/>
                            <a:ext cx="110214"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受影响水体水环境质量</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调查时期</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3" name="IM 75"/>
                  <wp:cNvGraphicFramePr/>
                  <a:graphic xmlns:a="http://schemas.openxmlformats.org/drawingml/2006/main">
                    <a:graphicData uri="http://schemas.openxmlformats.org/drawingml/2006/picture">
                      <pic:pic xmlns:pic="http://schemas.openxmlformats.org/drawingml/2006/picture">
                        <pic:nvPicPr>
                          <pic:cNvPr id="153" name="IM 75"/>
                          <pic:cNvPicPr/>
                        </pic:nvPicPr>
                        <pic:blipFill>
                          <a:blip r:embed="rId50"/>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4" name="IM 76"/>
                  <wp:cNvGraphicFramePr/>
                  <a:graphic xmlns:a="http://schemas.openxmlformats.org/drawingml/2006/main">
                    <a:graphicData uri="http://schemas.openxmlformats.org/drawingml/2006/picture">
                      <pic:pic xmlns:pic="http://schemas.openxmlformats.org/drawingml/2006/picture">
                        <pic:nvPicPr>
                          <pic:cNvPr id="154" name="IM 76"/>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5" name="IM 77"/>
                  <wp:cNvGraphicFramePr/>
                  <a:graphic xmlns:a="http://schemas.openxmlformats.org/drawingml/2006/main">
                    <a:graphicData uri="http://schemas.openxmlformats.org/drawingml/2006/picture">
                      <pic:pic xmlns:pic="http://schemas.openxmlformats.org/drawingml/2006/picture">
                        <pic:nvPicPr>
                          <pic:cNvPr id="155" name="IM 77"/>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6" name="IM 78"/>
                  <wp:cNvGraphicFramePr/>
                  <a:graphic xmlns:a="http://schemas.openxmlformats.org/drawingml/2006/main">
                    <a:graphicData uri="http://schemas.openxmlformats.org/drawingml/2006/picture">
                      <pic:pic xmlns:pic="http://schemas.openxmlformats.org/drawingml/2006/picture">
                        <pic:nvPicPr>
                          <pic:cNvPr id="156" name="IM 78"/>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7" name="IM 79"/>
                  <wp:cNvGraphicFramePr/>
                  <a:graphic xmlns:a="http://schemas.openxmlformats.org/drawingml/2006/main">
                    <a:graphicData uri="http://schemas.openxmlformats.org/drawingml/2006/picture">
                      <pic:pic xmlns:pic="http://schemas.openxmlformats.org/drawingml/2006/picture">
                        <pic:nvPicPr>
                          <pic:cNvPr id="157" name="IM 79"/>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8" name="IM 80"/>
                  <wp:cNvGraphicFramePr/>
                  <a:graphic xmlns:a="http://schemas.openxmlformats.org/drawingml/2006/main">
                    <a:graphicData uri="http://schemas.openxmlformats.org/drawingml/2006/picture">
                      <pic:pic xmlns:pic="http://schemas.openxmlformats.org/drawingml/2006/picture">
                        <pic:nvPicPr>
                          <pic:cNvPr id="158" name="IM 80"/>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59" name="IM 81"/>
                  <wp:cNvGraphicFramePr/>
                  <a:graphic xmlns:a="http://schemas.openxmlformats.org/drawingml/2006/main">
                    <a:graphicData uri="http://schemas.openxmlformats.org/drawingml/2006/picture">
                      <pic:pic xmlns:pic="http://schemas.openxmlformats.org/drawingml/2006/picture">
                        <pic:nvPicPr>
                          <pic:cNvPr id="159" name="IM 81"/>
                          <pic:cNvPicPr/>
                        </pic:nvPicPr>
                        <pic:blipFill>
                          <a:blip r:embed="rId50"/>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生态环境保护主管部门</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0" name="IM 82"/>
                  <wp:cNvGraphicFramePr/>
                  <a:graphic xmlns:a="http://schemas.openxmlformats.org/drawingml/2006/main">
                    <a:graphicData uri="http://schemas.openxmlformats.org/drawingml/2006/picture">
                      <pic:pic xmlns:pic="http://schemas.openxmlformats.org/drawingml/2006/picture">
                        <pic:nvPicPr>
                          <pic:cNvPr id="160" name="IM 82"/>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；补充监测</w:t>
            </w:r>
            <w:r>
              <w:rPr>
                <w:rFonts w:ascii="Times New Roman" w:hAnsi="Times New Roman" w:eastAsia="宋体" w:cs="宋体"/>
                <w:color w:val="auto"/>
                <w:spacing w:val="0"/>
                <w:position w:val="0"/>
                <w:sz w:val="21"/>
                <w:szCs w:val="21"/>
                <w:highlight w:val="none"/>
              </w:rPr>
              <w:drawing>
                <wp:inline distT="0" distB="0" distL="0" distR="0">
                  <wp:extent cx="104140" cy="97790"/>
                  <wp:effectExtent l="0" t="0" r="10160" b="16510"/>
                  <wp:docPr id="161" name="IM 83"/>
                  <wp:cNvGraphicFramePr/>
                  <a:graphic xmlns:a="http://schemas.openxmlformats.org/drawingml/2006/main">
                    <a:graphicData uri="http://schemas.openxmlformats.org/drawingml/2006/picture">
                      <pic:pic xmlns:pic="http://schemas.openxmlformats.org/drawingml/2006/picture">
                        <pic:nvPicPr>
                          <pic:cNvPr id="161" name="IM 83"/>
                          <pic:cNvPicPr/>
                        </pic:nvPicPr>
                        <pic:blipFill>
                          <a:blip r:embed="rId57"/>
                          <a:stretch>
                            <a:fillRect/>
                          </a:stretch>
                        </pic:blipFill>
                        <pic:spPr>
                          <a:xfrm>
                            <a:off x="0" y="0"/>
                            <a:ext cx="104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4140" cy="97790"/>
                  <wp:effectExtent l="0" t="0" r="10160" b="16510"/>
                  <wp:docPr id="162" name="IM 84"/>
                  <wp:cNvGraphicFramePr/>
                  <a:graphic xmlns:a="http://schemas.openxmlformats.org/drawingml/2006/main">
                    <a:graphicData uri="http://schemas.openxmlformats.org/drawingml/2006/picture">
                      <pic:pic xmlns:pic="http://schemas.openxmlformats.org/drawingml/2006/picture">
                        <pic:nvPicPr>
                          <pic:cNvPr id="162" name="IM 84"/>
                          <pic:cNvPicPr/>
                        </pic:nvPicPr>
                        <pic:blipFill>
                          <a:blip r:embed="rId50"/>
                          <a:stretch>
                            <a:fillRect/>
                          </a:stretch>
                        </pic:blipFill>
                        <pic:spPr>
                          <a:xfrm>
                            <a:off x="0" y="0"/>
                            <a:ext cx="104613"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区域水资源开发利用状况</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未开发</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3" name="IM 85"/>
                  <wp:cNvGraphicFramePr/>
                  <a:graphic xmlns:a="http://schemas.openxmlformats.org/drawingml/2006/main">
                    <a:graphicData uri="http://schemas.openxmlformats.org/drawingml/2006/picture">
                      <pic:pic xmlns:pic="http://schemas.openxmlformats.org/drawingml/2006/picture">
                        <pic:nvPicPr>
                          <pic:cNvPr id="163" name="IM 85"/>
                          <pic:cNvPicPr/>
                        </pic:nvPicPr>
                        <pic:blipFill>
                          <a:blip r:embed="rId56"/>
                          <a:stretch>
                            <a:fillRect/>
                          </a:stretch>
                        </pic:blipFill>
                        <pic:spPr>
                          <a:xfrm>
                            <a:off x="0" y="0"/>
                            <a:ext cx="107698"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；开发量</w:t>
            </w:r>
            <w:r>
              <w:rPr>
                <w:rFonts w:ascii="Times New Roman" w:hAnsi="Times New Roman" w:eastAsia="宋体" w:cs="Times New Roman"/>
                <w:color w:val="auto"/>
                <w:spacing w:val="0"/>
                <w:position w:val="0"/>
                <w:sz w:val="21"/>
                <w:szCs w:val="21"/>
                <w:highlight w:val="none"/>
              </w:rPr>
              <w:t>40%</w:t>
            </w:r>
            <w:r>
              <w:rPr>
                <w:rFonts w:ascii="Times New Roman" w:hAnsi="Times New Roman" w:eastAsia="宋体" w:cs="宋体"/>
                <w:color w:val="auto"/>
                <w:spacing w:val="0"/>
                <w:position w:val="0"/>
                <w:sz w:val="21"/>
                <w:szCs w:val="21"/>
                <w:highlight w:val="none"/>
              </w:rPr>
              <w:t>以下</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4" name="IM 86"/>
                  <wp:cNvGraphicFramePr/>
                  <a:graphic xmlns:a="http://schemas.openxmlformats.org/drawingml/2006/main">
                    <a:graphicData uri="http://schemas.openxmlformats.org/drawingml/2006/picture">
                      <pic:pic xmlns:pic="http://schemas.openxmlformats.org/drawingml/2006/picture">
                        <pic:nvPicPr>
                          <pic:cNvPr id="164" name="IM 86"/>
                          <pic:cNvPicPr/>
                        </pic:nvPicPr>
                        <pic:blipFill>
                          <a:blip r:embed="rId55"/>
                          <a:stretch>
                            <a:fillRect/>
                          </a:stretch>
                        </pic:blipFill>
                        <pic:spPr>
                          <a:xfrm>
                            <a:off x="0" y="0"/>
                            <a:ext cx="107698"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；开发量</w:t>
            </w:r>
            <w:r>
              <w:rPr>
                <w:rFonts w:ascii="Times New Roman" w:hAnsi="Times New Roman" w:eastAsia="宋体" w:cs="Times New Roman"/>
                <w:color w:val="auto"/>
                <w:spacing w:val="0"/>
                <w:position w:val="0"/>
                <w:sz w:val="21"/>
                <w:szCs w:val="21"/>
                <w:highlight w:val="none"/>
              </w:rPr>
              <w:t>40%</w:t>
            </w:r>
            <w:r>
              <w:rPr>
                <w:rFonts w:ascii="Times New Roman" w:hAnsi="Times New Roman" w:eastAsia="宋体" w:cs="宋体"/>
                <w:color w:val="auto"/>
                <w:spacing w:val="0"/>
                <w:position w:val="0"/>
                <w:sz w:val="21"/>
                <w:szCs w:val="21"/>
                <w:highlight w:val="none"/>
              </w:rPr>
              <w:t>以上</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5" name="IM 87"/>
                  <wp:cNvGraphicFramePr/>
                  <a:graphic xmlns:a="http://schemas.openxmlformats.org/drawingml/2006/main">
                    <a:graphicData uri="http://schemas.openxmlformats.org/drawingml/2006/picture">
                      <pic:pic xmlns:pic="http://schemas.openxmlformats.org/drawingml/2006/picture">
                        <pic:nvPicPr>
                          <pic:cNvPr id="165" name="IM 87"/>
                          <pic:cNvPicPr/>
                        </pic:nvPicPr>
                        <pic:blipFill>
                          <a:blip r:embed="rId55"/>
                          <a:stretch>
                            <a:fillRect/>
                          </a:stretch>
                        </pic:blipFill>
                        <pic:spPr>
                          <a:xfrm>
                            <a:off x="0" y="0"/>
                            <a:ext cx="107698"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水文情势调查</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调查时期</w:t>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jc w:val="center"/>
        </w:trPr>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补充监测</w:t>
            </w: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6" name="IM 88"/>
                  <wp:cNvGraphicFramePr/>
                  <a:graphic xmlns:a="http://schemas.openxmlformats.org/drawingml/2006/main">
                    <a:graphicData uri="http://schemas.openxmlformats.org/drawingml/2006/picture">
                      <pic:pic xmlns:pic="http://schemas.openxmlformats.org/drawingml/2006/picture">
                        <pic:nvPicPr>
                          <pic:cNvPr id="166" name="IM 88"/>
                          <pic:cNvPicPr/>
                        </pic:nvPicPr>
                        <pic:blipFill>
                          <a:blip r:embed="rId52"/>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7" name="IM 89"/>
                  <wp:cNvGraphicFramePr/>
                  <a:graphic xmlns:a="http://schemas.openxmlformats.org/drawingml/2006/main">
                    <a:graphicData uri="http://schemas.openxmlformats.org/drawingml/2006/picture">
                      <pic:pic xmlns:pic="http://schemas.openxmlformats.org/drawingml/2006/picture">
                        <pic:nvPicPr>
                          <pic:cNvPr id="167" name="IM 89"/>
                          <pic:cNvPicPr/>
                        </pic:nvPicPr>
                        <pic:blipFill>
                          <a:blip r:embed="rId52"/>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8" name="IM 90"/>
                  <wp:cNvGraphicFramePr/>
                  <a:graphic xmlns:a="http://schemas.openxmlformats.org/drawingml/2006/main">
                    <a:graphicData uri="http://schemas.openxmlformats.org/drawingml/2006/picture">
                      <pic:pic xmlns:pic="http://schemas.openxmlformats.org/drawingml/2006/picture">
                        <pic:nvPicPr>
                          <pic:cNvPr id="168" name="IM 90"/>
                          <pic:cNvPicPr/>
                        </pic:nvPicPr>
                        <pic:blipFill>
                          <a:blip r:embed="rId52"/>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69" name="IM 91"/>
                  <wp:cNvGraphicFramePr/>
                  <a:graphic xmlns:a="http://schemas.openxmlformats.org/drawingml/2006/main">
                    <a:graphicData uri="http://schemas.openxmlformats.org/drawingml/2006/picture">
                      <pic:pic xmlns:pic="http://schemas.openxmlformats.org/drawingml/2006/picture">
                        <pic:nvPicPr>
                          <pic:cNvPr id="169" name="IM 91"/>
                          <pic:cNvPicPr/>
                        </pic:nvPicPr>
                        <pic:blipFill>
                          <a:blip r:embed="rId53"/>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0" name="IM 92"/>
                  <wp:cNvGraphicFramePr/>
                  <a:graphic xmlns:a="http://schemas.openxmlformats.org/drawingml/2006/main">
                    <a:graphicData uri="http://schemas.openxmlformats.org/drawingml/2006/picture">
                      <pic:pic xmlns:pic="http://schemas.openxmlformats.org/drawingml/2006/picture">
                        <pic:nvPicPr>
                          <pic:cNvPr id="170" name="IM 92"/>
                          <pic:cNvPicPr/>
                        </pic:nvPicPr>
                        <pic:blipFill>
                          <a:blip r:embed="rId52"/>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1" name="IM 93"/>
                  <wp:cNvGraphicFramePr/>
                  <a:graphic xmlns:a="http://schemas.openxmlformats.org/drawingml/2006/main">
                    <a:graphicData uri="http://schemas.openxmlformats.org/drawingml/2006/picture">
                      <pic:pic xmlns:pic="http://schemas.openxmlformats.org/drawingml/2006/picture">
                        <pic:nvPicPr>
                          <pic:cNvPr id="171" name="IM 93"/>
                          <pic:cNvPicPr/>
                        </pic:nvPicPr>
                        <pic:blipFill>
                          <a:blip r:embed="rId53"/>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2" name="IM 94"/>
                  <wp:cNvGraphicFramePr/>
                  <a:graphic xmlns:a="http://schemas.openxmlformats.org/drawingml/2006/main">
                    <a:graphicData uri="http://schemas.openxmlformats.org/drawingml/2006/picture">
                      <pic:pic xmlns:pic="http://schemas.openxmlformats.org/drawingml/2006/picture">
                        <pic:nvPicPr>
                          <pic:cNvPr id="172" name="IM 94"/>
                          <pic:cNvPicPr/>
                        </pic:nvPicPr>
                        <pic:blipFill>
                          <a:blip r:embed="rId52"/>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173" name="IM 95"/>
                  <wp:cNvGraphicFramePr/>
                  <a:graphic xmlns:a="http://schemas.openxmlformats.org/drawingml/2006/main">
                    <a:graphicData uri="http://schemas.openxmlformats.org/drawingml/2006/picture">
                      <pic:pic xmlns:pic="http://schemas.openxmlformats.org/drawingml/2006/picture">
                        <pic:nvPicPr>
                          <pic:cNvPr id="173" name="IM 95"/>
                          <pic:cNvPicPr/>
                        </pic:nvPicPr>
                        <pic:blipFill>
                          <a:blip r:embed="rId52"/>
                          <a:stretch>
                            <a:fillRect/>
                          </a:stretch>
                        </pic:blipFill>
                        <pic:spPr>
                          <a:xfrm>
                            <a:off x="0" y="0"/>
                            <a:ext cx="96412" cy="97878"/>
                          </a:xfrm>
                          <a:prstGeom prst="rect">
                            <a:avLst/>
                          </a:prstGeom>
                        </pic:spPr>
                      </pic:pic>
                    </a:graphicData>
                  </a:graphic>
                </wp:inline>
              </w:drawing>
            </w:r>
          </w:p>
        </w:tc>
        <w:tc>
          <w:tcPr>
            <w:tcW w:w="1953"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水行政主管部门</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4" name="IM 96"/>
                  <wp:cNvGraphicFramePr/>
                  <a:graphic xmlns:a="http://schemas.openxmlformats.org/drawingml/2006/main">
                    <a:graphicData uri="http://schemas.openxmlformats.org/drawingml/2006/picture">
                      <pic:pic xmlns:pic="http://schemas.openxmlformats.org/drawingml/2006/picture">
                        <pic:nvPicPr>
                          <pic:cNvPr id="174" name="IM 96"/>
                          <pic:cNvPicPr/>
                        </pic:nvPicPr>
                        <pic:blipFill>
                          <a:blip r:embed="rId53"/>
                          <a:stretch>
                            <a:fillRect/>
                          </a:stretch>
                        </pic:blipFill>
                        <pic:spPr>
                          <a:xfrm>
                            <a:off x="0" y="0"/>
                            <a:ext cx="113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；补充监测</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5" name="IM 97"/>
                  <wp:cNvGraphicFramePr/>
                  <a:graphic xmlns:a="http://schemas.openxmlformats.org/drawingml/2006/main">
                    <a:graphicData uri="http://schemas.openxmlformats.org/drawingml/2006/picture">
                      <pic:pic xmlns:pic="http://schemas.openxmlformats.org/drawingml/2006/picture">
                        <pic:nvPicPr>
                          <pic:cNvPr id="175" name="IM 97"/>
                          <pic:cNvPicPr/>
                        </pic:nvPicPr>
                        <pic:blipFill>
                          <a:blip r:embed="rId52"/>
                          <a:stretch>
                            <a:fillRect/>
                          </a:stretch>
                        </pic:blipFill>
                        <pic:spPr>
                          <a:xfrm>
                            <a:off x="0" y="0"/>
                            <a:ext cx="113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76" name="IM 98"/>
                  <wp:cNvGraphicFramePr/>
                  <a:graphic xmlns:a="http://schemas.openxmlformats.org/drawingml/2006/main">
                    <a:graphicData uri="http://schemas.openxmlformats.org/drawingml/2006/picture">
                      <pic:pic xmlns:pic="http://schemas.openxmlformats.org/drawingml/2006/picture">
                        <pic:nvPicPr>
                          <pic:cNvPr id="176" name="IM 98"/>
                          <pic:cNvPicPr/>
                        </pic:nvPicPr>
                        <pic:blipFill>
                          <a:blip r:embed="rId52"/>
                          <a:stretch>
                            <a:fillRect/>
                          </a:stretch>
                        </pic:blipFill>
                        <pic:spPr>
                          <a:xfrm>
                            <a:off x="0" y="0"/>
                            <a:ext cx="107613"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监测时间</w:t>
            </w:r>
          </w:p>
        </w:tc>
        <w:tc>
          <w:tcPr>
            <w:tcW w:w="1253"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监测因子</w:t>
            </w:r>
          </w:p>
        </w:tc>
        <w:tc>
          <w:tcPr>
            <w:tcW w:w="6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监测断面或点位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7" name="IM 99"/>
                  <wp:cNvGraphicFramePr/>
                  <a:graphic xmlns:a="http://schemas.openxmlformats.org/drawingml/2006/main">
                    <a:graphicData uri="http://schemas.openxmlformats.org/drawingml/2006/picture">
                      <pic:pic xmlns:pic="http://schemas.openxmlformats.org/drawingml/2006/picture">
                        <pic:nvPicPr>
                          <pic:cNvPr id="177" name="IM 99"/>
                          <pic:cNvPicPr/>
                        </pic:nvPicPr>
                        <pic:blipFill>
                          <a:blip r:embed="rId50"/>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8" name="IM 100"/>
                  <wp:cNvGraphicFramePr/>
                  <a:graphic xmlns:a="http://schemas.openxmlformats.org/drawingml/2006/main">
                    <a:graphicData uri="http://schemas.openxmlformats.org/drawingml/2006/picture">
                      <pic:pic xmlns:pic="http://schemas.openxmlformats.org/drawingml/2006/picture">
                        <pic:nvPicPr>
                          <pic:cNvPr id="178" name="IM 100"/>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9" name="IM 101"/>
                  <wp:cNvGraphicFramePr/>
                  <a:graphic xmlns:a="http://schemas.openxmlformats.org/drawingml/2006/main">
                    <a:graphicData uri="http://schemas.openxmlformats.org/drawingml/2006/picture">
                      <pic:pic xmlns:pic="http://schemas.openxmlformats.org/drawingml/2006/picture">
                        <pic:nvPicPr>
                          <pic:cNvPr id="179" name="IM 101"/>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0" name="IM 102"/>
                  <wp:cNvGraphicFramePr/>
                  <a:graphic xmlns:a="http://schemas.openxmlformats.org/drawingml/2006/main">
                    <a:graphicData uri="http://schemas.openxmlformats.org/drawingml/2006/picture">
                      <pic:pic xmlns:pic="http://schemas.openxmlformats.org/drawingml/2006/picture">
                        <pic:nvPicPr>
                          <pic:cNvPr id="180" name="IM 102"/>
                          <pic:cNvPicPr/>
                        </pic:nvPicPr>
                        <pic:blipFill>
                          <a:blip r:embed="rId57"/>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1" name="IM 103"/>
                  <wp:cNvGraphicFramePr/>
                  <a:graphic xmlns:a="http://schemas.openxmlformats.org/drawingml/2006/main">
                    <a:graphicData uri="http://schemas.openxmlformats.org/drawingml/2006/picture">
                      <pic:pic xmlns:pic="http://schemas.openxmlformats.org/drawingml/2006/picture">
                        <pic:nvPicPr>
                          <pic:cNvPr id="181" name="IM 103"/>
                          <pic:cNvPicPr/>
                        </pic:nvPicPr>
                        <pic:blipFill>
                          <a:blip r:embed="rId50"/>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2" name="IM 104"/>
                  <wp:cNvGraphicFramePr/>
                  <a:graphic xmlns:a="http://schemas.openxmlformats.org/drawingml/2006/main">
                    <a:graphicData uri="http://schemas.openxmlformats.org/drawingml/2006/picture">
                      <pic:pic xmlns:pic="http://schemas.openxmlformats.org/drawingml/2006/picture">
                        <pic:nvPicPr>
                          <pic:cNvPr id="182" name="IM 104"/>
                          <pic:cNvPicPr/>
                        </pic:nvPicPr>
                        <pic:blipFill>
                          <a:blip r:embed="rId57"/>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3" name="IM 105"/>
                  <wp:cNvGraphicFramePr/>
                  <a:graphic xmlns:a="http://schemas.openxmlformats.org/drawingml/2006/main">
                    <a:graphicData uri="http://schemas.openxmlformats.org/drawingml/2006/picture">
                      <pic:pic xmlns:pic="http://schemas.openxmlformats.org/drawingml/2006/picture">
                        <pic:nvPicPr>
                          <pic:cNvPr id="183" name="IM 105"/>
                          <pic:cNvPicPr/>
                        </pic:nvPicPr>
                        <pic:blipFill>
                          <a:blip r:embed="rId50"/>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184" name="IM 106"/>
                  <wp:cNvGraphicFramePr/>
                  <a:graphic xmlns:a="http://schemas.openxmlformats.org/drawingml/2006/main">
                    <a:graphicData uri="http://schemas.openxmlformats.org/drawingml/2006/picture">
                      <pic:pic xmlns:pic="http://schemas.openxmlformats.org/drawingml/2006/picture">
                        <pic:nvPicPr>
                          <pic:cNvPr id="184" name="IM 106"/>
                          <pic:cNvPicPr/>
                        </pic:nvPicPr>
                        <pic:blipFill>
                          <a:blip r:embed="rId50"/>
                          <a:stretch>
                            <a:fillRect/>
                          </a:stretch>
                        </pic:blipFill>
                        <pic:spPr>
                          <a:xfrm>
                            <a:off x="0" y="0"/>
                            <a:ext cx="96412" cy="97878"/>
                          </a:xfrm>
                          <a:prstGeom prst="rect">
                            <a:avLst/>
                          </a:prstGeom>
                        </pic:spPr>
                      </pic:pic>
                    </a:graphicData>
                  </a:graphic>
                </wp:inline>
              </w:drawing>
            </w:r>
          </w:p>
        </w:tc>
        <w:tc>
          <w:tcPr>
            <w:tcW w:w="1253"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6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监测断面或点位个数</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评价范围</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河流：长度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宋体"/>
                <w:color w:val="auto"/>
                <w:spacing w:val="0"/>
                <w:position w:val="0"/>
                <w:sz w:val="21"/>
                <w:szCs w:val="21"/>
                <w:highlight w:val="none"/>
              </w:rPr>
              <w:t>；湖库、河口及近岸海域：面积</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Times New Roman"/>
                <w:color w:val="auto"/>
                <w:spacing w:val="0"/>
                <w:position w:val="0"/>
                <w:sz w:val="21"/>
                <w:szCs w:val="14"/>
                <w:highlight w:val="none"/>
                <w:vertAlign w:val="superscript"/>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评价标准</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河流、湖库、河口：Ⅰ类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5" name="IM 107"/>
                  <wp:cNvGraphicFramePr/>
                  <a:graphic xmlns:a="http://schemas.openxmlformats.org/drawingml/2006/main">
                    <a:graphicData uri="http://schemas.openxmlformats.org/drawingml/2006/picture">
                      <pic:pic xmlns:pic="http://schemas.openxmlformats.org/drawingml/2006/picture">
                        <pic:nvPicPr>
                          <pic:cNvPr id="185" name="IM 107"/>
                          <pic:cNvPicPr/>
                        </pic:nvPicPr>
                        <pic:blipFill>
                          <a:blip r:embed="rId52"/>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；Ⅱ类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6" name="IM 108"/>
                  <wp:cNvGraphicFramePr/>
                  <a:graphic xmlns:a="http://schemas.openxmlformats.org/drawingml/2006/main">
                    <a:graphicData uri="http://schemas.openxmlformats.org/drawingml/2006/picture">
                      <pic:pic xmlns:pic="http://schemas.openxmlformats.org/drawingml/2006/picture">
                        <pic:nvPicPr>
                          <pic:cNvPr id="186" name="IM 108"/>
                          <pic:cNvPicPr/>
                        </pic:nvPicPr>
                        <pic:blipFill>
                          <a:blip r:embed="rId54"/>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；Ⅲ类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7" name="IM 109"/>
                  <wp:cNvGraphicFramePr/>
                  <a:graphic xmlns:a="http://schemas.openxmlformats.org/drawingml/2006/main">
                    <a:graphicData uri="http://schemas.openxmlformats.org/drawingml/2006/picture">
                      <pic:pic xmlns:pic="http://schemas.openxmlformats.org/drawingml/2006/picture">
                        <pic:nvPicPr>
                          <pic:cNvPr id="187" name="IM 109"/>
                          <pic:cNvPicPr/>
                        </pic:nvPicPr>
                        <pic:blipFill>
                          <a:blip r:embed="rId52"/>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；Ⅳ类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8" name="IM 110"/>
                  <wp:cNvGraphicFramePr/>
                  <a:graphic xmlns:a="http://schemas.openxmlformats.org/drawingml/2006/main">
                    <a:graphicData uri="http://schemas.openxmlformats.org/drawingml/2006/picture">
                      <pic:pic xmlns:pic="http://schemas.openxmlformats.org/drawingml/2006/picture">
                        <pic:nvPicPr>
                          <pic:cNvPr id="188" name="IM 110"/>
                          <pic:cNvPicPr/>
                        </pic:nvPicPr>
                        <pic:blipFill>
                          <a:blip r:embed="rId54"/>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；Ⅴ类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9" name="IM 111"/>
                  <wp:cNvGraphicFramePr/>
                  <a:graphic xmlns:a="http://schemas.openxmlformats.org/drawingml/2006/main">
                    <a:graphicData uri="http://schemas.openxmlformats.org/drawingml/2006/picture">
                      <pic:pic xmlns:pic="http://schemas.openxmlformats.org/drawingml/2006/picture">
                        <pic:nvPicPr>
                          <pic:cNvPr id="189" name="IM 111"/>
                          <pic:cNvPicPr/>
                        </pic:nvPicPr>
                        <pic:blipFill>
                          <a:blip r:embed="rId52"/>
                          <a:stretch>
                            <a:fillRect/>
                          </a:stretch>
                        </pic:blipFill>
                        <pic:spPr>
                          <a:xfrm>
                            <a:off x="0" y="0"/>
                            <a:ext cx="112251" cy="9787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近岸海域：第一类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90" name="IM 112"/>
                  <wp:cNvGraphicFramePr/>
                  <a:graphic xmlns:a="http://schemas.openxmlformats.org/drawingml/2006/main">
                    <a:graphicData uri="http://schemas.openxmlformats.org/drawingml/2006/picture">
                      <pic:pic xmlns:pic="http://schemas.openxmlformats.org/drawingml/2006/picture">
                        <pic:nvPicPr>
                          <pic:cNvPr id="190" name="IM 112"/>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；第二类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91" name="IM 113"/>
                  <wp:cNvGraphicFramePr/>
                  <a:graphic xmlns:a="http://schemas.openxmlformats.org/drawingml/2006/main">
                    <a:graphicData uri="http://schemas.openxmlformats.org/drawingml/2006/picture">
                      <pic:pic xmlns:pic="http://schemas.openxmlformats.org/drawingml/2006/picture">
                        <pic:nvPicPr>
                          <pic:cNvPr id="191" name="IM 113"/>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；第三类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01" name="IM 114"/>
                  <wp:cNvGraphicFramePr/>
                  <a:graphic xmlns:a="http://schemas.openxmlformats.org/drawingml/2006/main">
                    <a:graphicData uri="http://schemas.openxmlformats.org/drawingml/2006/picture">
                      <pic:pic xmlns:pic="http://schemas.openxmlformats.org/drawingml/2006/picture">
                        <pic:nvPicPr>
                          <pic:cNvPr id="201" name="IM 114"/>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；第四类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03" name="IM 115"/>
                  <wp:cNvGraphicFramePr/>
                  <a:graphic xmlns:a="http://schemas.openxmlformats.org/drawingml/2006/main">
                    <a:graphicData uri="http://schemas.openxmlformats.org/drawingml/2006/picture">
                      <pic:pic xmlns:pic="http://schemas.openxmlformats.org/drawingml/2006/picture">
                        <pic:nvPicPr>
                          <pic:cNvPr id="203" name="IM 115"/>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规划年评价标准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评价时期</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4" name="IM 116"/>
                  <wp:cNvGraphicFramePr/>
                  <a:graphic xmlns:a="http://schemas.openxmlformats.org/drawingml/2006/main">
                    <a:graphicData uri="http://schemas.openxmlformats.org/drawingml/2006/picture">
                      <pic:pic xmlns:pic="http://schemas.openxmlformats.org/drawingml/2006/picture">
                        <pic:nvPicPr>
                          <pic:cNvPr id="204" name="IM 116"/>
                          <pic:cNvPicPr/>
                        </pic:nvPicPr>
                        <pic:blipFill>
                          <a:blip r:embed="rId53"/>
                          <a:stretch>
                            <a:fillRect/>
                          </a:stretch>
                        </pic:blipFill>
                        <pic:spPr>
                          <a:xfrm>
                            <a:off x="0" y="0"/>
                            <a:ext cx="11289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5" name="IM 117"/>
                  <wp:cNvGraphicFramePr/>
                  <a:graphic xmlns:a="http://schemas.openxmlformats.org/drawingml/2006/main">
                    <a:graphicData uri="http://schemas.openxmlformats.org/drawingml/2006/picture">
                      <pic:pic xmlns:pic="http://schemas.openxmlformats.org/drawingml/2006/picture">
                        <pic:nvPicPr>
                          <pic:cNvPr id="205" name="IM 117"/>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6" name="IM 118"/>
                  <wp:cNvGraphicFramePr/>
                  <a:graphic xmlns:a="http://schemas.openxmlformats.org/drawingml/2006/main">
                    <a:graphicData uri="http://schemas.openxmlformats.org/drawingml/2006/picture">
                      <pic:pic xmlns:pic="http://schemas.openxmlformats.org/drawingml/2006/picture">
                        <pic:nvPicPr>
                          <pic:cNvPr id="206" name="IM 118"/>
                          <pic:cNvPicPr/>
                        </pic:nvPicPr>
                        <pic:blipFill>
                          <a:blip r:embed="rId53"/>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7" name="IM 119"/>
                  <wp:cNvGraphicFramePr/>
                  <a:graphic xmlns:a="http://schemas.openxmlformats.org/drawingml/2006/main">
                    <a:graphicData uri="http://schemas.openxmlformats.org/drawingml/2006/picture">
                      <pic:pic xmlns:pic="http://schemas.openxmlformats.org/drawingml/2006/picture">
                        <pic:nvPicPr>
                          <pic:cNvPr id="207" name="IM 119"/>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8" name="IM 120"/>
                  <wp:cNvGraphicFramePr/>
                  <a:graphic xmlns:a="http://schemas.openxmlformats.org/drawingml/2006/main">
                    <a:graphicData uri="http://schemas.openxmlformats.org/drawingml/2006/picture">
                      <pic:pic xmlns:pic="http://schemas.openxmlformats.org/drawingml/2006/picture">
                        <pic:nvPicPr>
                          <pic:cNvPr id="208" name="IM 120"/>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9" name="IM 121"/>
                  <wp:cNvGraphicFramePr/>
                  <a:graphic xmlns:a="http://schemas.openxmlformats.org/drawingml/2006/main">
                    <a:graphicData uri="http://schemas.openxmlformats.org/drawingml/2006/picture">
                      <pic:pic xmlns:pic="http://schemas.openxmlformats.org/drawingml/2006/picture">
                        <pic:nvPicPr>
                          <pic:cNvPr id="209" name="IM 121"/>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10" name="IM 122"/>
                  <wp:cNvGraphicFramePr/>
                  <a:graphic xmlns:a="http://schemas.openxmlformats.org/drawingml/2006/main">
                    <a:graphicData uri="http://schemas.openxmlformats.org/drawingml/2006/picture">
                      <pic:pic xmlns:pic="http://schemas.openxmlformats.org/drawingml/2006/picture">
                        <pic:nvPicPr>
                          <pic:cNvPr id="210" name="IM 122"/>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11" name="IM 123"/>
                  <wp:cNvGraphicFramePr/>
                  <a:graphic xmlns:a="http://schemas.openxmlformats.org/drawingml/2006/main">
                    <a:graphicData uri="http://schemas.openxmlformats.org/drawingml/2006/picture">
                      <pic:pic xmlns:pic="http://schemas.openxmlformats.org/drawingml/2006/picture">
                        <pic:nvPicPr>
                          <pic:cNvPr id="211" name="IM 123"/>
                          <pic:cNvPicPr/>
                        </pic:nvPicPr>
                        <pic:blipFill>
                          <a:blip r:embed="rId52"/>
                          <a:stretch>
                            <a:fillRect/>
                          </a:stretch>
                        </pic:blipFill>
                        <pic:spPr>
                          <a:xfrm>
                            <a:off x="0" y="0"/>
                            <a:ext cx="112895"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008" w:type="pct"/>
            <w:gridSpan w:val="11"/>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水环境功能区或水功能区、近岸海域环境功能区水质达标状况</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2" name="IM 124"/>
                  <wp:cNvGraphicFramePr/>
                  <a:graphic xmlns:a="http://schemas.openxmlformats.org/drawingml/2006/main">
                    <a:graphicData uri="http://schemas.openxmlformats.org/drawingml/2006/picture">
                      <pic:pic xmlns:pic="http://schemas.openxmlformats.org/drawingml/2006/picture">
                        <pic:nvPicPr>
                          <pic:cNvPr id="212" name="IM 124"/>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3" name="IM 125"/>
                  <wp:cNvGraphicFramePr/>
                  <a:graphic xmlns:a="http://schemas.openxmlformats.org/drawingml/2006/main">
                    <a:graphicData uri="http://schemas.openxmlformats.org/drawingml/2006/picture">
                      <pic:pic xmlns:pic="http://schemas.openxmlformats.org/drawingml/2006/picture">
                        <pic:nvPicPr>
                          <pic:cNvPr id="213" name="IM 125"/>
                          <pic:cNvPicPr/>
                        </pic:nvPicPr>
                        <pic:blipFill>
                          <a:blip r:embed="rId52"/>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4" name="IM 126"/>
                  <wp:cNvGraphicFramePr/>
                  <a:graphic xmlns:a="http://schemas.openxmlformats.org/drawingml/2006/main">
                    <a:graphicData uri="http://schemas.openxmlformats.org/drawingml/2006/picture">
                      <pic:pic xmlns:pic="http://schemas.openxmlformats.org/drawingml/2006/picture">
                        <pic:nvPicPr>
                          <pic:cNvPr id="214" name="IM 126"/>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水环境控制单元或断面水质达标状况</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5" name="IM 127"/>
                  <wp:cNvGraphicFramePr/>
                  <a:graphic xmlns:a="http://schemas.openxmlformats.org/drawingml/2006/main">
                    <a:graphicData uri="http://schemas.openxmlformats.org/drawingml/2006/picture">
                      <pic:pic xmlns:pic="http://schemas.openxmlformats.org/drawingml/2006/picture">
                        <pic:nvPicPr>
                          <pic:cNvPr id="215" name="IM 127"/>
                          <pic:cNvPicPr/>
                        </pic:nvPicPr>
                        <pic:blipFill>
                          <a:blip r:embed="rId54"/>
                          <a:stretch>
                            <a:fillRect/>
                          </a:stretch>
                        </pic:blipFill>
                        <pic:spPr>
                          <a:xfrm>
                            <a:off x="0" y="0"/>
                            <a:ext cx="109347" cy="97878"/>
                          </a:xfrm>
                          <a:prstGeom prst="rect">
                            <a:avLst/>
                          </a:prstGeom>
                        </pic:spPr>
                      </pic:pic>
                    </a:graphicData>
                  </a:graphic>
                </wp:inline>
              </w:drawing>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6" name="IM 128"/>
                  <wp:cNvGraphicFramePr/>
                  <a:graphic xmlns:a="http://schemas.openxmlformats.org/drawingml/2006/main">
                    <a:graphicData uri="http://schemas.openxmlformats.org/drawingml/2006/picture">
                      <pic:pic xmlns:pic="http://schemas.openxmlformats.org/drawingml/2006/picture">
                        <pic:nvPicPr>
                          <pic:cNvPr id="216" name="IM 128"/>
                          <pic:cNvPicPr/>
                        </pic:nvPicPr>
                        <pic:blipFill>
                          <a:blip r:embed="rId52"/>
                          <a:stretch>
                            <a:fillRect/>
                          </a:stretch>
                        </pic:blipFill>
                        <pic:spPr>
                          <a:xfrm>
                            <a:off x="0" y="0"/>
                            <a:ext cx="10934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7" name="IM 129"/>
                  <wp:cNvGraphicFramePr/>
                  <a:graphic xmlns:a="http://schemas.openxmlformats.org/drawingml/2006/main">
                    <a:graphicData uri="http://schemas.openxmlformats.org/drawingml/2006/picture">
                      <pic:pic xmlns:pic="http://schemas.openxmlformats.org/drawingml/2006/picture">
                        <pic:nvPicPr>
                          <pic:cNvPr id="217" name="IM 129"/>
                          <pic:cNvPicPr/>
                        </pic:nvPicPr>
                        <pic:blipFill>
                          <a:blip r:embed="rId53"/>
                          <a:stretch>
                            <a:fillRect/>
                          </a:stretch>
                        </pic:blipFill>
                        <pic:spPr>
                          <a:xfrm>
                            <a:off x="0" y="0"/>
                            <a:ext cx="10934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水环境保护目标质量状况</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8" name="IM 130"/>
                  <wp:cNvGraphicFramePr/>
                  <a:graphic xmlns:a="http://schemas.openxmlformats.org/drawingml/2006/main">
                    <a:graphicData uri="http://schemas.openxmlformats.org/drawingml/2006/picture">
                      <pic:pic xmlns:pic="http://schemas.openxmlformats.org/drawingml/2006/picture">
                        <pic:nvPicPr>
                          <pic:cNvPr id="218" name="IM 130"/>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9" name="IM 131"/>
                  <wp:cNvGraphicFramePr/>
                  <a:graphic xmlns:a="http://schemas.openxmlformats.org/drawingml/2006/main">
                    <a:graphicData uri="http://schemas.openxmlformats.org/drawingml/2006/picture">
                      <pic:pic xmlns:pic="http://schemas.openxmlformats.org/drawingml/2006/picture">
                        <pic:nvPicPr>
                          <pic:cNvPr id="219" name="IM 131"/>
                          <pic:cNvPicPr/>
                        </pic:nvPicPr>
                        <pic:blipFill>
                          <a:blip r:embed="rId52"/>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20" name="IM 132"/>
                  <wp:cNvGraphicFramePr/>
                  <a:graphic xmlns:a="http://schemas.openxmlformats.org/drawingml/2006/main">
                    <a:graphicData uri="http://schemas.openxmlformats.org/drawingml/2006/picture">
                      <pic:pic xmlns:pic="http://schemas.openxmlformats.org/drawingml/2006/picture">
                        <pic:nvPicPr>
                          <pic:cNvPr id="220" name="IM 132"/>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对照断面、控制断面等代表性断面的水质状况</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1" name="IM 133"/>
                  <wp:cNvGraphicFramePr/>
                  <a:graphic xmlns:a="http://schemas.openxmlformats.org/drawingml/2006/main">
                    <a:graphicData uri="http://schemas.openxmlformats.org/drawingml/2006/picture">
                      <pic:pic xmlns:pic="http://schemas.openxmlformats.org/drawingml/2006/picture">
                        <pic:nvPicPr>
                          <pic:cNvPr id="221" name="IM 133"/>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2" name="IM 134"/>
                  <wp:cNvGraphicFramePr/>
                  <a:graphic xmlns:a="http://schemas.openxmlformats.org/drawingml/2006/main">
                    <a:graphicData uri="http://schemas.openxmlformats.org/drawingml/2006/picture">
                      <pic:pic xmlns:pic="http://schemas.openxmlformats.org/drawingml/2006/picture">
                        <pic:nvPicPr>
                          <pic:cNvPr id="222" name="IM 134"/>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3" name="IM 135"/>
                  <wp:cNvGraphicFramePr/>
                  <a:graphic xmlns:a="http://schemas.openxmlformats.org/drawingml/2006/main">
                    <a:graphicData uri="http://schemas.openxmlformats.org/drawingml/2006/picture">
                      <pic:pic xmlns:pic="http://schemas.openxmlformats.org/drawingml/2006/picture">
                        <pic:nvPicPr>
                          <pic:cNvPr id="223" name="IM 135"/>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底泥污染评价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4" name="IM 136"/>
                  <wp:cNvGraphicFramePr/>
                  <a:graphic xmlns:a="http://schemas.openxmlformats.org/drawingml/2006/main">
                    <a:graphicData uri="http://schemas.openxmlformats.org/drawingml/2006/picture">
                      <pic:pic xmlns:pic="http://schemas.openxmlformats.org/drawingml/2006/picture">
                        <pic:nvPicPr>
                          <pic:cNvPr id="224" name="IM 136"/>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水资源与开发利用程度及其水文情势评价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5" name="IM 137"/>
                  <wp:cNvGraphicFramePr/>
                  <a:graphic xmlns:a="http://schemas.openxmlformats.org/drawingml/2006/main">
                    <a:graphicData uri="http://schemas.openxmlformats.org/drawingml/2006/picture">
                      <pic:pic xmlns:pic="http://schemas.openxmlformats.org/drawingml/2006/picture">
                        <pic:nvPicPr>
                          <pic:cNvPr id="225" name="IM 137"/>
                          <pic:cNvPicPr/>
                        </pic:nvPicPr>
                        <pic:blipFill>
                          <a:blip r:embed="rId52"/>
                          <a:stretch>
                            <a:fillRect/>
                          </a:stretch>
                        </pic:blipFill>
                        <pic:spPr>
                          <a:xfrm>
                            <a:off x="0" y="0"/>
                            <a:ext cx="10786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水环境质量回顾评价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6" name="IM 138"/>
                  <wp:cNvGraphicFramePr/>
                  <a:graphic xmlns:a="http://schemas.openxmlformats.org/drawingml/2006/main">
                    <a:graphicData uri="http://schemas.openxmlformats.org/drawingml/2006/picture">
                      <pic:pic xmlns:pic="http://schemas.openxmlformats.org/drawingml/2006/picture">
                        <pic:nvPicPr>
                          <pic:cNvPr id="226" name="IM 138"/>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区域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水资源</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包括水能资源</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与开发利用总体状况、生态流量管理要求与现状满足程度、建设项目占用水域空间的水流状况与河湖演变状况</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7" name="IM 139"/>
                  <wp:cNvGraphicFramePr/>
                  <a:graphic xmlns:a="http://schemas.openxmlformats.org/drawingml/2006/main">
                    <a:graphicData uri="http://schemas.openxmlformats.org/drawingml/2006/picture">
                      <pic:pic xmlns:pic="http://schemas.openxmlformats.org/drawingml/2006/picture">
                        <pic:nvPicPr>
                          <pic:cNvPr id="227" name="IM 139"/>
                          <pic:cNvPicPr/>
                        </pic:nvPicPr>
                        <pic:blipFill>
                          <a:blip r:embed="rId52"/>
                          <a:stretch>
                            <a:fillRect/>
                          </a:stretch>
                        </pic:blipFill>
                        <pic:spPr>
                          <a:xfrm>
                            <a:off x="0" y="0"/>
                            <a:ext cx="107867" cy="97878"/>
                          </a:xfrm>
                          <a:prstGeom prst="rect">
                            <a:avLst/>
                          </a:prstGeom>
                        </pic:spPr>
                      </pic:pic>
                    </a:graphicData>
                  </a:graphic>
                </wp:inline>
              </w:drawing>
            </w:r>
          </w:p>
        </w:tc>
        <w:tc>
          <w:tcPr>
            <w:tcW w:w="90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8" name="IM 140"/>
                  <wp:cNvGraphicFramePr/>
                  <a:graphic xmlns:a="http://schemas.openxmlformats.org/drawingml/2006/main">
                    <a:graphicData uri="http://schemas.openxmlformats.org/drawingml/2006/picture">
                      <pic:pic xmlns:pic="http://schemas.openxmlformats.org/drawingml/2006/picture">
                        <pic:nvPicPr>
                          <pic:cNvPr id="228" name="IM 140"/>
                          <pic:cNvPicPr/>
                        </pic:nvPicPr>
                        <pic:blipFill>
                          <a:blip r:embed="rId53"/>
                          <a:stretch>
                            <a:fillRect/>
                          </a:stretch>
                        </pic:blipFill>
                        <pic:spPr>
                          <a:xfrm>
                            <a:off x="0" y="0"/>
                            <a:ext cx="107613" cy="9787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不达标区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9" name="IM 141"/>
                  <wp:cNvGraphicFramePr/>
                  <a:graphic xmlns:a="http://schemas.openxmlformats.org/drawingml/2006/main">
                    <a:graphicData uri="http://schemas.openxmlformats.org/drawingml/2006/picture">
                      <pic:pic xmlns:pic="http://schemas.openxmlformats.org/drawingml/2006/picture">
                        <pic:nvPicPr>
                          <pic:cNvPr id="229" name="IM 141"/>
                          <pic:cNvPicPr/>
                        </pic:nvPicPr>
                        <pic:blipFill>
                          <a:blip r:embed="rId54"/>
                          <a:stretch>
                            <a:fillRect/>
                          </a:stretch>
                        </pic:blipFill>
                        <pic:spPr>
                          <a:xfrm>
                            <a:off x="0" y="0"/>
                            <a:ext cx="107612"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影响预测</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预测范围</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河流：长度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宋体"/>
                <w:color w:val="auto"/>
                <w:spacing w:val="0"/>
                <w:position w:val="0"/>
                <w:sz w:val="21"/>
                <w:szCs w:val="21"/>
                <w:highlight w:val="none"/>
              </w:rPr>
              <w:t>；湖库、河口及近岸海域：面积</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Times New Roman"/>
                <w:color w:val="auto"/>
                <w:spacing w:val="0"/>
                <w:position w:val="0"/>
                <w:sz w:val="21"/>
                <w:szCs w:val="14"/>
                <w:highlight w:val="none"/>
                <w:vertAlign w:val="superscript"/>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预测因子</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预测时期</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0" name="IM 142"/>
                  <wp:cNvGraphicFramePr/>
                  <a:graphic xmlns:a="http://schemas.openxmlformats.org/drawingml/2006/main">
                    <a:graphicData uri="http://schemas.openxmlformats.org/drawingml/2006/picture">
                      <pic:pic xmlns:pic="http://schemas.openxmlformats.org/drawingml/2006/picture">
                        <pic:nvPicPr>
                          <pic:cNvPr id="230" name="IM 142"/>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1" name="IM 143"/>
                  <wp:cNvGraphicFramePr/>
                  <a:graphic xmlns:a="http://schemas.openxmlformats.org/drawingml/2006/main">
                    <a:graphicData uri="http://schemas.openxmlformats.org/drawingml/2006/picture">
                      <pic:pic xmlns:pic="http://schemas.openxmlformats.org/drawingml/2006/picture">
                        <pic:nvPicPr>
                          <pic:cNvPr id="231" name="IM 143"/>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2" name="IM 144"/>
                  <wp:cNvGraphicFramePr/>
                  <a:graphic xmlns:a="http://schemas.openxmlformats.org/drawingml/2006/main">
                    <a:graphicData uri="http://schemas.openxmlformats.org/drawingml/2006/picture">
                      <pic:pic xmlns:pic="http://schemas.openxmlformats.org/drawingml/2006/picture">
                        <pic:nvPicPr>
                          <pic:cNvPr id="232" name="IM 144"/>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3" name="IM 145"/>
                  <wp:cNvGraphicFramePr/>
                  <a:graphic xmlns:a="http://schemas.openxmlformats.org/drawingml/2006/main">
                    <a:graphicData uri="http://schemas.openxmlformats.org/drawingml/2006/picture">
                      <pic:pic xmlns:pic="http://schemas.openxmlformats.org/drawingml/2006/picture">
                        <pic:nvPicPr>
                          <pic:cNvPr id="233" name="IM 145"/>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4" name="IM 146"/>
                  <wp:cNvGraphicFramePr/>
                  <a:graphic xmlns:a="http://schemas.openxmlformats.org/drawingml/2006/main">
                    <a:graphicData uri="http://schemas.openxmlformats.org/drawingml/2006/picture">
                      <pic:pic xmlns:pic="http://schemas.openxmlformats.org/drawingml/2006/picture">
                        <pic:nvPicPr>
                          <pic:cNvPr id="234" name="IM 146"/>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5" name="IM 147"/>
                  <wp:cNvGraphicFramePr/>
                  <a:graphic xmlns:a="http://schemas.openxmlformats.org/drawingml/2006/main">
                    <a:graphicData uri="http://schemas.openxmlformats.org/drawingml/2006/picture">
                      <pic:pic xmlns:pic="http://schemas.openxmlformats.org/drawingml/2006/picture">
                        <pic:nvPicPr>
                          <pic:cNvPr id="235" name="IM 147"/>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6" name="IM 148"/>
                  <wp:cNvGraphicFramePr/>
                  <a:graphic xmlns:a="http://schemas.openxmlformats.org/drawingml/2006/main">
                    <a:graphicData uri="http://schemas.openxmlformats.org/drawingml/2006/picture">
                      <pic:pic xmlns:pic="http://schemas.openxmlformats.org/drawingml/2006/picture">
                        <pic:nvPicPr>
                          <pic:cNvPr id="236" name="IM 148"/>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s="宋体"/>
                <w:color w:val="auto"/>
                <w:spacing w:val="0"/>
                <w:position w:val="0"/>
                <w:sz w:val="21"/>
                <w:szCs w:val="21"/>
                <w:highlight w:val="none"/>
              </w:rPr>
              <w:drawing>
                <wp:inline distT="0" distB="0" distL="0" distR="0">
                  <wp:extent cx="104775" cy="97790"/>
                  <wp:effectExtent l="0" t="0" r="9525" b="16510"/>
                  <wp:docPr id="237" name="IM 149"/>
                  <wp:cNvGraphicFramePr/>
                  <a:graphic xmlns:a="http://schemas.openxmlformats.org/drawingml/2006/main">
                    <a:graphicData uri="http://schemas.openxmlformats.org/drawingml/2006/picture">
                      <pic:pic xmlns:pic="http://schemas.openxmlformats.org/drawingml/2006/picture">
                        <pic:nvPicPr>
                          <pic:cNvPr id="237" name="IM 149"/>
                          <pic:cNvPicPr/>
                        </pic:nvPicPr>
                        <pic:blipFill>
                          <a:blip r:embed="rId55"/>
                          <a:stretch>
                            <a:fillRect/>
                          </a:stretch>
                        </pic:blipFill>
                        <pic:spPr>
                          <a:xfrm>
                            <a:off x="0" y="0"/>
                            <a:ext cx="10500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；设计水文条件</w:t>
            </w:r>
            <w:r>
              <w:rPr>
                <w:rFonts w:ascii="Times New Roman" w:hAnsi="Times New Roman" w:eastAsia="宋体"/>
                <w:color w:val="auto"/>
                <w:spacing w:val="0"/>
                <w:position w:val="0"/>
                <w:sz w:val="21"/>
                <w:szCs w:val="21"/>
                <w:highlight w:val="none"/>
              </w:rPr>
              <w:drawing>
                <wp:inline distT="0" distB="0" distL="0" distR="0">
                  <wp:extent cx="104775" cy="97790"/>
                  <wp:effectExtent l="0" t="0" r="9525" b="16510"/>
                  <wp:docPr id="238" name="IM 150"/>
                  <wp:cNvGraphicFramePr/>
                  <a:graphic xmlns:a="http://schemas.openxmlformats.org/drawingml/2006/main">
                    <a:graphicData uri="http://schemas.openxmlformats.org/drawingml/2006/picture">
                      <pic:pic xmlns:pic="http://schemas.openxmlformats.org/drawingml/2006/picture">
                        <pic:nvPicPr>
                          <pic:cNvPr id="238" name="IM 150"/>
                          <pic:cNvPicPr/>
                        </pic:nvPicPr>
                        <pic:blipFill>
                          <a:blip r:embed="rId55"/>
                          <a:stretch>
                            <a:fillRect/>
                          </a:stretch>
                        </pic:blipFill>
                        <pic:spPr>
                          <a:xfrm>
                            <a:off x="0" y="0"/>
                            <a:ext cx="105006"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预测情景</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建设期</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39" name="IM 151"/>
                  <wp:cNvGraphicFramePr/>
                  <a:graphic xmlns:a="http://schemas.openxmlformats.org/drawingml/2006/main">
                    <a:graphicData uri="http://schemas.openxmlformats.org/drawingml/2006/picture">
                      <pic:pic xmlns:pic="http://schemas.openxmlformats.org/drawingml/2006/picture">
                        <pic:nvPicPr>
                          <pic:cNvPr id="239" name="IM 151"/>
                          <pic:cNvPicPr/>
                        </pic:nvPicPr>
                        <pic:blipFill>
                          <a:blip r:embed="rId54"/>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；生产运行期</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40" name="IM 152"/>
                  <wp:cNvGraphicFramePr/>
                  <a:graphic xmlns:a="http://schemas.openxmlformats.org/drawingml/2006/main">
                    <a:graphicData uri="http://schemas.openxmlformats.org/drawingml/2006/picture">
                      <pic:pic xmlns:pic="http://schemas.openxmlformats.org/drawingml/2006/picture">
                        <pic:nvPicPr>
                          <pic:cNvPr id="240" name="IM 152"/>
                          <pic:cNvPicPr/>
                        </pic:nvPicPr>
                        <pic:blipFill>
                          <a:blip r:embed="rId52"/>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；服务期满后</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41" name="IM 153"/>
                  <wp:cNvGraphicFramePr/>
                  <a:graphic xmlns:a="http://schemas.openxmlformats.org/drawingml/2006/main">
                    <a:graphicData uri="http://schemas.openxmlformats.org/drawingml/2006/picture">
                      <pic:pic xmlns:pic="http://schemas.openxmlformats.org/drawingml/2006/picture">
                        <pic:nvPicPr>
                          <pic:cNvPr id="241" name="IM 153"/>
                          <pic:cNvPicPr/>
                        </pic:nvPicPr>
                        <pic:blipFill>
                          <a:blip r:embed="rId54"/>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正常工况</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242" name="IM 154"/>
                  <wp:cNvGraphicFramePr/>
                  <a:graphic xmlns:a="http://schemas.openxmlformats.org/drawingml/2006/main">
                    <a:graphicData uri="http://schemas.openxmlformats.org/drawingml/2006/picture">
                      <pic:pic xmlns:pic="http://schemas.openxmlformats.org/drawingml/2006/picture">
                        <pic:nvPicPr>
                          <pic:cNvPr id="242" name="IM 154"/>
                          <pic:cNvPicPr/>
                        </pic:nvPicPr>
                        <pic:blipFill>
                          <a:blip r:embed="rId52"/>
                          <a:stretch>
                            <a:fillRect/>
                          </a:stretch>
                        </pic:blipFill>
                        <pic:spPr>
                          <a:xfrm>
                            <a:off x="0" y="0"/>
                            <a:ext cx="11060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；非正常工况</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243" name="IM 155"/>
                  <wp:cNvGraphicFramePr/>
                  <a:graphic xmlns:a="http://schemas.openxmlformats.org/drawingml/2006/main">
                    <a:graphicData uri="http://schemas.openxmlformats.org/drawingml/2006/picture">
                      <pic:pic xmlns:pic="http://schemas.openxmlformats.org/drawingml/2006/picture">
                        <pic:nvPicPr>
                          <pic:cNvPr id="243" name="IM 155"/>
                          <pic:cNvPicPr/>
                        </pic:nvPicPr>
                        <pic:blipFill>
                          <a:blip r:embed="rId52"/>
                          <a:stretch>
                            <a:fillRect/>
                          </a:stretch>
                        </pic:blipFill>
                        <pic:spPr>
                          <a:xfrm>
                            <a:off x="0" y="0"/>
                            <a:ext cx="11060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污染控制和减缓措施方案</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44" name="IM 156"/>
                  <wp:cNvGraphicFramePr/>
                  <a:graphic xmlns:a="http://schemas.openxmlformats.org/drawingml/2006/main">
                    <a:graphicData uri="http://schemas.openxmlformats.org/drawingml/2006/picture">
                      <pic:pic xmlns:pic="http://schemas.openxmlformats.org/drawingml/2006/picture">
                        <pic:nvPicPr>
                          <pic:cNvPr id="244" name="IM 156"/>
                          <pic:cNvPicPr/>
                        </pic:nvPicPr>
                        <pic:blipFill>
                          <a:blip r:embed="rId52"/>
                          <a:stretch>
                            <a:fillRect/>
                          </a:stretch>
                        </pic:blipFill>
                        <pic:spPr>
                          <a:xfrm>
                            <a:off x="0" y="0"/>
                            <a:ext cx="10786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流</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域环境质量改善目标要求情景</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45" name="IM 157"/>
                  <wp:cNvGraphicFramePr/>
                  <a:graphic xmlns:a="http://schemas.openxmlformats.org/drawingml/2006/main">
                    <a:graphicData uri="http://schemas.openxmlformats.org/drawingml/2006/picture">
                      <pic:pic xmlns:pic="http://schemas.openxmlformats.org/drawingml/2006/picture">
                        <pic:nvPicPr>
                          <pic:cNvPr id="245" name="IM 157"/>
                          <pic:cNvPicPr/>
                        </pic:nvPicPr>
                        <pic:blipFill>
                          <a:blip r:embed="rId52"/>
                          <a:stretch>
                            <a:fillRect/>
                          </a:stretch>
                        </pic:blipFill>
                        <pic:spPr>
                          <a:xfrm>
                            <a:off x="0" y="0"/>
                            <a:ext cx="107867"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预测方法</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数值解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6" name="IM 158"/>
                  <wp:cNvGraphicFramePr/>
                  <a:graphic xmlns:a="http://schemas.openxmlformats.org/drawingml/2006/main">
                    <a:graphicData uri="http://schemas.openxmlformats.org/drawingml/2006/picture">
                      <pic:pic xmlns:pic="http://schemas.openxmlformats.org/drawingml/2006/picture">
                        <pic:nvPicPr>
                          <pic:cNvPr id="246" name="IM 158"/>
                          <pic:cNvPicPr/>
                        </pic:nvPicPr>
                        <pic:blipFill>
                          <a:blip r:embed="rId52"/>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；解析解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7" name="IM 159"/>
                  <wp:cNvGraphicFramePr/>
                  <a:graphic xmlns:a="http://schemas.openxmlformats.org/drawingml/2006/main">
                    <a:graphicData uri="http://schemas.openxmlformats.org/drawingml/2006/picture">
                      <pic:pic xmlns:pic="http://schemas.openxmlformats.org/drawingml/2006/picture">
                        <pic:nvPicPr>
                          <pic:cNvPr id="247" name="IM 159"/>
                          <pic:cNvPicPr/>
                        </pic:nvPicPr>
                        <pic:blipFill>
                          <a:blip r:embed="rId54"/>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8" name="IM 160"/>
                  <wp:cNvGraphicFramePr/>
                  <a:graphic xmlns:a="http://schemas.openxmlformats.org/drawingml/2006/main">
                    <a:graphicData uri="http://schemas.openxmlformats.org/drawingml/2006/picture">
                      <pic:pic xmlns:pic="http://schemas.openxmlformats.org/drawingml/2006/picture">
                        <pic:nvPicPr>
                          <pic:cNvPr id="248" name="IM 160"/>
                          <pic:cNvPicPr/>
                        </pic:nvPicPr>
                        <pic:blipFill>
                          <a:blip r:embed="rId52"/>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；导则推荐模式</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9" name="IM 161"/>
                  <wp:cNvGraphicFramePr/>
                  <a:graphic xmlns:a="http://schemas.openxmlformats.org/drawingml/2006/main">
                    <a:graphicData uri="http://schemas.openxmlformats.org/drawingml/2006/picture">
                      <pic:pic xmlns:pic="http://schemas.openxmlformats.org/drawingml/2006/picture">
                        <pic:nvPicPr>
                          <pic:cNvPr id="249" name="IM 161"/>
                          <pic:cNvPicPr/>
                        </pic:nvPicPr>
                        <pic:blipFill>
                          <a:blip r:embed="rId54"/>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50" name="IM 162"/>
                  <wp:cNvGraphicFramePr/>
                  <a:graphic xmlns:a="http://schemas.openxmlformats.org/drawingml/2006/main">
                    <a:graphicData uri="http://schemas.openxmlformats.org/drawingml/2006/picture">
                      <pic:pic xmlns:pic="http://schemas.openxmlformats.org/drawingml/2006/picture">
                        <pic:nvPicPr>
                          <pic:cNvPr id="250" name="IM 162"/>
                          <pic:cNvPicPr/>
                        </pic:nvPicPr>
                        <pic:blipFill>
                          <a:blip r:embed="rId52"/>
                          <a:stretch>
                            <a:fillRect/>
                          </a:stretch>
                        </pic:blipFill>
                        <pic:spPr>
                          <a:xfrm>
                            <a:off x="0" y="0"/>
                            <a:ext cx="111560"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影响评价</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水污染物控制</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和水环境影响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减缓措施有效</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性评价</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流</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域水环境质量改善目标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1" name="IM 163"/>
                  <wp:cNvGraphicFramePr/>
                  <a:graphic xmlns:a="http://schemas.openxmlformats.org/drawingml/2006/main">
                    <a:graphicData uri="http://schemas.openxmlformats.org/drawingml/2006/picture">
                      <pic:pic xmlns:pic="http://schemas.openxmlformats.org/drawingml/2006/picture">
                        <pic:nvPicPr>
                          <pic:cNvPr id="251" name="IM 163"/>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；替代消减源</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2" name="IM 164"/>
                  <wp:cNvGraphicFramePr/>
                  <a:graphic xmlns:a="http://schemas.openxmlformats.org/drawingml/2006/main">
                    <a:graphicData uri="http://schemas.openxmlformats.org/drawingml/2006/picture">
                      <pic:pic xmlns:pic="http://schemas.openxmlformats.org/drawingml/2006/picture">
                        <pic:nvPicPr>
                          <pic:cNvPr id="252" name="IM 164"/>
                          <pic:cNvPicPr/>
                        </pic:nvPicPr>
                        <pic:blipFill>
                          <a:blip r:embed="rId52"/>
                          <a:stretch>
                            <a:fillRect/>
                          </a:stretch>
                        </pic:blipFill>
                        <pic:spPr>
                          <a:xfrm>
                            <a:off x="0" y="0"/>
                            <a:ext cx="107740"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污染源排放量核算</w:t>
            </w:r>
          </w:p>
        </w:tc>
        <w:tc>
          <w:tcPr>
            <w:tcW w:w="93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污染物名称</w:t>
            </w:r>
          </w:p>
        </w:tc>
        <w:tc>
          <w:tcPr>
            <w:tcW w:w="126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排放量</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171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3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265"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71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替代源排放情况</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污染源名称</w:t>
            </w:r>
          </w:p>
        </w:tc>
        <w:tc>
          <w:tcPr>
            <w:tcW w:w="721"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排污许可证号</w:t>
            </w:r>
          </w:p>
        </w:tc>
        <w:tc>
          <w:tcPr>
            <w:tcW w:w="75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污染物名称</w:t>
            </w:r>
          </w:p>
        </w:tc>
        <w:tc>
          <w:tcPr>
            <w:tcW w:w="71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排放量</w:t>
            </w:r>
            <w:r>
              <w:rPr>
                <w:rFonts w:ascii="Times New Roman" w:hAnsi="Times New Roman" w:eastAsia="宋体" w:cs="Times New Roman"/>
                <w:color w:val="auto"/>
                <w:spacing w:val="0"/>
                <w:positio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107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21"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5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1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07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25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生态流量确定</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生态流量：一般水期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；鱼类繁殖期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生态水位：一般水期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宋体"/>
                <w:color w:val="auto"/>
                <w:spacing w:val="0"/>
                <w:position w:val="0"/>
                <w:sz w:val="21"/>
                <w:szCs w:val="21"/>
                <w:highlight w:val="none"/>
              </w:rPr>
              <w:t>；鱼类繁殖期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防治措施</w:t>
            </w: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环保措施</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污水处理设施</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；水文减缓设施</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3" name="IM 165"/>
                  <wp:cNvGraphicFramePr/>
                  <a:graphic xmlns:a="http://schemas.openxmlformats.org/drawingml/2006/main">
                    <a:graphicData uri="http://schemas.openxmlformats.org/drawingml/2006/picture">
                      <pic:pic xmlns:pic="http://schemas.openxmlformats.org/drawingml/2006/picture">
                        <pic:nvPicPr>
                          <pic:cNvPr id="253" name="IM 165"/>
                          <pic:cNvPicPr/>
                        </pic:nvPicPr>
                        <pic:blipFill>
                          <a:blip r:embed="rId54"/>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；生态流量保障设施</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4" name="IM 166"/>
                  <wp:cNvGraphicFramePr/>
                  <a:graphic xmlns:a="http://schemas.openxmlformats.org/drawingml/2006/main">
                    <a:graphicData uri="http://schemas.openxmlformats.org/drawingml/2006/picture">
                      <pic:pic xmlns:pic="http://schemas.openxmlformats.org/drawingml/2006/picture">
                        <pic:nvPicPr>
                          <pic:cNvPr id="254" name="IM 166"/>
                          <pic:cNvPicPr/>
                        </pic:nvPicPr>
                        <pic:blipFill>
                          <a:blip r:embed="rId52"/>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；区域削减</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5" name="IM 167"/>
                  <wp:cNvGraphicFramePr/>
                  <a:graphic xmlns:a="http://schemas.openxmlformats.org/drawingml/2006/main">
                    <a:graphicData uri="http://schemas.openxmlformats.org/drawingml/2006/picture">
                      <pic:pic xmlns:pic="http://schemas.openxmlformats.org/drawingml/2006/picture">
                        <pic:nvPicPr>
                          <pic:cNvPr id="255" name="IM 167"/>
                          <pic:cNvPicPr/>
                        </pic:nvPicPr>
                        <pic:blipFill>
                          <a:blip r:embed="rId54"/>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；依托其他工程措施</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6" name="IM 168"/>
                  <wp:cNvGraphicFramePr/>
                  <a:graphic xmlns:a="http://schemas.openxmlformats.org/drawingml/2006/main">
                    <a:graphicData uri="http://schemas.openxmlformats.org/drawingml/2006/picture">
                      <pic:pic xmlns:pic="http://schemas.openxmlformats.org/drawingml/2006/picture">
                        <pic:nvPicPr>
                          <pic:cNvPr id="256" name="IM 168"/>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7" name="IM 169"/>
                  <wp:cNvGraphicFramePr/>
                  <a:graphic xmlns:a="http://schemas.openxmlformats.org/drawingml/2006/main">
                    <a:graphicData uri="http://schemas.openxmlformats.org/drawingml/2006/picture">
                      <pic:pic xmlns:pic="http://schemas.openxmlformats.org/drawingml/2006/picture">
                        <pic:nvPicPr>
                          <pic:cNvPr id="257" name="IM 169"/>
                          <pic:cNvPicPr/>
                        </pic:nvPicPr>
                        <pic:blipFill>
                          <a:blip r:embed="rId52"/>
                          <a:stretch>
                            <a:fillRect/>
                          </a:stretch>
                        </pic:blipFill>
                        <pic:spPr>
                          <a:xfrm>
                            <a:off x="0" y="0"/>
                            <a:ext cx="107740"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监测计划</w:t>
            </w:r>
          </w:p>
        </w:tc>
        <w:tc>
          <w:tcPr>
            <w:tcW w:w="96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31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环境质量</w:t>
            </w:r>
          </w:p>
        </w:tc>
        <w:tc>
          <w:tcPr>
            <w:tcW w:w="163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监测方式</w:t>
            </w:r>
          </w:p>
        </w:tc>
        <w:tc>
          <w:tcPr>
            <w:tcW w:w="131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手动</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58" name="IM 170"/>
                  <wp:cNvGraphicFramePr/>
                  <a:graphic xmlns:a="http://schemas.openxmlformats.org/drawingml/2006/main">
                    <a:graphicData uri="http://schemas.openxmlformats.org/drawingml/2006/picture">
                      <pic:pic xmlns:pic="http://schemas.openxmlformats.org/drawingml/2006/picture">
                        <pic:nvPicPr>
                          <pic:cNvPr id="258" name="IM 170"/>
                          <pic:cNvPicPr/>
                        </pic:nvPicPr>
                        <pic:blipFill>
                          <a:blip r:embed="rId53"/>
                          <a:stretch>
                            <a:fillRect/>
                          </a:stretch>
                        </pic:blipFill>
                        <pic:spPr>
                          <a:xfrm>
                            <a:off x="0" y="0"/>
                            <a:ext cx="112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；自动</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59" name="IM 171"/>
                  <wp:cNvGraphicFramePr/>
                  <a:graphic xmlns:a="http://schemas.openxmlformats.org/drawingml/2006/main">
                    <a:graphicData uri="http://schemas.openxmlformats.org/drawingml/2006/picture">
                      <pic:pic xmlns:pic="http://schemas.openxmlformats.org/drawingml/2006/picture">
                        <pic:nvPicPr>
                          <pic:cNvPr id="259" name="IM 171"/>
                          <pic:cNvPicPr/>
                        </pic:nvPicPr>
                        <pic:blipFill>
                          <a:blip r:embed="rId52"/>
                          <a:stretch>
                            <a:fillRect/>
                          </a:stretch>
                        </pic:blipFill>
                        <pic:spPr>
                          <a:xfrm>
                            <a:off x="0" y="0"/>
                            <a:ext cx="112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；无监测</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260" name="IM 172"/>
                  <wp:cNvGraphicFramePr/>
                  <a:graphic xmlns:a="http://schemas.openxmlformats.org/drawingml/2006/main">
                    <a:graphicData uri="http://schemas.openxmlformats.org/drawingml/2006/picture">
                      <pic:pic xmlns:pic="http://schemas.openxmlformats.org/drawingml/2006/picture">
                        <pic:nvPicPr>
                          <pic:cNvPr id="260" name="IM 172"/>
                          <pic:cNvPicPr/>
                        </pic:nvPicPr>
                        <pic:blipFill>
                          <a:blip r:embed="rId54"/>
                          <a:stretch>
                            <a:fillRect/>
                          </a:stretch>
                        </pic:blipFill>
                        <pic:spPr>
                          <a:xfrm>
                            <a:off x="0" y="0"/>
                            <a:ext cx="96412" cy="97878"/>
                          </a:xfrm>
                          <a:prstGeom prst="rect">
                            <a:avLst/>
                          </a:prstGeom>
                        </pic:spPr>
                      </pic:pic>
                    </a:graphicData>
                  </a:graphic>
                </wp:inline>
              </w:drawing>
            </w:r>
          </w:p>
        </w:tc>
        <w:tc>
          <w:tcPr>
            <w:tcW w:w="163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手动</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1" name="IM 173"/>
                  <wp:cNvGraphicFramePr/>
                  <a:graphic xmlns:a="http://schemas.openxmlformats.org/drawingml/2006/main">
                    <a:graphicData uri="http://schemas.openxmlformats.org/drawingml/2006/picture">
                      <pic:pic xmlns:pic="http://schemas.openxmlformats.org/drawingml/2006/picture">
                        <pic:nvPicPr>
                          <pic:cNvPr id="261" name="IM 173"/>
                          <pic:cNvPicPr/>
                        </pic:nvPicPr>
                        <pic:blipFill>
                          <a:blip r:embed="rId52"/>
                          <a:stretch>
                            <a:fillRect/>
                          </a:stretch>
                        </pic:blipFill>
                        <pic:spPr>
                          <a:xfrm>
                            <a:off x="0" y="0"/>
                            <a:ext cx="11437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；自动</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2" name="IM 174"/>
                  <wp:cNvGraphicFramePr/>
                  <a:graphic xmlns:a="http://schemas.openxmlformats.org/drawingml/2006/main">
                    <a:graphicData uri="http://schemas.openxmlformats.org/drawingml/2006/picture">
                      <pic:pic xmlns:pic="http://schemas.openxmlformats.org/drawingml/2006/picture">
                        <pic:nvPicPr>
                          <pic:cNvPr id="262" name="IM 174"/>
                          <pic:cNvPicPr/>
                        </pic:nvPicPr>
                        <pic:blipFill>
                          <a:blip r:embed="rId52"/>
                          <a:stretch>
                            <a:fillRect/>
                          </a:stretch>
                        </pic:blipFill>
                        <pic:spPr>
                          <a:xfrm>
                            <a:off x="0" y="0"/>
                            <a:ext cx="11437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；无监测</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3" name="IM 175"/>
                  <wp:cNvGraphicFramePr/>
                  <a:graphic xmlns:a="http://schemas.openxmlformats.org/drawingml/2006/main">
                    <a:graphicData uri="http://schemas.openxmlformats.org/drawingml/2006/picture">
                      <pic:pic xmlns:pic="http://schemas.openxmlformats.org/drawingml/2006/picture">
                        <pic:nvPicPr>
                          <pic:cNvPr id="263" name="IM 175"/>
                          <pic:cNvPicPr/>
                        </pic:nvPicPr>
                        <pic:blipFill>
                          <a:blip r:embed="rId52"/>
                          <a:stretch>
                            <a:fillRect/>
                          </a:stretch>
                        </pic:blipFill>
                        <pic:spPr>
                          <a:xfrm>
                            <a:off x="0" y="0"/>
                            <a:ext cx="114369"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监测点位</w:t>
            </w:r>
          </w:p>
        </w:tc>
        <w:tc>
          <w:tcPr>
            <w:tcW w:w="131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63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监测因子</w:t>
            </w:r>
          </w:p>
        </w:tc>
        <w:tc>
          <w:tcPr>
            <w:tcW w:w="131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63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58"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污染物排放清单</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olor w:val="auto"/>
                <w:spacing w:val="0"/>
                <w:position w:val="0"/>
                <w:sz w:val="21"/>
                <w:highlight w:val="none"/>
              </w:rPr>
              <w:drawing>
                <wp:inline distT="0" distB="0" distL="0" distR="0">
                  <wp:extent cx="95885" cy="97790"/>
                  <wp:effectExtent l="0" t="0" r="18415" b="16510"/>
                  <wp:docPr id="264" name="IM 176"/>
                  <wp:cNvGraphicFramePr/>
                  <a:graphic xmlns:a="http://schemas.openxmlformats.org/drawingml/2006/main">
                    <a:graphicData uri="http://schemas.openxmlformats.org/drawingml/2006/picture">
                      <pic:pic xmlns:pic="http://schemas.openxmlformats.org/drawingml/2006/picture">
                        <pic:nvPicPr>
                          <pic:cNvPr id="264" name="IM 176"/>
                          <pic:cNvPicPr/>
                        </pic:nvPicPr>
                        <pic:blipFill>
                          <a:blip r:embed="rId55"/>
                          <a:stretch>
                            <a:fillRect/>
                          </a:stretch>
                        </pic:blipFill>
                        <pic:spPr>
                          <a:xfrm>
                            <a:off x="0" y="0"/>
                            <a:ext cx="96412"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910"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可以接受</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；不可以接受</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65" name="IM 177"/>
                  <wp:cNvGraphicFramePr/>
                  <a:graphic xmlns:a="http://schemas.openxmlformats.org/drawingml/2006/main">
                    <a:graphicData uri="http://schemas.openxmlformats.org/drawingml/2006/picture">
                      <pic:pic xmlns:pic="http://schemas.openxmlformats.org/drawingml/2006/picture">
                        <pic:nvPicPr>
                          <pic:cNvPr id="265" name="IM 177"/>
                          <pic:cNvPicPr/>
                        </pic:nvPicPr>
                        <pic:blipFill>
                          <a:blip r:embed="rId55"/>
                          <a:stretch>
                            <a:fillRect/>
                          </a:stretch>
                        </pic:blipFill>
                        <pic:spPr>
                          <a:xfrm>
                            <a:off x="0" y="0"/>
                            <a:ext cx="113601" cy="97878"/>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000" w:type="pct"/>
            <w:gridSpan w:val="1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注：</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为勾选项，填</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hint="eastAsia" w:cs="宋体"/>
                <w:color w:val="auto"/>
                <w:spacing w:val="0"/>
                <w:position w:val="0"/>
                <w:sz w:val="21"/>
                <w:szCs w:val="21"/>
                <w:highlight w:val="none"/>
                <w:lang w:eastAsia="zh-CN"/>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为内容填写项</w:t>
            </w:r>
          </w:p>
        </w:tc>
      </w:tr>
    </w:tbl>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5.2.2.</w:t>
      </w:r>
      <w:r>
        <w:rPr>
          <w:rFonts w:ascii="Times New Roman" w:hAnsi="Times New Roman" w:eastAsia="宋体"/>
          <w:color w:val="auto"/>
          <w:highlight w:val="none"/>
        </w:rPr>
        <w:t>2地下水环境影响分析</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bookmarkStart w:id="186" w:name="_Toc86740198"/>
      <w:r>
        <w:rPr>
          <w:rFonts w:hint="eastAsia" w:ascii="Times New Roman" w:hAnsi="Times New Roman" w:eastAsia="宋体" w:cs="Times New Roman"/>
          <w:color w:val="auto"/>
          <w:spacing w:val="0"/>
          <w:position w:val="0"/>
          <w:sz w:val="24"/>
          <w:szCs w:val="24"/>
          <w:highlight w:val="none"/>
          <w:lang w:val="en-US" w:eastAsia="zh-CN"/>
        </w:rPr>
        <w:t>1、</w:t>
      </w:r>
      <w:r>
        <w:rPr>
          <w:rFonts w:ascii="Times New Roman" w:hAnsi="Times New Roman" w:eastAsia="宋体" w:cs="宋体"/>
          <w:color w:val="auto"/>
          <w:spacing w:val="0"/>
          <w:position w:val="0"/>
          <w:sz w:val="24"/>
          <w:szCs w:val="24"/>
          <w:highlight w:val="none"/>
        </w:rPr>
        <w:t>区域水文地质概况</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区域地质构造概要</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县南部为山区和丘陵区，由玛纳斯背斜的北翼构成；北部扇区与山体之间为一条南东西向的断裂所分割。冲洪积扇地形是南东高、北西低，是干旱半干旱地区。山前冲洪积扇的水文地质特征、地下水的形成及运动受地质构造、地形地貌及水文气象等因素控制，整个冲洪积扇区分布在巨厚的第四系松散沉积物中，受基底控制，其厚度南西厚、北东薄，整个扇区从山丘区至山前冲洪积平原至沙漠构成了一个基本完整的地下水补给、径流、排泄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厂址附近没有天然地表水体，只有农灌渠，灌渠都是以玛纳斯河水为主要水源的莫索湾干渠的支渠。该河是天山北麓的最大河流，由多条支流汇集而成，主要补给源为冰川、融雪水和大气降水，多年平均径流量</w:t>
      </w:r>
      <w:r>
        <w:rPr>
          <w:rFonts w:ascii="Times New Roman" w:hAnsi="Times New Roman" w:eastAsia="宋体" w:cs="Times New Roman"/>
          <w:color w:val="auto"/>
          <w:spacing w:val="0"/>
          <w:position w:val="0"/>
          <w:sz w:val="24"/>
          <w:szCs w:val="24"/>
          <w:highlight w:val="none"/>
        </w:rPr>
        <w:t>12.58</w:t>
      </w:r>
      <w:r>
        <w:rPr>
          <w:rFonts w:ascii="Times New Roman" w:hAnsi="Times New Roman" w:eastAsia="宋体" w:cs="宋体"/>
          <w:color w:val="auto"/>
          <w:spacing w:val="0"/>
          <w:position w:val="0"/>
          <w:sz w:val="24"/>
          <w:szCs w:val="24"/>
          <w:highlight w:val="none"/>
        </w:rPr>
        <w:t>亿</w:t>
      </w:r>
      <w:r>
        <w:rPr>
          <w:rFonts w:ascii="Times New Roman" w:hAnsi="Times New Roman" w:eastAsia="宋体" w:cs="Times New Roman"/>
          <w:color w:val="auto"/>
          <w:spacing w:val="0"/>
          <w:position w:val="0"/>
          <w:sz w:val="24"/>
          <w:szCs w:val="24"/>
          <w:highlight w:val="none"/>
        </w:rPr>
        <w:t>m</w:t>
      </w:r>
      <w:r>
        <w:rPr>
          <w:rFonts w:ascii="Times New Roman" w:hAnsi="Times New Roman" w:eastAsia="宋体" w:cs="Times New Roman"/>
          <w:color w:val="auto"/>
          <w:spacing w:val="0"/>
          <w:position w:val="0"/>
          <w:sz w:val="24"/>
          <w:szCs w:val="15"/>
          <w:highlight w:val="none"/>
        </w:rPr>
        <w:t>3</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区域水文地质条件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山前冲洪积平原</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冲湖积平原</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沙漠构成了一个基本完整的地下水补、径、排系统。玛纳斯河、塔西河河水是区域地下水主要的补给来源，两河出山口后散流于冲洪积平原之上，主河道比较宽阔，河水散布面积广。区域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3</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区域地下水类型</w:t>
      </w:r>
    </w:p>
    <w:p>
      <w:pPr>
        <w:keepNext w:val="0"/>
        <w:keepLines w:val="0"/>
        <w:pageBreakBefore w:val="0"/>
        <w:widowControl w:val="0"/>
        <w:kinsoku/>
        <w:wordWrap/>
        <w:overflowPunct/>
        <w:topLinePunct w:val="0"/>
        <w:autoSpaceDE/>
        <w:autoSpaceDN/>
        <w:bidi w:val="0"/>
        <w:adjustRightInd/>
        <w:snapToGrid/>
        <w:spacing w:line="360" w:lineRule="auto"/>
        <w:ind w:left="0" w:right="0" w:firstLine="49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类型有山区基岩裂隙水和山前平原第四系孔隙水。山区基岩裂隙水直接受气候垂直分布规律的控制，南部高山区有终年积雪，降水量大，基岩裂隙水丰富；而低山丘陵气候干旱，基岩裂隙水贫乏。山区冰雪溶水及降雨大量补给河流；另一方面又沿裂隙渗入补给基岩裂隙水，并在深切沟谷两旁以泉的形式溢出汇流成溪。山区丰富的水源，主要以河流形式注入盆地，补给第四系松散堆积层中孔隙水。</w:t>
      </w:r>
    </w:p>
    <w:p>
      <w:pPr>
        <w:keepNext w:val="0"/>
        <w:keepLines w:val="0"/>
        <w:pageBreakBefore w:val="0"/>
        <w:widowControl w:val="0"/>
        <w:kinsoku/>
        <w:wordWrap/>
        <w:overflowPunct/>
        <w:topLinePunct w:val="0"/>
        <w:autoSpaceDE/>
        <w:autoSpaceDN/>
        <w:bidi w:val="0"/>
        <w:adjustRightInd/>
        <w:snapToGrid/>
        <w:spacing w:line="360" w:lineRule="auto"/>
        <w:ind w:left="0" w:right="0" w:firstLine="50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山区河流出山口后，流经冲洪积扇适水性良好的砾石带，在天然状态下，玛纳斯河渗漏率为</w:t>
      </w:r>
      <w:r>
        <w:rPr>
          <w:rFonts w:ascii="Times New Roman" w:hAnsi="Times New Roman" w:eastAsia="宋体" w:cs="Times New Roman"/>
          <w:color w:val="auto"/>
          <w:spacing w:val="0"/>
          <w:position w:val="0"/>
          <w:sz w:val="24"/>
          <w:szCs w:val="24"/>
          <w:highlight w:val="none"/>
        </w:rPr>
        <w:t>40%</w:t>
      </w:r>
      <w:r>
        <w:rPr>
          <w:rFonts w:ascii="Times New Roman" w:hAnsi="Times New Roman" w:eastAsia="宋体" w:cs="宋体"/>
          <w:color w:val="auto"/>
          <w:spacing w:val="0"/>
          <w:position w:val="0"/>
          <w:sz w:val="24"/>
          <w:szCs w:val="24"/>
          <w:highlight w:val="none"/>
        </w:rPr>
        <w:t>，塔西河渗漏率</w:t>
      </w:r>
      <w:r>
        <w:rPr>
          <w:rFonts w:ascii="Times New Roman" w:hAnsi="Times New Roman" w:eastAsia="宋体" w:cs="Times New Roman"/>
          <w:color w:val="auto"/>
          <w:spacing w:val="0"/>
          <w:position w:val="0"/>
          <w:sz w:val="24"/>
          <w:szCs w:val="24"/>
          <w:highlight w:val="none"/>
        </w:rPr>
        <w:t>67%</w:t>
      </w:r>
      <w:r>
        <w:rPr>
          <w:rFonts w:ascii="Times New Roman" w:hAnsi="Times New Roman" w:eastAsia="宋体" w:cs="宋体"/>
          <w:color w:val="auto"/>
          <w:spacing w:val="0"/>
          <w:position w:val="0"/>
          <w:sz w:val="24"/>
          <w:szCs w:val="24"/>
          <w:highlight w:val="none"/>
        </w:rPr>
        <w:t>，河水大量渗漏，成为平原区地下水的主要来源。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扇区内自扇顶向扇缘夹有明显的水文地质分带规律，溢出带以南为单一结构的卵石、砂砾石含水层，潜水埋深自扇顶的</w:t>
      </w:r>
      <w:r>
        <w:rPr>
          <w:rFonts w:ascii="Times New Roman" w:hAnsi="Times New Roman" w:eastAsia="宋体" w:cs="Times New Roman"/>
          <w:color w:val="auto"/>
          <w:spacing w:val="0"/>
          <w:position w:val="0"/>
          <w:sz w:val="24"/>
          <w:szCs w:val="24"/>
          <w:highlight w:val="none"/>
        </w:rPr>
        <w:t>150m</w:t>
      </w:r>
      <w:r>
        <w:rPr>
          <w:rFonts w:ascii="Times New Roman" w:hAnsi="Times New Roman" w:eastAsia="宋体" w:cs="宋体"/>
          <w:color w:val="auto"/>
          <w:spacing w:val="0"/>
          <w:position w:val="0"/>
          <w:sz w:val="24"/>
          <w:szCs w:val="24"/>
          <w:highlight w:val="none"/>
        </w:rPr>
        <w:t>左右向北逐渐变浅，到乌伊公路一线，潜水埋深</w:t>
      </w:r>
      <w:r>
        <w:rPr>
          <w:rFonts w:ascii="Times New Roman" w:hAnsi="Times New Roman" w:eastAsia="宋体" w:cs="Times New Roman"/>
          <w:color w:val="auto"/>
          <w:spacing w:val="0"/>
          <w:position w:val="0"/>
          <w:sz w:val="24"/>
          <w:szCs w:val="24"/>
          <w:highlight w:val="none"/>
        </w:rPr>
        <w:t>50m</w:t>
      </w:r>
      <w:r>
        <w:rPr>
          <w:rFonts w:ascii="Times New Roman" w:hAnsi="Times New Roman" w:eastAsia="宋体" w:cs="宋体"/>
          <w:color w:val="auto"/>
          <w:spacing w:val="0"/>
          <w:position w:val="0"/>
          <w:sz w:val="24"/>
          <w:szCs w:val="24"/>
          <w:highlight w:val="none"/>
        </w:rPr>
        <w:t>左右，到溢出带附近，潜水埋深</w:t>
      </w:r>
      <w:r>
        <w:rPr>
          <w:rFonts w:ascii="Times New Roman" w:hAnsi="Times New Roman" w:eastAsia="宋体" w:cs="Times New Roman"/>
          <w:color w:val="auto"/>
          <w:spacing w:val="0"/>
          <w:position w:val="0"/>
          <w:sz w:val="24"/>
          <w:szCs w:val="24"/>
          <w:highlight w:val="none"/>
        </w:rPr>
        <w:t>5m</w:t>
      </w:r>
      <w:r>
        <w:rPr>
          <w:rFonts w:ascii="Times New Roman" w:hAnsi="Times New Roman" w:eastAsia="宋体" w:cs="宋体"/>
          <w:color w:val="auto"/>
          <w:spacing w:val="0"/>
          <w:position w:val="0"/>
          <w:sz w:val="24"/>
          <w:szCs w:val="24"/>
          <w:highlight w:val="none"/>
        </w:rPr>
        <w:t>左右，溢出带以北为双层结构的潜水</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承压水分布区，上层潜水水位埋深</w:t>
      </w:r>
      <w:r>
        <w:rPr>
          <w:rFonts w:ascii="Times New Roman" w:hAnsi="Times New Roman" w:eastAsia="宋体" w:cs="Times New Roman"/>
          <w:color w:val="auto"/>
          <w:spacing w:val="0"/>
          <w:position w:val="0"/>
          <w:sz w:val="24"/>
          <w:szCs w:val="24"/>
          <w:highlight w:val="none"/>
        </w:rPr>
        <w:t>&lt;3m</w:t>
      </w:r>
      <w:r>
        <w:rPr>
          <w:rFonts w:ascii="Times New Roman" w:hAnsi="Times New Roman" w:eastAsia="宋体" w:cs="宋体"/>
          <w:color w:val="auto"/>
          <w:spacing w:val="0"/>
          <w:position w:val="0"/>
          <w:sz w:val="24"/>
          <w:szCs w:val="24"/>
          <w:highlight w:val="none"/>
        </w:rPr>
        <w:t>。扇区地下水的排泄主要以泉、沼泽、人工开采等形式，消耗于蒸发和蒸腾。</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地下水富水性划分</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河冲洪积平原中上游的地下水径流区，广泛分布巨厚的第四系松散岩层，地下水含水层类型主要为潜水含水层，北部有多层结构的承压水含水层。南部山前区为大厚度单一潜水分布区；北部细土平原区，上部为潜水含水层，下部为多元结构的承压水含水层；南部基岩山区主要存在有基岩裂隙水、碎屑岩类孔隙裂隙水，赋存于中新生代侏罗系和第三系地层中，由于地层多为泥岩和砂质泥岩互层，其含水岩组富水性较弱。</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①潜水含水层</w:t>
      </w:r>
    </w:p>
    <w:p>
      <w:pPr>
        <w:keepNext w:val="0"/>
        <w:keepLines w:val="0"/>
        <w:pageBreakBefore w:val="0"/>
        <w:widowControl w:val="0"/>
        <w:kinsoku/>
        <w:wordWrap/>
        <w:overflowPunct/>
        <w:topLinePunct w:val="0"/>
        <w:autoSpaceDE/>
        <w:autoSpaceDN/>
        <w:bidi w:val="0"/>
        <w:adjustRightInd/>
        <w:snapToGrid/>
        <w:spacing w:line="360" w:lineRule="auto"/>
        <w:ind w:left="0" w:right="0" w:firstLine="46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潜水含水层主要由卵石层，砾石层组成，结构松散，孔隙发育，透水性好，潜水区现有钻孔深度一般小于</w:t>
      </w:r>
      <w:r>
        <w:rPr>
          <w:rFonts w:ascii="Times New Roman" w:hAnsi="Times New Roman" w:eastAsia="宋体" w:cs="Times New Roman"/>
          <w:color w:val="auto"/>
          <w:spacing w:val="0"/>
          <w:position w:val="0"/>
          <w:sz w:val="24"/>
          <w:szCs w:val="24"/>
          <w:highlight w:val="none"/>
        </w:rPr>
        <w:t>200m</w:t>
      </w:r>
      <w:r>
        <w:rPr>
          <w:rFonts w:ascii="Times New Roman" w:hAnsi="Times New Roman" w:eastAsia="宋体" w:cs="宋体"/>
          <w:color w:val="auto"/>
          <w:spacing w:val="0"/>
          <w:position w:val="0"/>
          <w:sz w:val="24"/>
          <w:szCs w:val="24"/>
          <w:highlight w:val="none"/>
        </w:rPr>
        <w:t>。从总体上看，自扇顶向扇缘，由地表到深部，含水层岩性由粗变细，扇中部出现砂及粉细砂层。含水层富水性在岩性、所处地貌部位、水位埋深及补给量等因素的影响下，自南向北呈现弱</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弱的变化规律。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在扇顶部和近山前地带：水位埋深在</w:t>
      </w:r>
      <w:r>
        <w:rPr>
          <w:rFonts w:ascii="Times New Roman" w:hAnsi="Times New Roman" w:eastAsia="宋体" w:cs="Times New Roman"/>
          <w:color w:val="auto"/>
          <w:spacing w:val="0"/>
          <w:position w:val="0"/>
          <w:sz w:val="24"/>
          <w:szCs w:val="24"/>
          <w:highlight w:val="none"/>
        </w:rPr>
        <w:t>80-180m</w:t>
      </w:r>
      <w:r>
        <w:rPr>
          <w:rFonts w:ascii="Times New Roman" w:hAnsi="Times New Roman" w:eastAsia="宋体" w:cs="宋体"/>
          <w:color w:val="auto"/>
          <w:spacing w:val="0"/>
          <w:position w:val="0"/>
          <w:sz w:val="24"/>
          <w:szCs w:val="24"/>
          <w:highlight w:val="none"/>
        </w:rPr>
        <w:t>之间，含水层岩性为砾石层，除近河床的两侧外，大面的河间地块因靠近第三系隔水屏障，补给条件相对较差，单位涌水量小于</w:t>
      </w:r>
      <w:r>
        <w:rPr>
          <w:rFonts w:ascii="Times New Roman" w:hAnsi="Times New Roman" w:eastAsia="宋体" w:cs="Times New Roman"/>
          <w:color w:val="auto"/>
          <w:spacing w:val="0"/>
          <w:position w:val="0"/>
          <w:sz w:val="24"/>
          <w:szCs w:val="24"/>
          <w:highlight w:val="none"/>
        </w:rPr>
        <w:t>600m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，渗透系数为</w:t>
      </w:r>
      <w:r>
        <w:rPr>
          <w:rFonts w:ascii="Times New Roman" w:hAnsi="Times New Roman" w:eastAsia="宋体" w:cs="Times New Roman"/>
          <w:color w:val="auto"/>
          <w:spacing w:val="0"/>
          <w:position w:val="0"/>
          <w:sz w:val="24"/>
          <w:szCs w:val="24"/>
          <w:highlight w:val="none"/>
        </w:rPr>
        <w:t>19-31m/d</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0.5g/l</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扇的上部</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凉州户镇一带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：水位埋深在</w:t>
      </w:r>
      <w:r>
        <w:rPr>
          <w:rFonts w:ascii="Times New Roman" w:hAnsi="Times New Roman" w:eastAsia="宋体" w:cs="Times New Roman"/>
          <w:color w:val="auto"/>
          <w:spacing w:val="0"/>
          <w:position w:val="0"/>
          <w:sz w:val="24"/>
          <w:szCs w:val="24"/>
          <w:highlight w:val="none"/>
        </w:rPr>
        <w:t>50-120m</w:t>
      </w:r>
      <w:r>
        <w:rPr>
          <w:rFonts w:ascii="Times New Roman" w:hAnsi="Times New Roman" w:eastAsia="宋体" w:cs="宋体"/>
          <w:color w:val="auto"/>
          <w:spacing w:val="0"/>
          <w:position w:val="0"/>
          <w:sz w:val="24"/>
          <w:szCs w:val="24"/>
          <w:highlight w:val="none"/>
        </w:rPr>
        <w:t>之间，含水层岩性由卵砾石或砾石层组成，单位涌水量在</w:t>
      </w:r>
      <w:r>
        <w:rPr>
          <w:rFonts w:ascii="Times New Roman" w:hAnsi="Times New Roman" w:eastAsia="宋体" w:cs="Times New Roman"/>
          <w:color w:val="auto"/>
          <w:spacing w:val="0"/>
          <w:position w:val="0"/>
          <w:sz w:val="24"/>
          <w:szCs w:val="24"/>
          <w:highlight w:val="none"/>
        </w:rPr>
        <w:t>1000-3000m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之间，渗透系数</w:t>
      </w:r>
      <w:r>
        <w:rPr>
          <w:rFonts w:ascii="Times New Roman" w:hAnsi="Times New Roman" w:eastAsia="宋体" w:cs="Times New Roman"/>
          <w:color w:val="auto"/>
          <w:spacing w:val="0"/>
          <w:position w:val="0"/>
          <w:sz w:val="24"/>
          <w:szCs w:val="24"/>
          <w:highlight w:val="none"/>
        </w:rPr>
        <w:t>48-99m/d</w:t>
      </w:r>
      <w:r>
        <w:rPr>
          <w:rFonts w:ascii="Times New Roman" w:hAnsi="Times New Roman" w:eastAsia="宋体" w:cs="宋体"/>
          <w:color w:val="auto"/>
          <w:spacing w:val="0"/>
          <w:position w:val="0"/>
          <w:sz w:val="24"/>
          <w:szCs w:val="24"/>
          <w:highlight w:val="none"/>
        </w:rPr>
        <w:t>，平均单井涌水量</w:t>
      </w:r>
      <w:r>
        <w:rPr>
          <w:rFonts w:ascii="Times New Roman" w:hAnsi="Times New Roman" w:eastAsia="宋体" w:cs="Times New Roman"/>
          <w:color w:val="auto"/>
          <w:spacing w:val="0"/>
          <w:position w:val="0"/>
          <w:sz w:val="24"/>
          <w:szCs w:val="24"/>
          <w:highlight w:val="none"/>
        </w:rPr>
        <w:t>2280m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降深</w:t>
      </w:r>
      <w:r>
        <w:rPr>
          <w:rFonts w:ascii="Times New Roman" w:hAnsi="Times New Roman" w:eastAsia="宋体" w:cs="Times New Roman"/>
          <w:color w:val="auto"/>
          <w:spacing w:val="0"/>
          <w:position w:val="0"/>
          <w:sz w:val="24"/>
          <w:szCs w:val="24"/>
          <w:highlight w:val="none"/>
        </w:rPr>
        <w:t>0.72-2.62m</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1g/l</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扇中部</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玛纳斯镇</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园艺场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兰州湾一带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w:t>
      </w:r>
      <w:r>
        <w:rPr>
          <w:rFonts w:ascii="Times New Roman" w:hAnsi="Times New Roman" w:eastAsia="宋体" w:cs="Times New Roman"/>
          <w:color w:val="auto"/>
          <w:spacing w:val="0"/>
          <w:position w:val="0"/>
          <w:sz w:val="24"/>
          <w:szCs w:val="24"/>
          <w:highlight w:val="none"/>
        </w:rPr>
        <w:t>15-60m</w:t>
      </w:r>
      <w:r>
        <w:rPr>
          <w:rFonts w:ascii="Times New Roman" w:hAnsi="Times New Roman" w:eastAsia="宋体" w:cs="宋体"/>
          <w:color w:val="auto"/>
          <w:spacing w:val="0"/>
          <w:position w:val="0"/>
          <w:sz w:val="24"/>
          <w:szCs w:val="24"/>
          <w:highlight w:val="none"/>
        </w:rPr>
        <w:t>之间，含水层岩性主要由卵砾石组成，为本区内最富水的地带，单位涌水量在</w:t>
      </w:r>
      <w:r>
        <w:rPr>
          <w:rFonts w:ascii="Times New Roman" w:hAnsi="Times New Roman" w:eastAsia="宋体" w:cs="Times New Roman"/>
          <w:color w:val="auto"/>
          <w:spacing w:val="0"/>
          <w:position w:val="0"/>
          <w:sz w:val="24"/>
          <w:szCs w:val="24"/>
          <w:highlight w:val="none"/>
        </w:rPr>
        <w:t>3000-6000m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之间，渗透系数</w:t>
      </w:r>
      <w:r>
        <w:rPr>
          <w:rFonts w:ascii="Times New Roman" w:hAnsi="Times New Roman" w:eastAsia="宋体" w:cs="Times New Roman"/>
          <w:color w:val="auto"/>
          <w:spacing w:val="0"/>
          <w:position w:val="0"/>
          <w:sz w:val="24"/>
          <w:szCs w:val="24"/>
          <w:highlight w:val="none"/>
        </w:rPr>
        <w:t>80-135m/d</w:t>
      </w:r>
      <w:r>
        <w:rPr>
          <w:rFonts w:ascii="Times New Roman" w:hAnsi="Times New Roman" w:eastAsia="宋体" w:cs="宋体"/>
          <w:color w:val="auto"/>
          <w:spacing w:val="0"/>
          <w:position w:val="0"/>
          <w:sz w:val="24"/>
          <w:szCs w:val="24"/>
          <w:highlight w:val="none"/>
        </w:rPr>
        <w:t>，平均单井涌水量</w:t>
      </w:r>
      <w:r>
        <w:rPr>
          <w:rFonts w:ascii="Times New Roman" w:hAnsi="Times New Roman" w:eastAsia="宋体" w:cs="Times New Roman"/>
          <w:color w:val="auto"/>
          <w:spacing w:val="0"/>
          <w:position w:val="0"/>
          <w:sz w:val="24"/>
          <w:szCs w:val="24"/>
          <w:highlight w:val="none"/>
        </w:rPr>
        <w:t>5364m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降深</w:t>
      </w:r>
      <w:r>
        <w:rPr>
          <w:rFonts w:ascii="Times New Roman" w:hAnsi="Times New Roman" w:eastAsia="宋体" w:cs="Times New Roman"/>
          <w:color w:val="auto"/>
          <w:spacing w:val="0"/>
          <w:position w:val="0"/>
          <w:sz w:val="24"/>
          <w:szCs w:val="24"/>
          <w:highlight w:val="none"/>
        </w:rPr>
        <w:t>1.43-3.07m</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1g/l</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在扇的下缘溢出带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兰州湾以北地区</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：水位埋深小于</w:t>
      </w:r>
      <w:r>
        <w:rPr>
          <w:rFonts w:ascii="Times New Roman" w:hAnsi="Times New Roman" w:eastAsia="宋体" w:cs="Times New Roman"/>
          <w:color w:val="auto"/>
          <w:spacing w:val="0"/>
          <w:position w:val="0"/>
          <w:sz w:val="24"/>
          <w:szCs w:val="24"/>
          <w:highlight w:val="none"/>
        </w:rPr>
        <w:t>10m</w:t>
      </w:r>
      <w:r>
        <w:rPr>
          <w:rFonts w:ascii="Times New Roman" w:hAnsi="Times New Roman" w:eastAsia="宋体" w:cs="宋体"/>
          <w:color w:val="auto"/>
          <w:spacing w:val="0"/>
          <w:position w:val="0"/>
          <w:sz w:val="24"/>
          <w:szCs w:val="24"/>
          <w:highlight w:val="none"/>
        </w:rPr>
        <w:t>，含水层岩性主要由亚砂土组成，为弱含水层段，富水性较贫乏，无开采价值。</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在东部的包家店镇一带，水位埋深在</w:t>
      </w:r>
      <w:r>
        <w:rPr>
          <w:rFonts w:ascii="Times New Roman" w:hAnsi="Times New Roman" w:eastAsia="宋体" w:cs="Times New Roman"/>
          <w:color w:val="auto"/>
          <w:spacing w:val="0"/>
          <w:position w:val="0"/>
          <w:sz w:val="24"/>
          <w:szCs w:val="24"/>
          <w:highlight w:val="none"/>
        </w:rPr>
        <w:t>30-180m</w:t>
      </w:r>
      <w:r>
        <w:rPr>
          <w:rFonts w:ascii="Times New Roman" w:hAnsi="Times New Roman" w:eastAsia="宋体" w:cs="宋体"/>
          <w:color w:val="auto"/>
          <w:spacing w:val="0"/>
          <w:position w:val="0"/>
          <w:sz w:val="24"/>
          <w:szCs w:val="24"/>
          <w:highlight w:val="none"/>
        </w:rPr>
        <w:t>之间，由于塔西河冲洪积扇的补给量较小，平均单位涌水量在</w:t>
      </w:r>
      <w:r>
        <w:rPr>
          <w:rFonts w:ascii="Times New Roman" w:hAnsi="Times New Roman" w:eastAsia="宋体" w:cs="Times New Roman"/>
          <w:color w:val="auto"/>
          <w:spacing w:val="0"/>
          <w:position w:val="0"/>
          <w:sz w:val="24"/>
          <w:szCs w:val="24"/>
          <w:highlight w:val="none"/>
        </w:rPr>
        <w:t>1279.8m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，渗透系数为</w:t>
      </w:r>
      <w:r>
        <w:rPr>
          <w:rFonts w:ascii="Times New Roman" w:hAnsi="Times New Roman" w:eastAsia="宋体" w:cs="Times New Roman"/>
          <w:color w:val="auto"/>
          <w:spacing w:val="0"/>
          <w:position w:val="0"/>
          <w:sz w:val="24"/>
          <w:szCs w:val="24"/>
          <w:highlight w:val="none"/>
        </w:rPr>
        <w:t>28-65m/d</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②承压水含水层</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承压含水层赋存于溢出带及其以北潜水含水层之下。据前人资料表明，该区段</w:t>
      </w:r>
      <w:r>
        <w:rPr>
          <w:rFonts w:ascii="Times New Roman" w:hAnsi="Times New Roman" w:eastAsia="宋体" w:cs="Times New Roman"/>
          <w:color w:val="auto"/>
          <w:spacing w:val="0"/>
          <w:position w:val="0"/>
          <w:sz w:val="24"/>
          <w:szCs w:val="24"/>
          <w:highlight w:val="none"/>
        </w:rPr>
        <w:t>100m</w:t>
      </w:r>
      <w:r>
        <w:rPr>
          <w:rFonts w:ascii="Times New Roman" w:hAnsi="Times New Roman" w:eastAsia="宋体" w:cs="宋体"/>
          <w:color w:val="auto"/>
          <w:spacing w:val="0"/>
          <w:position w:val="0"/>
          <w:sz w:val="24"/>
          <w:szCs w:val="24"/>
          <w:highlight w:val="none"/>
        </w:rPr>
        <w:t>深度内分布</w:t>
      </w:r>
      <w:r>
        <w:rPr>
          <w:rFonts w:ascii="Times New Roman" w:hAnsi="Times New Roman" w:eastAsia="宋体" w:cs="Times New Roman"/>
          <w:color w:val="auto"/>
          <w:spacing w:val="0"/>
          <w:position w:val="0"/>
          <w:sz w:val="24"/>
          <w:szCs w:val="24"/>
          <w:highlight w:val="none"/>
        </w:rPr>
        <w:t>2-3</w:t>
      </w:r>
      <w:r>
        <w:rPr>
          <w:rFonts w:ascii="Times New Roman" w:hAnsi="Times New Roman" w:eastAsia="宋体" w:cs="宋体"/>
          <w:color w:val="auto"/>
          <w:spacing w:val="0"/>
          <w:position w:val="0"/>
          <w:sz w:val="24"/>
          <w:szCs w:val="24"/>
          <w:highlight w:val="none"/>
        </w:rPr>
        <w:t>层较稳定的含水层，含水层岩性上部为砾石、砂砾石或砂，单层厚度</w:t>
      </w:r>
      <w:r>
        <w:rPr>
          <w:rFonts w:ascii="Times New Roman" w:hAnsi="Times New Roman" w:eastAsia="宋体" w:cs="Times New Roman"/>
          <w:color w:val="auto"/>
          <w:spacing w:val="0"/>
          <w:position w:val="0"/>
          <w:sz w:val="24"/>
          <w:szCs w:val="24"/>
          <w:highlight w:val="none"/>
        </w:rPr>
        <w:t>15-35m</w:t>
      </w:r>
      <w:r>
        <w:rPr>
          <w:rFonts w:ascii="Times New Roman" w:hAnsi="Times New Roman" w:eastAsia="宋体" w:cs="宋体"/>
          <w:color w:val="auto"/>
          <w:spacing w:val="0"/>
          <w:position w:val="0"/>
          <w:sz w:val="24"/>
          <w:szCs w:val="24"/>
          <w:highlight w:val="none"/>
        </w:rPr>
        <w:t>，隔水层岩性一般为亚砂土、亚粘土和粘土，自南而北含水层逐渐变薄，岩性逐渐变细，自西向东含水层岩性由粗变细，富水性逐渐减弱，含水层的富水性随着含水层岩性和厚度的变化，向北部逐渐减弱。单位涌水量由</w:t>
      </w:r>
      <w:r>
        <w:rPr>
          <w:rFonts w:ascii="Times New Roman" w:hAnsi="Times New Roman" w:eastAsia="宋体" w:cs="Times New Roman"/>
          <w:color w:val="auto"/>
          <w:spacing w:val="0"/>
          <w:position w:val="0"/>
          <w:sz w:val="24"/>
          <w:szCs w:val="24"/>
          <w:highlight w:val="none"/>
        </w:rPr>
        <w:t>1000-3000m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，渗透系数在</w:t>
      </w:r>
      <w:r>
        <w:rPr>
          <w:rFonts w:ascii="Times New Roman" w:hAnsi="Times New Roman" w:eastAsia="宋体" w:cs="Times New Roman"/>
          <w:color w:val="auto"/>
          <w:spacing w:val="0"/>
          <w:position w:val="0"/>
          <w:sz w:val="24"/>
          <w:szCs w:val="24"/>
          <w:highlight w:val="none"/>
        </w:rPr>
        <w:t>10~40m/d</w:t>
      </w:r>
      <w:r>
        <w:rPr>
          <w:rFonts w:ascii="Times New Roman" w:hAnsi="Times New Roman" w:eastAsia="宋体" w:cs="宋体"/>
          <w:color w:val="auto"/>
          <w:spacing w:val="0"/>
          <w:position w:val="0"/>
          <w:sz w:val="24"/>
          <w:szCs w:val="24"/>
          <w:highlight w:val="none"/>
        </w:rPr>
        <w:t>之间，逐渐变为小于</w:t>
      </w:r>
      <w:r>
        <w:rPr>
          <w:rFonts w:ascii="Times New Roman" w:hAnsi="Times New Roman" w:eastAsia="宋体" w:cs="Times New Roman"/>
          <w:color w:val="auto"/>
          <w:spacing w:val="0"/>
          <w:position w:val="0"/>
          <w:sz w:val="24"/>
          <w:szCs w:val="24"/>
          <w:highlight w:val="none"/>
        </w:rPr>
        <w:t>1000m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，渗透系数在</w:t>
      </w:r>
      <w:r>
        <w:rPr>
          <w:rFonts w:ascii="Times New Roman" w:hAnsi="Times New Roman" w:eastAsia="宋体" w:cs="Times New Roman"/>
          <w:color w:val="auto"/>
          <w:spacing w:val="0"/>
          <w:position w:val="0"/>
          <w:sz w:val="24"/>
          <w:szCs w:val="24"/>
          <w:highlight w:val="none"/>
        </w:rPr>
        <w:t>2~4m/d</w:t>
      </w:r>
      <w:r>
        <w:rPr>
          <w:rFonts w:ascii="Times New Roman" w:hAnsi="Times New Roman" w:eastAsia="宋体" w:cs="宋体"/>
          <w:color w:val="auto"/>
          <w:spacing w:val="0"/>
          <w:position w:val="0"/>
          <w:sz w:val="24"/>
          <w:szCs w:val="24"/>
          <w:highlight w:val="none"/>
        </w:rPr>
        <w:t>之间。</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2、</w:t>
      </w:r>
      <w:r>
        <w:rPr>
          <w:rFonts w:ascii="Times New Roman" w:hAnsi="Times New Roman" w:eastAsia="宋体" w:cs="宋体"/>
          <w:color w:val="auto"/>
          <w:spacing w:val="0"/>
          <w:position w:val="0"/>
          <w:sz w:val="24"/>
          <w:szCs w:val="24"/>
          <w:highlight w:val="none"/>
        </w:rPr>
        <w:t>项目区地下水的补给、径流、排泄规律</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地下水的补给条件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位于玛纳斯河冲洪积平原下游区，地下水类型为孔隙潜水及微承压水，地下水补给主要来自南部玛纳斯河水的沿途渗透及含水层的径流，同时渠系及田间灌溉对地下水也有一定的补给作用，地下水流向自南向北。</w:t>
      </w:r>
    </w:p>
    <w:p>
      <w:pPr>
        <w:keepNext w:val="0"/>
        <w:keepLines w:val="0"/>
        <w:pageBreakBefore w:val="0"/>
        <w:widowControl w:val="0"/>
        <w:kinsoku/>
        <w:wordWrap/>
        <w:overflowPunct/>
        <w:topLinePunct w:val="0"/>
        <w:autoSpaceDE/>
        <w:autoSpaceDN/>
        <w:bidi w:val="0"/>
        <w:adjustRightInd/>
        <w:snapToGrid/>
        <w:spacing w:line="360" w:lineRule="auto"/>
        <w:ind w:left="0" w:right="0" w:firstLine="483"/>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该区地下水水位埋深一般在</w:t>
      </w:r>
      <w:r>
        <w:rPr>
          <w:rFonts w:ascii="Times New Roman" w:hAnsi="Times New Roman" w:eastAsia="宋体" w:cs="Times New Roman"/>
          <w:color w:val="auto"/>
          <w:spacing w:val="0"/>
          <w:position w:val="0"/>
          <w:sz w:val="24"/>
          <w:szCs w:val="24"/>
          <w:highlight w:val="none"/>
        </w:rPr>
        <w:t>50m</w:t>
      </w:r>
      <w:r>
        <w:rPr>
          <w:rFonts w:ascii="Times New Roman" w:hAnsi="Times New Roman" w:eastAsia="宋体" w:cs="宋体"/>
          <w:color w:val="auto"/>
          <w:spacing w:val="0"/>
          <w:position w:val="0"/>
          <w:sz w:val="24"/>
          <w:szCs w:val="24"/>
          <w:highlight w:val="none"/>
        </w:rPr>
        <w:t>以上，所以该区地下水除了人工开采外，全部以地下侧向径流的形式向下游排泄。该区含水层为巨厚的第四系松散卵砾石层，目前钻孔揭露深度为</w:t>
      </w:r>
      <w:r>
        <w:rPr>
          <w:rFonts w:ascii="Times New Roman" w:hAnsi="Times New Roman" w:eastAsia="宋体" w:cs="Times New Roman"/>
          <w:color w:val="auto"/>
          <w:spacing w:val="0"/>
          <w:position w:val="0"/>
          <w:sz w:val="24"/>
          <w:szCs w:val="24"/>
          <w:highlight w:val="none"/>
        </w:rPr>
        <w:t>170m</w:t>
      </w:r>
      <w:r>
        <w:rPr>
          <w:rFonts w:ascii="Times New Roman" w:hAnsi="Times New Roman" w:eastAsia="宋体" w:cs="宋体"/>
          <w:color w:val="auto"/>
          <w:spacing w:val="0"/>
          <w:position w:val="0"/>
          <w:sz w:val="24"/>
          <w:szCs w:val="24"/>
          <w:highlight w:val="none"/>
        </w:rPr>
        <w:t>，据物探资料显示，其饱水带厚度</w:t>
      </w:r>
      <w:r>
        <w:rPr>
          <w:rFonts w:ascii="Times New Roman" w:hAnsi="Times New Roman" w:eastAsia="宋体" w:cs="Times New Roman"/>
          <w:color w:val="auto"/>
          <w:spacing w:val="0"/>
          <w:position w:val="0"/>
          <w:sz w:val="24"/>
          <w:szCs w:val="24"/>
          <w:highlight w:val="none"/>
        </w:rPr>
        <w:t>400-1150m</w:t>
      </w:r>
      <w:r>
        <w:rPr>
          <w:rFonts w:ascii="Times New Roman" w:hAnsi="Times New Roman" w:eastAsia="宋体" w:cs="宋体"/>
          <w:color w:val="auto"/>
          <w:spacing w:val="0"/>
          <w:position w:val="0"/>
          <w:sz w:val="24"/>
          <w:szCs w:val="24"/>
          <w:highlight w:val="none"/>
        </w:rPr>
        <w:t>。由地表到深部，含水层颗粒由粗变细，由单一的卵砾石渐变化砂砾石、砂，含水层富水性也相应地变弱。</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地下水的径流条件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地下水的径流条件主要受地形，含水介质及补给条件的控制，平原区地形较为平坦，地势南高北低，地下水流向近似南北向。乌伊公路以南为冲洪积扇中上部，含水层岩性颗粒粗大，径流条件良好，水力坡度为</w:t>
      </w:r>
      <w:r>
        <w:rPr>
          <w:rFonts w:ascii="Times New Roman" w:hAnsi="Times New Roman" w:eastAsia="宋体" w:cs="Times New Roman"/>
          <w:color w:val="auto"/>
          <w:spacing w:val="0"/>
          <w:position w:val="0"/>
          <w:sz w:val="24"/>
          <w:szCs w:val="24"/>
          <w:highlight w:val="none"/>
        </w:rPr>
        <w:t>0.4-0.8‰</w:t>
      </w:r>
      <w:r>
        <w:rPr>
          <w:rFonts w:ascii="Times New Roman" w:hAnsi="Times New Roman" w:eastAsia="宋体" w:cs="宋体"/>
          <w:color w:val="auto"/>
          <w:spacing w:val="0"/>
          <w:position w:val="0"/>
          <w:sz w:val="24"/>
          <w:szCs w:val="24"/>
          <w:highlight w:val="none"/>
        </w:rPr>
        <w:t>；乌伊公路以北地区，随着岩性颗粒由粗变细，含水层由厚变薄，透水性变差，水力坡度相应增大一般在</w:t>
      </w:r>
      <w:r>
        <w:rPr>
          <w:rFonts w:ascii="Times New Roman" w:hAnsi="Times New Roman" w:eastAsia="宋体" w:cs="Times New Roman"/>
          <w:color w:val="auto"/>
          <w:spacing w:val="0"/>
          <w:position w:val="0"/>
          <w:sz w:val="24"/>
          <w:szCs w:val="24"/>
          <w:highlight w:val="none"/>
        </w:rPr>
        <w:t>1-3‰</w:t>
      </w:r>
      <w:r>
        <w:rPr>
          <w:rFonts w:ascii="Times New Roman" w:hAnsi="Times New Roman" w:eastAsia="宋体" w:cs="宋体"/>
          <w:color w:val="auto"/>
          <w:spacing w:val="0"/>
          <w:position w:val="0"/>
          <w:sz w:val="24"/>
          <w:szCs w:val="24"/>
          <w:highlight w:val="none"/>
        </w:rPr>
        <w:t>，至溢出带附近，水力坡度增至</w:t>
      </w:r>
      <w:r>
        <w:rPr>
          <w:rFonts w:ascii="Times New Roman" w:hAnsi="Times New Roman" w:eastAsia="宋体" w:cs="Times New Roman"/>
          <w:color w:val="auto"/>
          <w:spacing w:val="0"/>
          <w:position w:val="0"/>
          <w:sz w:val="24"/>
          <w:szCs w:val="24"/>
          <w:highlight w:val="none"/>
        </w:rPr>
        <w:t>5-8.6‰</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3</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地下水的排泄条件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9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区域内地下水排泄主要以蒸发、人工开采、断面的径流流出的形式排泄。地下水由南向北径流，水力坡度</w:t>
      </w:r>
      <w:r>
        <w:rPr>
          <w:rFonts w:ascii="Times New Roman" w:hAnsi="Times New Roman" w:eastAsia="宋体" w:cs="Times New Roman"/>
          <w:color w:val="auto"/>
          <w:spacing w:val="0"/>
          <w:position w:val="0"/>
          <w:sz w:val="24"/>
          <w:szCs w:val="24"/>
          <w:highlight w:val="none"/>
        </w:rPr>
        <w:t>2.5‰</w:t>
      </w:r>
      <w:r>
        <w:rPr>
          <w:rFonts w:ascii="Times New Roman" w:hAnsi="Times New Roman" w:eastAsia="宋体" w:cs="宋体"/>
          <w:color w:val="auto"/>
          <w:spacing w:val="0"/>
          <w:position w:val="0"/>
          <w:sz w:val="24"/>
          <w:szCs w:val="24"/>
          <w:highlight w:val="none"/>
        </w:rPr>
        <w:t>，含水层岩性为砂砾石、砂组成，颗粒分选性较好，水位埋深南部大，北部相对较浅。</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地下水动态</w:t>
      </w:r>
    </w:p>
    <w:p>
      <w:pPr>
        <w:keepNext w:val="0"/>
        <w:keepLines w:val="0"/>
        <w:pageBreakBefore w:val="0"/>
        <w:widowControl w:val="0"/>
        <w:kinsoku/>
        <w:wordWrap/>
        <w:overflowPunct/>
        <w:topLinePunct w:val="0"/>
        <w:autoSpaceDE/>
        <w:autoSpaceDN/>
        <w:bidi w:val="0"/>
        <w:adjustRightInd/>
        <w:snapToGrid/>
        <w:spacing w:line="360" w:lineRule="auto"/>
        <w:ind w:left="0" w:right="0" w:firstLine="49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区域地下水动态类型主要以人工型动态为主，表现为每年的</w:t>
      </w: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月份起水位受开采影响而持续下降，到</w:t>
      </w:r>
      <w:r>
        <w:rPr>
          <w:rFonts w:ascii="Times New Roman" w:hAnsi="Times New Roman" w:eastAsia="宋体" w:cs="Times New Roman"/>
          <w:color w:val="auto"/>
          <w:spacing w:val="0"/>
          <w:position w:val="0"/>
          <w:sz w:val="24"/>
          <w:szCs w:val="24"/>
          <w:highlight w:val="none"/>
        </w:rPr>
        <w:t>8</w:t>
      </w:r>
      <w:r>
        <w:rPr>
          <w:rFonts w:ascii="Times New Roman" w:hAnsi="Times New Roman" w:eastAsia="宋体" w:cs="宋体"/>
          <w:color w:val="auto"/>
          <w:spacing w:val="0"/>
          <w:position w:val="0"/>
          <w:sz w:val="24"/>
          <w:szCs w:val="24"/>
          <w:highlight w:val="none"/>
        </w:rPr>
        <w:t>月中旬，水位下降到最低点，之后，开采量小于地下水补给量，水位持续上升。近年来，随着引水工程的不断完善，调查区地下水位持续下降。地下水动态类型主要为人工型。受河水的丰水期枯水期的影响，河谷两侧表现的水文型动态径流滞后，使调查区部分叠加了径流型动态，但主要受人为因素的影响，表现为人工型地下水动态类型。</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根据玛纳斯县城城镇水资源论证，玛纳斯县城镇地下水总体处于严重超采，地下水开采处于负均衡状态，地下水环境恶化，根据地下水长期监测结果，全县地下水位平均下降</w:t>
      </w:r>
      <w:r>
        <w:rPr>
          <w:rFonts w:ascii="Times New Roman" w:hAnsi="Times New Roman" w:eastAsia="宋体" w:cs="Times New Roman"/>
          <w:color w:val="auto"/>
          <w:spacing w:val="0"/>
          <w:position w:val="0"/>
          <w:sz w:val="24"/>
          <w:szCs w:val="24"/>
          <w:highlight w:val="none"/>
        </w:rPr>
        <w:t>0.385m/a</w:t>
      </w:r>
      <w:r>
        <w:rPr>
          <w:rFonts w:ascii="Times New Roman" w:hAnsi="Times New Roman" w:eastAsia="宋体" w:cs="宋体"/>
          <w:color w:val="auto"/>
          <w:spacing w:val="0"/>
          <w:position w:val="0"/>
          <w:sz w:val="24"/>
          <w:szCs w:val="24"/>
          <w:highlight w:val="none"/>
        </w:rPr>
        <w:t>，地下水主要开采区分布在乌</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伊公路两侧，东至呼图壁交界，西至玛纳斯河，南至前山带，北至乐土驿、平原林场、包家店、兰州湾的北界等地区，此范围地下水平均降深</w:t>
      </w:r>
      <w:r>
        <w:rPr>
          <w:rFonts w:ascii="Times New Roman" w:hAnsi="Times New Roman" w:eastAsia="宋体" w:cs="Times New Roman"/>
          <w:color w:val="auto"/>
          <w:spacing w:val="0"/>
          <w:position w:val="0"/>
          <w:sz w:val="24"/>
          <w:szCs w:val="24"/>
          <w:highlight w:val="none"/>
        </w:rPr>
        <w:t>0.56m</w:t>
      </w:r>
      <w:r>
        <w:rPr>
          <w:rFonts w:ascii="Times New Roman" w:hAnsi="Times New Roman" w:eastAsia="宋体" w:cs="宋体"/>
          <w:color w:val="auto"/>
          <w:spacing w:val="0"/>
          <w:position w:val="0"/>
          <w:sz w:val="24"/>
          <w:szCs w:val="24"/>
          <w:highlight w:val="none"/>
        </w:rPr>
        <w:t>，已经形成了强开采超采区，形成以城镇为中心降深</w:t>
      </w:r>
      <w:r>
        <w:rPr>
          <w:rFonts w:ascii="Times New Roman" w:hAnsi="Times New Roman" w:eastAsia="宋体" w:cs="Times New Roman"/>
          <w:color w:val="auto"/>
          <w:spacing w:val="0"/>
          <w:position w:val="0"/>
          <w:sz w:val="24"/>
          <w:szCs w:val="24"/>
          <w:highlight w:val="none"/>
        </w:rPr>
        <w:t>17.1m</w:t>
      </w:r>
      <w:r>
        <w:rPr>
          <w:rFonts w:ascii="Times New Roman" w:hAnsi="Times New Roman" w:eastAsia="宋体" w:cs="宋体"/>
          <w:color w:val="auto"/>
          <w:spacing w:val="0"/>
          <w:position w:val="0"/>
          <w:sz w:val="24"/>
          <w:szCs w:val="24"/>
          <w:highlight w:val="none"/>
        </w:rPr>
        <w:t>和塔管处为中心的降深</w:t>
      </w:r>
      <w:r>
        <w:rPr>
          <w:rFonts w:ascii="Times New Roman" w:hAnsi="Times New Roman" w:eastAsia="宋体" w:cs="Times New Roman"/>
          <w:color w:val="auto"/>
          <w:spacing w:val="0"/>
          <w:position w:val="0"/>
          <w:sz w:val="24"/>
          <w:szCs w:val="24"/>
          <w:highlight w:val="none"/>
        </w:rPr>
        <w:t>10.16m</w:t>
      </w:r>
      <w:r>
        <w:rPr>
          <w:rFonts w:ascii="Times New Roman" w:hAnsi="Times New Roman" w:eastAsia="宋体" w:cs="宋体"/>
          <w:color w:val="auto"/>
          <w:spacing w:val="0"/>
          <w:position w:val="0"/>
          <w:sz w:val="24"/>
          <w:szCs w:val="24"/>
          <w:highlight w:val="none"/>
        </w:rPr>
        <w:t>的两大降落漏斗区。</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5</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地下水化学特征</w:t>
      </w:r>
    </w:p>
    <w:p>
      <w:pPr>
        <w:keepNext w:val="0"/>
        <w:keepLines w:val="0"/>
        <w:pageBreakBefore w:val="0"/>
        <w:widowControl w:val="0"/>
        <w:kinsoku/>
        <w:wordWrap/>
        <w:overflowPunct/>
        <w:topLinePunct w:val="0"/>
        <w:autoSpaceDE/>
        <w:autoSpaceDN/>
        <w:bidi w:val="0"/>
        <w:adjustRightInd/>
        <w:snapToGrid/>
        <w:spacing w:line="360" w:lineRule="auto"/>
        <w:ind w:left="0" w:right="0" w:firstLine="49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区域地下水化学特征主要受其补给源河水的影响。河水水化学类型为</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-Ca</w:t>
      </w:r>
      <w:r>
        <w:rPr>
          <w:rFonts w:ascii="Times New Roman" w:hAnsi="Times New Roman" w:eastAsia="宋体" w:cs="宋体"/>
          <w:color w:val="auto"/>
          <w:spacing w:val="0"/>
          <w:position w:val="0"/>
          <w:sz w:val="24"/>
          <w:szCs w:val="24"/>
          <w:highlight w:val="none"/>
        </w:rPr>
        <w:t>型和</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15"/>
          <w:highlight w:val="none"/>
        </w:rPr>
        <w:t>-</w:t>
      </w:r>
      <w:r>
        <w:rPr>
          <w:rFonts w:ascii="Times New Roman" w:hAnsi="Times New Roman" w:eastAsia="宋体" w:cs="Times New Roman"/>
          <w:color w:val="auto"/>
          <w:spacing w:val="0"/>
          <w:position w:val="0"/>
          <w:sz w:val="24"/>
          <w:szCs w:val="24"/>
          <w:highlight w:val="none"/>
        </w:rPr>
        <w:t>Ca·Mg</w:t>
      </w:r>
      <w:r>
        <w:rPr>
          <w:rFonts w:ascii="Times New Roman" w:hAnsi="Times New Roman" w:eastAsia="宋体" w:cs="宋体"/>
          <w:color w:val="auto"/>
          <w:spacing w:val="0"/>
          <w:position w:val="0"/>
          <w:sz w:val="24"/>
          <w:szCs w:val="24"/>
          <w:highlight w:val="none"/>
        </w:rPr>
        <w:t>型，矿化度小于</w:t>
      </w:r>
      <w:r>
        <w:rPr>
          <w:rFonts w:ascii="Times New Roman" w:hAnsi="Times New Roman" w:eastAsia="宋体" w:cs="Times New Roman"/>
          <w:color w:val="auto"/>
          <w:spacing w:val="0"/>
          <w:position w:val="0"/>
          <w:sz w:val="24"/>
          <w:szCs w:val="24"/>
          <w:highlight w:val="none"/>
        </w:rPr>
        <w:t>0.2g/L</w:t>
      </w:r>
      <w:r>
        <w:rPr>
          <w:rFonts w:ascii="Times New Roman" w:hAnsi="Times New Roman" w:eastAsia="宋体" w:cs="宋体"/>
          <w:color w:val="auto"/>
          <w:spacing w:val="0"/>
          <w:position w:val="0"/>
          <w:sz w:val="24"/>
          <w:szCs w:val="24"/>
          <w:highlight w:val="none"/>
        </w:rPr>
        <w:t>；而评价区位于冲洪积扇中部，是地下水的强烈交替区，水化学类型以</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24"/>
          <w:highlight w:val="none"/>
        </w:rPr>
        <w:t>-Ca·Na</w:t>
      </w:r>
      <w:r>
        <w:rPr>
          <w:rFonts w:ascii="Times New Roman" w:hAnsi="Times New Roman" w:eastAsia="宋体" w:cs="宋体"/>
          <w:color w:val="auto"/>
          <w:spacing w:val="0"/>
          <w:position w:val="0"/>
          <w:sz w:val="24"/>
          <w:szCs w:val="24"/>
          <w:highlight w:val="none"/>
        </w:rPr>
        <w:t>和</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24"/>
          <w:highlight w:val="none"/>
        </w:rPr>
        <w:t>-Ca·Mg</w:t>
      </w:r>
      <w:r>
        <w:rPr>
          <w:rFonts w:ascii="Times New Roman" w:hAnsi="Times New Roman" w:eastAsia="宋体" w:cs="宋体"/>
          <w:color w:val="auto"/>
          <w:spacing w:val="0"/>
          <w:position w:val="0"/>
          <w:sz w:val="24"/>
          <w:szCs w:val="24"/>
          <w:highlight w:val="none"/>
        </w:rPr>
        <w:t>型为主，矿化度小于</w:t>
      </w:r>
      <w:r>
        <w:rPr>
          <w:rFonts w:ascii="Times New Roman" w:hAnsi="Times New Roman" w:eastAsia="宋体" w:cs="Times New Roman"/>
          <w:color w:val="auto"/>
          <w:spacing w:val="0"/>
          <w:position w:val="0"/>
          <w:sz w:val="24"/>
          <w:szCs w:val="24"/>
          <w:highlight w:val="none"/>
        </w:rPr>
        <w:t>0.8g/L</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3、</w:t>
      </w:r>
      <w:r>
        <w:rPr>
          <w:rFonts w:ascii="Times New Roman" w:hAnsi="Times New Roman" w:eastAsia="宋体" w:cs="宋体"/>
          <w:color w:val="auto"/>
          <w:spacing w:val="0"/>
          <w:position w:val="0"/>
          <w:sz w:val="24"/>
          <w:szCs w:val="24"/>
          <w:highlight w:val="none"/>
        </w:rPr>
        <w:t>地下水环境影响途径</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本项目不以地下水作为供水水源，不会因地下水抽采对当地的地下水水位及水资源量产生影响，对地下水的影响主要是项目污水及固体废物对地下水水质的影响。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厂区内生产装置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r>
        <w:rPr>
          <w:rFonts w:hint="eastAsia" w:ascii="Times New Roman" w:hAnsi="Times New Roman" w:eastAsia="宋体" w:cs="Times New Roman"/>
          <w:color w:val="auto"/>
          <w:spacing w:val="0"/>
          <w:position w:val="0"/>
          <w:sz w:val="24"/>
          <w:szCs w:val="24"/>
          <w:highlight w:val="none"/>
          <w:lang w:val="en-US" w:eastAsia="zh-CN"/>
        </w:rPr>
        <w:t>4、</w:t>
      </w:r>
      <w:r>
        <w:rPr>
          <w:rFonts w:ascii="Times New Roman" w:hAnsi="Times New Roman" w:eastAsia="宋体" w:cs="宋体"/>
          <w:color w:val="auto"/>
          <w:spacing w:val="0"/>
          <w:position w:val="0"/>
          <w:sz w:val="24"/>
          <w:szCs w:val="24"/>
          <w:highlight w:val="none"/>
        </w:rPr>
        <w:t>地下水现状监测</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本项目地下水现状监测设置三个点位。经过监测数据可知，评价区地下水水质除总硬度以及溶解性总固体单项污染指数均＞</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以外，其余监测指标均＜</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，均未超过《地下水质量标准》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GB/T14848-2017</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中Ⅲ类标准要求，总硬度以及溶解性总固体超标原因为区域地下水原生水质问题，其总硬度以及溶解性总固体本底值偏高。</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宋体"/>
          <w:color w:val="auto"/>
          <w:spacing w:val="0"/>
          <w:position w:val="0"/>
          <w:sz w:val="24"/>
          <w:szCs w:val="24"/>
          <w:highlight w:val="none"/>
        </w:rPr>
        <w:t>废水及影响途径</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正常情况下地下水影响分析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本项目影响地下水质主要有两方面，一是废水收集以及排放过程中的下渗对地下水的影响，二是由于固体废物收集处经雨水淋溶污染地下水。</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①废水排放对地下水质的影响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生活污水直接排入下水管网，最终进入玛纳斯县城污水处理厂；鸡舍冲洗废水排入</w:t>
      </w:r>
      <w:r>
        <w:rPr>
          <w:rFonts w:hint="eastAsia" w:cs="宋体"/>
          <w:color w:val="auto"/>
          <w:spacing w:val="0"/>
          <w:position w:val="0"/>
          <w:sz w:val="24"/>
          <w:szCs w:val="24"/>
          <w:highlight w:val="none"/>
          <w:lang w:eastAsia="zh-CN"/>
        </w:rPr>
        <w:t>废水收集池</w:t>
      </w:r>
      <w:r>
        <w:rPr>
          <w:rFonts w:hint="eastAsia" w:cs="宋体"/>
          <w:color w:val="auto"/>
          <w:spacing w:val="0"/>
          <w:position w:val="0"/>
          <w:sz w:val="24"/>
          <w:szCs w:val="24"/>
          <w:highlight w:val="none"/>
          <w:lang w:val="en-US" w:eastAsia="zh-CN"/>
        </w:rPr>
        <w:t>经预处理后用作农肥</w:t>
      </w:r>
      <w:r>
        <w:rPr>
          <w:rFonts w:ascii="Times New Roman" w:hAnsi="Times New Roman" w:eastAsia="宋体" w:cs="宋体"/>
          <w:color w:val="auto"/>
          <w:spacing w:val="0"/>
          <w:position w:val="0"/>
          <w:sz w:val="24"/>
          <w:szCs w:val="24"/>
          <w:highlight w:val="none"/>
        </w:rPr>
        <w:t>，不直接和地表联系，不会通过地表水和地下水的水力联系而进入地下水从而引地下水水质的变化。</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此外，本项目所在区域地下有粘土层存在，可以减少下渗水量，即使有微量废水渗入地下水，由于土壤的自净作用，对区域内地下水的水质影响也很微弱，不会改变区域地下水的现状使用功能。</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②固体废物对地下水水质的影响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本项目产生的固体废物主要为鸡粪及散落羽毛、病死鸡只、废弃包装物、生活垃圾、医疗废物。其中，</w:t>
      </w:r>
      <w:r>
        <w:rPr>
          <w:rFonts w:hint="eastAsia" w:cs="宋体"/>
          <w:color w:val="auto"/>
          <w:spacing w:val="0"/>
          <w:position w:val="0"/>
          <w:sz w:val="24"/>
          <w:szCs w:val="24"/>
          <w:highlight w:val="none"/>
          <w:lang w:eastAsia="zh-CN"/>
        </w:rPr>
        <w:t>鸡粪及散落羽毛采用自动清粪系统清理与废水收集池污泥</w:t>
      </w:r>
      <w:r>
        <w:rPr>
          <w:rFonts w:ascii="Times New Roman" w:hAnsi="Times New Roman" w:eastAsia="宋体" w:cs="宋体"/>
          <w:color w:val="auto"/>
          <w:spacing w:val="0"/>
          <w:position w:val="0"/>
          <w:sz w:val="24"/>
          <w:szCs w:val="24"/>
          <w:highlight w:val="none"/>
        </w:rPr>
        <w:t>直接</w:t>
      </w:r>
      <w:r>
        <w:rPr>
          <w:rFonts w:hint="eastAsia" w:cs="宋体"/>
          <w:color w:val="auto"/>
          <w:spacing w:val="0"/>
          <w:position w:val="0"/>
          <w:sz w:val="24"/>
          <w:szCs w:val="24"/>
          <w:highlight w:val="none"/>
          <w:lang w:val="en-US" w:eastAsia="zh-CN"/>
        </w:rPr>
        <w:t>外售有机肥厂</w:t>
      </w:r>
      <w:r>
        <w:rPr>
          <w:rFonts w:ascii="Times New Roman" w:hAnsi="Times New Roman" w:eastAsia="宋体" w:cs="宋体"/>
          <w:color w:val="auto"/>
          <w:spacing w:val="0"/>
          <w:position w:val="0"/>
          <w:sz w:val="24"/>
          <w:szCs w:val="24"/>
          <w:highlight w:val="none"/>
        </w:rPr>
        <w:t>；因疾病等原因死亡鸡只投入填埋井中，覆盖一层厚度大于</w:t>
      </w:r>
      <w:r>
        <w:rPr>
          <w:rFonts w:ascii="Times New Roman" w:hAnsi="Times New Roman" w:eastAsia="宋体" w:cs="Times New Roman"/>
          <w:color w:val="auto"/>
          <w:spacing w:val="0"/>
          <w:position w:val="0"/>
          <w:sz w:val="24"/>
          <w:szCs w:val="24"/>
          <w:highlight w:val="none"/>
        </w:rPr>
        <w:t>10cm</w:t>
      </w:r>
      <w:r>
        <w:rPr>
          <w:rFonts w:ascii="Times New Roman" w:hAnsi="Times New Roman" w:eastAsia="宋体" w:cs="宋体"/>
          <w:color w:val="auto"/>
          <w:spacing w:val="0"/>
          <w:position w:val="0"/>
          <w:sz w:val="24"/>
          <w:szCs w:val="24"/>
          <w:highlight w:val="none"/>
        </w:rPr>
        <w:t>的熟石灰。井填满后，用粘土填埋压实并封口。饲料包装袋进行外售，生活垃圾集中收集由当地环卫部门处置。医疗废物储存于</w:t>
      </w:r>
      <w:r>
        <w:rPr>
          <w:rFonts w:hint="eastAsia" w:cs="宋体"/>
          <w:color w:val="auto"/>
          <w:spacing w:val="0"/>
          <w:position w:val="0"/>
          <w:sz w:val="24"/>
          <w:szCs w:val="24"/>
          <w:highlight w:val="none"/>
          <w:lang w:eastAsia="zh-CN"/>
        </w:rPr>
        <w:t>医疗废物暂存间</w:t>
      </w:r>
      <w:r>
        <w:rPr>
          <w:rFonts w:ascii="Times New Roman" w:hAnsi="Times New Roman" w:eastAsia="宋体" w:cs="宋体"/>
          <w:color w:val="auto"/>
          <w:spacing w:val="0"/>
          <w:position w:val="0"/>
          <w:sz w:val="24"/>
          <w:szCs w:val="24"/>
          <w:highlight w:val="none"/>
        </w:rPr>
        <w:t>，交由有资质的单位进行处置。厂区固废临时堆放处做好防雨、防渗处理等就可基本解决固废污染当地地下水问题，对地下水水质影响不大。</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本项目所在区域地下有较好的粘土层防渗，只要本项目做好防渗措施，本项目废水对地下水影响较小。</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非正常情况下地下水影响分析</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①影响途径</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本项目对地下水的影响主要是项目污水及固体废物对地下水水质的影响。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项目厂区内</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泄露、医疗废物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②预防措施</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A</w:t>
      </w:r>
      <w:r>
        <w:rPr>
          <w:rFonts w:ascii="Times New Roman" w:hAnsi="Times New Roman" w:eastAsia="宋体" w:cs="宋体"/>
          <w:color w:val="auto"/>
          <w:spacing w:val="0"/>
          <w:position w:val="0"/>
          <w:sz w:val="24"/>
          <w:szCs w:val="24"/>
          <w:highlight w:val="none"/>
        </w:rPr>
        <w:t>、污染源控制措施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严格按照国家相关规范要求，对工艺、管道、设备、污水储存采取相应的措施，以防止和降低污染物的跑、冒、滴、漏，将污染物泄漏的环境风险事故降低到最低程度；加强管理，鸡舍产生的粪便做到日产日清，特别是雨天来临之前要及时清理干净；殖废水收集运输管道要经常检查，防止污水泄漏。生活污水直接排入下水管网，最终进入玛纳斯县城污水处理厂；鸡舍冲洗废水排入</w:t>
      </w:r>
      <w:r>
        <w:rPr>
          <w:rFonts w:hint="eastAsia" w:cs="宋体"/>
          <w:color w:val="auto"/>
          <w:spacing w:val="0"/>
          <w:position w:val="0"/>
          <w:sz w:val="24"/>
          <w:szCs w:val="24"/>
          <w:highlight w:val="none"/>
          <w:lang w:eastAsia="zh-CN"/>
        </w:rPr>
        <w:t>废水收集池经预处理后用作农肥。</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根据《畜禽养殖业污染防治技术规范》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HJ/T81-2001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中相关规定：</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a</w:t>
      </w:r>
      <w:r>
        <w:rPr>
          <w:rFonts w:ascii="Times New Roman" w:hAnsi="Times New Roman" w:eastAsia="宋体" w:cs="宋体"/>
          <w:color w:val="auto"/>
          <w:spacing w:val="0"/>
          <w:position w:val="0"/>
          <w:sz w:val="24"/>
          <w:szCs w:val="24"/>
          <w:highlight w:val="none"/>
        </w:rPr>
        <w:t>、养殖场的排水系统应实行雨水和污水收集输送系统分离，在场区内外设置的污水收集输送系统，不得采取明沟布设。</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b</w:t>
      </w:r>
      <w:r>
        <w:rPr>
          <w:rFonts w:ascii="Times New Roman" w:hAnsi="Times New Roman" w:eastAsia="宋体" w:cs="宋体"/>
          <w:color w:val="auto"/>
          <w:spacing w:val="0"/>
          <w:position w:val="0"/>
          <w:sz w:val="24"/>
          <w:szCs w:val="24"/>
          <w:highlight w:val="none"/>
        </w:rPr>
        <w:t>、贮存设施应采取有效的防渗处理工艺，防止畜禽粪便污染地下水。</w:t>
      </w:r>
    </w:p>
    <w:p>
      <w:pPr>
        <w:keepNext w:val="0"/>
        <w:keepLines w:val="0"/>
        <w:pageBreakBefore w:val="0"/>
        <w:widowControl w:val="0"/>
        <w:kinsoku/>
        <w:wordWrap/>
        <w:overflowPunct/>
        <w:topLinePunct w:val="0"/>
        <w:autoSpaceDE/>
        <w:autoSpaceDN/>
        <w:bidi w:val="0"/>
        <w:adjustRightInd/>
        <w:snapToGrid/>
        <w:spacing w:line="360" w:lineRule="auto"/>
        <w:ind w:left="0" w:right="0" w:firstLine="49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因此，企业必须建立排污沟时，可采用沟渠。排污沟应采取沟渠形式，同时应具备防止淤积以利于定期清理的条件，排污沟应采取硬化措施。</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B</w:t>
      </w:r>
      <w:r>
        <w:rPr>
          <w:rFonts w:ascii="Times New Roman" w:hAnsi="Times New Roman" w:eastAsia="宋体" w:cs="宋体"/>
          <w:color w:val="auto"/>
          <w:spacing w:val="0"/>
          <w:position w:val="0"/>
          <w:sz w:val="24"/>
          <w:szCs w:val="24"/>
          <w:highlight w:val="none"/>
        </w:rPr>
        <w:t>、防渗措施</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根据《环境影响评价技术导则地下水环境》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HJ610-2016</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要求，将地下水污染</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防渗分区分为三个级别：重点防渗区、一般防渗区、简单防渗区，防渗分区判定如下。</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bCs/>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.2-11</w:t>
      </w:r>
      <w:r>
        <w:rPr>
          <w:rFonts w:ascii="Times New Roman" w:hAnsi="Times New Roman" w:eastAsia="宋体" w:cs="黑体"/>
          <w:b/>
          <w:bCs/>
          <w:color w:val="auto"/>
          <w:spacing w:val="0"/>
          <w:position w:val="0"/>
          <w:sz w:val="24"/>
          <w:szCs w:val="21"/>
          <w:highlight w:val="none"/>
        </w:rPr>
        <w:t>污染控制难易程度分级参照表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01"/>
        <w:gridCol w:w="6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12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污染控制难易程度</w:t>
            </w:r>
          </w:p>
        </w:tc>
        <w:tc>
          <w:tcPr>
            <w:tcW w:w="379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379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对地下水环境有污染的物料或污染物泄漏后，不能及时发现和处理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379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对地下水环境有污染的物料或污染物泄漏后，可及时发现和处理</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bCs/>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.2-12</w:t>
      </w:r>
      <w:r>
        <w:rPr>
          <w:rFonts w:ascii="Times New Roman" w:hAnsi="Times New Roman" w:eastAsia="宋体" w:cs="黑体"/>
          <w:b/>
          <w:bCs/>
          <w:color w:val="auto"/>
          <w:spacing w:val="0"/>
          <w:position w:val="0"/>
          <w:sz w:val="24"/>
          <w:szCs w:val="21"/>
          <w:highlight w:val="none"/>
        </w:rPr>
        <w:t>天然包气带防污性能分级参照表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1"/>
        <w:gridCol w:w="76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分级</w:t>
            </w:r>
          </w:p>
        </w:tc>
        <w:tc>
          <w:tcPr>
            <w:tcW w:w="461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包气带岩土的渗透性能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8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强</w:t>
            </w:r>
          </w:p>
        </w:tc>
        <w:tc>
          <w:tcPr>
            <w:tcW w:w="461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Mb≥1.0m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K≤1X10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38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p>
        </w:tc>
        <w:tc>
          <w:tcPr>
            <w:tcW w:w="461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0.5m≤Mb</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Mb≥1.0m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1×10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14"/>
                <w:highlight w:val="none"/>
                <w:vertAlign w:val="superscript"/>
              </w:rPr>
              <w:t>-4</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4613"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层不满足上述</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强</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和</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条件</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.2-13</w:t>
      </w:r>
      <w:r>
        <w:rPr>
          <w:rFonts w:ascii="Times New Roman" w:hAnsi="Times New Roman" w:eastAsia="宋体" w:cs="黑体"/>
          <w:b/>
          <w:bCs/>
          <w:color w:val="auto"/>
          <w:spacing w:val="0"/>
          <w:position w:val="0"/>
          <w:sz w:val="24"/>
          <w:szCs w:val="21"/>
          <w:highlight w:val="none"/>
        </w:rPr>
        <w:t>地下水污染防渗分区参照表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0"/>
        <w:gridCol w:w="1405"/>
        <w:gridCol w:w="1280"/>
        <w:gridCol w:w="1659"/>
        <w:gridCol w:w="2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0" w:hRule="atLeast"/>
          <w:jc w:val="center"/>
        </w:trPr>
        <w:tc>
          <w:tcPr>
            <w:tcW w:w="83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防渗分区</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天然包气带防污性能</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污染控制难易程度</w:t>
            </w:r>
          </w:p>
        </w:tc>
        <w:tc>
          <w:tcPr>
            <w:tcW w:w="99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污染物类型</w:t>
            </w:r>
          </w:p>
        </w:tc>
        <w:tc>
          <w:tcPr>
            <w:tcW w:w="1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重金属、持久性有机物污染物</w:t>
            </w:r>
          </w:p>
        </w:tc>
        <w:tc>
          <w:tcPr>
            <w:tcW w:w="155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K&lt;1×10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，或参照</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GB18598</w:t>
            </w:r>
            <w:r>
              <w:rPr>
                <w:rFonts w:ascii="Times New Roman" w:hAnsi="Times New Roman" w:eastAsia="宋体" w:cs="宋体"/>
                <w:color w:val="auto"/>
                <w:spacing w:val="0"/>
                <w:position w:val="0"/>
                <w:sz w:val="21"/>
                <w:szCs w:val="21"/>
                <w:highlight w:val="none"/>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3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一般防渗区</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难</w:t>
            </w:r>
          </w:p>
        </w:tc>
        <w:tc>
          <w:tcPr>
            <w:tcW w:w="99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其他类型</w:t>
            </w:r>
          </w:p>
        </w:tc>
        <w:tc>
          <w:tcPr>
            <w:tcW w:w="155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等效黏土防渗层</w:t>
            </w:r>
            <w:r>
              <w:rPr>
                <w:rFonts w:ascii="Times New Roman" w:hAnsi="Times New Roman" w:eastAsia="宋体" w:cs="Times New Roman"/>
                <w:color w:val="auto"/>
                <w:spacing w:val="0"/>
                <w:position w:val="0"/>
                <w:sz w:val="21"/>
                <w:szCs w:val="21"/>
                <w:highlight w:val="none"/>
              </w:rPr>
              <w:t>Mb&gt;1.5m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K&lt;1×10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，或参照</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GB16889</w:t>
            </w:r>
            <w:r>
              <w:rPr>
                <w:rFonts w:ascii="Times New Roman" w:hAnsi="Times New Roman" w:eastAsia="宋体" w:cs="宋体"/>
                <w:color w:val="auto"/>
                <w:spacing w:val="0"/>
                <w:position w:val="0"/>
                <w:sz w:val="21"/>
                <w:szCs w:val="21"/>
                <w:highlight w:val="none"/>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83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重金属、持久性有机物污染物</w:t>
            </w:r>
          </w:p>
        </w:tc>
        <w:tc>
          <w:tcPr>
            <w:tcW w:w="1555"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强</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3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84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其他类型</w:t>
            </w:r>
          </w:p>
        </w:tc>
        <w:tc>
          <w:tcPr>
            <w:tcW w:w="1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一般地面硬化</w:t>
            </w: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结合项目特点，项目拟建工程防渗工程分为一般防渗区和简单防渗区、重点防渗区，分区防渗要求见表</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.2-14</w:t>
      </w:r>
      <w:r>
        <w:rPr>
          <w:rFonts w:ascii="Times New Roman" w:hAnsi="Times New Roman" w:eastAsia="宋体" w:cs="宋体"/>
          <w:color w:val="auto"/>
          <w:spacing w:val="0"/>
          <w:position w:val="0"/>
          <w:sz w:val="24"/>
          <w:szCs w:val="24"/>
          <w:highlight w:val="none"/>
        </w:rPr>
        <w:t>，分区防渗图见图</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.2-14</w:t>
      </w:r>
      <w:r>
        <w:rPr>
          <w:rFonts w:ascii="Times New Roman" w:hAnsi="Times New Roman" w:eastAsia="宋体" w:cs="黑体"/>
          <w:b/>
          <w:bCs/>
          <w:color w:val="auto"/>
          <w:spacing w:val="0"/>
          <w:position w:val="0"/>
          <w:sz w:val="24"/>
          <w:szCs w:val="21"/>
          <w:highlight w:val="none"/>
        </w:rPr>
        <w:t>拟建项目分区防渗要求表</w:t>
      </w:r>
    </w:p>
    <w:tbl>
      <w:tblPr>
        <w:tblStyle w:val="176"/>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55"/>
        <w:gridCol w:w="2057"/>
        <w:gridCol w:w="4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主要环节</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防渗级别</w:t>
            </w:r>
          </w:p>
        </w:tc>
        <w:tc>
          <w:tcPr>
            <w:tcW w:w="26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医疗废物暂存间</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①各单元防渗工程的设计使用年限不低于构筑物的设计使用年限。②防渗性能不低于</w:t>
            </w:r>
            <w:r>
              <w:rPr>
                <w:rFonts w:ascii="Times New Roman" w:hAnsi="Times New Roman" w:eastAsia="宋体" w:cs="Times New Roman"/>
                <w:color w:val="auto"/>
                <w:spacing w:val="0"/>
                <w:position w:val="0"/>
                <w:sz w:val="21"/>
                <w:szCs w:val="21"/>
                <w:highlight w:val="none"/>
              </w:rPr>
              <w:t>6.0m</w:t>
            </w:r>
            <w:r>
              <w:rPr>
                <w:rFonts w:ascii="Times New Roman" w:hAnsi="Times New Roman" w:eastAsia="宋体" w:cs="宋体"/>
                <w:color w:val="auto"/>
                <w:spacing w:val="0"/>
                <w:position w:val="0"/>
                <w:sz w:val="21"/>
                <w:szCs w:val="21"/>
                <w:highlight w:val="none"/>
              </w:rPr>
              <w:t>厚，渗透系数为</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的黏土层的防渗性能。</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③地面防渗方案可采用混凝土防渗、</w:t>
            </w:r>
            <w:r>
              <w:rPr>
                <w:rFonts w:ascii="Times New Roman" w:hAnsi="Times New Roman" w:eastAsia="宋体" w:cs="Times New Roman"/>
                <w:color w:val="auto"/>
                <w:spacing w:val="0"/>
                <w:position w:val="0"/>
                <w:sz w:val="21"/>
                <w:szCs w:val="21"/>
                <w:highlight w:val="none"/>
              </w:rPr>
              <w:t>HDPE</w:t>
            </w:r>
            <w:r>
              <w:rPr>
                <w:rFonts w:ascii="Times New Roman" w:hAnsi="Times New Roman" w:eastAsia="宋体" w:cs="宋体"/>
                <w:color w:val="auto"/>
                <w:spacing w:val="0"/>
                <w:position w:val="0"/>
                <w:sz w:val="21"/>
                <w:szCs w:val="21"/>
                <w:highlight w:val="none"/>
              </w:rPr>
              <w:t>膜防渗和钠基膨润土防水毯防渗层，防渗性能满足②</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安全填埋井</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废水收集池</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养殖圈舍</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一般防渗区</w:t>
            </w:r>
          </w:p>
        </w:tc>
        <w:tc>
          <w:tcPr>
            <w:tcW w:w="26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防渗性能不低于</w:t>
            </w:r>
            <w:r>
              <w:rPr>
                <w:rFonts w:ascii="Times New Roman" w:hAnsi="Times New Roman" w:eastAsia="宋体" w:cs="Times New Roman"/>
                <w:color w:val="auto"/>
                <w:spacing w:val="0"/>
                <w:position w:val="0"/>
                <w:sz w:val="21"/>
                <w:szCs w:val="21"/>
                <w:highlight w:val="none"/>
              </w:rPr>
              <w:t>1.5m</w:t>
            </w:r>
            <w:r>
              <w:rPr>
                <w:rFonts w:ascii="Times New Roman" w:hAnsi="Times New Roman" w:eastAsia="宋体" w:cs="宋体"/>
                <w:color w:val="auto"/>
                <w:spacing w:val="0"/>
                <w:position w:val="0"/>
                <w:sz w:val="21"/>
                <w:szCs w:val="21"/>
                <w:highlight w:val="none"/>
              </w:rPr>
              <w:t>厚，渗透系数为</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的黏土层的防渗性能。一般防渗区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办公室</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26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一般地面硬化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宿舍区</w:t>
            </w:r>
          </w:p>
        </w:tc>
        <w:tc>
          <w:tcPr>
            <w:tcW w:w="1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26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w:t>
      </w:r>
      <w:r>
        <w:rPr>
          <w:rFonts w:ascii="Times New Roman" w:hAnsi="Times New Roman" w:eastAsia="宋体" w:cs="宋体"/>
          <w:color w:val="auto"/>
          <w:spacing w:val="0"/>
          <w:position w:val="0"/>
          <w:sz w:val="24"/>
          <w:szCs w:val="24"/>
          <w:highlight w:val="none"/>
        </w:rPr>
        <w:t>、重点防渗区防渗措施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项目医疗废物暂存间和安全填埋井在施工图设计及施工阶段对基础层进行防渗处理，采用符合要求的天然基础层或人工合成衬里材料</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HDPE</w:t>
      </w:r>
      <w:r>
        <w:rPr>
          <w:rFonts w:ascii="Times New Roman" w:hAnsi="Times New Roman" w:eastAsia="宋体" w:cs="宋体"/>
          <w:color w:val="auto"/>
          <w:spacing w:val="0"/>
          <w:position w:val="0"/>
          <w:sz w:val="24"/>
          <w:szCs w:val="24"/>
          <w:highlight w:val="none"/>
        </w:rPr>
        <w:t>膜</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，具体要求依据《危险废物填埋污染控制标准》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GB18598-2001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进行实施。防渗层防渗性能不能低于</w:t>
      </w:r>
      <w:r>
        <w:rPr>
          <w:rFonts w:ascii="Times New Roman" w:hAnsi="Times New Roman" w:eastAsia="宋体" w:cs="Times New Roman"/>
          <w:color w:val="auto"/>
          <w:spacing w:val="0"/>
          <w:position w:val="0"/>
          <w:sz w:val="24"/>
          <w:szCs w:val="24"/>
          <w:highlight w:val="none"/>
        </w:rPr>
        <w:t>6m</w:t>
      </w:r>
      <w:r>
        <w:rPr>
          <w:rFonts w:ascii="Times New Roman" w:hAnsi="Times New Roman" w:eastAsia="宋体" w:cs="宋体"/>
          <w:color w:val="auto"/>
          <w:spacing w:val="0"/>
          <w:position w:val="0"/>
          <w:sz w:val="24"/>
          <w:szCs w:val="24"/>
          <w:highlight w:val="none"/>
        </w:rPr>
        <w:t>厚，渗透系数</w:t>
      </w:r>
      <w:r>
        <w:rPr>
          <w:rFonts w:ascii="Times New Roman" w:hAnsi="Times New Roman" w:eastAsia="宋体" w:cs="Times New Roman"/>
          <w:color w:val="auto"/>
          <w:spacing w:val="0"/>
          <w:position w:val="0"/>
          <w:sz w:val="24"/>
          <w:szCs w:val="24"/>
          <w:highlight w:val="none"/>
        </w:rPr>
        <w:t>≤10</w:t>
      </w:r>
      <w:r>
        <w:rPr>
          <w:rFonts w:ascii="Times New Roman" w:hAnsi="Times New Roman" w:eastAsia="宋体" w:cs="Times New Roman"/>
          <w:color w:val="auto"/>
          <w:spacing w:val="0"/>
          <w:position w:val="0"/>
          <w:sz w:val="24"/>
          <w:szCs w:val="15"/>
          <w:highlight w:val="none"/>
          <w:vertAlign w:val="superscript"/>
        </w:rPr>
        <w:t>-7</w:t>
      </w:r>
      <w:r>
        <w:rPr>
          <w:rFonts w:ascii="Times New Roman" w:hAnsi="Times New Roman" w:eastAsia="宋体" w:cs="Times New Roman"/>
          <w:color w:val="auto"/>
          <w:spacing w:val="0"/>
          <w:position w:val="0"/>
          <w:sz w:val="24"/>
          <w:szCs w:val="24"/>
          <w:highlight w:val="none"/>
        </w:rPr>
        <w:t>cm/s</w:t>
      </w:r>
      <w:r>
        <w:rPr>
          <w:rFonts w:ascii="Times New Roman" w:hAnsi="Times New Roman" w:eastAsia="宋体" w:cs="宋体"/>
          <w:color w:val="auto"/>
          <w:spacing w:val="0"/>
          <w:position w:val="0"/>
          <w:sz w:val="24"/>
          <w:szCs w:val="24"/>
          <w:highlight w:val="none"/>
        </w:rPr>
        <w:t>的防渗性能，防止渗滤液泄漏污染地下水。</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II</w:t>
      </w:r>
      <w:r>
        <w:rPr>
          <w:rFonts w:ascii="Times New Roman" w:hAnsi="Times New Roman" w:eastAsia="宋体" w:cs="宋体"/>
          <w:color w:val="auto"/>
          <w:spacing w:val="0"/>
          <w:position w:val="0"/>
          <w:sz w:val="24"/>
          <w:szCs w:val="24"/>
          <w:highlight w:val="none"/>
        </w:rPr>
        <w:t>、一般防渗区</w:t>
      </w:r>
    </w:p>
    <w:p>
      <w:pPr>
        <w:keepNext w:val="0"/>
        <w:keepLines w:val="0"/>
        <w:pageBreakBefore w:val="0"/>
        <w:widowControl w:val="0"/>
        <w:kinsoku/>
        <w:wordWrap/>
        <w:overflowPunct/>
        <w:topLinePunct w:val="0"/>
        <w:autoSpaceDE/>
        <w:autoSpaceDN/>
        <w:bidi w:val="0"/>
        <w:adjustRightInd/>
        <w:snapToGrid/>
        <w:spacing w:line="360" w:lineRule="auto"/>
        <w:ind w:left="0" w:right="0" w:firstLine="49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项目养殖区、</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在施工图设计及施工阶段对基础层进行防渗处理，具体要求依据《一般工业固体废物贮存和填埋污染控制标准》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GB18599-2020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进行实施。构筑物除需做基础防渗处理外，应根据生产过程中接触到的物料腐蚀性情况根据要求采取相应的防腐蚀处理措施。采取防渗措施后的基础层等效黏土防渗层</w:t>
      </w:r>
      <w:r>
        <w:rPr>
          <w:rFonts w:ascii="Times New Roman" w:hAnsi="Times New Roman" w:eastAsia="宋体" w:cs="Times New Roman"/>
          <w:color w:val="auto"/>
          <w:spacing w:val="0"/>
          <w:position w:val="0"/>
          <w:sz w:val="24"/>
          <w:szCs w:val="24"/>
          <w:highlight w:val="none"/>
        </w:rPr>
        <w:t>Mb≥1.5m</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k≤10</w:t>
      </w:r>
      <w:r>
        <w:rPr>
          <w:rFonts w:ascii="Times New Roman" w:hAnsi="Times New Roman" w:eastAsia="宋体" w:cs="Times New Roman"/>
          <w:color w:val="auto"/>
          <w:spacing w:val="0"/>
          <w:position w:val="0"/>
          <w:sz w:val="24"/>
          <w:szCs w:val="15"/>
          <w:highlight w:val="none"/>
          <w:vertAlign w:val="superscript"/>
        </w:rPr>
        <w:t>-7</w:t>
      </w:r>
      <w:r>
        <w:rPr>
          <w:rFonts w:ascii="Times New Roman" w:hAnsi="Times New Roman" w:eastAsia="宋体" w:cs="Times New Roman"/>
          <w:color w:val="auto"/>
          <w:spacing w:val="0"/>
          <w:position w:val="0"/>
          <w:sz w:val="24"/>
          <w:szCs w:val="24"/>
          <w:highlight w:val="none"/>
        </w:rPr>
        <w:t>cm/s</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III</w:t>
      </w:r>
      <w:r>
        <w:rPr>
          <w:rFonts w:ascii="Times New Roman" w:hAnsi="Times New Roman" w:eastAsia="宋体" w:cs="宋体"/>
          <w:color w:val="auto"/>
          <w:spacing w:val="0"/>
          <w:position w:val="0"/>
          <w:sz w:val="24"/>
          <w:szCs w:val="24"/>
          <w:highlight w:val="none"/>
        </w:rPr>
        <w:t>、简单防渗区</w:t>
      </w:r>
    </w:p>
    <w:p>
      <w:pPr>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简单防渗区采用水泥硬化防渗。厂区其他地面除绿化用地外均采取灰土铺底，再在上层铺</w:t>
      </w:r>
      <w:r>
        <w:rPr>
          <w:rFonts w:ascii="Times New Roman" w:hAnsi="Times New Roman" w:eastAsia="宋体" w:cs="Times New Roman"/>
          <w:color w:val="auto"/>
          <w:spacing w:val="0"/>
          <w:position w:val="0"/>
          <w:sz w:val="24"/>
          <w:szCs w:val="24"/>
          <w:highlight w:val="none"/>
        </w:rPr>
        <w:t>10</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15cm</w:t>
      </w:r>
      <w:r>
        <w:rPr>
          <w:rFonts w:ascii="Times New Roman" w:hAnsi="Times New Roman" w:eastAsia="宋体" w:cs="宋体"/>
          <w:color w:val="auto"/>
          <w:spacing w:val="0"/>
          <w:position w:val="0"/>
          <w:sz w:val="24"/>
          <w:szCs w:val="24"/>
          <w:highlight w:val="none"/>
        </w:rPr>
        <w:t>的混凝土进行硬化。具体见分区防渗示意图</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w:t>
      </w:r>
      <w:r>
        <w:rPr>
          <w:rFonts w:ascii="Times New Roman" w:hAnsi="Times New Roman" w:eastAsia="宋体" w:cs="宋体"/>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IV</w:t>
      </w:r>
      <w:r>
        <w:rPr>
          <w:rFonts w:ascii="Times New Roman" w:hAnsi="Times New Roman" w:eastAsia="宋体" w:cs="宋体"/>
          <w:color w:val="auto"/>
          <w:spacing w:val="0"/>
          <w:position w:val="0"/>
          <w:sz w:val="24"/>
          <w:szCs w:val="24"/>
          <w:highlight w:val="none"/>
        </w:rPr>
        <w:t>、废水管道防渗措施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V</w:t>
      </w:r>
      <w:r>
        <w:rPr>
          <w:rFonts w:ascii="Times New Roman" w:hAnsi="Times New Roman" w:eastAsia="宋体" w:cs="宋体"/>
          <w:color w:val="auto"/>
          <w:spacing w:val="0"/>
          <w:position w:val="0"/>
          <w:sz w:val="24"/>
          <w:szCs w:val="24"/>
          <w:highlight w:val="none"/>
        </w:rPr>
        <w:t>、监测井设置</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根据《地下水环境监测技术规范》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HJ164-2020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中监测井要求设置，本项目要求在场区西南侧</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地下水上游</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边界设置</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个对照监测点，地下水下游及两侧各设置</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个监测点位，共</w:t>
      </w: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个地下水监测点位。</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VI</w:t>
      </w:r>
      <w:r>
        <w:rPr>
          <w:rFonts w:ascii="Times New Roman" w:hAnsi="Times New Roman" w:eastAsia="宋体" w:cs="宋体"/>
          <w:color w:val="auto"/>
          <w:spacing w:val="0"/>
          <w:position w:val="0"/>
          <w:sz w:val="24"/>
          <w:szCs w:val="24"/>
          <w:highlight w:val="none"/>
        </w:rPr>
        <w:t>、管理措施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项目运行后，配备专兼职技术人员，加强地下水环境管理及巡查，定期对圈舍、</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和医疗废物暂存间等环节进行检漏工作，确保各防渗漏措施运行的长期性、稳定性和可靠性。</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6、</w:t>
      </w:r>
      <w:r>
        <w:rPr>
          <w:rFonts w:ascii="Times New Roman" w:hAnsi="Times New Roman" w:eastAsia="宋体" w:cs="宋体"/>
          <w:color w:val="auto"/>
          <w:spacing w:val="0"/>
          <w:position w:val="0"/>
          <w:sz w:val="24"/>
          <w:szCs w:val="24"/>
          <w:highlight w:val="none"/>
        </w:rPr>
        <w:t>小结</w:t>
      </w:r>
    </w:p>
    <w:p>
      <w:pPr>
        <w:pStyle w:val="153"/>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bCs/>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综上所述，通过认真落实并且严格执行本次环评提出的上述废</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污</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水防治措施后，本项目运营期间产生废</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污</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水对项目区及周边区域水环境产生影响较小。</w:t>
      </w:r>
      <w:bookmarkEnd w:id="186"/>
    </w:p>
    <w:p>
      <w:pPr>
        <w:pStyle w:val="5"/>
        <w:rPr>
          <w:rFonts w:ascii="Times New Roman" w:hAnsi="Times New Roman" w:eastAsia="宋体"/>
          <w:color w:val="auto"/>
          <w:highlight w:val="none"/>
        </w:rPr>
      </w:pPr>
      <w:bookmarkStart w:id="187" w:name="_Toc106663502"/>
      <w:r>
        <w:rPr>
          <w:rFonts w:hint="eastAsia" w:ascii="Times New Roman" w:hAnsi="Times New Roman" w:eastAsia="宋体"/>
          <w:color w:val="auto"/>
          <w:highlight w:val="none"/>
        </w:rPr>
        <w:t>5.2.3声环境影响分析</w:t>
      </w:r>
      <w:bookmarkEnd w:id="187"/>
    </w:p>
    <w:p>
      <w:pPr>
        <w:ind w:firstLine="480"/>
        <w:rPr>
          <w:rFonts w:ascii="Times New Roman" w:hAnsi="Times New Roman" w:eastAsia="宋体"/>
          <w:color w:val="auto"/>
          <w:highlight w:val="none"/>
        </w:rPr>
      </w:pPr>
      <w:r>
        <w:rPr>
          <w:rFonts w:ascii="Times New Roman" w:hAnsi="Times New Roman" w:eastAsia="宋体"/>
          <w:color w:val="auto"/>
          <w:highlight w:val="none"/>
        </w:rPr>
        <w:t>1、噪声源</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w:t>
      </w:r>
      <w:r>
        <w:rPr>
          <w:rFonts w:hint="eastAsia" w:ascii="Times New Roman" w:hAnsi="Times New Roman" w:eastAsia="宋体"/>
          <w:color w:val="auto"/>
          <w:highlight w:val="none"/>
        </w:rPr>
        <w:t>施工期间主要噪声源为施工机械产生的噪声，</w:t>
      </w:r>
      <w:r>
        <w:rPr>
          <w:rFonts w:ascii="Times New Roman" w:hAnsi="Times New Roman" w:eastAsia="宋体"/>
          <w:color w:val="auto"/>
          <w:highlight w:val="none"/>
        </w:rPr>
        <w:t>建成后主要噪声源为</w:t>
      </w:r>
      <w:r>
        <w:rPr>
          <w:rFonts w:hint="eastAsia"/>
          <w:color w:val="auto"/>
          <w:highlight w:val="none"/>
          <w:lang w:val="en-US" w:eastAsia="zh-CN"/>
        </w:rPr>
        <w:t>鸡舍</w:t>
      </w:r>
      <w:r>
        <w:rPr>
          <w:rFonts w:hint="eastAsia" w:ascii="Times New Roman" w:hAnsi="Times New Roman" w:eastAsia="宋体"/>
          <w:color w:val="auto"/>
          <w:highlight w:val="none"/>
        </w:rPr>
        <w:t>通风机及</w:t>
      </w:r>
      <w:r>
        <w:rPr>
          <w:rFonts w:hint="eastAsia"/>
          <w:color w:val="auto"/>
          <w:highlight w:val="none"/>
          <w:lang w:val="en-US" w:eastAsia="zh-CN"/>
        </w:rPr>
        <w:t>鸡</w:t>
      </w:r>
      <w:r>
        <w:rPr>
          <w:rFonts w:hint="eastAsia" w:ascii="Times New Roman" w:hAnsi="Times New Roman" w:eastAsia="宋体"/>
          <w:color w:val="auto"/>
          <w:highlight w:val="none"/>
        </w:rPr>
        <w:t>叫声产生的噪声</w:t>
      </w:r>
      <w:r>
        <w:rPr>
          <w:rFonts w:ascii="Times New Roman" w:hAnsi="Times New Roman" w:eastAsia="宋体"/>
          <w:color w:val="auto"/>
          <w:highlight w:val="none"/>
        </w:rPr>
        <w:t>等，详见下表5.2-</w:t>
      </w:r>
      <w:r>
        <w:rPr>
          <w:rFonts w:hint="eastAsia" w:ascii="Times New Roman" w:hAnsi="Times New Roman" w:eastAsia="宋体"/>
          <w:color w:val="auto"/>
          <w:highlight w:val="none"/>
          <w:lang w:val="en-US" w:eastAsia="zh-CN"/>
        </w:rPr>
        <w:t>15</w:t>
      </w:r>
      <w:r>
        <w:rPr>
          <w:rFonts w:ascii="Times New Roman" w:hAnsi="Times New Roman" w:eastAsia="宋体"/>
          <w:color w:val="auto"/>
          <w:highlight w:val="none"/>
        </w:rPr>
        <w:t>。</w:t>
      </w:r>
    </w:p>
    <w:p>
      <w:pPr>
        <w:pStyle w:val="10"/>
        <w:rPr>
          <w:rFonts w:ascii="Times New Roman" w:hAnsi="Times New Roman" w:eastAsia="宋体"/>
          <w:color w:val="auto"/>
          <w:sz w:val="24"/>
          <w:szCs w:val="22"/>
          <w:highlight w:val="none"/>
        </w:rPr>
      </w:pPr>
      <w:r>
        <w:rPr>
          <w:rFonts w:ascii="Times New Roman" w:hAnsi="Times New Roman" w:eastAsia="宋体"/>
          <w:color w:val="auto"/>
          <w:sz w:val="24"/>
          <w:szCs w:val="22"/>
          <w:highlight w:val="none"/>
        </w:rPr>
        <w:t>表5.2-</w:t>
      </w:r>
      <w:r>
        <w:rPr>
          <w:rFonts w:hint="eastAsia" w:ascii="Times New Roman" w:hAnsi="Times New Roman" w:eastAsia="宋体"/>
          <w:color w:val="auto"/>
          <w:sz w:val="24"/>
          <w:szCs w:val="22"/>
          <w:highlight w:val="none"/>
          <w:lang w:val="en-US" w:eastAsia="zh-CN"/>
        </w:rPr>
        <w:t>15</w:t>
      </w:r>
      <w:r>
        <w:rPr>
          <w:rFonts w:ascii="Times New Roman" w:hAnsi="Times New Roman" w:eastAsia="宋体"/>
          <w:color w:val="auto"/>
          <w:sz w:val="24"/>
          <w:szCs w:val="22"/>
          <w:highlight w:val="none"/>
        </w:rPr>
        <w:t>主要噪声源</w:t>
      </w:r>
    </w:p>
    <w:tbl>
      <w:tblPr>
        <w:tblStyle w:val="3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42"/>
        <w:gridCol w:w="999"/>
        <w:gridCol w:w="1022"/>
        <w:gridCol w:w="725"/>
        <w:gridCol w:w="873"/>
        <w:gridCol w:w="3162"/>
        <w:gridCol w:w="9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435"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bookmarkStart w:id="188" w:name="_Hlk107742220"/>
            <w:r>
              <w:rPr>
                <w:rFonts w:hint="eastAsia" w:ascii="Times New Roman" w:hAnsi="Times New Roman" w:eastAsia="宋体"/>
                <w:b w:val="0"/>
                <w:bCs w:val="0"/>
                <w:color w:val="auto"/>
                <w:szCs w:val="21"/>
                <w:highlight w:val="none"/>
              </w:rPr>
              <w:t>序号</w:t>
            </w:r>
          </w:p>
        </w:tc>
        <w:tc>
          <w:tcPr>
            <w:tcW w:w="586"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种类</w:t>
            </w:r>
          </w:p>
        </w:tc>
        <w:tc>
          <w:tcPr>
            <w:tcW w:w="599"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来源</w:t>
            </w:r>
          </w:p>
        </w:tc>
        <w:tc>
          <w:tcPr>
            <w:tcW w:w="425"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产生方式</w:t>
            </w:r>
          </w:p>
        </w:tc>
        <w:tc>
          <w:tcPr>
            <w:tcW w:w="2952" w:type="pct"/>
            <w:gridSpan w:val="3"/>
            <w:tcBorders>
              <w:tl2br w:val="nil"/>
              <w:tr2bl w:val="nil"/>
            </w:tcBorders>
            <w:shd w:val="clear" w:color="auto" w:fill="auto"/>
            <w:vAlign w:val="center"/>
          </w:tcPr>
          <w:p>
            <w:pPr>
              <w:pStyle w:val="144"/>
              <w:spacing w:line="240" w:lineRule="auto"/>
              <w:ind w:firstLine="0" w:firstLineChars="0"/>
              <w:jc w:val="center"/>
              <w:rPr>
                <w:rFonts w:hint="eastAsia" w:ascii="Times New Roman" w:hAnsi="Times New Roman" w:eastAsia="宋体"/>
                <w:b w:val="0"/>
                <w:bCs w:val="0"/>
                <w:color w:val="auto"/>
                <w:szCs w:val="21"/>
                <w:highlight w:val="none"/>
                <w:lang w:eastAsia="zh-CN"/>
              </w:rPr>
            </w:pPr>
            <w:r>
              <w:rPr>
                <w:rFonts w:hint="eastAsia" w:ascii="Times New Roman" w:hAnsi="Times New Roman" w:eastAsia="宋体"/>
                <w:b w:val="0"/>
                <w:bCs w:val="0"/>
                <w:color w:val="auto"/>
                <w:szCs w:val="21"/>
                <w:highlight w:val="none"/>
              </w:rPr>
              <w:t>噪声源强</w:t>
            </w:r>
            <w:r>
              <w:rPr>
                <w:rFonts w:ascii="Times New Roman" w:hAnsi="Times New Roman" w:eastAsia="宋体"/>
                <w:b w:val="0"/>
                <w:bCs w:val="0"/>
                <w:color w:val="auto"/>
                <w:szCs w:val="21"/>
                <w:highlight w:val="none"/>
              </w:rPr>
              <w:t>dB</w:t>
            </w:r>
            <w:r>
              <w:rPr>
                <w:rFonts w:hint="eastAsia"/>
                <w:b w:val="0"/>
                <w:bCs w:val="0"/>
                <w:color w:val="auto"/>
                <w:szCs w:val="21"/>
                <w:highlight w:val="none"/>
                <w:lang w:eastAsia="zh-CN"/>
              </w:rPr>
              <w:t>（</w:t>
            </w:r>
            <w:r>
              <w:rPr>
                <w:rFonts w:ascii="Times New Roman" w:hAnsi="Times New Roman" w:eastAsia="宋体"/>
                <w:b w:val="0"/>
                <w:bCs w:val="0"/>
                <w:color w:val="auto"/>
                <w:szCs w:val="21"/>
                <w:highlight w:val="none"/>
              </w:rPr>
              <w:t>A</w:t>
            </w:r>
            <w:r>
              <w:rPr>
                <w:rFonts w:hint="eastAsia"/>
                <w:b w:val="0"/>
                <w:bCs w:val="0"/>
                <w:color w:val="auto"/>
                <w:szCs w:val="21"/>
                <w:highlight w:val="none"/>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425"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12"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治理前</w:t>
            </w:r>
          </w:p>
        </w:tc>
        <w:tc>
          <w:tcPr>
            <w:tcW w:w="185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治理措施</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施工期噪声</w:t>
            </w:r>
          </w:p>
        </w:tc>
        <w:tc>
          <w:tcPr>
            <w:tcW w:w="59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施工机械噪声</w:t>
            </w:r>
          </w:p>
        </w:tc>
        <w:tc>
          <w:tcPr>
            <w:tcW w:w="425"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间歇</w:t>
            </w:r>
          </w:p>
        </w:tc>
        <w:tc>
          <w:tcPr>
            <w:tcW w:w="512"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8</w:t>
            </w:r>
            <w:r>
              <w:rPr>
                <w:rFonts w:ascii="Times New Roman" w:hAnsi="Times New Roman" w:eastAsia="宋体"/>
                <w:b w:val="0"/>
                <w:bCs w:val="0"/>
                <w:color w:val="auto"/>
                <w:szCs w:val="21"/>
                <w:highlight w:val="none"/>
              </w:rPr>
              <w:t>0</w:t>
            </w:r>
          </w:p>
        </w:tc>
        <w:tc>
          <w:tcPr>
            <w:tcW w:w="185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距离衰减、优化施工组织设计</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restart"/>
            <w:tcBorders>
              <w:tl2br w:val="nil"/>
              <w:tr2bl w:val="nil"/>
            </w:tcBorders>
            <w:shd w:val="clear" w:color="auto" w:fill="auto"/>
            <w:vAlign w:val="center"/>
          </w:tcPr>
          <w:p>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2</w:t>
            </w:r>
          </w:p>
        </w:tc>
        <w:tc>
          <w:tcPr>
            <w:tcW w:w="586"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lang w:val="en-US" w:eastAsia="zh-CN"/>
              </w:rPr>
              <w:t>鸡</w:t>
            </w:r>
            <w:r>
              <w:rPr>
                <w:rFonts w:hint="eastAsia" w:ascii="Times New Roman" w:hAnsi="Times New Roman" w:eastAsia="宋体"/>
                <w:b w:val="0"/>
                <w:bCs w:val="0"/>
                <w:color w:val="auto"/>
                <w:szCs w:val="21"/>
                <w:highlight w:val="none"/>
              </w:rPr>
              <w:t>舍</w:t>
            </w:r>
          </w:p>
        </w:tc>
        <w:tc>
          <w:tcPr>
            <w:tcW w:w="59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通风机</w:t>
            </w:r>
          </w:p>
        </w:tc>
        <w:tc>
          <w:tcPr>
            <w:tcW w:w="425"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连续</w:t>
            </w:r>
          </w:p>
        </w:tc>
        <w:tc>
          <w:tcPr>
            <w:tcW w:w="512"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选低噪声设备、基础减振、厂房隔声</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集污系统</w:t>
            </w:r>
          </w:p>
        </w:tc>
        <w:tc>
          <w:tcPr>
            <w:tcW w:w="425"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连续</w:t>
            </w:r>
          </w:p>
        </w:tc>
        <w:tc>
          <w:tcPr>
            <w:tcW w:w="512"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选低噪声设备、基础减振、厂房隔声</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lang w:val="en-US" w:eastAsia="zh-CN"/>
              </w:rPr>
              <w:t>鸡</w:t>
            </w:r>
            <w:r>
              <w:rPr>
                <w:rFonts w:hint="eastAsia" w:ascii="Times New Roman" w:hAnsi="Times New Roman" w:eastAsia="宋体"/>
                <w:b w:val="0"/>
                <w:bCs w:val="0"/>
                <w:color w:val="auto"/>
                <w:szCs w:val="21"/>
                <w:highlight w:val="none"/>
              </w:rPr>
              <w:t>叫声</w:t>
            </w:r>
          </w:p>
        </w:tc>
        <w:tc>
          <w:tcPr>
            <w:tcW w:w="425"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间歇</w:t>
            </w:r>
          </w:p>
        </w:tc>
        <w:tc>
          <w:tcPr>
            <w:tcW w:w="512"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精心饲养、厂房隔声</w:t>
            </w:r>
          </w:p>
        </w:tc>
        <w:tc>
          <w:tcPr>
            <w:tcW w:w="5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bookmarkEnd w:id="188"/>
    </w:tbl>
    <w:p>
      <w:pPr>
        <w:ind w:firstLine="480"/>
        <w:rPr>
          <w:rFonts w:ascii="Times New Roman" w:hAnsi="Times New Roman" w:eastAsia="宋体"/>
          <w:color w:val="auto"/>
          <w:highlight w:val="none"/>
        </w:rPr>
      </w:pPr>
      <w:r>
        <w:rPr>
          <w:rFonts w:ascii="Times New Roman" w:hAnsi="Times New Roman" w:eastAsia="宋体"/>
          <w:color w:val="auto"/>
          <w:highlight w:val="none"/>
        </w:rPr>
        <w:t>2、预测方法及模式</w:t>
      </w:r>
    </w:p>
    <w:p>
      <w:pPr>
        <w:ind w:firstLine="472"/>
        <w:rPr>
          <w:rFonts w:ascii="Times New Roman" w:hAnsi="Times New Roman" w:eastAsia="宋体"/>
          <w:color w:val="auto"/>
          <w:highlight w:val="none"/>
        </w:rPr>
      </w:pPr>
      <w:r>
        <w:rPr>
          <w:rFonts w:ascii="Times New Roman" w:hAnsi="Times New Roman" w:eastAsia="宋体"/>
          <w:color w:val="auto"/>
          <w:spacing w:val="-2"/>
          <w:highlight w:val="none"/>
        </w:rPr>
        <w:t>根据各发声建筑内发声设备噪声源强和分布，采用适当计算模式，并参照有关资料及类比调查数据，确定发声设备1米处的噪声级。最后将每个发声设备作为一个声源（面、点），按噪声传播、衰减、叠加规律，考虑本底值，得出厂界环境噪声分布。</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据《环境影响评价技术导则声环境》（H</w:t>
      </w:r>
      <w:r>
        <w:rPr>
          <w:rFonts w:ascii="Times New Roman" w:hAnsi="Times New Roman" w:eastAsia="宋体"/>
          <w:color w:val="auto"/>
          <w:highlight w:val="none"/>
        </w:rPr>
        <w:t>J2.4-2021</w:t>
      </w:r>
      <w:r>
        <w:rPr>
          <w:rFonts w:hint="eastAsia" w:ascii="Times New Roman" w:hAnsi="Times New Roman" w:eastAsia="宋体"/>
          <w:color w:val="auto"/>
          <w:highlight w:val="none"/>
        </w:rPr>
        <w:t>）附录A，</w:t>
      </w:r>
      <w:r>
        <w:rPr>
          <w:rFonts w:ascii="Times New Roman" w:hAnsi="Times New Roman" w:eastAsia="宋体"/>
          <w:color w:val="auto"/>
          <w:highlight w:val="none"/>
        </w:rPr>
        <w:t>噪声预测模式如下：</w:t>
      </w:r>
    </w:p>
    <w:p>
      <w:pPr>
        <w:ind w:firstLine="480"/>
        <w:rPr>
          <w:rFonts w:ascii="Times New Roman" w:hAnsi="Times New Roman" w:eastAsia="宋体"/>
          <w:color w:val="auto"/>
          <w:highlight w:val="none"/>
        </w:rPr>
      </w:pPr>
      <w:r>
        <w:rPr>
          <w:rFonts w:ascii="Times New Roman" w:hAnsi="Times New Roman" w:eastAsia="宋体"/>
          <w:color w:val="auto"/>
          <w:highlight w:val="none"/>
        </w:rPr>
        <w:t>（1）基本计算公式</w:t>
      </w:r>
    </w:p>
    <w:p>
      <w:pPr>
        <w:ind w:firstLine="480"/>
        <w:rPr>
          <w:rFonts w:ascii="Times New Roman" w:hAnsi="Times New Roman" w:eastAsia="宋体"/>
          <w:color w:val="auto"/>
          <w:highlight w:val="none"/>
        </w:rPr>
      </w:pPr>
      <w:bookmarkStart w:id="189" w:name="_Toc9163"/>
      <w:bookmarkStart w:id="190" w:name="_Toc13360"/>
      <w:r>
        <w:rPr>
          <w:rFonts w:hint="eastAsia" w:ascii="Times New Roman" w:hAnsi="Times New Roman" w:eastAsia="宋体" w:cs="宋体"/>
          <w:color w:val="auto"/>
          <w:highlight w:val="none"/>
        </w:rPr>
        <w:t>①</w:t>
      </w:r>
      <w:r>
        <w:rPr>
          <w:rFonts w:ascii="Times New Roman" w:hAnsi="Times New Roman" w:eastAsia="宋体"/>
          <w:color w:val="auto"/>
          <w:highlight w:val="none"/>
        </w:rPr>
        <w:t>单个室外点声源在预测点产生的声级计算公式</w:t>
      </w:r>
      <w:bookmarkEnd w:id="189"/>
      <w:bookmarkEnd w:id="190"/>
    </w:p>
    <w:p>
      <w:pPr>
        <w:ind w:firstLine="480"/>
        <w:rPr>
          <w:rFonts w:ascii="Times New Roman" w:hAnsi="Times New Roman" w:eastAsia="宋体"/>
          <w:color w:val="auto"/>
          <w:highlight w:val="none"/>
        </w:rPr>
      </w:pPr>
      <w:r>
        <w:rPr>
          <w:rFonts w:ascii="Times New Roman" w:hAnsi="Times New Roman" w:eastAsia="宋体"/>
          <w:color w:val="auto"/>
          <w:highlight w:val="none"/>
        </w:rPr>
        <w:t>在环境影响评价中，应根据声源声功率级或靠近声源某一参考位置处的已知声级（如实测得到的）、户外声传播衰减，计算距离声源较远处的预测点的声级。在已知距离无指向性点声源参考点r</w:t>
      </w:r>
      <w:r>
        <w:rPr>
          <w:rFonts w:ascii="Times New Roman" w:hAnsi="Times New Roman" w:eastAsia="宋体"/>
          <w:color w:val="auto"/>
          <w:highlight w:val="none"/>
          <w:vertAlign w:val="subscript"/>
        </w:rPr>
        <w:t>0</w:t>
      </w:r>
      <w:r>
        <w:rPr>
          <w:rFonts w:ascii="Times New Roman" w:hAnsi="Times New Roman" w:eastAsia="宋体"/>
          <w:color w:val="auto"/>
          <w:highlight w:val="none"/>
        </w:rPr>
        <w:t>处的倍频带（用63Hz到8KHz的8个标称倍频带中心频率）声压级LP</w:t>
      </w:r>
      <w:r>
        <w:rPr>
          <w:rFonts w:hint="eastAsia"/>
          <w:color w:val="auto"/>
          <w:highlight w:val="none"/>
          <w:lang w:eastAsia="zh-CN"/>
        </w:rPr>
        <w:t>（</w:t>
      </w:r>
      <w:r>
        <w:rPr>
          <w:rFonts w:ascii="Times New Roman" w:hAnsi="Times New Roman" w:eastAsia="宋体"/>
          <w:color w:val="auto"/>
          <w:highlight w:val="none"/>
        </w:rPr>
        <w:t>r</w:t>
      </w:r>
      <w:r>
        <w:rPr>
          <w:rFonts w:ascii="Times New Roman" w:hAnsi="Times New Roman" w:eastAsia="宋体"/>
          <w:color w:val="auto"/>
          <w:highlight w:val="none"/>
          <w:vertAlign w:val="subscript"/>
        </w:rPr>
        <w:t>0</w:t>
      </w:r>
      <w:r>
        <w:rPr>
          <w:rFonts w:hint="eastAsia"/>
          <w:color w:val="auto"/>
          <w:highlight w:val="none"/>
          <w:lang w:eastAsia="zh-CN"/>
        </w:rPr>
        <w:t>）</w:t>
      </w:r>
      <w:r>
        <w:rPr>
          <w:rFonts w:ascii="Times New Roman" w:hAnsi="Times New Roman" w:eastAsia="宋体"/>
          <w:color w:val="auto"/>
          <w:highlight w:val="none"/>
        </w:rPr>
        <w:t>和计算出参考点</w:t>
      </w:r>
      <w:r>
        <w:rPr>
          <w:rFonts w:hint="eastAsia"/>
          <w:color w:val="auto"/>
          <w:highlight w:val="none"/>
          <w:lang w:eastAsia="zh-CN"/>
        </w:rPr>
        <w:t>（</w:t>
      </w:r>
      <w:r>
        <w:rPr>
          <w:rFonts w:ascii="Times New Roman" w:hAnsi="Times New Roman" w:eastAsia="宋体"/>
          <w:color w:val="auto"/>
          <w:highlight w:val="none"/>
        </w:rPr>
        <w:t>r</w:t>
      </w:r>
      <w:r>
        <w:rPr>
          <w:rFonts w:ascii="Times New Roman" w:hAnsi="Times New Roman" w:eastAsia="宋体"/>
          <w:color w:val="auto"/>
          <w:highlight w:val="none"/>
          <w:vertAlign w:val="subscript"/>
        </w:rPr>
        <w:t>0</w:t>
      </w:r>
      <w:r>
        <w:rPr>
          <w:rFonts w:hint="eastAsia"/>
          <w:color w:val="auto"/>
          <w:highlight w:val="none"/>
          <w:lang w:eastAsia="zh-CN"/>
        </w:rPr>
        <w:t>）</w:t>
      </w:r>
      <w:r>
        <w:rPr>
          <w:rFonts w:ascii="Times New Roman" w:hAnsi="Times New Roman" w:eastAsia="宋体"/>
          <w:color w:val="auto"/>
          <w:highlight w:val="none"/>
        </w:rPr>
        <w:t>和预测点</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处之间的户外声传播衰减后，预测点8个倍频带声压级可分别用下列公式计算：</w:t>
      </w:r>
    </w:p>
    <w:p>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3111500" cy="24130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111500" cy="2413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公式中：</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Dc--指向性校正，dB；他描述点声源的等效声压级与产生声功率级Lw的全向点声源在规定方向的级的偏差程度。</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div</w:t>
      </w:r>
      <w:r>
        <w:rPr>
          <w:rFonts w:ascii="Times New Roman" w:hAnsi="Times New Roman" w:eastAsia="宋体"/>
          <w:color w:val="auto"/>
          <w:highlight w:val="none"/>
        </w:rPr>
        <w:t>--几何发散引起的倍频带衰减，dB；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atm</w:t>
      </w:r>
      <w:r>
        <w:rPr>
          <w:rFonts w:ascii="Times New Roman" w:hAnsi="Times New Roman" w:eastAsia="宋体"/>
          <w:color w:val="auto"/>
          <w:highlight w:val="none"/>
        </w:rPr>
        <w:t>--大气吸收引起的倍频带衰减，dB；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gr</w:t>
      </w:r>
      <w:r>
        <w:rPr>
          <w:rFonts w:ascii="Times New Roman" w:hAnsi="Times New Roman" w:eastAsia="宋体"/>
          <w:color w:val="auto"/>
          <w:highlight w:val="none"/>
        </w:rPr>
        <w:t>--地面效应引起的倍频带衰减，dB；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--声屏障引起的倍频带衰减，dB；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misc</w:t>
      </w:r>
      <w:r>
        <w:rPr>
          <w:rFonts w:ascii="Times New Roman" w:hAnsi="Times New Roman" w:eastAsia="宋体"/>
          <w:color w:val="auto"/>
          <w:highlight w:val="none"/>
        </w:rPr>
        <w:t>--其他多方面效应引起的倍频带衰减，dB；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B、预测点的A声级LA</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可按下列公式计算，即将8个倍频带声压级合成，计算出预测点的A声级（LA</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w:t>
      </w:r>
    </w:p>
    <w:p>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28"/>
          <w:highlight w:val="none"/>
        </w:rPr>
        <w:object>
          <v:shape id="_x0000_i1033" o:spt="75" type="#_x0000_t75" style="height:34.1pt;width:158.9pt;" o:ole="t" fillcolor="#000005" filled="f" o:preferrelative="t" stroked="f" coordsize="21600,21600">
            <v:path/>
            <v:fill on="f" focussize="0,0"/>
            <v:stroke on="f" joinstyle="miter"/>
            <v:imagedata r:id="rId60" o:title=""/>
            <o:lock v:ext="edit" aspectratio="t"/>
            <w10:wrap type="none"/>
            <w10:anchorlock/>
          </v:shape>
          <o:OLEObject Type="Embed" ProgID="Equation.3" ShapeID="_x0000_i1033" DrawAspect="Content" ObjectID="_1468075733" r:id="rId59">
            <o:LockedField>false</o:LockedField>
          </o:OLEObject>
        </w:obje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Pi</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--预测点（r）处，第i倍频带声压级，dB；</w:t>
      </w:r>
    </w:p>
    <w:p>
      <w:pPr>
        <w:ind w:firstLine="480"/>
        <w:rPr>
          <w:rFonts w:ascii="Times New Roman" w:hAnsi="Times New Roman" w:eastAsia="宋体"/>
          <w:color w:val="auto"/>
          <w:highlight w:val="none"/>
        </w:rPr>
      </w:pPr>
      <w:r>
        <w:rPr>
          <w:rFonts w:ascii="Times New Roman" w:hAnsi="Times New Roman" w:eastAsia="宋体"/>
          <w:color w:val="auto"/>
          <w:highlight w:val="none"/>
        </w:rPr>
        <w:t>Δ</w:t>
      </w:r>
      <w:r>
        <w:rPr>
          <w:rFonts w:ascii="Times New Roman" w:hAnsi="Times New Roman" w:eastAsia="宋体"/>
          <w:color w:val="auto"/>
          <w:highlight w:val="none"/>
          <w:vertAlign w:val="subscript"/>
        </w:rPr>
        <w:t>Li</w:t>
      </w:r>
      <w:r>
        <w:rPr>
          <w:rFonts w:ascii="Times New Roman" w:hAnsi="Times New Roman" w:eastAsia="宋体"/>
          <w:color w:val="auto"/>
          <w:highlight w:val="none"/>
        </w:rPr>
        <w:t>--第i倍频带的A计权网络修正值。</w:t>
      </w:r>
    </w:p>
    <w:p>
      <w:pPr>
        <w:ind w:firstLine="480"/>
        <w:rPr>
          <w:rFonts w:ascii="Times New Roman" w:hAnsi="Times New Roman" w:eastAsia="宋体"/>
          <w:color w:val="auto"/>
          <w:highlight w:val="none"/>
        </w:rPr>
      </w:pPr>
      <w:bookmarkStart w:id="191" w:name="_Toc1166"/>
      <w:bookmarkStart w:id="192" w:name="_Toc1797"/>
      <w:r>
        <w:rPr>
          <w:rFonts w:hint="eastAsia" w:ascii="Times New Roman" w:hAnsi="Times New Roman" w:eastAsia="宋体" w:cs="宋体"/>
          <w:color w:val="auto"/>
          <w:highlight w:val="none"/>
        </w:rPr>
        <w:t>②</w:t>
      </w:r>
      <w:r>
        <w:rPr>
          <w:rFonts w:ascii="Times New Roman" w:hAnsi="Times New Roman" w:eastAsia="宋体"/>
          <w:color w:val="auto"/>
          <w:highlight w:val="none"/>
        </w:rPr>
        <w:t>室内声源等效室外声源声功率计算公式</w:t>
      </w:r>
      <w:bookmarkEnd w:id="191"/>
      <w:bookmarkEnd w:id="192"/>
    </w:p>
    <w:p>
      <w:pPr>
        <w:ind w:firstLine="480"/>
        <w:rPr>
          <w:rFonts w:ascii="Times New Roman" w:hAnsi="Times New Roman" w:eastAsia="宋体"/>
          <w:color w:val="auto"/>
          <w:highlight w:val="none"/>
        </w:rPr>
      </w:pPr>
      <w:r>
        <w:rPr>
          <w:rFonts w:ascii="Times New Roman" w:hAnsi="Times New Roman" w:eastAsia="宋体"/>
          <w:color w:val="auto"/>
          <w:highlight w:val="none"/>
        </w:rPr>
        <w:t>声源位于室内，室内声源可采用等效室外声源声功率级法进行计算。设靠近开口处（或窗户）室内、室外某倍频带的声压级分别为L</w:t>
      </w:r>
      <w:r>
        <w:rPr>
          <w:rFonts w:ascii="Times New Roman" w:hAnsi="Times New Roman" w:eastAsia="宋体"/>
          <w:color w:val="auto"/>
          <w:highlight w:val="none"/>
          <w:vertAlign w:val="subscript"/>
        </w:rPr>
        <w:t>p1</w:t>
      </w:r>
      <w:r>
        <w:rPr>
          <w:rFonts w:ascii="Times New Roman" w:hAnsi="Times New Roman" w:eastAsia="宋体"/>
          <w:color w:val="auto"/>
          <w:highlight w:val="none"/>
        </w:rPr>
        <w:t>和L</w:t>
      </w:r>
      <w:r>
        <w:rPr>
          <w:rFonts w:ascii="Times New Roman" w:hAnsi="Times New Roman" w:eastAsia="宋体"/>
          <w:color w:val="auto"/>
          <w:highlight w:val="none"/>
          <w:vertAlign w:val="subscript"/>
        </w:rPr>
        <w:t>p2</w:t>
      </w:r>
      <w:r>
        <w:rPr>
          <w:rFonts w:ascii="Times New Roman" w:hAnsi="Times New Roman" w:eastAsia="宋体"/>
          <w:color w:val="auto"/>
          <w:highlight w:val="none"/>
        </w:rPr>
        <w:t>。若声源所在室内声场为近似扩散声场。则室外得倍频带的声压级公式为：</w:t>
      </w:r>
    </w:p>
    <w:p>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12"/>
          <w:highlight w:val="none"/>
        </w:rPr>
        <w:object>
          <v:shape id="_x0000_i1034" o:spt="75" type="#_x0000_t75" style="height:18.25pt;width:109.9pt;" o:ole="t" fillcolor="#000005" filled="f" o:preferrelative="t" stroked="f" coordsize="21600,21600">
            <v:path/>
            <v:fill on="f" focussize="0,0"/>
            <v:stroke on="f" joinstyle="miter"/>
            <v:imagedata r:id="rId62" o:title=""/>
            <o:lock v:ext="edit" aspectratio="t"/>
            <w10:wrap type="none"/>
            <w10:anchorlock/>
          </v:shape>
          <o:OLEObject Type="Embed" ProgID="Equation.3" ShapeID="_x0000_i1034" DrawAspect="Content" ObjectID="_1468075734" r:id="rId61">
            <o:LockedField>false</o:LockedField>
          </o:OLEObject>
        </w:obje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.3）</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ind w:firstLine="480"/>
        <w:rPr>
          <w:rFonts w:ascii="Times New Roman" w:hAnsi="Times New Roman" w:eastAsia="宋体"/>
          <w:color w:val="auto"/>
          <w:highlight w:val="none"/>
        </w:rPr>
      </w:pPr>
      <w:r>
        <w:rPr>
          <w:rFonts w:ascii="Times New Roman" w:hAnsi="Times New Roman" w:eastAsia="宋体"/>
          <w:color w:val="auto"/>
          <w:highlight w:val="none"/>
        </w:rPr>
        <w:t>TL--隔墙（或窗户）倍频带的隔声量，dB；</w:t>
      </w:r>
    </w:p>
    <w:p>
      <w:pPr>
        <w:ind w:firstLine="480"/>
        <w:rPr>
          <w:rFonts w:ascii="Times New Roman" w:hAnsi="Times New Roman" w:eastAsia="宋体"/>
          <w:color w:val="auto"/>
          <w:highlight w:val="none"/>
        </w:rPr>
      </w:pPr>
      <w:r>
        <w:rPr>
          <w:rFonts w:ascii="Times New Roman" w:hAnsi="Times New Roman" w:eastAsia="宋体"/>
          <w:color w:val="auto"/>
          <w:highlight w:val="none"/>
        </w:rPr>
        <w:pict>
          <v:shape id="Picture 4369" o:spid="_x0000_s2079" o:spt="75" type="#_x0000_t75" style="position:absolute;left:0pt;margin-left:68.15pt;margin-top:20.75pt;height:30.75pt;width:140.6pt;z-index:251728896;mso-width-relative:page;mso-height-relative:page;" o:ole="t" fillcolor="#000005" filled="f" o:preferrelative="t" stroked="f" coordsize="21600,21600">
            <v:path/>
            <v:fill on="f" focussize="0,0"/>
            <v:stroke on="f" joinstyle="miter"/>
            <v:imagedata r:id="rId64" o:title=""/>
            <o:lock v:ext="edit" aspectratio="t"/>
          </v:shape>
          <o:OLEObject Type="Embed" ProgID="Equation.3" ShapeID="Picture 4369" DrawAspect="Content" ObjectID="_1468075735" r:id="rId63">
            <o:LockedField>false</o:LockedField>
          </o:OLEObject>
        </w:pict>
      </w:r>
      <w:r>
        <w:rPr>
          <w:rFonts w:ascii="Times New Roman" w:hAnsi="Times New Roman" w:eastAsia="宋体"/>
          <w:color w:val="auto"/>
          <w:highlight w:val="none"/>
        </w:rPr>
        <w:t>计算某一室内声源靠近围护结构处产生的倍频带声压级公式：</w:t>
      </w:r>
    </w:p>
    <w:p>
      <w:pPr>
        <w:wordWrap w:val="0"/>
        <w:spacing w:line="500" w:lineRule="exact"/>
        <w:ind w:firstLine="480"/>
        <w:jc w:val="right"/>
        <w:rPr>
          <w:rFonts w:hint="eastAsia" w:ascii="Times New Roman" w:hAnsi="Times New Roman" w:eastAsia="宋体"/>
          <w:color w:val="auto"/>
          <w:highlight w:val="none"/>
          <w:lang w:eastAsia="zh-CN"/>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.4）</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ind w:firstLine="480"/>
        <w:rPr>
          <w:rFonts w:ascii="Times New Roman" w:hAnsi="Times New Roman" w:eastAsia="宋体"/>
          <w:color w:val="auto"/>
          <w:highlight w:val="none"/>
        </w:rPr>
      </w:pPr>
      <w:r>
        <w:rPr>
          <w:rFonts w:ascii="Times New Roman" w:hAnsi="Times New Roman" w:eastAsia="宋体"/>
          <w:color w:val="auto"/>
          <w:highlight w:val="none"/>
        </w:rPr>
        <w:t>Q--指向性因子；</w:t>
      </w:r>
    </w:p>
    <w:p>
      <w:pPr>
        <w:ind w:firstLine="480"/>
        <w:rPr>
          <w:rFonts w:ascii="Times New Roman" w:hAnsi="Times New Roman" w:eastAsia="宋体"/>
          <w:color w:val="auto"/>
          <w:highlight w:val="none"/>
        </w:rPr>
      </w:pPr>
      <w:r>
        <w:rPr>
          <w:rFonts w:ascii="Times New Roman" w:hAnsi="Times New Roman" w:eastAsia="宋体"/>
          <w:color w:val="auto"/>
          <w:highlight w:val="none"/>
        </w:rPr>
        <w:t>R--房间常数；</w:t>
      </w:r>
    </w:p>
    <w:p>
      <w:pPr>
        <w:ind w:firstLine="480"/>
        <w:rPr>
          <w:rFonts w:ascii="Times New Roman" w:hAnsi="Times New Roman" w:eastAsia="宋体"/>
          <w:color w:val="auto"/>
          <w:highlight w:val="none"/>
        </w:rPr>
      </w:pPr>
      <w:r>
        <w:rPr>
          <w:rFonts w:ascii="Times New Roman" w:hAnsi="Times New Roman" w:eastAsia="宋体"/>
          <w:color w:val="auto"/>
          <w:highlight w:val="none"/>
        </w:rPr>
        <w:t>r--声源到靠近围护结构某点处的距离，m。</w:t>
      </w:r>
    </w:p>
    <w:p>
      <w:pPr>
        <w:ind w:firstLine="480"/>
        <w:rPr>
          <w:rFonts w:ascii="Times New Roman" w:hAnsi="Times New Roman" w:eastAsia="宋体"/>
          <w:color w:val="auto"/>
          <w:highlight w:val="none"/>
        </w:rPr>
      </w:pPr>
      <w:r>
        <w:rPr>
          <w:rFonts w:ascii="Times New Roman" w:hAnsi="Times New Roman" w:eastAsia="宋体"/>
          <w:color w:val="auto"/>
          <w:highlight w:val="none"/>
        </w:rPr>
        <w:pict>
          <v:shape id="Picture 4370" o:spid="_x0000_s2081" o:spt="75" type="#_x0000_t75" style="position:absolute;left:0pt;margin-left:131.35pt;margin-top:18.4pt;height:36pt;width:138.65pt;z-index:251730944;mso-width-relative:page;mso-height-relative:page;" o:ole="t" fillcolor="#000005" filled="f" o:preferrelative="t" stroked="f" coordsize="21600,21600">
            <v:path/>
            <v:fill on="f" focussize="0,0"/>
            <v:stroke on="f" joinstyle="miter"/>
            <v:imagedata r:id="rId66" o:title=""/>
            <o:lock v:ext="edit" aspectratio="t"/>
          </v:shape>
          <o:OLEObject Type="Embed" ProgID="Equation.3" ShapeID="Picture 4370" DrawAspect="Content" ObjectID="_1468075736" r:id="rId65">
            <o:LockedField>false</o:LockedField>
          </o:OLEObject>
        </w:pict>
      </w:r>
      <w:r>
        <w:rPr>
          <w:rFonts w:ascii="Times New Roman" w:hAnsi="Times New Roman" w:eastAsia="宋体"/>
          <w:color w:val="auto"/>
          <w:highlight w:val="none"/>
        </w:rPr>
        <w:t>由上式可知，所有室内声源在围护结构处产生的i倍频带叠加声压级公式：</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.5）</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p1i</w:t>
      </w:r>
      <w:r>
        <w:rPr>
          <w:rFonts w:ascii="Times New Roman" w:hAnsi="Times New Roman" w:eastAsia="宋体"/>
          <w:color w:val="auto"/>
          <w:highlight w:val="none"/>
        </w:rPr>
        <w:t>（T）--靠近维护结构室内N个声源i倍频带的叠加声压级，dB；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p1ij</w:t>
      </w:r>
      <w:r>
        <w:rPr>
          <w:rFonts w:ascii="Times New Roman" w:hAnsi="Times New Roman" w:eastAsia="宋体"/>
          <w:color w:val="auto"/>
          <w:highlight w:val="none"/>
        </w:rPr>
        <w:t>--室内j声源i倍频带的声压级，dB；</w:t>
      </w:r>
    </w:p>
    <w:p>
      <w:pPr>
        <w:ind w:firstLine="480"/>
        <w:rPr>
          <w:rFonts w:ascii="Times New Roman" w:hAnsi="Times New Roman" w:eastAsia="宋体"/>
          <w:color w:val="auto"/>
          <w:highlight w:val="none"/>
        </w:rPr>
      </w:pPr>
      <w:r>
        <w:rPr>
          <w:rFonts w:ascii="Times New Roman" w:hAnsi="Times New Roman" w:eastAsia="宋体"/>
          <w:color w:val="auto"/>
          <w:highlight w:val="none"/>
        </w:rPr>
        <w:t>N--室内声源总数。</w:t>
      </w:r>
    </w:p>
    <w:p>
      <w:pPr>
        <w:spacing w:line="500" w:lineRule="exact"/>
        <w:ind w:firstLine="480"/>
        <w:rPr>
          <w:rFonts w:ascii="Times New Roman" w:hAnsi="Times New Roman" w:eastAsia="宋体"/>
          <w:color w:val="auto"/>
          <w:highlight w:val="none"/>
        </w:rPr>
      </w:pPr>
      <w:bookmarkStart w:id="193" w:name="_Toc13636"/>
      <w:bookmarkStart w:id="194" w:name="_Toc984"/>
      <w:r>
        <w:rPr>
          <w:rFonts w:hint="eastAsia" w:ascii="Times New Roman" w:hAnsi="Times New Roman" w:eastAsia="宋体" w:cs="宋体"/>
          <w:color w:val="auto"/>
          <w:highlight w:val="none"/>
        </w:rPr>
        <w:t>③</w:t>
      </w:r>
      <w:r>
        <w:rPr>
          <w:rFonts w:ascii="Times New Roman" w:hAnsi="Times New Roman" w:eastAsia="宋体"/>
          <w:color w:val="auto"/>
          <w:highlight w:val="none"/>
        </w:rPr>
        <w:t>靠近声源处的预测点预测模式</w:t>
      </w:r>
      <w:bookmarkEnd w:id="193"/>
      <w:bookmarkEnd w:id="194"/>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如预测点在靠近声源处，但不能满足声源条件时，需按线声源或面生源模式计算。</w:t>
      </w:r>
    </w:p>
    <w:p>
      <w:pPr>
        <w:spacing w:line="500" w:lineRule="exact"/>
        <w:ind w:firstLine="480"/>
        <w:rPr>
          <w:rFonts w:ascii="Times New Roman" w:hAnsi="Times New Roman" w:eastAsia="宋体"/>
          <w:color w:val="auto"/>
          <w:highlight w:val="none"/>
        </w:rPr>
      </w:pPr>
      <w:bookmarkStart w:id="195" w:name="_Toc1304"/>
      <w:bookmarkStart w:id="196" w:name="_Toc1424"/>
      <w:r>
        <w:rPr>
          <w:rFonts w:hint="eastAsia" w:ascii="Times New Roman" w:hAnsi="Times New Roman" w:eastAsia="宋体" w:cs="宋体"/>
          <w:color w:val="auto"/>
          <w:highlight w:val="none"/>
        </w:rPr>
        <w:t>④</w:t>
      </w:r>
      <w:r>
        <w:rPr>
          <w:rFonts w:ascii="Times New Roman" w:hAnsi="Times New Roman" w:eastAsia="宋体"/>
          <w:color w:val="auto"/>
          <w:highlight w:val="none"/>
        </w:rPr>
        <w:t>噪声贡献值计算</w:t>
      </w:r>
      <w:bookmarkEnd w:id="195"/>
      <w:bookmarkEnd w:id="196"/>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声源对预测点产生的贡献值（Leqg）公式为</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pict>
          <v:shape id="Picture 4371" o:spid="_x0000_s2080" o:spt="75" type="#_x0000_t75" style="position:absolute;left:0pt;margin-left:99pt;margin-top:-3.6pt;height:36pt;width:230.95pt;z-index:251729920;mso-width-relative:page;mso-height-relative:page;" o:ole="t" fillcolor="#000005" filled="f" o:preferrelative="t" stroked="f" coordsize="21600,21600">
            <v:path/>
            <v:fill on="f" focussize="0,0"/>
            <v:stroke on="f" joinstyle="miter"/>
            <v:imagedata r:id="rId68" o:title=""/>
            <o:lock v:ext="edit" aspectratio="t"/>
          </v:shape>
          <o:OLEObject Type="Embed" ProgID="Equation.3" ShapeID="Picture 4371" DrawAspect="Content" ObjectID="_1468075737" r:id="rId67">
            <o:LockedField>false</o:LockedField>
          </o:OLEObject>
        </w:pi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.6）</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（2）传播衰减公式</w:t>
      </w:r>
    </w:p>
    <w:p>
      <w:pPr>
        <w:spacing w:line="500" w:lineRule="exact"/>
        <w:ind w:firstLine="480"/>
        <w:rPr>
          <w:rFonts w:hint="eastAsia" w:ascii="Times New Roman" w:hAnsi="Times New Roman" w:eastAsia="宋体"/>
          <w:color w:val="auto"/>
          <w:highlight w:val="none"/>
          <w:lang w:eastAsia="zh-CN"/>
        </w:rPr>
      </w:pPr>
      <w:bookmarkStart w:id="197" w:name="_Toc21277"/>
      <w:bookmarkStart w:id="198" w:name="_Toc6926"/>
      <w:r>
        <w:rPr>
          <w:rFonts w:hint="eastAsia" w:ascii="Times New Roman" w:hAnsi="Times New Roman" w:eastAsia="宋体" w:cs="宋体"/>
          <w:color w:val="auto"/>
          <w:highlight w:val="none"/>
        </w:rPr>
        <w:t>①</w:t>
      </w:r>
      <w:r>
        <w:rPr>
          <w:rFonts w:ascii="Times New Roman" w:hAnsi="Times New Roman" w:eastAsia="宋体"/>
          <w:color w:val="auto"/>
          <w:highlight w:val="none"/>
        </w:rPr>
        <w:t>几何发散衰减</w:t>
      </w:r>
      <w:r>
        <w:rPr>
          <w:rFonts w:hint="eastAsia"/>
          <w:color w:val="auto"/>
          <w:highlight w:val="none"/>
          <w:lang w:eastAsia="zh-CN"/>
        </w:rPr>
        <w:t>（</w:t>
      </w:r>
      <w:r>
        <w:rPr>
          <w:rFonts w:ascii="Times New Roman" w:hAnsi="Times New Roman" w:eastAsia="宋体"/>
          <w:color w:val="auto"/>
          <w:highlight w:val="none"/>
        </w:rPr>
        <w:t>Adiv</w:t>
      </w:r>
      <w:bookmarkEnd w:id="197"/>
      <w:bookmarkEnd w:id="198"/>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A、点声源的几何发散衰减</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无指向性点声源几何发散衰减的基本公式是</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727200" cy="203200"/>
            <wp:effectExtent l="0" t="0" r="635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272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.7）</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公示（4）中第二项表示了点声源的几何发散衰减：</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028700" cy="228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.8）</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如果已知点声源的倍频带声功率级Lw或A声功率级（L</w:t>
      </w:r>
      <w:r>
        <w:rPr>
          <w:rFonts w:ascii="Times New Roman" w:hAnsi="Times New Roman" w:eastAsia="宋体"/>
          <w:color w:val="auto"/>
          <w:highlight w:val="none"/>
          <w:vertAlign w:val="subscript"/>
        </w:rPr>
        <w:t>AW</w:t>
      </w:r>
      <w:r>
        <w:rPr>
          <w:rFonts w:ascii="Times New Roman" w:hAnsi="Times New Roman" w:eastAsia="宋体"/>
          <w:color w:val="auto"/>
          <w:highlight w:val="none"/>
        </w:rPr>
        <w:t>），且声源处于自由声场，则公式（4）等效为下列公式：</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562100" cy="2032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621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.9）</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612900" cy="203200"/>
            <wp:effectExtent l="0" t="0" r="635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6129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.10）</w:t>
      </w:r>
    </w:p>
    <w:p>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反射体引起的修正</w:t>
      </w:r>
      <w:r>
        <w:rPr>
          <w:rFonts w:hint="eastAsia"/>
          <w:color w:val="auto"/>
          <w:highlight w:val="none"/>
          <w:lang w:eastAsia="zh-CN"/>
        </w:rPr>
        <w:t>（</w:t>
      </w:r>
      <w:r>
        <w:rPr>
          <w:rFonts w:ascii="Times New Roman" w:hAnsi="Times New Roman" w:eastAsia="宋体"/>
          <w:color w:val="auto"/>
          <w:highlight w:val="none"/>
        </w:rPr>
        <w:t>ΔLr</w:t>
      </w:r>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当点声源与预测点处在反射体同侧附近时，到达预测点的声级是直达声与反射声叠加的结果，从而使预测点声级增高。</w:t>
      </w:r>
    </w:p>
    <w:p>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B、线声源的几何发散衰减</w:t>
      </w:r>
      <w:r>
        <w:rPr>
          <w:rFonts w:hint="eastAsia"/>
          <w:color w:val="auto"/>
          <w:highlight w:val="none"/>
          <w:lang w:eastAsia="zh-CN"/>
        </w:rPr>
        <w:t>（</w:t>
      </w:r>
      <w:r>
        <w:rPr>
          <w:rFonts w:ascii="Times New Roman" w:hAnsi="Times New Roman" w:eastAsia="宋体"/>
          <w:color w:val="auto"/>
          <w:highlight w:val="none"/>
        </w:rPr>
        <w:t>Adiv</w:t>
      </w:r>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a.无限长线声源</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无限长线声源几何发散衰减的基本公式是：</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574800" cy="381000"/>
            <wp:effectExtent l="0" t="0" r="635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4800" cy="3810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.11）</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上式中的第二项表示了无限长线声源的几何发散衰减：</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028700" cy="2286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.12）</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b.有限长线声源</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38112" behindDoc="0" locked="0" layoutInCell="1" allowOverlap="1">
            <wp:simplePos x="0" y="0"/>
            <wp:positionH relativeFrom="column">
              <wp:posOffset>1257300</wp:posOffset>
            </wp:positionH>
            <wp:positionV relativeFrom="paragraph">
              <wp:posOffset>572770</wp:posOffset>
            </wp:positionV>
            <wp:extent cx="2152650" cy="428625"/>
            <wp:effectExtent l="0" t="0" r="0" b="95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52650" cy="428625"/>
                    </a:xfrm>
                    <a:prstGeom prst="rect">
                      <a:avLst/>
                    </a:prstGeom>
                    <a:noFill/>
                    <a:ln>
                      <a:noFill/>
                    </a:ln>
                  </pic:spPr>
                </pic:pic>
              </a:graphicData>
            </a:graphic>
          </wp:anchor>
        </w:drawing>
      </w:r>
      <w:r>
        <w:rPr>
          <w:rFonts w:ascii="Times New Roman" w:hAnsi="Times New Roman" w:eastAsia="宋体"/>
          <w:color w:val="auto"/>
          <w:highlight w:val="none"/>
        </w:rPr>
        <w:t>设线声源长度为l0，单位长度线声源辐射的倍频带声功率级为Lw。在线声源垂直平分线上距声源r处的声压级为：</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.13）</w:t>
      </w:r>
    </w:p>
    <w:p>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drawing>
          <wp:anchor distT="0" distB="0" distL="114300" distR="114300" simplePos="0" relativeHeight="251737088" behindDoc="0" locked="0" layoutInCell="1" allowOverlap="1">
            <wp:simplePos x="0" y="0"/>
            <wp:positionH relativeFrom="column">
              <wp:posOffset>1028700</wp:posOffset>
            </wp:positionH>
            <wp:positionV relativeFrom="paragraph">
              <wp:posOffset>153670</wp:posOffset>
            </wp:positionV>
            <wp:extent cx="2305050" cy="80010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05050" cy="800100"/>
                    </a:xfrm>
                    <a:prstGeom prst="rect">
                      <a:avLst/>
                    </a:prstGeom>
                    <a:noFill/>
                    <a:ln>
                      <a:noFill/>
                    </a:ln>
                  </pic:spPr>
                </pic:pic>
              </a:graphicData>
            </a:graphic>
          </wp:anchor>
        </w:drawing>
      </w:r>
      <w:r>
        <w:rPr>
          <w:rFonts w:ascii="Times New Roman" w:hAnsi="Times New Roman" w:eastAsia="宋体"/>
          <w:color w:val="auto"/>
          <w:highlight w:val="none"/>
        </w:rPr>
        <w:t>或</w:t>
      </w:r>
    </w:p>
    <w:p>
      <w:pPr>
        <w:spacing w:line="500" w:lineRule="exact"/>
        <w:ind w:firstLine="480"/>
        <w:rPr>
          <w:rFonts w:hint="eastAsia" w:ascii="Times New Roman" w:hAnsi="Times New Roman" w:eastAsia="宋体"/>
          <w:color w:val="auto"/>
          <w:highlight w:val="none"/>
          <w:lang w:eastAsia="zh-CN"/>
        </w:rPr>
      </w:pP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.14）</w:t>
      </w:r>
    </w:p>
    <w:p>
      <w:pPr>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4256" behindDoc="0" locked="0" layoutInCell="1" allowOverlap="1">
            <wp:simplePos x="0" y="0"/>
            <wp:positionH relativeFrom="column">
              <wp:posOffset>1183640</wp:posOffset>
            </wp:positionH>
            <wp:positionV relativeFrom="paragraph">
              <wp:posOffset>208915</wp:posOffset>
            </wp:positionV>
            <wp:extent cx="1571625" cy="390525"/>
            <wp:effectExtent l="0" t="0" r="9525"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当r＞l0且r0＞l0时，上式可近似简化为：</w:t>
      </w:r>
    </w:p>
    <w:p>
      <w:pPr>
        <w:ind w:firstLine="5016" w:firstLineChars="2200"/>
        <w:rPr>
          <w:rFonts w:ascii="Times New Roman" w:hAnsi="Times New Roman" w:eastAsia="宋体"/>
          <w:color w:val="auto"/>
          <w:highlight w:val="none"/>
        </w:rPr>
      </w:pPr>
      <w:r>
        <w:rPr>
          <w:rFonts w:ascii="Times New Roman" w:hAnsi="Times New Roman" w:eastAsia="宋体"/>
          <w:color w:val="auto"/>
          <w:spacing w:val="-6"/>
          <w:highlight w:val="none"/>
        </w:rPr>
        <w:t>………………………（</w:t>
      </w:r>
      <w:r>
        <w:rPr>
          <w:rFonts w:hint="eastAsia" w:ascii="Times New Roman" w:hAnsi="Times New Roman" w:eastAsia="宋体"/>
          <w:color w:val="auto"/>
          <w:spacing w:val="-6"/>
          <w:highlight w:val="none"/>
        </w:rPr>
        <w:t>A</w:t>
      </w:r>
      <w:r>
        <w:rPr>
          <w:rFonts w:ascii="Times New Roman" w:hAnsi="Times New Roman" w:eastAsia="宋体"/>
          <w:color w:val="auto"/>
          <w:spacing w:val="-6"/>
          <w:highlight w:val="none"/>
        </w:rPr>
        <w:t>.</w:t>
      </w:r>
      <w:r>
        <w:rPr>
          <w:rFonts w:ascii="Times New Roman" w:hAnsi="Times New Roman" w:eastAsia="宋体"/>
          <w:color w:val="auto"/>
          <w:highlight w:val="none"/>
        </w:rPr>
        <w:t>15）</w:t>
      </w:r>
    </w:p>
    <w:p>
      <w:pPr>
        <w:ind w:firstLine="480"/>
        <w:rPr>
          <w:rFonts w:ascii="Times New Roman" w:hAnsi="Times New Roman" w:eastAsia="宋体"/>
          <w:color w:val="auto"/>
          <w:highlight w:val="none"/>
        </w:rPr>
      </w:pPr>
      <w:r>
        <w:rPr>
          <w:rFonts w:ascii="Times New Roman" w:hAnsi="Times New Roman" w:eastAsia="宋体"/>
          <w:color w:val="auto"/>
          <w:highlight w:val="none"/>
        </w:rPr>
        <w:t>即在近场区，有限长线声源可当作点声源处理。</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39136" behindDoc="0" locked="0" layoutInCell="1" allowOverlap="1">
            <wp:simplePos x="0" y="0"/>
            <wp:positionH relativeFrom="column">
              <wp:posOffset>1371600</wp:posOffset>
            </wp:positionH>
            <wp:positionV relativeFrom="paragraph">
              <wp:posOffset>271780</wp:posOffset>
            </wp:positionV>
            <wp:extent cx="1571625" cy="390525"/>
            <wp:effectExtent l="0" t="0" r="9525" b="952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当r＜l0/3且r0＜l0/3时，该式可近似简化为：</w:t>
      </w:r>
    </w:p>
    <w:p>
      <w:pPr>
        <w:ind w:firstLine="5472" w:firstLineChars="2400"/>
        <w:rPr>
          <w:rFonts w:ascii="Times New Roman" w:hAnsi="Times New Roman" w:eastAsia="宋体"/>
          <w:color w:val="auto"/>
          <w:highlight w:val="none"/>
        </w:rPr>
      </w:pPr>
      <w:r>
        <w:rPr>
          <w:rFonts w:ascii="Times New Roman" w:hAnsi="Times New Roman" w:eastAsia="宋体"/>
          <w:color w:val="auto"/>
          <w:spacing w:val="-6"/>
          <w:highlight w:val="none"/>
        </w:rPr>
        <w:t>……………………（</w:t>
      </w:r>
      <w:r>
        <w:rPr>
          <w:rFonts w:hint="eastAsia" w:ascii="Times New Roman" w:hAnsi="Times New Roman" w:eastAsia="宋体"/>
          <w:color w:val="auto"/>
          <w:spacing w:val="-6"/>
          <w:highlight w:val="none"/>
        </w:rPr>
        <w:t>A</w:t>
      </w:r>
      <w:r>
        <w:rPr>
          <w:rFonts w:ascii="Times New Roman" w:hAnsi="Times New Roman" w:eastAsia="宋体"/>
          <w:color w:val="auto"/>
          <w:spacing w:val="-6"/>
          <w:highlight w:val="none"/>
        </w:rPr>
        <w:t>.</w:t>
      </w:r>
      <w:r>
        <w:rPr>
          <w:rFonts w:ascii="Times New Roman" w:hAnsi="Times New Roman" w:eastAsia="宋体"/>
          <w:color w:val="auto"/>
          <w:highlight w:val="none"/>
        </w:rPr>
        <w:t>16）</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即在近场区，有限长线声源可当作无限长线声源处理。</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当l0/3＜r＜l0且l0/3＜r</w:t>
      </w:r>
      <w:r>
        <w:rPr>
          <w:rFonts w:ascii="Times New Roman" w:hAnsi="Times New Roman" w:eastAsia="宋体"/>
          <w:color w:val="auto"/>
          <w:highlight w:val="none"/>
          <w:vertAlign w:val="subscript"/>
        </w:rPr>
        <w:t>0</w:t>
      </w:r>
      <w:r>
        <w:rPr>
          <w:rFonts w:ascii="Times New Roman" w:hAnsi="Times New Roman" w:eastAsia="宋体"/>
          <w:color w:val="auto"/>
          <w:highlight w:val="none"/>
        </w:rPr>
        <w:t>＜l0时，该式可近似简化为：</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0160" behindDoc="0" locked="0" layoutInCell="1" allowOverlap="1">
            <wp:simplePos x="0" y="0"/>
            <wp:positionH relativeFrom="column">
              <wp:posOffset>1485900</wp:posOffset>
            </wp:positionH>
            <wp:positionV relativeFrom="paragraph">
              <wp:posOffset>0</wp:posOffset>
            </wp:positionV>
            <wp:extent cx="1571625" cy="390525"/>
            <wp:effectExtent l="0" t="0" r="9525"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.17）</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C、面声源的几何发散衰减</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pPr>
        <w:spacing w:line="500" w:lineRule="exact"/>
        <w:ind w:firstLine="480"/>
        <w:rPr>
          <w:rFonts w:hint="eastAsia" w:ascii="Times New Roman" w:hAnsi="Times New Roman" w:eastAsia="宋体"/>
          <w:color w:val="auto"/>
          <w:highlight w:val="none"/>
          <w:lang w:eastAsia="zh-CN"/>
        </w:rPr>
      </w:pPr>
      <w:bookmarkStart w:id="199" w:name="_Toc2292"/>
      <w:bookmarkStart w:id="200" w:name="_Toc32354"/>
      <w:r>
        <w:rPr>
          <w:rFonts w:hint="eastAsia" w:ascii="Times New Roman" w:hAnsi="Times New Roman" w:eastAsia="宋体" w:cs="宋体"/>
          <w:color w:val="auto"/>
          <w:highlight w:val="none"/>
        </w:rPr>
        <w:t>②</w:t>
      </w:r>
      <w:r>
        <w:rPr>
          <w:rFonts w:ascii="Times New Roman" w:hAnsi="Times New Roman" w:eastAsia="宋体"/>
          <w:color w:val="auto"/>
          <w:highlight w:val="none"/>
        </w:rPr>
        <w:t>空气吸收引起的衰减</w:t>
      </w:r>
      <w:r>
        <w:rPr>
          <w:rFonts w:hint="eastAsia"/>
          <w:color w:val="auto"/>
          <w:highlight w:val="none"/>
          <w:lang w:eastAsia="zh-CN"/>
        </w:rPr>
        <w:t>（</w:t>
      </w:r>
      <w:r>
        <w:rPr>
          <w:rFonts w:ascii="Times New Roman" w:hAnsi="Times New Roman" w:eastAsia="宋体"/>
          <w:color w:val="auto"/>
          <w:highlight w:val="none"/>
        </w:rPr>
        <w:t>Aatm</w:t>
      </w:r>
      <w:bookmarkEnd w:id="199"/>
      <w:bookmarkEnd w:id="200"/>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空气吸收引起的衰减按下列公式计算：</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1184" behindDoc="0" locked="0" layoutInCell="1" allowOverlap="1">
            <wp:simplePos x="0" y="0"/>
            <wp:positionH relativeFrom="column">
              <wp:posOffset>2133600</wp:posOffset>
            </wp:positionH>
            <wp:positionV relativeFrom="paragraph">
              <wp:posOffset>40640</wp:posOffset>
            </wp:positionV>
            <wp:extent cx="1019175" cy="390525"/>
            <wp:effectExtent l="0" t="0" r="9525"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019175" cy="3905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.18）</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α为温度、湿度和声波频率的函数，预测计算中一般根据建设项目所处区域常年平均气温和湿度选择相应的空气吸收系数（见表5.2-</w:t>
      </w:r>
      <w:r>
        <w:rPr>
          <w:rFonts w:hint="eastAsia" w:ascii="Times New Roman" w:hAnsi="Times New Roman" w:eastAsia="宋体"/>
          <w:color w:val="auto"/>
          <w:highlight w:val="none"/>
          <w:lang w:val="en-US" w:eastAsia="zh-CN"/>
        </w:rPr>
        <w:t>16</w:t>
      </w:r>
      <w:r>
        <w:rPr>
          <w:rFonts w:ascii="Times New Roman" w:hAnsi="Times New Roman" w:eastAsia="宋体"/>
          <w:color w:val="auto"/>
          <w:highlight w:val="none"/>
        </w:rPr>
        <w:t>）。</w:t>
      </w:r>
    </w:p>
    <w:p>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16</w:t>
      </w:r>
      <w:r>
        <w:rPr>
          <w:rFonts w:ascii="Times New Roman" w:hAnsi="Times New Roman" w:eastAsia="宋体"/>
          <w:b/>
          <w:bCs/>
          <w:color w:val="auto"/>
          <w:highlight w:val="none"/>
        </w:rPr>
        <w:t>倍频带噪声的大气吸收衰减系数α</w:t>
      </w:r>
    </w:p>
    <w:tbl>
      <w:tblPr>
        <w:tblStyle w:val="34"/>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52"/>
        <w:gridCol w:w="1127"/>
        <w:gridCol w:w="764"/>
        <w:gridCol w:w="803"/>
        <w:gridCol w:w="803"/>
        <w:gridCol w:w="803"/>
        <w:gridCol w:w="854"/>
        <w:gridCol w:w="854"/>
        <w:gridCol w:w="854"/>
        <w:gridCol w:w="8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温度</w:t>
            </w:r>
            <w:r>
              <w:rPr>
                <w:rFonts w:hint="eastAsia" w:ascii="Times New Roman" w:hAnsi="Times New Roman" w:eastAsia="宋体"/>
                <w:b w:val="0"/>
                <w:bCs w:val="0"/>
                <w:color w:val="auto"/>
                <w:szCs w:val="21"/>
                <w:highlight w:val="none"/>
              </w:rPr>
              <w:t>℃</w:t>
            </w:r>
          </w:p>
        </w:tc>
        <w:tc>
          <w:tcPr>
            <w:tcW w:w="661" w:type="pct"/>
            <w:vMerge w:val="restar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相对湿度%</w:t>
            </w:r>
          </w:p>
        </w:tc>
        <w:tc>
          <w:tcPr>
            <w:tcW w:w="3837" w:type="pct"/>
            <w:gridSpan w:val="8"/>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大气吸收衰减系数α，dB/km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661"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3837" w:type="pct"/>
            <w:gridSpan w:val="8"/>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倍频带中心频率Hz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661" w:type="pct"/>
            <w:vMerge w:val="continue"/>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63</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125</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250</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500</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1000</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2000</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4000</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0.4</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1.9</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3.7</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9.7</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32.8</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9.0</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22.9</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30</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3.1</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7.4</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12.7</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23.1</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0.6</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2.7</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8.2</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28.2</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28.8</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0.5</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2.2</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4.2</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10.8</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36.2</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80</w:t>
            </w:r>
          </w:p>
        </w:tc>
        <w:tc>
          <w:tcPr>
            <w:tcW w:w="448"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w:t>
            </w:r>
          </w:p>
        </w:tc>
        <w:tc>
          <w:tcPr>
            <w:tcW w:w="47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2.4</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4.1</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8.3</w:t>
            </w:r>
          </w:p>
        </w:tc>
        <w:tc>
          <w:tcPr>
            <w:tcW w:w="501"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23.7</w:t>
            </w:r>
          </w:p>
        </w:tc>
        <w:tc>
          <w:tcPr>
            <w:tcW w:w="469"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82.8</w:t>
            </w:r>
          </w:p>
        </w:tc>
      </w:tr>
    </w:tbl>
    <w:p>
      <w:pPr>
        <w:spacing w:line="500" w:lineRule="exact"/>
        <w:ind w:firstLine="480"/>
        <w:rPr>
          <w:rFonts w:hint="eastAsia" w:ascii="Times New Roman" w:hAnsi="Times New Roman" w:eastAsia="宋体"/>
          <w:color w:val="auto"/>
          <w:highlight w:val="none"/>
          <w:lang w:eastAsia="zh-CN"/>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地面效应衰减</w:t>
      </w:r>
      <w:r>
        <w:rPr>
          <w:rFonts w:hint="eastAsia"/>
          <w:color w:val="auto"/>
          <w:highlight w:val="none"/>
          <w:lang w:eastAsia="zh-CN"/>
        </w:rPr>
        <w:t>（</w:t>
      </w:r>
      <w:r>
        <w:rPr>
          <w:rFonts w:ascii="Times New Roman" w:hAnsi="Times New Roman" w:eastAsia="宋体"/>
          <w:color w:val="auto"/>
          <w:highlight w:val="none"/>
        </w:rPr>
        <w:t>Agr</w:t>
      </w:r>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地面类型可分为：</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A、坚实地面，包括铺筑过的路面、水面、冰面以及夯实地面。</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B、疏松地面，包括被草或其他植物覆盖的地面，以及农田等适合于植物生长的地面。</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C、混合地面，由坚实地面和疏松地面组成。</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声波越过疏松地面传播时，或大部分为疏松地面的混合地面，在预测点仅计算A声级前提下，地面效应引起的倍频带衰减可用下列公式计算。</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3232" behindDoc="0" locked="0" layoutInCell="1" allowOverlap="1">
            <wp:simplePos x="0" y="0"/>
            <wp:positionH relativeFrom="column">
              <wp:posOffset>1345565</wp:posOffset>
            </wp:positionH>
            <wp:positionV relativeFrom="paragraph">
              <wp:posOffset>34925</wp:posOffset>
            </wp:positionV>
            <wp:extent cx="1914525" cy="428625"/>
            <wp:effectExtent l="0" t="0" r="9525" b="952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14525" cy="428625"/>
                    </a:xfrm>
                    <a:prstGeom prst="rect">
                      <a:avLst/>
                    </a:prstGeom>
                    <a:noFill/>
                    <a:ln>
                      <a:noFill/>
                    </a:ln>
                  </pic:spPr>
                </pic:pic>
              </a:graphicData>
            </a:graphic>
          </wp:anchor>
        </w:drawing>
      </w:r>
    </w:p>
    <w:p>
      <w:pPr>
        <w:spacing w:line="500" w:lineRule="exact"/>
        <w:ind w:firstLine="480"/>
        <w:jc w:val="right"/>
        <w:rPr>
          <w:rFonts w:ascii="Times New Roman" w:hAnsi="Times New Roman" w:eastAsia="宋体"/>
          <w:color w:val="auto"/>
          <w:highlight w:val="none"/>
        </w:rPr>
      </w:pPr>
      <w:bookmarkStart w:id="201" w:name="_Toc2094"/>
      <w:bookmarkStart w:id="202" w:name="_Toc1070"/>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.19）</w:t>
      </w:r>
      <w:bookmarkEnd w:id="201"/>
      <w:bookmarkEnd w:id="202"/>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r--声源到预测点的距离，m；</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hm--传播路径的平均离地高度，m；hm=F/r；F：面积，m2；r，m；</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若A</w:t>
      </w:r>
      <w:r>
        <w:rPr>
          <w:rFonts w:ascii="Times New Roman" w:hAnsi="Times New Roman" w:eastAsia="宋体"/>
          <w:color w:val="auto"/>
          <w:highlight w:val="none"/>
          <w:vertAlign w:val="subscript"/>
        </w:rPr>
        <w:t>gr</w:t>
      </w:r>
      <w:r>
        <w:rPr>
          <w:rFonts w:ascii="Times New Roman" w:hAnsi="Times New Roman" w:eastAsia="宋体"/>
          <w:color w:val="auto"/>
          <w:highlight w:val="none"/>
        </w:rPr>
        <w:t>计算出负值，则A</w:t>
      </w:r>
      <w:r>
        <w:rPr>
          <w:rFonts w:ascii="Times New Roman" w:hAnsi="Times New Roman" w:eastAsia="宋体"/>
          <w:color w:val="auto"/>
          <w:highlight w:val="none"/>
          <w:vertAlign w:val="subscript"/>
        </w:rPr>
        <w:t>gr</w:t>
      </w:r>
      <w:r>
        <w:rPr>
          <w:rFonts w:ascii="Times New Roman" w:hAnsi="Times New Roman" w:eastAsia="宋体"/>
          <w:color w:val="auto"/>
          <w:highlight w:val="none"/>
        </w:rPr>
        <w:t>可用</w:t>
      </w:r>
      <w:r>
        <w:rPr>
          <w:rFonts w:hint="eastAsia"/>
          <w:color w:val="auto"/>
          <w:highlight w:val="none"/>
          <w:lang w:eastAsia="zh-CN"/>
        </w:rPr>
        <w:t>”</w:t>
      </w:r>
      <w:r>
        <w:rPr>
          <w:rFonts w:ascii="Times New Roman" w:hAnsi="Times New Roman" w:eastAsia="宋体"/>
          <w:color w:val="auto"/>
          <w:highlight w:val="none"/>
        </w:rPr>
        <w:t>0</w:t>
      </w:r>
      <w:r>
        <w:rPr>
          <w:rFonts w:hint="eastAsia"/>
          <w:color w:val="auto"/>
          <w:highlight w:val="none"/>
          <w:lang w:eastAsia="zh-CN"/>
        </w:rPr>
        <w:t>”</w:t>
      </w:r>
      <w:r>
        <w:rPr>
          <w:rFonts w:ascii="Times New Roman" w:hAnsi="Times New Roman" w:eastAsia="宋体"/>
          <w:color w:val="auto"/>
          <w:highlight w:val="none"/>
        </w:rPr>
        <w:t>代替。</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其他情况可参照GB/T17247.2进行计算。</w:t>
      </w:r>
    </w:p>
    <w:p>
      <w:pPr>
        <w:spacing w:line="500" w:lineRule="exact"/>
        <w:ind w:firstLine="480"/>
        <w:rPr>
          <w:rFonts w:hint="eastAsia" w:ascii="Times New Roman" w:hAnsi="Times New Roman" w:eastAsia="宋体"/>
          <w:color w:val="auto"/>
          <w:highlight w:val="none"/>
          <w:lang w:eastAsia="zh-CN"/>
        </w:rPr>
      </w:pPr>
      <w:r>
        <w:rPr>
          <w:rFonts w:hint="eastAsia" w:ascii="Times New Roman" w:hAnsi="Times New Roman" w:eastAsia="宋体" w:cs="宋体"/>
          <w:color w:val="auto"/>
          <w:highlight w:val="none"/>
        </w:rPr>
        <w:t>④</w:t>
      </w:r>
      <w:r>
        <w:rPr>
          <w:rFonts w:ascii="Times New Roman" w:hAnsi="Times New Roman" w:eastAsia="宋体"/>
          <w:color w:val="auto"/>
          <w:highlight w:val="none"/>
        </w:rPr>
        <w:t>屏障引起的衰减</w:t>
      </w:r>
      <w:r>
        <w:rPr>
          <w:rFonts w:hint="eastAsia"/>
          <w:color w:val="auto"/>
          <w:highlight w:val="none"/>
          <w:lang w:eastAsia="zh-CN"/>
        </w:rPr>
        <w:t>（</w:t>
      </w:r>
      <w:r>
        <w:rPr>
          <w:rFonts w:ascii="Times New Roman" w:hAnsi="Times New Roman" w:eastAsia="宋体"/>
          <w:color w:val="auto"/>
          <w:highlight w:val="none"/>
        </w:rPr>
        <w:t>A</w:t>
      </w:r>
      <w:r>
        <w:rPr>
          <w:rFonts w:ascii="Times New Roman" w:hAnsi="Times New Roman" w:eastAsia="宋体"/>
          <w:color w:val="auto"/>
          <w:highlight w:val="none"/>
          <w:vertAlign w:val="subscript"/>
        </w:rPr>
        <w:t>bar</w:t>
      </w:r>
      <w:r>
        <w:rPr>
          <w:rFonts w:hint="eastAsia"/>
          <w:color w:val="auto"/>
          <w:highlight w:val="none"/>
          <w:lang w:eastAsia="zh-CN"/>
        </w:rPr>
        <w:t>）</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位于声源和预测点之间的实体障碍物，如围墙、建筑物、土坡或地堑等起声屏障作用，从而引起声能量的较大衰减。在环境影响评价中，可将各种形式的屏障简化为具有一定高度的薄屏障。</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S、O、P三点在同一平面内且垂直于地面。</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定义δ=SO＋OP－SP为声程差，N=2δ/λ为菲涅尔数，其中λ为声波波长。</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在噪声预测中，声屏障插入损失的计算方法应需要根据实际情况作简化处理。</w:t>
      </w:r>
    </w:p>
    <w:p>
      <w:pPr>
        <w:spacing w:line="500" w:lineRule="exact"/>
        <w:ind w:firstLine="480"/>
        <w:rPr>
          <w:rFonts w:ascii="Times New Roman" w:hAnsi="Times New Roman" w:eastAsia="宋体"/>
          <w:color w:val="auto"/>
          <w:highlight w:val="none"/>
        </w:rPr>
      </w:pPr>
      <w:bookmarkStart w:id="203" w:name="_Toc26353"/>
      <w:bookmarkStart w:id="204" w:name="_Toc20959"/>
      <w:r>
        <w:rPr>
          <w:rFonts w:ascii="Times New Roman" w:hAnsi="Times New Roman" w:eastAsia="宋体"/>
          <w:color w:val="auto"/>
          <w:highlight w:val="none"/>
        </w:rPr>
        <w:t>A、有限长薄屏障在点声源声场中引起的衰减计算</w:t>
      </w:r>
      <w:bookmarkEnd w:id="203"/>
      <w:bookmarkEnd w:id="204"/>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首先计算三个传播途径的声程差δ1、δ2、δ3和相应的菲涅尔数N1、N2、N3；声屏障引起的衰减公式为：</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pict>
          <v:shape id="Picture 4366" o:spid="_x0000_s2074" o:spt="75" type="#_x0000_t75" style="position:absolute;left:0pt;margin-left:117pt;margin-top:-4.8pt;height:37.5pt;width:197.25pt;z-index:251726848;mso-width-relative:page;mso-height-relative:page;" o:ole="t" fillcolor="#000005" filled="f" o:preferrelative="t" stroked="f" coordsize="21600,21600">
            <v:path/>
            <v:fill on="f" focussize="0,0"/>
            <v:stroke on="f" joinstyle="miter"/>
            <v:imagedata r:id="rId81" o:title=""/>
            <o:lock v:ext="edit" aspectratio="t"/>
          </v:shape>
          <o:OLEObject Type="Embed" ProgID="Equation.3" ShapeID="Picture 4366" DrawAspect="Content" ObjectID="_1468075738" r:id="rId80">
            <o:LockedField>false</o:LockedField>
          </o:OLEObject>
        </w:pi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.20）</w:t>
      </w:r>
    </w:p>
    <w:p>
      <w:pPr>
        <w:spacing w:line="500" w:lineRule="exact"/>
        <w:ind w:firstLine="480"/>
        <w:rPr>
          <w:rFonts w:ascii="Times New Roman" w:hAnsi="Times New Roman" w:eastAsia="宋体"/>
          <w:color w:val="auto"/>
          <w:highlight w:val="none"/>
        </w:rPr>
      </w:pPr>
      <w:bookmarkStart w:id="205" w:name="_Toc14662"/>
      <w:bookmarkStart w:id="206" w:name="_Toc16443"/>
      <w:r>
        <w:rPr>
          <w:rFonts w:ascii="Times New Roman" w:hAnsi="Times New Roman" w:eastAsia="宋体"/>
          <w:color w:val="auto"/>
          <w:highlight w:val="none"/>
        </w:rPr>
        <w:t>B、双绕射计算</w:t>
      </w:r>
      <w:bookmarkEnd w:id="205"/>
      <w:bookmarkEnd w:id="206"/>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对于双绕射情景，可由下列公式计算绕射声与直达声之间的声程差δ：</w:t>
      </w:r>
    </w:p>
    <w:p>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2208" behindDoc="0" locked="0" layoutInCell="1" allowOverlap="1">
            <wp:simplePos x="0" y="0"/>
            <wp:positionH relativeFrom="column">
              <wp:posOffset>2051685</wp:posOffset>
            </wp:positionH>
            <wp:positionV relativeFrom="paragraph">
              <wp:posOffset>100965</wp:posOffset>
            </wp:positionV>
            <wp:extent cx="1819275" cy="314325"/>
            <wp:effectExtent l="0" t="0" r="9525"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275" cy="3143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.21）</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a--声源和接收点之间的距离在平行于屏障上边界的投影长度，m。</w:t>
      </w:r>
    </w:p>
    <w:p>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d</w:t>
      </w:r>
      <w:r>
        <w:rPr>
          <w:rFonts w:ascii="Times New Roman" w:hAnsi="Times New Roman" w:eastAsia="宋体"/>
          <w:color w:val="auto"/>
          <w:highlight w:val="none"/>
          <w:vertAlign w:val="subscript"/>
        </w:rPr>
        <w:t>ss</w:t>
      </w:r>
      <w:r>
        <w:rPr>
          <w:rFonts w:ascii="Times New Roman" w:hAnsi="Times New Roman" w:eastAsia="宋体"/>
          <w:color w:val="auto"/>
          <w:highlight w:val="none"/>
        </w:rPr>
        <w:t>--声源到第一绕射边的距离，m。</w:t>
      </w:r>
    </w:p>
    <w:p>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d</w:t>
      </w:r>
      <w:r>
        <w:rPr>
          <w:rFonts w:ascii="Times New Roman" w:hAnsi="Times New Roman" w:eastAsia="宋体"/>
          <w:color w:val="auto"/>
          <w:highlight w:val="none"/>
          <w:vertAlign w:val="subscript"/>
        </w:rPr>
        <w:t>sr</w:t>
      </w:r>
      <w:r>
        <w:rPr>
          <w:rFonts w:ascii="Times New Roman" w:hAnsi="Times New Roman" w:eastAsia="宋体"/>
          <w:color w:val="auto"/>
          <w:highlight w:val="none"/>
        </w:rPr>
        <w:t>--（第二）绕射边到接收点的距离，m。</w:t>
      </w:r>
    </w:p>
    <w:p>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e--在双绕射情况下两个绕射边界之间的距离，m。</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（相当于GB/T17247.2中的DZ）参照GB/T17247.2进行计算。</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在任何频带上，屏障衰减A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在单绕射（即薄屏障）情况，衰减最大取20dB；屏障衰减A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在双绕射（即厚屏障）情况，衰减最大取25dB。</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计算了屏障衰减后，不再考虑地面效应衰减。</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3、防治措施</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（1）在设备选型上，应引进质量过关、通过质量认定的低噪声生产设备，主要设备要标明噪声的标准值，使其噪声控制在80-85dB（A）以下；</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（2）新增设施基础加减振装置，以控制设备振动噪声；</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（3）养殖中心内合理布局，使高噪声机泵远离厂界。</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4、预测结果及结论</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（1）预测结果</w:t>
      </w:r>
    </w:p>
    <w:p>
      <w:pPr>
        <w:spacing w:line="500" w:lineRule="exact"/>
        <w:ind w:firstLine="504"/>
        <w:rPr>
          <w:rFonts w:ascii="Times New Roman" w:hAnsi="Times New Roman" w:eastAsia="宋体"/>
          <w:color w:val="auto"/>
          <w:spacing w:val="6"/>
          <w:highlight w:val="none"/>
        </w:rPr>
      </w:pPr>
      <w:r>
        <w:rPr>
          <w:rFonts w:ascii="Times New Roman" w:hAnsi="Times New Roman" w:eastAsia="宋体"/>
          <w:color w:val="auto"/>
          <w:spacing w:val="6"/>
          <w:highlight w:val="none"/>
        </w:rPr>
        <w:t>在采取防治措施情况下，</w:t>
      </w:r>
      <w:r>
        <w:rPr>
          <w:rFonts w:hint="eastAsia" w:ascii="Times New Roman" w:hAnsi="Times New Roman" w:eastAsia="宋体"/>
          <w:color w:val="auto"/>
          <w:spacing w:val="6"/>
          <w:highlight w:val="none"/>
        </w:rPr>
        <w:t>本项目运营期间</w:t>
      </w:r>
      <w:r>
        <w:rPr>
          <w:rFonts w:ascii="Times New Roman" w:hAnsi="Times New Roman" w:eastAsia="宋体"/>
          <w:color w:val="auto"/>
          <w:spacing w:val="6"/>
          <w:highlight w:val="none"/>
        </w:rPr>
        <w:t>噪声</w:t>
      </w:r>
      <w:r>
        <w:rPr>
          <w:rFonts w:hint="eastAsia" w:ascii="Times New Roman" w:hAnsi="Times New Roman" w:eastAsia="宋体"/>
          <w:color w:val="auto"/>
          <w:spacing w:val="6"/>
          <w:highlight w:val="none"/>
        </w:rPr>
        <w:t>对</w:t>
      </w:r>
      <w:r>
        <w:rPr>
          <w:rFonts w:ascii="Times New Roman" w:hAnsi="Times New Roman" w:eastAsia="宋体"/>
          <w:color w:val="auto"/>
          <w:spacing w:val="6"/>
          <w:highlight w:val="none"/>
        </w:rPr>
        <w:t>厂界噪声贡献</w:t>
      </w:r>
      <w:r>
        <w:rPr>
          <w:rFonts w:hint="eastAsia" w:ascii="Times New Roman" w:hAnsi="Times New Roman" w:eastAsia="宋体"/>
          <w:color w:val="auto"/>
          <w:spacing w:val="6"/>
          <w:highlight w:val="none"/>
        </w:rPr>
        <w:t>值按有限线声源公式附录A</w:t>
      </w:r>
      <w:r>
        <w:rPr>
          <w:rFonts w:ascii="Times New Roman" w:hAnsi="Times New Roman" w:eastAsia="宋体"/>
          <w:color w:val="auto"/>
          <w:spacing w:val="6"/>
          <w:highlight w:val="none"/>
        </w:rPr>
        <w:t>.14</w:t>
      </w:r>
      <w:r>
        <w:rPr>
          <w:rFonts w:hint="eastAsia" w:ascii="Times New Roman" w:hAnsi="Times New Roman" w:eastAsia="宋体"/>
          <w:color w:val="auto"/>
          <w:spacing w:val="6"/>
          <w:highlight w:val="none"/>
        </w:rPr>
        <w:t>计算:</w:t>
      </w:r>
    </w:p>
    <w:p>
      <w:pPr>
        <w:spacing w:line="240" w:lineRule="auto"/>
        <w:ind w:firstLine="480"/>
        <w:rPr>
          <w:rFonts w:ascii="Times New Roman" w:hAnsi="Times New Roman" w:eastAsia="宋体"/>
          <w:color w:val="auto"/>
          <w:spacing w:val="6"/>
          <w:highlight w:val="none"/>
        </w:rPr>
      </w:pPr>
      <w:r>
        <w:rPr>
          <w:rFonts w:ascii="Times New Roman" w:hAnsi="Times New Roman" w:eastAsia="宋体"/>
          <w:color w:val="auto"/>
          <w:highlight w:val="none"/>
        </w:rPr>
        <w:drawing>
          <wp:inline distT="0" distB="0" distL="0" distR="0">
            <wp:extent cx="4836160" cy="468630"/>
            <wp:effectExtent l="0" t="0" r="25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3"/>
                    <a:stretch>
                      <a:fillRect/>
                    </a:stretch>
                  </pic:blipFill>
                  <pic:spPr>
                    <a:xfrm>
                      <a:off x="0" y="0"/>
                      <a:ext cx="4904681" cy="475352"/>
                    </a:xfrm>
                    <a:prstGeom prst="rect">
                      <a:avLst/>
                    </a:prstGeom>
                  </pic:spPr>
                </pic:pic>
              </a:graphicData>
            </a:graphic>
          </wp:inline>
        </w:drawing>
      </w:r>
    </w:p>
    <w:p>
      <w:pPr>
        <w:spacing w:line="500" w:lineRule="exact"/>
        <w:ind w:firstLine="504"/>
        <w:rPr>
          <w:rFonts w:ascii="Times New Roman" w:hAnsi="Times New Roman" w:eastAsia="宋体"/>
          <w:color w:val="auto"/>
          <w:spacing w:val="6"/>
          <w:highlight w:val="none"/>
        </w:rPr>
      </w:pPr>
      <w:r>
        <w:rPr>
          <w:rFonts w:hint="eastAsia" w:ascii="Times New Roman" w:hAnsi="Times New Roman" w:eastAsia="宋体"/>
          <w:color w:val="auto"/>
          <w:spacing w:val="6"/>
          <w:highlight w:val="none"/>
        </w:rPr>
        <w:t>计算结果</w:t>
      </w:r>
      <w:r>
        <w:rPr>
          <w:rFonts w:ascii="Times New Roman" w:hAnsi="Times New Roman" w:eastAsia="宋体"/>
          <w:color w:val="auto"/>
          <w:spacing w:val="6"/>
          <w:highlight w:val="none"/>
        </w:rPr>
        <w:t>见表5.2-</w:t>
      </w:r>
      <w:r>
        <w:rPr>
          <w:rFonts w:hint="eastAsia" w:ascii="Times New Roman" w:hAnsi="Times New Roman" w:eastAsia="宋体"/>
          <w:color w:val="auto"/>
          <w:spacing w:val="6"/>
          <w:highlight w:val="none"/>
          <w:lang w:val="en-US" w:eastAsia="zh-CN"/>
        </w:rPr>
        <w:t>17</w:t>
      </w:r>
      <w:r>
        <w:rPr>
          <w:rFonts w:hint="eastAsia" w:ascii="Times New Roman" w:hAnsi="Times New Roman" w:eastAsia="宋体"/>
          <w:color w:val="auto"/>
          <w:spacing w:val="6"/>
          <w:highlight w:val="none"/>
        </w:rPr>
        <w:t>。</w:t>
      </w:r>
    </w:p>
    <w:p>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17</w:t>
      </w:r>
      <w:r>
        <w:rPr>
          <w:rFonts w:hint="eastAsia" w:ascii="Times New Roman" w:hAnsi="Times New Roman" w:eastAsia="宋体"/>
          <w:b/>
          <w:bCs/>
          <w:color w:val="auto"/>
          <w:highlight w:val="none"/>
        </w:rPr>
        <w:t>运营期</w:t>
      </w:r>
      <w:r>
        <w:rPr>
          <w:rFonts w:ascii="Times New Roman" w:hAnsi="Times New Roman" w:eastAsia="宋体"/>
          <w:b/>
          <w:bCs/>
          <w:color w:val="auto"/>
          <w:highlight w:val="none"/>
        </w:rPr>
        <w:t>厂界噪声预测值[dB</w:t>
      </w:r>
      <w:r>
        <w:rPr>
          <w:rFonts w:hint="eastAsia" w:eastAsia="宋体"/>
          <w:b/>
          <w:bCs/>
          <w:color w:val="auto"/>
          <w:highlight w:val="none"/>
          <w:lang w:eastAsia="zh-CN"/>
        </w:rPr>
        <w:t>（</w:t>
      </w:r>
      <w:r>
        <w:rPr>
          <w:rFonts w:ascii="Times New Roman" w:hAnsi="Times New Roman" w:eastAsia="宋体"/>
          <w:b/>
          <w:bCs/>
          <w:color w:val="auto"/>
          <w:highlight w:val="none"/>
        </w:rPr>
        <w:t>A</w:t>
      </w:r>
      <w:r>
        <w:rPr>
          <w:rFonts w:hint="eastAsia" w:eastAsia="宋体"/>
          <w:b/>
          <w:bCs/>
          <w:color w:val="auto"/>
          <w:highlight w:val="none"/>
          <w:lang w:eastAsia="zh-CN"/>
        </w:rPr>
        <w:t>）</w:t>
      </w:r>
      <w:r>
        <w:rPr>
          <w:rFonts w:ascii="Times New Roman" w:hAnsi="Times New Roman" w:eastAsia="宋体"/>
          <w:b/>
          <w:bCs/>
          <w:color w:val="auto"/>
          <w:highlight w:val="none"/>
        </w:rPr>
        <w:t>]</w:t>
      </w:r>
    </w:p>
    <w:tbl>
      <w:tblPr>
        <w:tblStyle w:val="3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33"/>
        <w:gridCol w:w="1147"/>
        <w:gridCol w:w="1164"/>
        <w:gridCol w:w="1459"/>
        <w:gridCol w:w="1600"/>
        <w:gridCol w:w="21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5" w:hRule="atLeast"/>
          <w:jc w:val="center"/>
        </w:trPr>
        <w:tc>
          <w:tcPr>
            <w:tcW w:w="60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序号</w:t>
            </w:r>
          </w:p>
        </w:tc>
        <w:tc>
          <w:tcPr>
            <w:tcW w:w="67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时段</w:t>
            </w:r>
          </w:p>
        </w:tc>
        <w:tc>
          <w:tcPr>
            <w:tcW w:w="683"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源强</w:t>
            </w:r>
          </w:p>
        </w:tc>
        <w:tc>
          <w:tcPr>
            <w:tcW w:w="856"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l</w:t>
            </w:r>
            <w:r>
              <w:rPr>
                <w:rFonts w:ascii="Times New Roman" w:hAnsi="Times New Roman" w:eastAsia="宋体"/>
                <w:b w:val="0"/>
                <w:bCs w:val="0"/>
                <w:color w:val="auto"/>
                <w:szCs w:val="21"/>
                <w:highlight w:val="none"/>
                <w:vertAlign w:val="subscript"/>
              </w:rPr>
              <w:t>0</w:t>
            </w:r>
          </w:p>
        </w:tc>
        <w:tc>
          <w:tcPr>
            <w:tcW w:w="939" w:type="pct"/>
            <w:tcBorders>
              <w:tl2br w:val="nil"/>
              <w:tr2bl w:val="nil"/>
            </w:tcBorders>
            <w:vAlign w:val="center"/>
          </w:tcPr>
          <w:p>
            <w:pPr>
              <w:pStyle w:val="144"/>
              <w:spacing w:line="240" w:lineRule="auto"/>
              <w:ind w:firstLine="0" w:firstLineChars="0"/>
              <w:jc w:val="center"/>
              <w:rPr>
                <w:rFonts w:hint="eastAsia" w:ascii="Times New Roman" w:hAnsi="Times New Roman" w:eastAsia="宋体"/>
                <w:b w:val="0"/>
                <w:bCs w:val="0"/>
                <w:color w:val="auto"/>
                <w:szCs w:val="21"/>
                <w:highlight w:val="none"/>
                <w:lang w:eastAsia="zh-CN"/>
              </w:rPr>
            </w:pPr>
            <w:r>
              <w:rPr>
                <w:rFonts w:hint="eastAsia" w:ascii="Times New Roman" w:hAnsi="Times New Roman" w:eastAsia="宋体"/>
                <w:b w:val="0"/>
                <w:bCs w:val="0"/>
                <w:color w:val="auto"/>
                <w:szCs w:val="21"/>
                <w:highlight w:val="none"/>
              </w:rPr>
              <w:t>距离</w:t>
            </w:r>
            <w:r>
              <w:rPr>
                <w:rFonts w:hint="eastAsia"/>
                <w:b w:val="0"/>
                <w:bCs w:val="0"/>
                <w:color w:val="auto"/>
                <w:szCs w:val="21"/>
                <w:highlight w:val="none"/>
                <w:lang w:eastAsia="zh-CN"/>
              </w:rPr>
              <w:t>（</w:t>
            </w:r>
            <w:r>
              <w:rPr>
                <w:rFonts w:ascii="Times New Roman" w:hAnsi="Times New Roman" w:eastAsia="宋体"/>
                <w:b w:val="0"/>
                <w:bCs w:val="0"/>
                <w:color w:val="auto"/>
                <w:szCs w:val="21"/>
                <w:highlight w:val="none"/>
              </w:rPr>
              <w:t>r</w:t>
            </w:r>
            <w:r>
              <w:rPr>
                <w:rFonts w:hint="eastAsia"/>
                <w:b w:val="0"/>
                <w:bCs w:val="0"/>
                <w:color w:val="auto"/>
                <w:szCs w:val="21"/>
                <w:highlight w:val="none"/>
                <w:lang w:eastAsia="zh-CN"/>
              </w:rPr>
              <w:t>）</w:t>
            </w:r>
          </w:p>
        </w:tc>
        <w:tc>
          <w:tcPr>
            <w:tcW w:w="124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贡献值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北厂界</w:t>
            </w:r>
          </w:p>
        </w:tc>
        <w:tc>
          <w:tcPr>
            <w:tcW w:w="67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5</w:t>
            </w:r>
            <w:r>
              <w:rPr>
                <w:rFonts w:ascii="Times New Roman" w:hAnsi="Times New Roman" w:eastAsia="宋体"/>
                <w:b w:val="0"/>
                <w:bCs w:val="0"/>
                <w:color w:val="auto"/>
                <w:szCs w:val="21"/>
                <w:highlight w:val="none"/>
              </w:rPr>
              <w:t>0</w:t>
            </w:r>
          </w:p>
        </w:tc>
        <w:tc>
          <w:tcPr>
            <w:tcW w:w="939"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124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54.54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西厂界</w:t>
            </w:r>
          </w:p>
        </w:tc>
        <w:tc>
          <w:tcPr>
            <w:tcW w:w="67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240</w:t>
            </w:r>
          </w:p>
        </w:tc>
        <w:tc>
          <w:tcPr>
            <w:tcW w:w="939"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124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53.05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南厂界</w:t>
            </w:r>
          </w:p>
        </w:tc>
        <w:tc>
          <w:tcPr>
            <w:tcW w:w="67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5</w:t>
            </w:r>
            <w:r>
              <w:rPr>
                <w:rFonts w:ascii="Times New Roman" w:hAnsi="Times New Roman" w:eastAsia="宋体"/>
                <w:b w:val="0"/>
                <w:bCs w:val="0"/>
                <w:color w:val="auto"/>
                <w:szCs w:val="21"/>
                <w:highlight w:val="none"/>
              </w:rPr>
              <w:t>0</w:t>
            </w:r>
          </w:p>
        </w:tc>
        <w:tc>
          <w:tcPr>
            <w:tcW w:w="939"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120</w:t>
            </w:r>
          </w:p>
        </w:tc>
        <w:tc>
          <w:tcPr>
            <w:tcW w:w="124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36.92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东厂界</w:t>
            </w:r>
          </w:p>
        </w:tc>
        <w:tc>
          <w:tcPr>
            <w:tcW w:w="67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2</w:t>
            </w:r>
            <w:r>
              <w:rPr>
                <w:rFonts w:ascii="Times New Roman" w:hAnsi="Times New Roman" w:eastAsia="宋体"/>
                <w:b w:val="0"/>
                <w:bCs w:val="0"/>
                <w:color w:val="auto"/>
                <w:szCs w:val="21"/>
                <w:highlight w:val="none"/>
              </w:rPr>
              <w:t>40</w:t>
            </w:r>
          </w:p>
        </w:tc>
        <w:tc>
          <w:tcPr>
            <w:tcW w:w="939"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1243"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54.91</w:t>
            </w:r>
          </w:p>
        </w:tc>
      </w:tr>
    </w:tbl>
    <w:p>
      <w:pPr>
        <w:spacing w:line="500" w:lineRule="exact"/>
        <w:ind w:firstLine="504"/>
        <w:rPr>
          <w:rFonts w:ascii="Times New Roman" w:hAnsi="Times New Roman" w:eastAsia="宋体"/>
          <w:color w:val="auto"/>
          <w:spacing w:val="6"/>
          <w:highlight w:val="none"/>
        </w:rPr>
      </w:pPr>
      <w:r>
        <w:rPr>
          <w:rFonts w:hint="eastAsia" w:ascii="Times New Roman" w:hAnsi="Times New Roman" w:eastAsia="宋体"/>
          <w:color w:val="auto"/>
          <w:spacing w:val="6"/>
          <w:highlight w:val="none"/>
        </w:rPr>
        <w:t>施工期厂界噪声预测值按点声源半自由场A</w:t>
      </w:r>
      <w:r>
        <w:rPr>
          <w:rFonts w:ascii="Times New Roman" w:hAnsi="Times New Roman" w:eastAsia="宋体"/>
          <w:color w:val="auto"/>
          <w:spacing w:val="6"/>
          <w:highlight w:val="none"/>
        </w:rPr>
        <w:t>.9</w:t>
      </w:r>
      <w:r>
        <w:rPr>
          <w:rFonts w:hint="eastAsia" w:ascii="Times New Roman" w:hAnsi="Times New Roman" w:eastAsia="宋体"/>
          <w:color w:val="auto"/>
          <w:spacing w:val="6"/>
          <w:highlight w:val="none"/>
        </w:rPr>
        <w:t>计算：</w:t>
      </w:r>
    </w:p>
    <w:p>
      <w:pPr>
        <w:spacing w:line="240" w:lineRule="auto"/>
        <w:ind w:firstLine="480"/>
        <w:jc w:val="center"/>
        <w:rPr>
          <w:rFonts w:ascii="Times New Roman" w:hAnsi="Times New Roman" w:eastAsia="宋体"/>
          <w:color w:val="auto"/>
          <w:spacing w:val="6"/>
          <w:highlight w:val="none"/>
        </w:rPr>
      </w:pPr>
      <w:r>
        <w:rPr>
          <w:rFonts w:ascii="Times New Roman" w:hAnsi="Times New Roman" w:eastAsia="宋体"/>
          <w:color w:val="auto"/>
          <w:spacing w:val="6"/>
          <w:highlight w:val="none"/>
        </w:rPr>
        <w:drawing>
          <wp:inline distT="0" distB="0" distL="0" distR="0">
            <wp:extent cx="3573145" cy="354965"/>
            <wp:effectExtent l="0" t="0" r="825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716380" cy="369132"/>
                    </a:xfrm>
                    <a:prstGeom prst="rect">
                      <a:avLst/>
                    </a:prstGeom>
                  </pic:spPr>
                </pic:pic>
              </a:graphicData>
            </a:graphic>
          </wp:inline>
        </w:drawing>
      </w:r>
    </w:p>
    <w:p>
      <w:pPr>
        <w:spacing w:line="500" w:lineRule="exact"/>
        <w:ind w:firstLine="504"/>
        <w:rPr>
          <w:rFonts w:ascii="Times New Roman" w:hAnsi="Times New Roman" w:eastAsia="宋体"/>
          <w:color w:val="auto"/>
          <w:highlight w:val="none"/>
        </w:rPr>
      </w:pPr>
      <w:r>
        <w:rPr>
          <w:rFonts w:hint="eastAsia" w:ascii="Times New Roman" w:hAnsi="Times New Roman" w:eastAsia="宋体"/>
          <w:color w:val="auto"/>
          <w:spacing w:val="6"/>
          <w:highlight w:val="none"/>
        </w:rPr>
        <w:t>见表5</w:t>
      </w:r>
      <w:r>
        <w:rPr>
          <w:rFonts w:ascii="Times New Roman" w:hAnsi="Times New Roman" w:eastAsia="宋体"/>
          <w:color w:val="auto"/>
          <w:spacing w:val="6"/>
          <w:highlight w:val="none"/>
        </w:rPr>
        <w:t>.2-</w:t>
      </w:r>
      <w:r>
        <w:rPr>
          <w:rFonts w:hint="eastAsia" w:ascii="Times New Roman" w:hAnsi="Times New Roman" w:eastAsia="宋体"/>
          <w:color w:val="auto"/>
          <w:spacing w:val="6"/>
          <w:highlight w:val="none"/>
          <w:lang w:val="en-US" w:eastAsia="zh-CN"/>
        </w:rPr>
        <w:t>18</w:t>
      </w:r>
      <w:r>
        <w:rPr>
          <w:rFonts w:ascii="Times New Roman" w:hAnsi="Times New Roman" w:eastAsia="宋体"/>
          <w:color w:val="auto"/>
          <w:spacing w:val="6"/>
          <w:highlight w:val="none"/>
        </w:rPr>
        <w:t>。</w:t>
      </w:r>
    </w:p>
    <w:p>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18</w:t>
      </w:r>
      <w:r>
        <w:rPr>
          <w:rFonts w:hint="eastAsia" w:ascii="Times New Roman" w:hAnsi="Times New Roman" w:eastAsia="宋体"/>
          <w:b/>
          <w:bCs/>
          <w:color w:val="auto"/>
          <w:highlight w:val="none"/>
        </w:rPr>
        <w:t>施工期</w:t>
      </w:r>
      <w:r>
        <w:rPr>
          <w:rFonts w:ascii="Times New Roman" w:hAnsi="Times New Roman" w:eastAsia="宋体"/>
          <w:b/>
          <w:bCs/>
          <w:color w:val="auto"/>
          <w:highlight w:val="none"/>
        </w:rPr>
        <w:t>厂界噪声预测值[dB</w:t>
      </w:r>
      <w:r>
        <w:rPr>
          <w:rFonts w:hint="eastAsia" w:eastAsia="宋体"/>
          <w:b/>
          <w:bCs/>
          <w:color w:val="auto"/>
          <w:highlight w:val="none"/>
          <w:lang w:eastAsia="zh-CN"/>
        </w:rPr>
        <w:t>（</w:t>
      </w:r>
      <w:r>
        <w:rPr>
          <w:rFonts w:ascii="Times New Roman" w:hAnsi="Times New Roman" w:eastAsia="宋体"/>
          <w:b/>
          <w:bCs/>
          <w:color w:val="auto"/>
          <w:highlight w:val="none"/>
        </w:rPr>
        <w:t>A</w:t>
      </w:r>
      <w:r>
        <w:rPr>
          <w:rFonts w:hint="eastAsia" w:eastAsia="宋体"/>
          <w:b/>
          <w:bCs/>
          <w:color w:val="auto"/>
          <w:highlight w:val="none"/>
          <w:lang w:eastAsia="zh-CN"/>
        </w:rPr>
        <w:t>）</w:t>
      </w:r>
      <w:r>
        <w:rPr>
          <w:rFonts w:ascii="Times New Roman" w:hAnsi="Times New Roman" w:eastAsia="宋体"/>
          <w:b/>
          <w:bCs/>
          <w:color w:val="auto"/>
          <w:highlight w:val="none"/>
        </w:rPr>
        <w:t>]</w:t>
      </w:r>
    </w:p>
    <w:tbl>
      <w:tblPr>
        <w:tblStyle w:val="3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69"/>
        <w:gridCol w:w="2240"/>
        <w:gridCol w:w="1704"/>
        <w:gridCol w:w="1704"/>
        <w:gridCol w:w="17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5" w:hRule="atLeast"/>
          <w:jc w:val="center"/>
        </w:trPr>
        <w:tc>
          <w:tcPr>
            <w:tcW w:w="6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序号</w:t>
            </w:r>
          </w:p>
        </w:tc>
        <w:tc>
          <w:tcPr>
            <w:tcW w:w="131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时段</w:t>
            </w:r>
          </w:p>
        </w:tc>
        <w:tc>
          <w:tcPr>
            <w:tcW w:w="1000"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源强</w:t>
            </w:r>
          </w:p>
        </w:tc>
        <w:tc>
          <w:tcPr>
            <w:tcW w:w="1000" w:type="pct"/>
            <w:tcBorders>
              <w:tl2br w:val="nil"/>
              <w:tr2bl w:val="nil"/>
            </w:tcBorders>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距离</w:t>
            </w:r>
          </w:p>
        </w:tc>
        <w:tc>
          <w:tcPr>
            <w:tcW w:w="1000"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贡献值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北厂界</w:t>
            </w:r>
          </w:p>
        </w:tc>
        <w:tc>
          <w:tcPr>
            <w:tcW w:w="131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西厂界</w:t>
            </w:r>
          </w:p>
        </w:tc>
        <w:tc>
          <w:tcPr>
            <w:tcW w:w="131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25</w:t>
            </w:r>
          </w:p>
        </w:tc>
        <w:tc>
          <w:tcPr>
            <w:tcW w:w="1000" w:type="pct"/>
            <w:tcBorders>
              <w:tl2br w:val="nil"/>
              <w:tr2bl w:val="nil"/>
            </w:tcBorders>
            <w:shd w:val="clear" w:color="auto" w:fill="auto"/>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4.04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南厂界</w:t>
            </w:r>
          </w:p>
        </w:tc>
        <w:tc>
          <w:tcPr>
            <w:tcW w:w="131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东厂界</w:t>
            </w:r>
          </w:p>
        </w:tc>
        <w:tc>
          <w:tcPr>
            <w:tcW w:w="1314" w:type="pct"/>
            <w:tcBorders>
              <w:tl2br w:val="nil"/>
              <w:tr2bl w:val="nil"/>
            </w:tcBorders>
            <w:shd w:val="clear" w:color="auto" w:fill="auto"/>
            <w:vAlign w:val="center"/>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bl>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（2）结论</w:t>
      </w:r>
    </w:p>
    <w:p>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根据预测结果，项目</w:t>
      </w:r>
      <w:r>
        <w:rPr>
          <w:rFonts w:hint="eastAsia" w:ascii="Times New Roman" w:hAnsi="Times New Roman" w:eastAsia="宋体"/>
          <w:color w:val="auto"/>
          <w:highlight w:val="none"/>
        </w:rPr>
        <w:t>厂界</w:t>
      </w:r>
      <w:r>
        <w:rPr>
          <w:rFonts w:ascii="Times New Roman" w:hAnsi="Times New Roman" w:eastAsia="宋体"/>
          <w:color w:val="auto"/>
          <w:highlight w:val="none"/>
        </w:rPr>
        <w:t>环境噪声能够满足</w:t>
      </w:r>
      <w:r>
        <w:rPr>
          <w:rFonts w:hint="eastAsia" w:ascii="Times New Roman" w:hAnsi="Times New Roman" w:eastAsia="宋体"/>
          <w:color w:val="auto"/>
          <w:highlight w:val="none"/>
        </w:rPr>
        <w:t>《工业企业厂界环境噪声排放标准》（GB12348-2008）表1中的</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类声环境功能区标准限值</w:t>
      </w:r>
      <w:r>
        <w:rPr>
          <w:rFonts w:ascii="Times New Roman" w:hAnsi="Times New Roman" w:eastAsia="宋体"/>
          <w:color w:val="auto"/>
          <w:highlight w:val="none"/>
        </w:rPr>
        <w:t>要求</w:t>
      </w:r>
      <w:r>
        <w:rPr>
          <w:rFonts w:hint="eastAsia" w:ascii="Times New Roman" w:hAnsi="Times New Roman" w:eastAsia="宋体"/>
          <w:color w:val="auto"/>
          <w:highlight w:val="none"/>
        </w:rPr>
        <w:t>及《建筑施工厂界环境噪声排放标准》（GB12523-2011）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类声环境功能区标准限值</w:t>
      </w:r>
      <w:r>
        <w:rPr>
          <w:rFonts w:ascii="Times New Roman" w:hAnsi="Times New Roman" w:eastAsia="宋体"/>
          <w:color w:val="auto"/>
          <w:highlight w:val="none"/>
        </w:rPr>
        <w:t>要求。</w:t>
      </w:r>
    </w:p>
    <w:p>
      <w:pPr>
        <w:pStyle w:val="5"/>
        <w:rPr>
          <w:rFonts w:ascii="Times New Roman" w:hAnsi="Times New Roman" w:eastAsia="宋体"/>
          <w:color w:val="auto"/>
          <w:highlight w:val="none"/>
        </w:rPr>
      </w:pPr>
      <w:bookmarkStart w:id="207" w:name="_Toc106663503"/>
      <w:r>
        <w:rPr>
          <w:rFonts w:hint="eastAsia" w:ascii="Times New Roman" w:hAnsi="Times New Roman" w:eastAsia="宋体"/>
          <w:color w:val="auto"/>
          <w:highlight w:val="none"/>
        </w:rPr>
        <w:t>5.2.4固体废弃物影响分析</w:t>
      </w:r>
      <w:bookmarkEnd w:id="207"/>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产生的固体废物主要为鸡粪及散落羽毛、病死鸡只、废弃包装物、生活垃圾、医疗废物。各类固体废物如果收集、贮放等处理不当，会造成土壤、地下水等污染，从而形成二次污染问题。因此，必须对固体废物做到妥善的管理和处置。</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宋体"/>
          <w:color w:val="auto"/>
          <w:spacing w:val="0"/>
          <w:kern w:val="0"/>
          <w:sz w:val="24"/>
          <w:szCs w:val="24"/>
          <w:highlight w:val="none"/>
          <w:lang w:val="en-US" w:eastAsia="zh-CN"/>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鸡粪</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散落羽毛</w:t>
      </w:r>
      <w:r>
        <w:rPr>
          <w:rFonts w:hint="eastAsia" w:cs="宋体"/>
          <w:color w:val="auto"/>
          <w:spacing w:val="0"/>
          <w:kern w:val="0"/>
          <w:sz w:val="24"/>
          <w:szCs w:val="24"/>
          <w:highlight w:val="none"/>
          <w:lang w:val="en-US" w:eastAsia="zh-CN"/>
        </w:rPr>
        <w:t>鸡污泥</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鸡舍每日产生的鸡粪及散落羽毛日产日清，采用密封清粪车运输，</w:t>
      </w:r>
      <w:r>
        <w:rPr>
          <w:rFonts w:hint="eastAsia" w:cs="宋体"/>
          <w:color w:val="auto"/>
          <w:spacing w:val="0"/>
          <w:kern w:val="0"/>
          <w:sz w:val="24"/>
          <w:szCs w:val="24"/>
          <w:highlight w:val="none"/>
          <w:lang w:val="en-US" w:eastAsia="zh-CN"/>
        </w:rPr>
        <w:t>与废水收集池污泥一同</w:t>
      </w:r>
      <w:r>
        <w:rPr>
          <w:rFonts w:ascii="Times New Roman" w:hAnsi="Times New Roman" w:eastAsia="宋体" w:cs="宋体"/>
          <w:color w:val="auto"/>
          <w:spacing w:val="0"/>
          <w:kern w:val="0"/>
          <w:sz w:val="24"/>
          <w:szCs w:val="24"/>
          <w:highlight w:val="none"/>
        </w:rPr>
        <w:t>外售有机肥厂生产有机肥。</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鸡粪必须按照《畜禽粪便无害化处理技术规范》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GB/T36195-2018</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中要求，采取以下污染防治措施：</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铲车密闭设置，定期对铲车进行检查，减轻因铲车造成的渗漏；</w:t>
      </w:r>
    </w:p>
    <w:p>
      <w:pPr>
        <w:keepNext w:val="0"/>
        <w:keepLines w:val="0"/>
        <w:pageBreakBefore w:val="0"/>
        <w:widowControl w:val="0"/>
        <w:kinsoku/>
        <w:wordWrap/>
        <w:overflowPunct/>
        <w:topLinePunct w:val="0"/>
        <w:autoSpaceDE/>
        <w:autoSpaceDN/>
        <w:bidi w:val="0"/>
        <w:adjustRightInd/>
        <w:snapToGrid/>
        <w:spacing w:line="360" w:lineRule="auto"/>
        <w:ind w:left="0" w:right="0" w:firstLine="47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粪便运输至有机肥半成品生产车间后，必须当日用于生产有机肥，禁止在有机肥半成品生产车间内堆放过夜。</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粪便经密闭铲车输送过程中不得出现</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洒、落、渗、漏</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现象，不得中途随意倾倒粪便，在输送粪便的途中发现有洒落的情况时，及时清扫，避免洒落的粪便被雨水冲刷污染土壤和地下水。</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2</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病死鸡只</w:t>
      </w:r>
    </w:p>
    <w:p>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病死鸡只的危害性则要看具体死因，若因为鸡只抗病性弱、开放性外伤、感冒、发烧等常见疾病死亡的鸡只，企业按《畜禽养殖业污染防治技术规范》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HJ/T81-2001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等有关规定由企业自行作无害化处理。若因为鸡瘟、新城疫等传染性疾病死亡的鸡只，则属于严控废物。企业按照制定的《防疫检疫制度》上报上级部门进行检查处理，并由上级部门制定处理方案，交由防疫部门处置。不得在场内自行处理，否则可能会对饲养人员的健康产生危害，甚至发生疫情。</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根据环办函</w:t>
      </w:r>
      <w:r>
        <w:rPr>
          <w:rFonts w:ascii="Times New Roman" w:hAnsi="Times New Roman" w:eastAsia="宋体" w:cs="Times New Roman"/>
          <w:color w:val="auto"/>
          <w:spacing w:val="0"/>
          <w:kern w:val="0"/>
          <w:sz w:val="24"/>
          <w:szCs w:val="24"/>
          <w:highlight w:val="none"/>
        </w:rPr>
        <w:t>[2014]789</w:t>
      </w:r>
      <w:r>
        <w:rPr>
          <w:rFonts w:ascii="Times New Roman" w:hAnsi="Times New Roman" w:eastAsia="宋体" w:cs="宋体"/>
          <w:color w:val="auto"/>
          <w:spacing w:val="0"/>
          <w:kern w:val="0"/>
          <w:sz w:val="24"/>
          <w:szCs w:val="24"/>
          <w:highlight w:val="none"/>
        </w:rPr>
        <w:t>号文《关于病害动物无害化处理有关意见的复函》：</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病害动物无害化处理项目由农业部门按照有关法律法规和技术规范进行监管，可以实现病害动物无害化处理和环境污染防控的目的，不宜再认定为危险废物集中处置项目。病害动物的无害化处理应执行《中华人民共和国动物防疫法》</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根据《畜禽养殖业污染防治技术规范》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HJ/T81-2001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和《病死及病害动物无害化处理技术规范》</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农医发</w:t>
      </w:r>
      <w:r>
        <w:rPr>
          <w:rFonts w:ascii="Times New Roman" w:hAnsi="Times New Roman" w:eastAsia="宋体" w:cs="Times New Roman"/>
          <w:color w:val="auto"/>
          <w:spacing w:val="0"/>
          <w:kern w:val="0"/>
          <w:sz w:val="24"/>
          <w:szCs w:val="24"/>
          <w:highlight w:val="none"/>
        </w:rPr>
        <w:t>[2017]25</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中无害化处置要求，养殖场应设置安全填埋井，用于处置饲养过程中因疾病等原因死亡而产生的死尸。在项目区东北角设置</w:t>
      </w:r>
      <w:r>
        <w:rPr>
          <w:rFonts w:hint="eastAsia" w:cs="Times New Roman"/>
          <w:color w:val="auto"/>
          <w:spacing w:val="0"/>
          <w:kern w:val="0"/>
          <w:sz w:val="24"/>
          <w:szCs w:val="24"/>
          <w:highlight w:val="none"/>
          <w:lang w:eastAsia="zh-CN"/>
        </w:rPr>
        <w:t>9口</w:t>
      </w:r>
      <w:r>
        <w:rPr>
          <w:rFonts w:ascii="Times New Roman" w:hAnsi="Times New Roman" w:eastAsia="宋体" w:cs="宋体"/>
          <w:color w:val="auto"/>
          <w:spacing w:val="0"/>
          <w:kern w:val="0"/>
          <w:sz w:val="24"/>
          <w:szCs w:val="24"/>
          <w:highlight w:val="none"/>
        </w:rPr>
        <w:t>安全填埋井，填埋井应为混凝土结构，做好防渗工作，深度大于</w:t>
      </w:r>
      <w:r>
        <w:rPr>
          <w:rFonts w:ascii="Times New Roman" w:hAnsi="Times New Roman" w:eastAsia="宋体" w:cs="Times New Roman"/>
          <w:color w:val="auto"/>
          <w:spacing w:val="0"/>
          <w:kern w:val="0"/>
          <w:sz w:val="24"/>
          <w:szCs w:val="24"/>
          <w:highlight w:val="none"/>
        </w:rPr>
        <w:t>3m</w:t>
      </w:r>
      <w:r>
        <w:rPr>
          <w:rFonts w:ascii="Times New Roman" w:hAnsi="Times New Roman" w:eastAsia="宋体" w:cs="宋体"/>
          <w:color w:val="auto"/>
          <w:spacing w:val="0"/>
          <w:kern w:val="0"/>
          <w:sz w:val="24"/>
          <w:szCs w:val="24"/>
          <w:highlight w:val="none"/>
        </w:rPr>
        <w:t>、直径</w:t>
      </w:r>
      <w:r>
        <w:rPr>
          <w:rFonts w:ascii="Times New Roman" w:hAnsi="Times New Roman" w:eastAsia="宋体" w:cs="Times New Roman"/>
          <w:color w:val="auto"/>
          <w:spacing w:val="0"/>
          <w:kern w:val="0"/>
          <w:sz w:val="24"/>
          <w:szCs w:val="24"/>
          <w:highlight w:val="none"/>
        </w:rPr>
        <w:t>1m</w:t>
      </w:r>
      <w:r>
        <w:rPr>
          <w:rFonts w:ascii="Times New Roman" w:hAnsi="Times New Roman" w:eastAsia="宋体" w:cs="宋体"/>
          <w:color w:val="auto"/>
          <w:spacing w:val="0"/>
          <w:kern w:val="0"/>
          <w:sz w:val="24"/>
          <w:szCs w:val="24"/>
          <w:highlight w:val="none"/>
        </w:rPr>
        <w:t>以上，井口加盖密封。进行填埋时，在每次投入死尸后，应覆盖一层厚度大于</w:t>
      </w:r>
      <w:r>
        <w:rPr>
          <w:rFonts w:ascii="Times New Roman" w:hAnsi="Times New Roman" w:eastAsia="宋体" w:cs="Times New Roman"/>
          <w:color w:val="auto"/>
          <w:spacing w:val="0"/>
          <w:kern w:val="0"/>
          <w:sz w:val="24"/>
          <w:szCs w:val="24"/>
          <w:highlight w:val="none"/>
        </w:rPr>
        <w:t>10cm</w:t>
      </w:r>
      <w:r>
        <w:rPr>
          <w:rFonts w:ascii="Times New Roman" w:hAnsi="Times New Roman" w:eastAsia="宋体" w:cs="宋体"/>
          <w:color w:val="auto"/>
          <w:spacing w:val="0"/>
          <w:kern w:val="0"/>
          <w:sz w:val="24"/>
          <w:szCs w:val="24"/>
          <w:highlight w:val="none"/>
        </w:rPr>
        <w:t>的熟石灰。井填满后，须用粘土填埋压实并封口。</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3</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废弃包装物</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本项目外购饲料会产生废包装袋，废饲料包装袋集中收集后进行外售。</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4</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本项目职工人数为</w:t>
      </w:r>
      <w:r>
        <w:rPr>
          <w:rFonts w:ascii="Times New Roman" w:hAnsi="Times New Roman" w:eastAsia="宋体" w:cs="Times New Roman"/>
          <w:color w:val="auto"/>
          <w:spacing w:val="0"/>
          <w:kern w:val="0"/>
          <w:sz w:val="24"/>
          <w:szCs w:val="24"/>
          <w:highlight w:val="none"/>
        </w:rPr>
        <w:t>20</w:t>
      </w:r>
      <w:r>
        <w:rPr>
          <w:rFonts w:ascii="Times New Roman" w:hAnsi="Times New Roman" w:eastAsia="宋体" w:cs="宋体"/>
          <w:color w:val="auto"/>
          <w:spacing w:val="0"/>
          <w:kern w:val="0"/>
          <w:sz w:val="24"/>
          <w:szCs w:val="24"/>
          <w:highlight w:val="none"/>
        </w:rPr>
        <w:t>人，年工作</w:t>
      </w:r>
      <w:r>
        <w:rPr>
          <w:rFonts w:ascii="Times New Roman" w:hAnsi="Times New Roman" w:eastAsia="宋体" w:cs="Times New Roman"/>
          <w:color w:val="auto"/>
          <w:spacing w:val="0"/>
          <w:kern w:val="0"/>
          <w:sz w:val="24"/>
          <w:szCs w:val="24"/>
          <w:highlight w:val="none"/>
        </w:rPr>
        <w:t>365</w:t>
      </w:r>
      <w:r>
        <w:rPr>
          <w:rFonts w:ascii="Times New Roman" w:hAnsi="Times New Roman" w:eastAsia="宋体" w:cs="宋体"/>
          <w:color w:val="auto"/>
          <w:spacing w:val="0"/>
          <w:kern w:val="0"/>
          <w:sz w:val="24"/>
          <w:szCs w:val="24"/>
          <w:highlight w:val="none"/>
        </w:rPr>
        <w:t>天，生活垃圾按</w:t>
      </w:r>
      <w:r>
        <w:rPr>
          <w:rFonts w:ascii="Times New Roman" w:hAnsi="Times New Roman" w:eastAsia="宋体" w:cs="Times New Roman"/>
          <w:color w:val="auto"/>
          <w:spacing w:val="0"/>
          <w:kern w:val="0"/>
          <w:sz w:val="24"/>
          <w:szCs w:val="24"/>
          <w:highlight w:val="none"/>
        </w:rPr>
        <w:t>0.5kg/</w:t>
      </w:r>
      <w:r>
        <w:rPr>
          <w:rFonts w:ascii="Times New Roman" w:hAnsi="Times New Roman" w:eastAsia="宋体" w:cs="宋体"/>
          <w:color w:val="auto"/>
          <w:spacing w:val="0"/>
          <w:kern w:val="0"/>
          <w:sz w:val="24"/>
          <w:szCs w:val="24"/>
          <w:highlight w:val="none"/>
        </w:rPr>
        <w:t>人</w:t>
      </w: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计，生活垃圾产生量为</w:t>
      </w:r>
      <w:r>
        <w:rPr>
          <w:rFonts w:ascii="Times New Roman" w:hAnsi="Times New Roman" w:eastAsia="宋体" w:cs="Times New Roman"/>
          <w:color w:val="auto"/>
          <w:spacing w:val="0"/>
          <w:kern w:val="0"/>
          <w:sz w:val="24"/>
          <w:szCs w:val="24"/>
          <w:highlight w:val="none"/>
        </w:rPr>
        <w:t>10kg/d</w:t>
      </w:r>
      <w:r>
        <w:rPr>
          <w:rFonts w:ascii="Times New Roman" w:hAnsi="Times New Roman" w:eastAsia="宋体" w:cs="宋体"/>
          <w:color w:val="auto"/>
          <w:spacing w:val="0"/>
          <w:kern w:val="0"/>
          <w:sz w:val="24"/>
          <w:szCs w:val="24"/>
          <w:highlight w:val="none"/>
        </w:rPr>
        <w:t>，即</w:t>
      </w:r>
      <w:r>
        <w:rPr>
          <w:rFonts w:ascii="Times New Roman" w:hAnsi="Times New Roman" w:eastAsia="宋体" w:cs="Times New Roman"/>
          <w:color w:val="auto"/>
          <w:spacing w:val="0"/>
          <w:kern w:val="0"/>
          <w:sz w:val="24"/>
          <w:szCs w:val="24"/>
          <w:highlight w:val="none"/>
        </w:rPr>
        <w:t>3.65t/a</w:t>
      </w:r>
      <w:r>
        <w:rPr>
          <w:rFonts w:ascii="Times New Roman" w:hAnsi="Times New Roman" w:eastAsia="宋体" w:cs="宋体"/>
          <w:color w:val="auto"/>
          <w:spacing w:val="0"/>
          <w:kern w:val="0"/>
          <w:sz w:val="24"/>
          <w:szCs w:val="24"/>
          <w:highlight w:val="none"/>
        </w:rPr>
        <w:t>。生活垃圾集中收集由当地环卫部门处置。</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5</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医疗废物</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本项目对蛋鸡进行防疫、治疗过程中产生少量废弃药品、废针管等，产生量约为</w:t>
      </w:r>
      <w:r>
        <w:rPr>
          <w:rFonts w:ascii="Times New Roman" w:hAnsi="Times New Roman" w:eastAsia="宋体" w:cs="Times New Roman"/>
          <w:color w:val="auto"/>
          <w:spacing w:val="0"/>
          <w:kern w:val="0"/>
          <w:sz w:val="24"/>
          <w:szCs w:val="24"/>
          <w:highlight w:val="none"/>
        </w:rPr>
        <w:t>0.03t/a</w:t>
      </w:r>
      <w:r>
        <w:rPr>
          <w:rFonts w:ascii="Times New Roman" w:hAnsi="Times New Roman" w:eastAsia="宋体" w:cs="宋体"/>
          <w:color w:val="auto"/>
          <w:spacing w:val="0"/>
          <w:kern w:val="0"/>
          <w:sz w:val="24"/>
          <w:szCs w:val="24"/>
          <w:highlight w:val="none"/>
        </w:rPr>
        <w:t>，医疗废物属于</w:t>
      </w:r>
      <w:r>
        <w:rPr>
          <w:rFonts w:ascii="Times New Roman" w:hAnsi="Times New Roman" w:eastAsia="宋体" w:cs="Times New Roman"/>
          <w:color w:val="auto"/>
          <w:spacing w:val="0"/>
          <w:kern w:val="0"/>
          <w:sz w:val="24"/>
          <w:szCs w:val="24"/>
          <w:highlight w:val="none"/>
        </w:rPr>
        <w:t>HW01</w:t>
      </w:r>
      <w:r>
        <w:rPr>
          <w:rFonts w:ascii="Times New Roman" w:hAnsi="Times New Roman" w:eastAsia="宋体" w:cs="宋体"/>
          <w:color w:val="auto"/>
          <w:spacing w:val="0"/>
          <w:kern w:val="0"/>
          <w:sz w:val="24"/>
          <w:szCs w:val="24"/>
          <w:highlight w:val="none"/>
        </w:rPr>
        <w:t>类危险废物，储存于</w:t>
      </w:r>
      <w:r>
        <w:rPr>
          <w:rFonts w:hint="eastAsia" w:cs="宋体"/>
          <w:color w:val="auto"/>
          <w:spacing w:val="0"/>
          <w:kern w:val="0"/>
          <w:sz w:val="24"/>
          <w:szCs w:val="24"/>
          <w:highlight w:val="none"/>
          <w:lang w:eastAsia="zh-CN"/>
        </w:rPr>
        <w:t>医疗废物暂存间</w:t>
      </w:r>
      <w:r>
        <w:rPr>
          <w:rFonts w:ascii="Times New Roman" w:hAnsi="Times New Roman" w:eastAsia="宋体" w:cs="宋体"/>
          <w:color w:val="auto"/>
          <w:spacing w:val="0"/>
          <w:kern w:val="0"/>
          <w:sz w:val="24"/>
          <w:szCs w:val="24"/>
          <w:highlight w:val="none"/>
        </w:rPr>
        <w:t>，交由有资质的单位进行处置。</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根据《医疗废物集中处置技术规范</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试行</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》、《医疗废物管理条例》</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国务院令第</w:t>
      </w:r>
      <w:r>
        <w:rPr>
          <w:rFonts w:ascii="Times New Roman" w:hAnsi="Times New Roman" w:eastAsia="宋体" w:cs="Times New Roman"/>
          <w:color w:val="auto"/>
          <w:spacing w:val="0"/>
          <w:kern w:val="0"/>
          <w:sz w:val="24"/>
          <w:szCs w:val="24"/>
          <w:highlight w:val="none"/>
        </w:rPr>
        <w:t>380</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和《医疗卫生机构医疗废物管理办法》</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卫生部令</w:t>
      </w:r>
      <w:r>
        <w:rPr>
          <w:rFonts w:ascii="Times New Roman" w:hAnsi="Times New Roman" w:eastAsia="宋体" w:cs="Times New Roman"/>
          <w:color w:val="auto"/>
          <w:spacing w:val="0"/>
          <w:kern w:val="0"/>
          <w:sz w:val="24"/>
          <w:szCs w:val="24"/>
          <w:highlight w:val="none"/>
        </w:rPr>
        <w:t>36</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和《危险废物贮存污染控制标准》</w:t>
      </w:r>
      <w:r>
        <w:rPr>
          <w:rFonts w:hint="eastAsia" w:cs="Times New Roman"/>
          <w:color w:val="auto"/>
          <w:spacing w:val="0"/>
          <w:kern w:val="0"/>
          <w:sz w:val="24"/>
          <w:szCs w:val="24"/>
          <w:highlight w:val="none"/>
          <w:lang w:eastAsia="zh-CN"/>
        </w:rPr>
        <w:t>（GB18597-2023）</w:t>
      </w:r>
      <w:r>
        <w:rPr>
          <w:rFonts w:ascii="Times New Roman" w:hAnsi="Times New Roman" w:eastAsia="宋体" w:cs="宋体"/>
          <w:color w:val="auto"/>
          <w:spacing w:val="0"/>
          <w:kern w:val="0"/>
          <w:sz w:val="24"/>
          <w:szCs w:val="24"/>
          <w:highlight w:val="none"/>
        </w:rPr>
        <w:t>中相关要求，本次评价要求建设单位按照相关规定要求做到以下几点：</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①医疗废物收集要求</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、根据医疗废物的类别，将医疗废物分置于符合《医疗废物专用包装物、容器的标准和警示标识的规定》的包装物或者容器内；在每个容器上应当说明医疗废物产生单位、产生日期、类别及特别说明等；</w:t>
      </w:r>
    </w:p>
    <w:p>
      <w:pPr>
        <w:keepNext w:val="0"/>
        <w:keepLines w:val="0"/>
        <w:pageBreakBefore w:val="0"/>
        <w:widowControl w:val="0"/>
        <w:kinsoku/>
        <w:wordWrap/>
        <w:overflowPunct/>
        <w:topLinePunct w:val="0"/>
        <w:autoSpaceDE/>
        <w:autoSpaceDN/>
        <w:bidi w:val="0"/>
        <w:adjustRightInd/>
        <w:snapToGrid/>
        <w:spacing w:line="360" w:lineRule="auto"/>
        <w:ind w:left="0" w:right="0" w:firstLine="474"/>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、在盛装医疗废物前，应当对医疗废物包装物或者容器进行认真检查，确保无破损、渗漏和其它缺陷；</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、感染性废物、药物性废物不能混合收集；少量的药物性废物可以混入感染性废物，但应当在标签上注明；</w:t>
      </w:r>
    </w:p>
    <w:p>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、对于能够刺伤或割伤人体的废弃医用锐器，按照类别分置于防渗漏、防锐器穿透的专用密闭的容器内，设置有明显的标识，防止转运人员被锐器割伤引起疾病感染；</w:t>
      </w:r>
    </w:p>
    <w:p>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E</w:t>
      </w:r>
      <w:r>
        <w:rPr>
          <w:rFonts w:ascii="Times New Roman" w:hAnsi="Times New Roman" w:eastAsia="宋体" w:cs="宋体"/>
          <w:color w:val="auto"/>
          <w:spacing w:val="0"/>
          <w:kern w:val="0"/>
          <w:sz w:val="24"/>
          <w:szCs w:val="24"/>
          <w:highlight w:val="none"/>
        </w:rPr>
        <w:t>、医疗废物收集袋的颜色为黄色，印有医疗废物的文字说明和警示标示，根据盛装的医疗废物达到</w:t>
      </w:r>
      <w:r>
        <w:rPr>
          <w:rFonts w:ascii="Times New Roman" w:hAnsi="Times New Roman" w:eastAsia="宋体" w:cs="Times New Roman"/>
          <w:color w:val="auto"/>
          <w:spacing w:val="0"/>
          <w:kern w:val="0"/>
          <w:sz w:val="24"/>
          <w:szCs w:val="24"/>
          <w:highlight w:val="none"/>
        </w:rPr>
        <w:t>3/4</w:t>
      </w:r>
      <w:r>
        <w:rPr>
          <w:rFonts w:ascii="Times New Roman" w:hAnsi="Times New Roman" w:eastAsia="宋体" w:cs="宋体"/>
          <w:color w:val="auto"/>
          <w:spacing w:val="0"/>
          <w:kern w:val="0"/>
          <w:sz w:val="24"/>
          <w:szCs w:val="24"/>
          <w:highlight w:val="none"/>
        </w:rPr>
        <w:t>时，应当使用有效的封口方式，清运至医疗废物暂存桶。</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②医疗废物暂存要求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472"/>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、医疗卫生机构应当建立医疗废物的暂时贮存设施、设备，不得露天存放医疗废物；</w:t>
      </w:r>
    </w:p>
    <w:p>
      <w:pPr>
        <w:keepNext w:val="0"/>
        <w:keepLines w:val="0"/>
        <w:pageBreakBefore w:val="0"/>
        <w:widowControl w:val="0"/>
        <w:kinsoku/>
        <w:wordWrap/>
        <w:overflowPunct/>
        <w:topLinePunct w:val="0"/>
        <w:autoSpaceDE/>
        <w:autoSpaceDN/>
        <w:bidi w:val="0"/>
        <w:adjustRightInd/>
        <w:snapToGrid/>
        <w:spacing w:line="360" w:lineRule="auto"/>
        <w:ind w:left="0" w:right="0" w:firstLine="45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、医疗废物的暂时贮存设施、设备，应当远离医疗区、食品加工区和人员活动区以及生活垃圾存放场所，并设置明显的警示标识和防渗漏、防鼠、防蚊蝇、防蟑螂、防盗以及预防儿童接触等安全措施；</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、医疗废物转交出去后，应当对暂时贮存地点、设施及时进行清洁和消毒处理，冲洗暂存地点和设施的废水必须经过消毒池处理后排放；</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、医疗废物暂时贮存的时间不得超过</w:t>
      </w:r>
      <w:r>
        <w:rPr>
          <w:rFonts w:ascii="Times New Roman" w:hAnsi="Times New Roman" w:eastAsia="宋体" w:cs="Times New Roman"/>
          <w:color w:val="auto"/>
          <w:spacing w:val="0"/>
          <w:kern w:val="0"/>
          <w:sz w:val="24"/>
          <w:szCs w:val="24"/>
          <w:highlight w:val="none"/>
        </w:rPr>
        <w:t>2</w:t>
      </w:r>
      <w:r>
        <w:rPr>
          <w:rFonts w:ascii="Times New Roman" w:hAnsi="Times New Roman" w:eastAsia="宋体" w:cs="宋体"/>
          <w:color w:val="auto"/>
          <w:spacing w:val="0"/>
          <w:kern w:val="0"/>
          <w:sz w:val="24"/>
          <w:szCs w:val="24"/>
          <w:highlight w:val="none"/>
        </w:rPr>
        <w:t>天，尽量做到日产日清。</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olor w:val="auto"/>
          <w:spacing w:val="0"/>
          <w:kern w:val="0"/>
          <w:sz w:val="24"/>
          <w:highlight w:val="none"/>
        </w:rPr>
      </w:pPr>
      <w:r>
        <w:rPr>
          <w:rFonts w:ascii="Times New Roman" w:hAnsi="Times New Roman" w:eastAsia="宋体" w:cs="宋体"/>
          <w:color w:val="auto"/>
          <w:spacing w:val="0"/>
          <w:kern w:val="0"/>
          <w:sz w:val="24"/>
          <w:szCs w:val="24"/>
          <w:highlight w:val="none"/>
        </w:rPr>
        <w:t>综上所述，本项目产生的固体废物在采取上述处置措施后，均得到合理处置与利用，对周围环境影响较小。</w:t>
      </w:r>
    </w:p>
    <w:p>
      <w:pPr>
        <w:pStyle w:val="5"/>
        <w:rPr>
          <w:rFonts w:ascii="Times New Roman" w:hAnsi="Times New Roman" w:eastAsia="宋体"/>
          <w:color w:val="auto"/>
          <w:highlight w:val="none"/>
        </w:rPr>
      </w:pPr>
      <w:bookmarkStart w:id="208" w:name="_Toc106663504"/>
      <w:r>
        <w:rPr>
          <w:rFonts w:hint="eastAsia" w:ascii="Times New Roman" w:hAnsi="Times New Roman" w:eastAsia="宋体"/>
          <w:color w:val="auto"/>
          <w:highlight w:val="none"/>
        </w:rPr>
        <w:t>5.2.5土壤环境影响分析</w:t>
      </w:r>
      <w:bookmarkEnd w:id="208"/>
    </w:p>
    <w:p>
      <w:pPr>
        <w:pStyle w:val="6"/>
        <w:ind w:firstLine="0" w:firstLineChars="0"/>
        <w:rPr>
          <w:rFonts w:ascii="Times New Roman" w:hAnsi="Times New Roman" w:eastAsia="宋体"/>
          <w:color w:val="auto"/>
          <w:highlight w:val="none"/>
        </w:rPr>
      </w:pPr>
      <w:r>
        <w:rPr>
          <w:rFonts w:ascii="Times New Roman" w:hAnsi="Times New Roman" w:eastAsia="宋体"/>
          <w:color w:val="auto"/>
          <w:highlight w:val="none"/>
        </w:rPr>
        <w:t>5.2.5.1</w:t>
      </w:r>
      <w:r>
        <w:rPr>
          <w:rFonts w:hint="eastAsia" w:ascii="Times New Roman" w:hAnsi="Times New Roman" w:eastAsia="宋体"/>
          <w:color w:val="auto"/>
          <w:highlight w:val="none"/>
        </w:rPr>
        <w:t>土壤现状</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.1土壤区域性质简述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土质以轻壤、中壤为主，其次是沙壤、重壤、粘土等，土壤有机质含量为</w:t>
      </w:r>
      <w:r>
        <w:rPr>
          <w:rFonts w:ascii="Times New Roman" w:hAnsi="Times New Roman" w:eastAsia="宋体" w:cs="Times New Roman"/>
          <w:color w:val="auto"/>
          <w:spacing w:val="0"/>
          <w:sz w:val="24"/>
          <w:szCs w:val="24"/>
          <w:highlight w:val="none"/>
        </w:rPr>
        <w:t>2.39%</w:t>
      </w:r>
      <w:r>
        <w:rPr>
          <w:rFonts w:ascii="Times New Roman" w:hAnsi="Times New Roman" w:eastAsia="宋体" w:cs="宋体"/>
          <w:color w:val="auto"/>
          <w:spacing w:val="0"/>
          <w:sz w:val="24"/>
          <w:szCs w:val="24"/>
          <w:highlight w:val="none"/>
        </w:rPr>
        <w:t>，含氮</w:t>
      </w:r>
      <w:r>
        <w:rPr>
          <w:rFonts w:ascii="Times New Roman" w:hAnsi="Times New Roman" w:eastAsia="宋体" w:cs="Times New Roman"/>
          <w:color w:val="auto"/>
          <w:spacing w:val="0"/>
          <w:sz w:val="24"/>
          <w:szCs w:val="24"/>
          <w:highlight w:val="none"/>
        </w:rPr>
        <w:t>0.14%</w:t>
      </w:r>
      <w:r>
        <w:rPr>
          <w:rFonts w:ascii="Times New Roman" w:hAnsi="Times New Roman" w:eastAsia="宋体" w:cs="宋体"/>
          <w:color w:val="auto"/>
          <w:spacing w:val="0"/>
          <w:sz w:val="24"/>
          <w:szCs w:val="24"/>
          <w:highlight w:val="none"/>
        </w:rPr>
        <w:t>、含磷</w:t>
      </w:r>
      <w:r>
        <w:rPr>
          <w:rFonts w:ascii="Times New Roman" w:hAnsi="Times New Roman" w:eastAsia="宋体" w:cs="Times New Roman"/>
          <w:color w:val="auto"/>
          <w:spacing w:val="0"/>
          <w:sz w:val="24"/>
          <w:szCs w:val="24"/>
          <w:highlight w:val="none"/>
        </w:rPr>
        <w:t>0.18%</w:t>
      </w:r>
      <w:r>
        <w:rPr>
          <w:rFonts w:ascii="Times New Roman" w:hAnsi="Times New Roman" w:eastAsia="宋体" w:cs="宋体"/>
          <w:color w:val="auto"/>
          <w:spacing w:val="0"/>
          <w:sz w:val="24"/>
          <w:szCs w:val="24"/>
          <w:highlight w:val="none"/>
        </w:rPr>
        <w:t>、碳酸钙</w:t>
      </w:r>
      <w:r>
        <w:rPr>
          <w:rFonts w:ascii="Times New Roman" w:hAnsi="Times New Roman" w:eastAsia="宋体" w:cs="Times New Roman"/>
          <w:color w:val="auto"/>
          <w:spacing w:val="0"/>
          <w:sz w:val="24"/>
          <w:szCs w:val="24"/>
          <w:highlight w:val="none"/>
        </w:rPr>
        <w:t>14.9%</w:t>
      </w:r>
      <w:r>
        <w:rPr>
          <w:rFonts w:ascii="Times New Roman" w:hAnsi="Times New Roman" w:eastAsia="宋体" w:cs="宋体"/>
          <w:color w:val="auto"/>
          <w:spacing w:val="0"/>
          <w:sz w:val="24"/>
          <w:szCs w:val="24"/>
          <w:highlight w:val="none"/>
        </w:rPr>
        <w:t>，土壤</w:t>
      </w:r>
      <w:r>
        <w:rPr>
          <w:rFonts w:ascii="Times New Roman" w:hAnsi="Times New Roman" w:eastAsia="宋体" w:cs="Times New Roman"/>
          <w:color w:val="auto"/>
          <w:spacing w:val="0"/>
          <w:sz w:val="24"/>
          <w:szCs w:val="24"/>
          <w:highlight w:val="none"/>
        </w:rPr>
        <w:t>PH</w:t>
      </w:r>
      <w:r>
        <w:rPr>
          <w:rFonts w:ascii="Times New Roman" w:hAnsi="Times New Roman" w:eastAsia="宋体" w:cs="宋体"/>
          <w:color w:val="auto"/>
          <w:spacing w:val="0"/>
          <w:sz w:val="24"/>
          <w:szCs w:val="24"/>
          <w:highlight w:val="none"/>
        </w:rPr>
        <w:t>值为</w:t>
      </w:r>
      <w:r>
        <w:rPr>
          <w:rFonts w:ascii="Times New Roman" w:hAnsi="Times New Roman" w:eastAsia="宋体" w:cs="Times New Roman"/>
          <w:color w:val="auto"/>
          <w:spacing w:val="0"/>
          <w:sz w:val="24"/>
          <w:szCs w:val="24"/>
          <w:highlight w:val="none"/>
        </w:rPr>
        <w:t>5.5</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6.5</w:t>
      </w:r>
      <w:r>
        <w:rPr>
          <w:rFonts w:ascii="Times New Roman" w:hAnsi="Times New Roman" w:eastAsia="宋体" w:cs="宋体"/>
          <w:color w:val="auto"/>
          <w:spacing w:val="0"/>
          <w:sz w:val="24"/>
          <w:szCs w:val="24"/>
          <w:highlight w:val="none"/>
        </w:rPr>
        <w:t>。土壤理化和生物性能良好，土质宜农宜牧。</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.2土壤环境质量现状评价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宋体" w:cs="宋体"/>
          <w:color w:val="auto"/>
          <w:spacing w:val="0"/>
          <w:sz w:val="24"/>
          <w:szCs w:val="24"/>
          <w:highlight w:val="none"/>
          <w:lang w:val="en-US" w:eastAsia="zh-CN"/>
        </w:rPr>
      </w:pPr>
      <w:r>
        <w:rPr>
          <w:rFonts w:ascii="Times New Roman" w:hAnsi="Times New Roman" w:eastAsia="宋体" w:cs="宋体"/>
          <w:color w:val="auto"/>
          <w:spacing w:val="0"/>
          <w:sz w:val="24"/>
          <w:szCs w:val="24"/>
          <w:highlight w:val="none"/>
        </w:rPr>
        <w:t>本项目土壤现状监测设置3个点位，项目土壤各监测因子浓度均满足《土壤环境质量农用地土壤污染风险管控标准</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试行</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GB15618-2018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中其他用地风险筛选值，当地土壤环境质量较好。</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.3土壤影响分析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造成土壤影响的污染源主要来鸡粪及散落羽毛、废水，鸡粪含有植物生长必须的营养元素，是一种很好的资源，能改善土壤的理化性质，增强土壤的保肥性，提高土壤的生态肥力，对土壤环境产生有利影响。畜禽养殖主要问题之一是对土壤环境和农产品质量造成威胁。一方面，部分地区畜禽养殖量无序增加，废弃物排放量严重超过土地消纳能力，造成农田土壤污染。</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项目区产生的鸡粪采用自动清粪系统清理后拉运至有机肥生产公司作为有机肥生产的原料，由其负责定期清运工作；生活污水直接排入下水管网，最终进入玛纳斯县城污水处理厂；鸡舍冲洗废水排入</w:t>
      </w:r>
      <w:r>
        <w:rPr>
          <w:rFonts w:hint="eastAsia" w:cs="宋体"/>
          <w:color w:val="auto"/>
          <w:spacing w:val="0"/>
          <w:sz w:val="24"/>
          <w:szCs w:val="24"/>
          <w:highlight w:val="none"/>
          <w:lang w:eastAsia="zh-CN"/>
        </w:rPr>
        <w:t>废水收集池</w:t>
      </w:r>
      <w:r>
        <w:rPr>
          <w:rFonts w:hint="eastAsia" w:cs="宋体"/>
          <w:color w:val="auto"/>
          <w:spacing w:val="0"/>
          <w:sz w:val="24"/>
          <w:szCs w:val="24"/>
          <w:highlight w:val="none"/>
          <w:lang w:val="en-US" w:eastAsia="zh-CN"/>
        </w:rPr>
        <w:t>经预处理后用作农肥</w:t>
      </w:r>
      <w:r>
        <w:rPr>
          <w:rFonts w:ascii="Times New Roman" w:hAnsi="Times New Roman" w:eastAsia="宋体" w:cs="宋体"/>
          <w:color w:val="auto"/>
          <w:spacing w:val="0"/>
          <w:sz w:val="24"/>
          <w:szCs w:val="24"/>
          <w:highlight w:val="none"/>
        </w:rPr>
        <w:t>。通过评价分析，本项目产生的鸡粪以及废水不会对土壤环境造成大的影响。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因此企业要严格实施环评提及的各项废水、固废防治措施治理，实现污水、固废的零排放，使其对周围土壤环境影响降至最低。</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土壤环境影响评价自查表见表</w:t>
      </w:r>
      <w:r>
        <w:rPr>
          <w:rFonts w:hint="eastAsia" w:ascii="Times New Roman" w:hAnsi="Times New Roman" w:eastAsia="宋体" w:cs="宋体"/>
          <w:color w:val="auto"/>
          <w:spacing w:val="0"/>
          <w:sz w:val="24"/>
          <w:szCs w:val="24"/>
          <w:highlight w:val="none"/>
          <w:lang w:val="en-US" w:eastAsia="zh-CN"/>
        </w:rPr>
        <w:t>5</w:t>
      </w:r>
      <w:r>
        <w:rPr>
          <w:rFonts w:ascii="Times New Roman" w:hAnsi="Times New Roman" w:eastAsia="宋体" w:cs="宋体"/>
          <w:color w:val="auto"/>
          <w:spacing w:val="0"/>
          <w:sz w:val="24"/>
          <w:szCs w:val="24"/>
          <w:highlight w:val="none"/>
        </w:rPr>
        <w:t>.2-1</w:t>
      </w:r>
      <w:r>
        <w:rPr>
          <w:rFonts w:hint="eastAsia" w:ascii="Times New Roman" w:hAnsi="Times New Roman" w:eastAsia="宋体" w:cs="宋体"/>
          <w:color w:val="auto"/>
          <w:spacing w:val="0"/>
          <w:sz w:val="24"/>
          <w:szCs w:val="24"/>
          <w:highlight w:val="none"/>
          <w:lang w:val="en-US" w:eastAsia="zh-CN"/>
        </w:rPr>
        <w:t>9</w:t>
      </w:r>
      <w:r>
        <w:rPr>
          <w:rFonts w:ascii="Times New Roman" w:hAnsi="Times New Roman" w:eastAsia="宋体" w:cs="宋体"/>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bCs/>
          <w:color w:val="auto"/>
          <w:spacing w:val="0"/>
          <w:sz w:val="24"/>
          <w:szCs w:val="24"/>
          <w:highlight w:val="none"/>
        </w:rPr>
      </w:pPr>
      <w:r>
        <w:rPr>
          <w:rFonts w:ascii="Times New Roman" w:hAnsi="Times New Roman" w:eastAsia="宋体" w:cs="宋体"/>
          <w:b/>
          <w:bCs/>
          <w:color w:val="auto"/>
          <w:spacing w:val="0"/>
          <w:sz w:val="24"/>
          <w:szCs w:val="24"/>
          <w:highlight w:val="none"/>
        </w:rPr>
        <w:t>表</w:t>
      </w:r>
      <w:r>
        <w:rPr>
          <w:rFonts w:hint="eastAsia" w:ascii="Times New Roman" w:hAnsi="Times New Roman" w:eastAsia="宋体" w:cs="宋体"/>
          <w:b/>
          <w:bCs/>
          <w:color w:val="auto"/>
          <w:spacing w:val="0"/>
          <w:sz w:val="24"/>
          <w:szCs w:val="24"/>
          <w:highlight w:val="none"/>
          <w:lang w:val="en-US" w:eastAsia="zh-CN"/>
        </w:rPr>
        <w:t>5</w:t>
      </w:r>
      <w:r>
        <w:rPr>
          <w:rFonts w:ascii="Times New Roman" w:hAnsi="Times New Roman" w:eastAsia="宋体" w:cs="宋体"/>
          <w:b/>
          <w:bCs/>
          <w:color w:val="auto"/>
          <w:spacing w:val="0"/>
          <w:sz w:val="24"/>
          <w:szCs w:val="24"/>
          <w:highlight w:val="none"/>
        </w:rPr>
        <w:t>.2-1</w:t>
      </w:r>
      <w:r>
        <w:rPr>
          <w:rFonts w:hint="eastAsia" w:ascii="Times New Roman" w:hAnsi="Times New Roman" w:eastAsia="宋体" w:cs="宋体"/>
          <w:b/>
          <w:bCs/>
          <w:color w:val="auto"/>
          <w:spacing w:val="0"/>
          <w:sz w:val="24"/>
          <w:szCs w:val="24"/>
          <w:highlight w:val="none"/>
          <w:lang w:val="en-US" w:eastAsia="zh-CN"/>
        </w:rPr>
        <w:t>9</w:t>
      </w:r>
      <w:r>
        <w:rPr>
          <w:rFonts w:ascii="Times New Roman" w:hAnsi="Times New Roman" w:eastAsia="宋体" w:cs="宋体"/>
          <w:b/>
          <w:bCs/>
          <w:color w:val="auto"/>
          <w:spacing w:val="0"/>
          <w:sz w:val="24"/>
          <w:szCs w:val="24"/>
          <w:highlight w:val="none"/>
        </w:rPr>
        <w:t>土壤环境影响评价自查表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484"/>
        <w:gridCol w:w="1248"/>
        <w:gridCol w:w="1351"/>
        <w:gridCol w:w="954"/>
        <w:gridCol w:w="382"/>
        <w:gridCol w:w="1376"/>
        <w:gridCol w:w="10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9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工作内容</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完成情况</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影响识别</w:t>
            </w: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影响类型</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污染影响型</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；生态影响型</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；两种兼有</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土地利用类型</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建设用地</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；农用地</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；未利用地</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占地规模</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宋体"/>
                <w:color w:val="auto"/>
                <w:spacing w:val="0"/>
                <w:position w:val="0"/>
                <w:sz w:val="21"/>
                <w:szCs w:val="21"/>
                <w:highlight w:val="none"/>
                <w:lang w:eastAsia="zh-CN"/>
              </w:rPr>
              <w:t>（</w:t>
            </w:r>
            <w:r>
              <w:rPr>
                <w:rFonts w:hint="eastAsia" w:ascii="Times New Roman" w:hAnsi="Times New Roman" w:eastAsia="宋体" w:cs="宋体"/>
                <w:color w:val="auto"/>
                <w:spacing w:val="0"/>
                <w:position w:val="0"/>
                <w:sz w:val="21"/>
                <w:szCs w:val="21"/>
                <w:highlight w:val="none"/>
                <w:lang w:val="en-US" w:eastAsia="zh-CN"/>
              </w:rPr>
              <w:t>7.01</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hm</w:t>
            </w:r>
            <w:r>
              <w:rPr>
                <w:rFonts w:ascii="Times New Roman" w:hAnsi="Times New Roman" w:eastAsia="宋体" w:cs="Times New Roman"/>
                <w:color w:val="auto"/>
                <w:spacing w:val="0"/>
                <w:position w:val="0"/>
                <w:sz w:val="21"/>
                <w:szCs w:val="21"/>
                <w:highlight w:val="none"/>
                <w:vertAlign w:val="superscript"/>
              </w:rPr>
              <w:t>2</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敏感目标信息</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敏感目标</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耕地</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、方位</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周围</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、距离</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最近5m</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影响途径</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大气沉降</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；地面漫流</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；垂直入渗</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；地下水位</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全部污染物</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特征因子</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所属土壤环境</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影响评价项目</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类别</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Ⅰ类</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；Ⅱ类</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；Ⅲ类</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；Ⅳ类</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敏感程度</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；较敏感</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；不敏感</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评价工作等级</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Segoe UI Symbol"/>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；二级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；三级</w:t>
            </w:r>
            <w:r>
              <w:rPr>
                <w:rFonts w:ascii="Times New Roman" w:hAnsi="Times New Roman" w:eastAsia="宋体" w:cs="Segoe UI Symbol"/>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现状调查内容</w:t>
            </w: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资料收集</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c</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d</w:t>
            </w:r>
            <w:r>
              <w:rPr>
                <w:rFonts w:hint="eastAsia" w:cs="宋体"/>
                <w:color w:val="auto"/>
                <w:spacing w:val="0"/>
                <w:position w:val="0"/>
                <w:sz w:val="21"/>
                <w:szCs w:val="21"/>
                <w:highlight w:val="none"/>
                <w:lang w:eastAsia="zh-CN"/>
              </w:rPr>
              <w:t>）</w:t>
            </w:r>
            <w:r>
              <w:rPr>
                <w:rFonts w:ascii="Times New Roman" w:hAnsi="Times New Roman" w:eastAsia="宋体" w:cs="MS Gothic"/>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理化特性</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无酸化或碱化的中度盐化土</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同附录</w:t>
            </w:r>
            <w:r>
              <w:rPr>
                <w:rFonts w:ascii="Times New Roman" w:hAnsi="Times New Roman" w:eastAsia="宋体" w:cs="Times New Roman"/>
                <w:color w:val="auto"/>
                <w:spacing w:val="0"/>
                <w:position w:val="0"/>
                <w:sz w:val="21"/>
                <w:szCs w:val="21"/>
                <w:highlight w:val="none"/>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现状监测点位</w:t>
            </w:r>
          </w:p>
        </w:tc>
        <w:tc>
          <w:tcPr>
            <w:tcW w:w="7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占地范围内</w:t>
            </w:r>
          </w:p>
        </w:tc>
        <w:tc>
          <w:tcPr>
            <w:tcW w:w="8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占地范围外</w:t>
            </w: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深度</w:t>
            </w:r>
          </w:p>
        </w:tc>
        <w:tc>
          <w:tcPr>
            <w:tcW w:w="61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点位布置图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表层样点数</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8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0.2m</w:t>
            </w:r>
          </w:p>
        </w:tc>
        <w:tc>
          <w:tcPr>
            <w:tcW w:w="6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柱状样点数</w:t>
            </w:r>
          </w:p>
        </w:tc>
        <w:tc>
          <w:tcPr>
            <w:tcW w:w="8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现状监测因子</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hint="eastAsia" w:ascii="Times New Roman" w:hAnsi="Times New Roman" w:eastAsia="宋体" w:cs="宋体"/>
                <w:color w:val="auto"/>
                <w:spacing w:val="0"/>
                <w:position w:val="0"/>
                <w:sz w:val="21"/>
                <w:szCs w:val="21"/>
                <w:highlight w:val="none"/>
                <w:lang w:val="en-US" w:eastAsia="zh-CN"/>
              </w:rPr>
              <w:t>四十五全项</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w:t>
            </w: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评价标准</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GB15618</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GB36600□</w:t>
            </w:r>
            <w:r>
              <w:rPr>
                <w:rFonts w:ascii="Times New Roman" w:hAnsi="Times New Roman" w:eastAsia="宋体" w:cs="宋体"/>
                <w:color w:val="auto"/>
                <w:spacing w:val="0"/>
                <w:position w:val="0"/>
                <w:sz w:val="21"/>
                <w:szCs w:val="21"/>
                <w:highlight w:val="none"/>
              </w:rPr>
              <w:t>；表</w:t>
            </w:r>
            <w:r>
              <w:rPr>
                <w:rFonts w:ascii="Times New Roman" w:hAnsi="Times New Roman" w:eastAsia="宋体" w:cs="Times New Roman"/>
                <w:color w:val="auto"/>
                <w:spacing w:val="0"/>
                <w:position w:val="0"/>
                <w:sz w:val="21"/>
                <w:szCs w:val="21"/>
                <w:highlight w:val="none"/>
              </w:rPr>
              <w:t>D.1□</w:t>
            </w:r>
            <w:r>
              <w:rPr>
                <w:rFonts w:ascii="Times New Roman" w:hAnsi="Times New Roman" w:eastAsia="宋体" w:cs="宋体"/>
                <w:color w:val="auto"/>
                <w:spacing w:val="0"/>
                <w:position w:val="0"/>
                <w:sz w:val="21"/>
                <w:szCs w:val="21"/>
                <w:highlight w:val="none"/>
              </w:rPr>
              <w:t>；表</w:t>
            </w:r>
            <w:r>
              <w:rPr>
                <w:rFonts w:ascii="Times New Roman" w:hAnsi="Times New Roman" w:eastAsia="宋体" w:cs="Times New Roman"/>
                <w:color w:val="auto"/>
                <w:spacing w:val="0"/>
                <w:position w:val="0"/>
                <w:sz w:val="21"/>
                <w:szCs w:val="21"/>
                <w:highlight w:val="none"/>
              </w:rPr>
              <w:t>D.2□</w:t>
            </w:r>
            <w:r>
              <w:rPr>
                <w:rFonts w:ascii="Times New Roman" w:hAnsi="Times New Roman" w:eastAsia="宋体" w:cs="宋体"/>
                <w:color w:val="auto"/>
                <w:spacing w:val="0"/>
                <w:position w:val="0"/>
                <w:sz w:val="21"/>
                <w:szCs w:val="21"/>
                <w:highlight w:val="none"/>
              </w:rPr>
              <w:t>；其他</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HJ568-2010</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现状评价结论</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项目区周边各监测点各监测因子浓度均满足《土壤环境质量农用地土壤污染风险管控标准</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试行</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GB15618-2018</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风险筛选值和《畜禽养殖产地环境评价规范》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HJ568-2010</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4</w:t>
            </w:r>
            <w:r>
              <w:rPr>
                <w:rFonts w:ascii="Times New Roman" w:hAnsi="Times New Roman" w:eastAsia="宋体" w:cs="宋体"/>
                <w:color w:val="auto"/>
                <w:spacing w:val="0"/>
                <w:position w:val="0"/>
                <w:sz w:val="21"/>
                <w:szCs w:val="21"/>
                <w:highlight w:val="none"/>
              </w:rPr>
              <w:t>限值要求</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w:t>
            </w: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预测因子</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预测方法</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Segoe UI Symbol"/>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E□</w:t>
            </w: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F□</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类比法</w:t>
            </w:r>
            <w:r>
              <w:rPr>
                <w:rFonts w:hint="eastAsia" w:cs="宋体"/>
                <w:color w:val="auto"/>
                <w:spacing w:val="0"/>
                <w:position w:val="0"/>
                <w:sz w:val="21"/>
                <w:szCs w:val="21"/>
                <w:highlight w:val="none"/>
                <w:lang w:eastAsia="zh-CN"/>
              </w:rPr>
              <w:t>）</w:t>
            </w:r>
            <w:r>
              <w:rPr>
                <w:rFonts w:ascii="Times New Roman" w:hAnsi="Times New Roman" w:eastAsia="宋体" w:cs="Segoe UI Symbol"/>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预测分析内容</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影响范围</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厂界外</w:t>
            </w:r>
            <w:r>
              <w:rPr>
                <w:rFonts w:ascii="Times New Roman" w:hAnsi="Times New Roman" w:eastAsia="宋体" w:cs="Times New Roman"/>
                <w:color w:val="auto"/>
                <w:spacing w:val="0"/>
                <w:position w:val="0"/>
                <w:sz w:val="21"/>
                <w:szCs w:val="21"/>
                <w:highlight w:val="none"/>
              </w:rPr>
              <w:t>50m</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；影响程度</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较小</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预测结论</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达标结论：</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c</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不达标结论：</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防治措施</w:t>
            </w: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防控措施</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土壤环境质量现状保障</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；源头控制</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；过程防控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跟踪监测</w:t>
            </w:r>
          </w:p>
        </w:tc>
        <w:tc>
          <w:tcPr>
            <w:tcW w:w="7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监测点数</w:t>
            </w:r>
          </w:p>
        </w:tc>
        <w:tc>
          <w:tcPr>
            <w:tcW w:w="138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监测指标</w:t>
            </w:r>
          </w:p>
        </w:tc>
        <w:tc>
          <w:tcPr>
            <w:tcW w:w="105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监测频次</w:t>
            </w:r>
          </w:p>
        </w:tc>
        <w:tc>
          <w:tcPr>
            <w:tcW w:w="61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38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05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6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信息公开指标</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61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196"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项目建设对土壤环境影响可接受</w:t>
            </w:r>
          </w:p>
        </w:tc>
        <w:tc>
          <w:tcPr>
            <w:tcW w:w="6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5000" w:type="pct"/>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为勾选项，可</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hint="eastAsia" w:cs="宋体"/>
                <w:color w:val="auto"/>
                <w:spacing w:val="0"/>
                <w:position w:val="0"/>
                <w:sz w:val="21"/>
                <w:szCs w:val="21"/>
                <w:highlight w:val="none"/>
                <w:lang w:eastAsia="zh-CN"/>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为内容填写项；</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备注</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为其他补充内容。注</w:t>
            </w:r>
            <w:r>
              <w:rPr>
                <w:rFonts w:ascii="Times New Roman" w:hAnsi="Times New Roman" w:eastAsia="宋体" w:cs="Times New Roman"/>
                <w:color w:val="auto"/>
                <w:spacing w:val="0"/>
                <w:position w:val="0"/>
                <w:sz w:val="21"/>
                <w:szCs w:val="21"/>
                <w:highlight w:val="none"/>
              </w:rPr>
              <w:t>2</w:t>
            </w:r>
            <w:r>
              <w:rPr>
                <w:rFonts w:ascii="Times New Roman" w:hAnsi="Times New Roman" w:eastAsia="宋体" w:cs="宋体"/>
                <w:color w:val="auto"/>
                <w:spacing w:val="0"/>
                <w:position w:val="0"/>
                <w:sz w:val="21"/>
                <w:szCs w:val="21"/>
                <w:highlight w:val="none"/>
              </w:rPr>
              <w:t>：需要分别开展土壤环境影响评级工作的，分别填写自查表。</w:t>
            </w:r>
          </w:p>
        </w:tc>
      </w:tr>
    </w:tbl>
    <w:p>
      <w:pPr>
        <w:pStyle w:val="5"/>
        <w:rPr>
          <w:rFonts w:ascii="Times New Roman" w:hAnsi="Times New Roman" w:eastAsia="宋体"/>
          <w:color w:val="auto"/>
          <w:highlight w:val="none"/>
        </w:rPr>
      </w:pPr>
      <w:bookmarkStart w:id="209" w:name="_Toc106663505"/>
      <w:r>
        <w:rPr>
          <w:rFonts w:hint="eastAsia" w:ascii="Times New Roman" w:hAnsi="Times New Roman" w:eastAsia="宋体"/>
          <w:color w:val="auto"/>
          <w:highlight w:val="none"/>
        </w:rPr>
        <w:t>5.2.6生态环境影响分析</w:t>
      </w:r>
      <w:bookmarkEnd w:id="209"/>
    </w:p>
    <w:p>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18"/>
          <w:highlight w:val="none"/>
        </w:rPr>
      </w:pPr>
      <w:r>
        <w:rPr>
          <w:rFonts w:hint="eastAsia" w:ascii="Times New Roman" w:hAnsi="Times New Roman" w:eastAsia="宋体"/>
          <w:b w:val="0"/>
          <w:bCs/>
          <w:color w:val="auto"/>
          <w:sz w:val="24"/>
          <w:szCs w:val="18"/>
          <w:highlight w:val="none"/>
        </w:rPr>
        <w:t>1、评价等级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根据《环境影响评价技术导则生态影响》（HJ1.9-2022），确定生态环境评价工作等级。根据生态影响评价工作等级划分内容。生态影响评价工作等级划分如下原则确定：</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b w:val="0"/>
          <w:color w:val="auto"/>
          <w:sz w:val="24"/>
          <w:highlight w:val="none"/>
          <w:lang w:val="en-US" w:eastAsia="zh-CN"/>
        </w:rPr>
        <w:t>a）</w:t>
      </w:r>
      <w:r>
        <w:rPr>
          <w:rFonts w:hint="eastAsia" w:ascii="Times New Roman" w:hAnsi="Times New Roman" w:eastAsia="宋体"/>
          <w:b w:val="0"/>
          <w:color w:val="auto"/>
          <w:sz w:val="24"/>
          <w:highlight w:val="none"/>
        </w:rPr>
        <w:t>涉及国家公园、自然保护区、世界自然遗产、重要生境时，评价等级为一级；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b）涉及自然公园时，评价等级为二级；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c）涉及生态保护红线时，评价等级不低于二级：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d）根据HJ2.3判断属于水文要素影响型且地表水评价等级不低于二级的建设项目，生态影响评价等级不低于二级；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e）根据HJ610、HJ964判断地下水水位或土壤影响范围内分布有天然林、公益林、湿地等生态保护目标的建设项目，生态影响评价等级不低于二级；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f）当工程占地规模大于20km</w:t>
      </w:r>
      <w:r>
        <w:rPr>
          <w:rFonts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时（包括永久和临时占用陆域和水域），评价等级不低于二级：改扩建项目的占地范围以新增占地（包括陆域和水域）确定；</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g）除本条a）、b）、c）、d）、e）、f）以外的情况，评价等级为三级；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h）当评价等级判定同时符合上述多种情况时，应采用其中最高的评价等级。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（2）工程占地范围及环境敏感情况</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本项目总占地面积</w:t>
      </w:r>
      <w:r>
        <w:rPr>
          <w:rFonts w:hint="eastAsia" w:ascii="Times New Roman" w:hAnsi="Times New Roman" w:eastAsia="宋体"/>
          <w:b w:val="0"/>
          <w:color w:val="auto"/>
          <w:sz w:val="24"/>
          <w:highlight w:val="none"/>
          <w:lang w:eastAsia="zh-CN"/>
        </w:rPr>
        <w:t>70119.07</w:t>
      </w:r>
      <w:r>
        <w:rPr>
          <w:rFonts w:hint="eastAsia" w:ascii="Times New Roman" w:hAnsi="Times New Roman" w:eastAsia="宋体"/>
          <w:b w:val="0"/>
          <w:color w:val="auto"/>
          <w:sz w:val="24"/>
          <w:highlight w:val="none"/>
        </w:rPr>
        <w:t>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（折</w:t>
      </w:r>
      <w:r>
        <w:rPr>
          <w:rFonts w:hint="eastAsia" w:ascii="Times New Roman" w:hAnsi="Times New Roman" w:eastAsia="宋体"/>
          <w:b w:val="0"/>
          <w:color w:val="auto"/>
          <w:sz w:val="24"/>
          <w:highlight w:val="none"/>
          <w:lang w:eastAsia="zh-CN"/>
        </w:rPr>
        <w:t>0.0701</w:t>
      </w:r>
      <w:r>
        <w:rPr>
          <w:rFonts w:hint="eastAsia" w:ascii="Times New Roman" w:hAnsi="Times New Roman" w:eastAsia="宋体"/>
          <w:b w:val="0"/>
          <w:color w:val="auto"/>
          <w:sz w:val="24"/>
          <w:highlight w:val="none"/>
        </w:rPr>
        <w:t>km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），小于2</w:t>
      </w:r>
      <w:r>
        <w:rPr>
          <w:rFonts w:ascii="Times New Roman" w:hAnsi="Times New Roman" w:eastAsia="宋体"/>
          <w:b w:val="0"/>
          <w:color w:val="auto"/>
          <w:sz w:val="24"/>
          <w:highlight w:val="none"/>
        </w:rPr>
        <w:t>0</w:t>
      </w:r>
      <w:r>
        <w:rPr>
          <w:rFonts w:hint="eastAsia" w:ascii="Times New Roman" w:hAnsi="Times New Roman" w:eastAsia="宋体"/>
          <w:b w:val="0"/>
          <w:color w:val="auto"/>
          <w:sz w:val="24"/>
          <w:highlight w:val="none"/>
        </w:rPr>
        <w:t>km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。本项目周边不涉及国家公园、自然保护区、世界自然遗产、重要生境时，不涉及自然公园，不涉及生态保护红线。</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综上所述，本项目生态影响评价等级为三级。</w:t>
      </w:r>
    </w:p>
    <w:p>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18"/>
          <w:highlight w:val="none"/>
        </w:rPr>
      </w:pPr>
      <w:r>
        <w:rPr>
          <w:rFonts w:ascii="Times New Roman" w:hAnsi="Times New Roman" w:eastAsia="宋体"/>
          <w:b w:val="0"/>
          <w:bCs/>
          <w:color w:val="auto"/>
          <w:sz w:val="24"/>
          <w:szCs w:val="18"/>
          <w:highlight w:val="none"/>
        </w:rPr>
        <w:t>2</w:t>
      </w:r>
      <w:r>
        <w:rPr>
          <w:rFonts w:hint="eastAsia" w:ascii="Times New Roman" w:hAnsi="Times New Roman" w:eastAsia="宋体"/>
          <w:b w:val="0"/>
          <w:bCs/>
          <w:color w:val="auto"/>
          <w:sz w:val="24"/>
          <w:szCs w:val="18"/>
          <w:highlight w:val="none"/>
        </w:rPr>
        <w:t>、</w:t>
      </w:r>
      <w:r>
        <w:rPr>
          <w:rFonts w:hint="eastAsia" w:ascii="Times New Roman" w:hAnsi="Times New Roman" w:eastAsia="宋体"/>
          <w:b w:val="0"/>
          <w:bCs/>
          <w:color w:val="auto"/>
          <w:sz w:val="24"/>
          <w:szCs w:val="21"/>
          <w:highlight w:val="none"/>
        </w:rPr>
        <w:t>生态环境</w:t>
      </w:r>
      <w:r>
        <w:rPr>
          <w:rFonts w:hint="eastAsia" w:ascii="Times New Roman" w:hAnsi="Times New Roman" w:eastAsia="宋体"/>
          <w:b w:val="0"/>
          <w:bCs/>
          <w:color w:val="auto"/>
          <w:sz w:val="24"/>
          <w:szCs w:val="18"/>
          <w:highlight w:val="none"/>
        </w:rPr>
        <w:t>影响评价</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szCs w:val="16"/>
          <w:highlight w:val="none"/>
        </w:rPr>
        <w:t>本项目为三级评价，</w:t>
      </w:r>
      <w:r>
        <w:rPr>
          <w:rFonts w:hint="eastAsia" w:ascii="Times New Roman" w:hAnsi="Times New Roman" w:eastAsia="宋体"/>
          <w:b w:val="0"/>
          <w:color w:val="auto"/>
          <w:sz w:val="24"/>
          <w:highlight w:val="none"/>
        </w:rPr>
        <w:t>根据《环境影响评价技术导则生态影响》（HJ1.9-2022）采取生态机理分析法对本项目生态影响进行评价。</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1）环境背景现状调查</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项目拟建养殖场场地植物分布较为单一，没有珍稀植被，项目区建设前土地利用状况为</w:t>
      </w:r>
      <w:r>
        <w:rPr>
          <w:rFonts w:hint="eastAsia" w:ascii="Times New Roman" w:hAnsi="Times New Roman" w:eastAsia="宋体"/>
          <w:b w:val="0"/>
          <w:color w:val="auto"/>
          <w:sz w:val="24"/>
          <w:szCs w:val="16"/>
          <w:highlight w:val="none"/>
          <w:lang w:eastAsia="zh-CN"/>
        </w:rPr>
        <w:t>荒草地</w:t>
      </w:r>
      <w:r>
        <w:rPr>
          <w:rFonts w:hint="eastAsia" w:ascii="Times New Roman" w:hAnsi="Times New Roman" w:eastAsia="宋体"/>
          <w:b w:val="0"/>
          <w:color w:val="auto"/>
          <w:sz w:val="24"/>
          <w:szCs w:val="16"/>
          <w:highlight w:val="none"/>
        </w:rPr>
        <w:t>；</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2）植物和动物分布</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snapToGrid w:val="0"/>
          <w:color w:val="auto"/>
          <w:sz w:val="24"/>
          <w:szCs w:val="22"/>
          <w:highlight w:val="none"/>
        </w:rPr>
        <w:t>经</w:t>
      </w:r>
      <w:r>
        <w:rPr>
          <w:rFonts w:ascii="Times New Roman" w:hAnsi="Times New Roman" w:eastAsia="宋体"/>
          <w:b w:val="0"/>
          <w:snapToGrid w:val="0"/>
          <w:color w:val="auto"/>
          <w:sz w:val="24"/>
          <w:szCs w:val="22"/>
          <w:highlight w:val="none"/>
        </w:rPr>
        <w:t>实地调查，评价区</w:t>
      </w:r>
      <w:r>
        <w:rPr>
          <w:rFonts w:hint="eastAsia" w:ascii="Times New Roman" w:hAnsi="Times New Roman" w:eastAsia="宋体"/>
          <w:b w:val="0"/>
          <w:snapToGrid w:val="0"/>
          <w:color w:val="auto"/>
          <w:sz w:val="24"/>
          <w:szCs w:val="22"/>
          <w:highlight w:val="none"/>
        </w:rPr>
        <w:t>区域植被类型为温性荒漠类草原，植被主要有绢篙、猪毛菜、叉毛蓬等，植被长势良好。</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本项目土地原有类型为</w:t>
      </w:r>
      <w:r>
        <w:rPr>
          <w:rFonts w:hint="eastAsia" w:ascii="Times New Roman" w:hAnsi="Times New Roman" w:eastAsia="宋体"/>
          <w:b w:val="0"/>
          <w:color w:val="auto"/>
          <w:sz w:val="24"/>
          <w:highlight w:val="none"/>
          <w:lang w:eastAsia="zh-CN"/>
        </w:rPr>
        <w:t>荒草地</w:t>
      </w:r>
      <w:r>
        <w:rPr>
          <w:rFonts w:hint="eastAsia" w:ascii="Times New Roman" w:hAnsi="Times New Roman" w:eastAsia="宋体"/>
          <w:b w:val="0"/>
          <w:color w:val="auto"/>
          <w:sz w:val="24"/>
          <w:highlight w:val="none"/>
        </w:rPr>
        <w:t>，由</w:t>
      </w:r>
      <w:r>
        <w:rPr>
          <w:rFonts w:hint="eastAsia" w:ascii="Times New Roman" w:hAnsi="Times New Roman" w:eastAsia="宋体"/>
          <w:b w:val="0"/>
          <w:color w:val="auto"/>
          <w:sz w:val="24"/>
          <w:highlight w:val="none"/>
          <w:lang w:eastAsia="zh-CN"/>
        </w:rPr>
        <w:t>昌吉玛纳斯县广东地乡广东地村区</w:t>
      </w:r>
      <w:r>
        <w:rPr>
          <w:rFonts w:hint="eastAsia" w:ascii="Times New Roman" w:hAnsi="Times New Roman" w:eastAsia="宋体"/>
          <w:b w:val="0"/>
          <w:color w:val="auto"/>
          <w:sz w:val="24"/>
          <w:highlight w:val="none"/>
        </w:rPr>
        <w:t>村委会使用，未承包到户。草原权属清楚、无争议。本项目所在地块已经在</w:t>
      </w:r>
      <w:r>
        <w:rPr>
          <w:rFonts w:hint="eastAsia" w:ascii="Times New Roman" w:hAnsi="Times New Roman" w:eastAsia="宋体"/>
          <w:b w:val="0"/>
          <w:color w:val="auto"/>
          <w:sz w:val="24"/>
          <w:highlight w:val="none"/>
          <w:lang w:eastAsia="zh-CN"/>
        </w:rPr>
        <w:t>玛纳斯县</w:t>
      </w:r>
      <w:r>
        <w:rPr>
          <w:rFonts w:hint="eastAsia" w:ascii="Times New Roman" w:hAnsi="Times New Roman" w:eastAsia="宋体"/>
          <w:b w:val="0"/>
          <w:color w:val="auto"/>
          <w:sz w:val="24"/>
          <w:highlight w:val="none"/>
        </w:rPr>
        <w:t>自然资源局办理相关了设施农用地备案手续，土地属性已转变为设施农业用地。本地块已交纳了草地补偿费和安置补偿费，对损失的草场生态量进行了异地补偿。</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本项目建成后，部分土地被硬化，植被破坏，对植物生态系统造成了一定程度的损坏，但项目完成后，在养殖场内部空地和场界四周加强绿化，绿化以乔、灌、草等相结合的形式，场界主要种植高大乔木辅以灌木，场内以灌木草坪为主，相对增加了植被生态系统的多样性。</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本项目实施后，产生的粪污可以生产农肥和沼肥。农肥施用于农田可减少化肥施用量，增加农肥施用量；无疑将提高土壤肥力，改变土壤理、化性质，增加下垫面的抗蚀能力，改善生态环境；沼肥含多种植物易吸收的营养养分，有利于作物生长；既节约了水资源，又减少了废水排放量，降低了对环境的污染，提高了水资源的利用率。</w:t>
      </w:r>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szCs w:val="16"/>
          <w:highlight w:val="none"/>
        </w:rPr>
        <w:t>综上，项目建设对于生态环境具有一定的环境影响，但影响在可接受范围内。经分析可知，本项目实施后对当地动植物生态环境影响不大。</w:t>
      </w:r>
    </w:p>
    <w:p>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21"/>
          <w:highlight w:val="none"/>
        </w:rPr>
      </w:pPr>
      <w:bookmarkStart w:id="210" w:name="_Toc106663506"/>
      <w:bookmarkStart w:id="211" w:name="_Toc86740209"/>
      <w:r>
        <w:rPr>
          <w:rFonts w:ascii="Times New Roman" w:hAnsi="Times New Roman" w:eastAsia="宋体"/>
          <w:b w:val="0"/>
          <w:bCs/>
          <w:color w:val="auto"/>
          <w:sz w:val="24"/>
          <w:szCs w:val="21"/>
          <w:highlight w:val="none"/>
        </w:rPr>
        <w:t>3</w:t>
      </w:r>
      <w:r>
        <w:rPr>
          <w:rFonts w:hint="eastAsia" w:ascii="Times New Roman" w:hAnsi="Times New Roman" w:eastAsia="宋体"/>
          <w:b w:val="0"/>
          <w:bCs/>
          <w:color w:val="auto"/>
          <w:sz w:val="24"/>
          <w:szCs w:val="21"/>
          <w:highlight w:val="none"/>
        </w:rPr>
        <w:t>、对景观生态的影响</w:t>
      </w:r>
      <w:bookmarkEnd w:id="210"/>
      <w:bookmarkEnd w:id="211"/>
    </w:p>
    <w:p>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项目养殖场属于地上建筑，因此在设计时需考虑周边景观要求，加强对建构筑物及道路以外的空地进行绿化，植物配置以乡土物种为主，疏密适当，高低错落，形成一定的层次感；色彩丰富，主要以常绿树种作为</w:t>
      </w:r>
      <w:r>
        <w:rPr>
          <w:rFonts w:hint="eastAsia"/>
          <w:b w:val="0"/>
          <w:color w:val="auto"/>
          <w:sz w:val="24"/>
          <w:szCs w:val="16"/>
          <w:highlight w:val="none"/>
          <w:lang w:eastAsia="zh-CN"/>
        </w:rPr>
        <w:t>“</w:t>
      </w:r>
      <w:r>
        <w:rPr>
          <w:rFonts w:hint="eastAsia" w:ascii="Times New Roman" w:hAnsi="Times New Roman" w:eastAsia="宋体"/>
          <w:b w:val="0"/>
          <w:color w:val="auto"/>
          <w:sz w:val="24"/>
          <w:szCs w:val="16"/>
          <w:highlight w:val="none"/>
        </w:rPr>
        <w:t>背景</w:t>
      </w:r>
      <w:r>
        <w:rPr>
          <w:rFonts w:hint="eastAsia"/>
          <w:b w:val="0"/>
          <w:color w:val="auto"/>
          <w:sz w:val="24"/>
          <w:szCs w:val="16"/>
          <w:highlight w:val="none"/>
          <w:lang w:eastAsia="zh-CN"/>
        </w:rPr>
        <w:t>”</w:t>
      </w:r>
      <w:r>
        <w:rPr>
          <w:rFonts w:hint="eastAsia" w:ascii="Times New Roman" w:hAnsi="Times New Roman" w:eastAsia="宋体"/>
          <w:b w:val="0"/>
          <w:color w:val="auto"/>
          <w:sz w:val="24"/>
          <w:szCs w:val="16"/>
          <w:highlight w:val="none"/>
        </w:rPr>
        <w:t>，四季不同花色的花草灌木进行搭配。尽量避免裸露地面，广泛进行垂直绿化，以及各种灌木和草本类花卉、播撒草籽加以点缀，增加</w:t>
      </w:r>
      <w:r>
        <w:rPr>
          <w:rFonts w:ascii="Times New Roman" w:hAnsi="Times New Roman" w:eastAsia="宋体"/>
          <w:b w:val="0"/>
          <w:color w:val="auto"/>
          <w:sz w:val="24"/>
          <w:highlight w:val="none"/>
        </w:rPr>
        <w:t>绿化面积</w:t>
      </w:r>
      <w:r>
        <w:rPr>
          <w:rFonts w:hint="eastAsia" w:ascii="Times New Roman" w:hAnsi="Times New Roman" w:eastAsia="宋体"/>
          <w:b w:val="0"/>
          <w:color w:val="auto"/>
          <w:sz w:val="24"/>
          <w:highlight w:val="none"/>
        </w:rPr>
        <w:t>，</w:t>
      </w:r>
      <w:r>
        <w:rPr>
          <w:rFonts w:hint="eastAsia" w:ascii="Times New Roman" w:hAnsi="Times New Roman" w:eastAsia="宋体"/>
          <w:b w:val="0"/>
          <w:color w:val="auto"/>
          <w:sz w:val="24"/>
          <w:szCs w:val="16"/>
          <w:highlight w:val="none"/>
        </w:rPr>
        <w:t>尽可能的减轻了养殖场建设对周边景观的影响，对周边景观影响较小。</w:t>
      </w:r>
    </w:p>
    <w:p>
      <w:pPr>
        <w:pStyle w:val="4"/>
        <w:rPr>
          <w:rFonts w:ascii="Times New Roman" w:hAnsi="Times New Roman" w:eastAsia="宋体"/>
          <w:color w:val="auto"/>
          <w:highlight w:val="none"/>
        </w:rPr>
      </w:pPr>
      <w:bookmarkStart w:id="212" w:name="_Toc89619345"/>
      <w:bookmarkStart w:id="213" w:name="_Toc106663507"/>
      <w:r>
        <w:rPr>
          <w:rFonts w:hint="eastAsia" w:ascii="Times New Roman" w:hAnsi="Times New Roman" w:eastAsia="宋体"/>
          <w:color w:val="auto"/>
          <w:highlight w:val="none"/>
        </w:rPr>
        <w:t>5.3、环境风险评价</w:t>
      </w:r>
      <w:bookmarkEnd w:id="212"/>
      <w:bookmarkEnd w:id="21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pPr>
        <w:pStyle w:val="5"/>
        <w:rPr>
          <w:rFonts w:ascii="Times New Roman" w:hAnsi="Times New Roman" w:eastAsia="宋体"/>
          <w:color w:val="auto"/>
          <w:highlight w:val="none"/>
        </w:rPr>
      </w:pPr>
      <w:bookmarkStart w:id="214" w:name="_Toc106663508"/>
      <w:r>
        <w:rPr>
          <w:rFonts w:hint="eastAsia" w:ascii="Times New Roman" w:hAnsi="Times New Roman" w:eastAsia="宋体"/>
          <w:color w:val="auto"/>
          <w:highlight w:val="none"/>
        </w:rPr>
        <w:t>5.3.1环境风险评价原则</w:t>
      </w:r>
      <w:bookmarkEnd w:id="21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5"/>
        <w:rPr>
          <w:rFonts w:ascii="Times New Roman" w:hAnsi="Times New Roman" w:eastAsia="宋体"/>
          <w:color w:val="auto"/>
          <w:highlight w:val="none"/>
        </w:rPr>
      </w:pPr>
      <w:bookmarkStart w:id="215" w:name="_Toc106663509"/>
      <w:r>
        <w:rPr>
          <w:rFonts w:hint="eastAsia" w:ascii="Times New Roman" w:hAnsi="Times New Roman" w:eastAsia="宋体"/>
          <w:color w:val="auto"/>
          <w:highlight w:val="none"/>
        </w:rPr>
        <w:t>5.3.2评价程序</w:t>
      </w:r>
      <w:bookmarkEnd w:id="21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环境风险评价程序见图5.3-1。</w:t>
      </w:r>
    </w:p>
    <w:p>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5274310" cy="5429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5"/>
                    <a:stretch>
                      <a:fillRect/>
                    </a:stretch>
                  </pic:blipFill>
                  <pic:spPr>
                    <a:xfrm>
                      <a:off x="0" y="0"/>
                      <a:ext cx="5274310" cy="5429365"/>
                    </a:xfrm>
                    <a:prstGeom prst="rect">
                      <a:avLst/>
                    </a:prstGeom>
                  </pic:spPr>
                </pic:pic>
              </a:graphicData>
            </a:graphic>
          </wp:inline>
        </w:drawing>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图5.3-1环境风险评价流程框图</w:t>
      </w:r>
    </w:p>
    <w:p>
      <w:pPr>
        <w:pStyle w:val="5"/>
        <w:rPr>
          <w:rFonts w:ascii="Times New Roman" w:hAnsi="Times New Roman" w:eastAsia="宋体"/>
          <w:color w:val="auto"/>
          <w:highlight w:val="none"/>
        </w:rPr>
      </w:pPr>
      <w:bookmarkStart w:id="216" w:name="_Toc106663510"/>
      <w:r>
        <w:rPr>
          <w:rFonts w:hint="eastAsia" w:ascii="Times New Roman" w:hAnsi="Times New Roman" w:eastAsia="宋体"/>
          <w:color w:val="auto"/>
          <w:highlight w:val="none"/>
        </w:rPr>
        <w:t>5.3.3风险调查</w:t>
      </w:r>
      <w:bookmarkEnd w:id="216"/>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5.3.3.1建设项目风险源调查</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本项目为畜禽养殖项目，根据《建设项目环境风险评价技术导则》</w:t>
      </w:r>
      <w:r>
        <w:rPr>
          <w:rFonts w:hint="eastAsia"/>
          <w:color w:val="auto"/>
          <w:highlight w:val="none"/>
          <w:lang w:eastAsia="zh-CN"/>
        </w:rPr>
        <w:t>（</w:t>
      </w:r>
      <w:r>
        <w:rPr>
          <w:rFonts w:ascii="Times New Roman" w:hAnsi="Times New Roman" w:eastAsia="宋体"/>
          <w:color w:val="auto"/>
          <w:highlight w:val="none"/>
        </w:rPr>
        <w:t>HJ169-2018</w:t>
      </w:r>
      <w:r>
        <w:rPr>
          <w:rFonts w:hint="eastAsia"/>
          <w:color w:val="auto"/>
          <w:highlight w:val="none"/>
          <w:lang w:eastAsia="zh-CN"/>
        </w:rPr>
        <w:t>）</w:t>
      </w:r>
      <w:r>
        <w:rPr>
          <w:rFonts w:ascii="Times New Roman" w:hAnsi="Times New Roman" w:eastAsia="宋体"/>
          <w:color w:val="auto"/>
          <w:highlight w:val="none"/>
        </w:rPr>
        <w:t>中附录B判定，项目不涉及风险物质。</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5.3.2.2环境敏感目标调查</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根据现场勘查及相关资料查阅，项目所属区域内无自然保护区、风景名胜区和文物古迹等需要特殊保护的敏感目标。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lang w:val="en-US" w:eastAsia="zh-CN"/>
        </w:rPr>
        <w:t>5</w:t>
      </w:r>
      <w:r>
        <w:rPr>
          <w:rFonts w:hint="eastAsia" w:ascii="Times New Roman" w:hAnsi="Times New Roman" w:eastAsia="宋体" w:cs="Times New Roman"/>
          <w:b/>
          <w:bCs/>
          <w:color w:val="auto"/>
          <w:highlight w:val="none"/>
        </w:rPr>
        <w:t>.3-1主要环境保护目标一览表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8"/>
        <w:gridCol w:w="1377"/>
        <w:gridCol w:w="818"/>
        <w:gridCol w:w="369"/>
        <w:gridCol w:w="760"/>
        <w:gridCol w:w="4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环境要素</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环境保护目标</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距离</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km</w:t>
            </w:r>
            <w:r>
              <w:rPr>
                <w:rFonts w:hint="eastAsia" w:cs="宋体"/>
                <w:color w:val="auto"/>
                <w:spacing w:val="0"/>
                <w:sz w:val="21"/>
                <w:szCs w:val="21"/>
                <w:highlight w:val="none"/>
                <w:lang w:eastAsia="zh-CN"/>
              </w:rPr>
              <w:t>）</w:t>
            </w:r>
          </w:p>
        </w:tc>
        <w:tc>
          <w:tcPr>
            <w:tcW w:w="22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方位</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人数</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人</w:t>
            </w:r>
            <w:r>
              <w:rPr>
                <w:rFonts w:hint="eastAsia" w:cs="宋体"/>
                <w:color w:val="auto"/>
                <w:spacing w:val="0"/>
                <w:sz w:val="21"/>
                <w:szCs w:val="21"/>
                <w:highlight w:val="none"/>
                <w:lang w:eastAsia="zh-CN"/>
              </w:rPr>
              <w:t>）</w:t>
            </w:r>
          </w:p>
        </w:tc>
        <w:tc>
          <w:tcPr>
            <w:tcW w:w="259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大气环境</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苇坝村</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18</w:t>
            </w:r>
          </w:p>
        </w:tc>
        <w:tc>
          <w:tcPr>
            <w:tcW w:w="22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1455</w:t>
            </w:r>
          </w:p>
        </w:tc>
        <w:tc>
          <w:tcPr>
            <w:tcW w:w="259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《环境空气质量标准》</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GB3095-2012</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项目区地下水环境</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2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59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《地下水质量标准》</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GB/T14848-2017</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Ⅲ类标准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w:t>
            </w:r>
          </w:p>
        </w:tc>
        <w:tc>
          <w:tcPr>
            <w:tcW w:w="828"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耕地</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0.005</w:t>
            </w:r>
          </w:p>
        </w:tc>
        <w:tc>
          <w:tcPr>
            <w:tcW w:w="222"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E</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59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《土壤环境质量农用地土壤污染风险管控标准</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试行</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GB15618-2018</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表</w:t>
            </w:r>
            <w:r>
              <w:rPr>
                <w:rFonts w:ascii="Times New Roman" w:hAnsi="Times New Roman" w:eastAsia="宋体" w:cs="Times New Roman"/>
                <w:color w:val="auto"/>
                <w:spacing w:val="0"/>
                <w:sz w:val="21"/>
                <w:szCs w:val="21"/>
                <w:highlight w:val="none"/>
              </w:rPr>
              <w:t>1</w:t>
            </w:r>
            <w:r>
              <w:rPr>
                <w:rFonts w:ascii="Times New Roman" w:hAnsi="Times New Roman" w:eastAsia="宋体" w:cs="宋体"/>
                <w:color w:val="auto"/>
                <w:spacing w:val="0"/>
                <w:sz w:val="21"/>
                <w:szCs w:val="21"/>
                <w:highlight w:val="none"/>
              </w:rPr>
              <w:t>、表</w:t>
            </w:r>
            <w:r>
              <w:rPr>
                <w:rFonts w:ascii="Times New Roman" w:hAnsi="Times New Roman" w:eastAsia="宋体" w:cs="Times New Roman"/>
                <w:color w:val="auto"/>
                <w:spacing w:val="0"/>
                <w:sz w:val="21"/>
                <w:szCs w:val="21"/>
                <w:highlight w:val="none"/>
              </w:rPr>
              <w:t>2</w:t>
            </w:r>
            <w:r>
              <w:rPr>
                <w:rFonts w:ascii="Times New Roman" w:hAnsi="Times New Roman" w:eastAsia="宋体" w:cs="宋体"/>
                <w:color w:val="auto"/>
                <w:spacing w:val="0"/>
                <w:sz w:val="21"/>
                <w:szCs w:val="21"/>
                <w:highlight w:val="none"/>
              </w:rPr>
              <w:t>中风险筛选值和《畜禽养殖产地环境评价规范》</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HJ568-2010</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中表</w:t>
            </w:r>
            <w:r>
              <w:rPr>
                <w:rFonts w:ascii="Times New Roman" w:hAnsi="Times New Roman" w:eastAsia="宋体" w:cs="Times New Roman"/>
                <w:color w:val="auto"/>
                <w:spacing w:val="0"/>
                <w:sz w:val="21"/>
                <w:szCs w:val="21"/>
                <w:highlight w:val="none"/>
              </w:rPr>
              <w:t>4</w:t>
            </w:r>
            <w:r>
              <w:rPr>
                <w:rFonts w:ascii="Times New Roman" w:hAnsi="Times New Roman" w:eastAsia="宋体" w:cs="宋体"/>
                <w:color w:val="auto"/>
                <w:spacing w:val="0"/>
                <w:sz w:val="21"/>
                <w:szCs w:val="21"/>
                <w:highlight w:val="none"/>
              </w:rPr>
              <w:t>的要求</w:t>
            </w:r>
          </w:p>
        </w:tc>
      </w:tr>
    </w:tbl>
    <w:p>
      <w:pPr>
        <w:pStyle w:val="5"/>
        <w:rPr>
          <w:rFonts w:ascii="Times New Roman" w:hAnsi="Times New Roman" w:eastAsia="宋体"/>
          <w:color w:val="auto"/>
          <w:highlight w:val="none"/>
        </w:rPr>
      </w:pPr>
      <w:bookmarkStart w:id="217" w:name="_Toc106663511"/>
      <w:r>
        <w:rPr>
          <w:rFonts w:hint="eastAsia" w:ascii="Times New Roman" w:hAnsi="Times New Roman" w:eastAsia="宋体"/>
          <w:color w:val="auto"/>
          <w:highlight w:val="none"/>
        </w:rPr>
        <w:t>5.3.4环境风险潜势初判</w:t>
      </w:r>
      <w:bookmarkEnd w:id="21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中附录C的规定：计算项目所涉及的每种危险物质在厂界内的最大存在总量与其在附录B中对应临界量的比值Q。当只涉及一种危险物质时，计算该物质的总量与其临界量的比值，即为Q。单元内存在多种危险物质，重大危险源判定按下面公式进行，若满足下面公式，则定为重大危险源：</w:t>
      </w:r>
    </w:p>
    <w:p>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5" o:spt="75" type="#_x0000_t75" style="height:42.25pt;width:154.1pt;" o:ole="t" filled="f" o:preferrelative="t" stroked="f" coordsize="21600,21600">
            <v:path/>
            <v:fill on="f" focussize="0,0"/>
            <v:stroke on="f" joinstyle="miter"/>
            <v:imagedata r:id="rId87" o:title=""/>
            <o:lock v:ext="edit" aspectratio="t"/>
            <w10:wrap type="none"/>
            <w10:anchorlock/>
          </v:shape>
          <o:OLEObject Type="Embed" ProgID="Equation.AxMath" ShapeID="_x0000_i1035" DrawAspect="Content" ObjectID="_1468075739" r:id="rId86">
            <o:LockedField>false</o:LockedField>
          </o:OLEObject>
        </w:objec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式中：q</w:t>
      </w:r>
      <w:r>
        <w:rPr>
          <w:rFonts w:hint="eastAsia" w:ascii="Times New Roman" w:hAnsi="Times New Roman" w:eastAsia="宋体"/>
          <w:color w:val="auto"/>
          <w:highlight w:val="none"/>
          <w:vertAlign w:val="subscript"/>
        </w:rPr>
        <w:t>1</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n</w:t>
      </w:r>
      <w:r>
        <w:rPr>
          <w:rFonts w:hint="eastAsia" w:ascii="Times New Roman" w:hAnsi="Times New Roman" w:eastAsia="宋体"/>
          <w:color w:val="auto"/>
          <w:highlight w:val="none"/>
        </w:rPr>
        <w:t>——每种危险物质的最大存在总量，t；</w:t>
      </w:r>
    </w:p>
    <w:p>
      <w:pPr>
        <w:ind w:firstLine="1200" w:firstLineChars="500"/>
        <w:jc w:val="left"/>
        <w:rPr>
          <w:rFonts w:ascii="Times New Roman" w:hAnsi="Times New Roman" w:eastAsia="宋体"/>
          <w:color w:val="auto"/>
          <w:highlight w:val="none"/>
        </w:rPr>
      </w:pP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1</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n</w:t>
      </w:r>
      <w:r>
        <w:rPr>
          <w:rFonts w:hint="eastAsia" w:ascii="Times New Roman" w:hAnsi="Times New Roman" w:eastAsia="宋体"/>
          <w:color w:val="auto"/>
          <w:highlight w:val="none"/>
        </w:rPr>
        <w:t>——每种危险物质的临界量，t。</w:t>
      </w:r>
    </w:p>
    <w:p>
      <w:pPr>
        <w:ind w:firstLine="1200" w:firstLineChars="500"/>
        <w:jc w:val="left"/>
        <w:rPr>
          <w:rFonts w:ascii="Times New Roman" w:hAnsi="Times New Roman" w:eastAsia="宋体"/>
          <w:color w:val="auto"/>
          <w:highlight w:val="none"/>
        </w:rPr>
      </w:pPr>
      <w:r>
        <w:rPr>
          <w:rFonts w:hint="eastAsia" w:ascii="Times New Roman" w:hAnsi="Times New Roman" w:eastAsia="宋体"/>
          <w:color w:val="auto"/>
          <w:highlight w:val="none"/>
        </w:rPr>
        <w:t>当Q≥1时，将Q值划分为：（1）1≤Q＜10；（2）10≤Q＜100；（3）Q≥100。</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本项目不涉及附录B中的危险化学品，则存储量和临界量比值</w:t>
      </w:r>
      <w:r>
        <w:rPr>
          <w:rFonts w:hint="eastAsia"/>
          <w:color w:val="auto"/>
          <w:highlight w:val="none"/>
          <w:lang w:eastAsia="zh-CN"/>
        </w:rPr>
        <w:t>（</w:t>
      </w:r>
      <w:r>
        <w:rPr>
          <w:rFonts w:ascii="Times New Roman" w:hAnsi="Times New Roman" w:eastAsia="宋体"/>
          <w:color w:val="auto"/>
          <w:highlight w:val="none"/>
        </w:rPr>
        <w:t>Q</w:t>
      </w:r>
      <w:r>
        <w:rPr>
          <w:rFonts w:hint="eastAsia"/>
          <w:color w:val="auto"/>
          <w:highlight w:val="none"/>
          <w:lang w:eastAsia="zh-CN"/>
        </w:rPr>
        <w:t>）</w:t>
      </w:r>
      <w:r>
        <w:rPr>
          <w:rFonts w:ascii="Times New Roman" w:hAnsi="Times New Roman" w:eastAsia="宋体"/>
          <w:color w:val="auto"/>
          <w:highlight w:val="none"/>
        </w:rPr>
        <w:t>＜1，该项目环境风险潜势为I。</w:t>
      </w:r>
    </w:p>
    <w:p>
      <w:pPr>
        <w:pStyle w:val="5"/>
        <w:rPr>
          <w:rFonts w:ascii="Times New Roman" w:hAnsi="Times New Roman" w:eastAsia="宋体"/>
          <w:color w:val="auto"/>
          <w:highlight w:val="none"/>
        </w:rPr>
      </w:pPr>
      <w:bookmarkStart w:id="218" w:name="_Toc106663512"/>
      <w:r>
        <w:rPr>
          <w:rFonts w:hint="eastAsia" w:ascii="Times New Roman" w:hAnsi="Times New Roman" w:eastAsia="宋体"/>
          <w:color w:val="auto"/>
          <w:highlight w:val="none"/>
        </w:rPr>
        <w:t>5.3.5环境风险评价工作等级</w:t>
      </w:r>
      <w:bookmarkEnd w:id="21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5.3-2。</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表5.3-2评价工作等级划分表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环境风险潜势</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Ⅳ、Ⅳ</w:t>
            </w:r>
            <w:r>
              <w:rPr>
                <w:rFonts w:hint="eastAsia" w:ascii="Times New Roman" w:hAnsi="Times New Roman" w:eastAsia="宋体"/>
                <w:color w:val="auto"/>
                <w:kern w:val="2"/>
                <w:sz w:val="21"/>
                <w:szCs w:val="24"/>
                <w:highlight w:val="none"/>
                <w:vertAlign w:val="superscript"/>
              </w:rPr>
              <w:t>+</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Ⅲ</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Ⅱ</w:t>
            </w:r>
          </w:p>
        </w:tc>
        <w:tc>
          <w:tcPr>
            <w:tcW w:w="1001"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评价工作等级</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一</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二</w:t>
            </w:r>
          </w:p>
        </w:tc>
        <w:tc>
          <w:tcPr>
            <w:tcW w:w="100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三</w:t>
            </w:r>
          </w:p>
        </w:tc>
        <w:tc>
          <w:tcPr>
            <w:tcW w:w="1001"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简单分析</w:t>
            </w:r>
            <w:r>
              <w:rPr>
                <w:rFonts w:hint="eastAsia" w:ascii="Times New Roman" w:hAnsi="Times New Roman" w:eastAsia="宋体"/>
                <w:color w:val="auto"/>
                <w:kern w:val="2"/>
                <w:sz w:val="21"/>
                <w:szCs w:val="24"/>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a是相对于详细评价工作内容而言，在描述危险物质、环境影响途径、环境危害后果、风险防范措施等方面给出定性的说明。</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根据《建设项目环境风险评价技术导则》（HJ169-2018）中的规定，项目未构成重大危险源，项目环境风险潜势为Ⅰ级，因此确定本项目的环境风险评价等级为简单分析。</w:t>
      </w:r>
    </w:p>
    <w:p>
      <w:pPr>
        <w:pStyle w:val="5"/>
        <w:rPr>
          <w:rFonts w:ascii="Times New Roman" w:hAnsi="Times New Roman" w:eastAsia="宋体"/>
          <w:color w:val="auto"/>
          <w:highlight w:val="none"/>
        </w:rPr>
      </w:pPr>
      <w:bookmarkStart w:id="219" w:name="_Toc106663513"/>
      <w:r>
        <w:rPr>
          <w:rFonts w:hint="eastAsia" w:ascii="Times New Roman" w:hAnsi="Times New Roman" w:eastAsia="宋体"/>
          <w:color w:val="auto"/>
          <w:highlight w:val="none"/>
        </w:rPr>
        <w:t>5.3.6环境风险识别</w:t>
      </w:r>
      <w:bookmarkEnd w:id="219"/>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5.3.6.1物质危险性识别</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本项目环境风险主要来自蛋鸡饲养过程中的病鸡尸体、疾病疫情、管网泄露、医疗废物污染事故等。</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1、病鸡尸体</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根据基本调查，鸡尸体携带有一定量病菌，如不加以处理会使病菌得以传播，对周围环境有一定的影响。因此，必须对其进行无害化处理，防止疾病传播。</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2、疾病疫情</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养鸡场如管理不善，会诱发常见疾病，如高致病性禽流感、鸡霍乱等，而且传播很快，造成大量蛋鸡死亡。</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3、管网和</w:t>
      </w:r>
      <w:r>
        <w:rPr>
          <w:rFonts w:hint="eastAsia"/>
          <w:color w:val="auto"/>
          <w:highlight w:val="none"/>
          <w:lang w:eastAsia="zh-CN"/>
        </w:rPr>
        <w:t>废水收集池</w:t>
      </w:r>
      <w:r>
        <w:rPr>
          <w:rFonts w:hint="eastAsia" w:ascii="Times New Roman" w:hAnsi="Times New Roman" w:eastAsia="宋体"/>
          <w:color w:val="auto"/>
          <w:highlight w:val="none"/>
        </w:rPr>
        <w:t>泄露</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本项目排水管网运营期污水集输和</w:t>
      </w:r>
      <w:r>
        <w:rPr>
          <w:rFonts w:hint="eastAsia"/>
          <w:color w:val="auto"/>
          <w:highlight w:val="none"/>
          <w:lang w:eastAsia="zh-CN"/>
        </w:rPr>
        <w:t>废水收集池</w:t>
      </w:r>
      <w:r>
        <w:rPr>
          <w:rFonts w:hint="eastAsia" w:ascii="Times New Roman" w:hAnsi="Times New Roman" w:eastAsia="宋体"/>
          <w:color w:val="auto"/>
          <w:highlight w:val="none"/>
        </w:rPr>
        <w:t>暂存的过程中，以污水泄漏为主要表征，存在着管道和暂存池的腐蚀、地质灾害、洪水冲刷等一系列污染环境、危害工程安全的事故风险。这些事故风险的潜在因素主要包括操作、设备缺陷、设计及施工、自然灾害等，可大致上分为两个方面，即人为风险因素和自然风险因素。</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人为风险因素</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人为风险因素的事故风险主要由于设备、施工质量问题、操作失误和人为蓄意破坏三种情况。分析如下：</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设备、施工质量问题：</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①因选材错误而引起的设备、管线腐蚀、侵蚀；</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②未对</w:t>
      </w:r>
      <w:r>
        <w:rPr>
          <w:rFonts w:hint="eastAsia"/>
          <w:color w:val="auto"/>
          <w:highlight w:val="none"/>
          <w:lang w:eastAsia="zh-CN"/>
        </w:rPr>
        <w:t>废水收集池</w:t>
      </w:r>
      <w:r>
        <w:rPr>
          <w:rFonts w:hint="eastAsia" w:ascii="Times New Roman" w:hAnsi="Times New Roman" w:eastAsia="宋体"/>
          <w:color w:val="auto"/>
          <w:highlight w:val="none"/>
        </w:rPr>
        <w:t>进行充分的检查或漏检；</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③管线焊接不严，检测有误，造成泄漏；</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④设备故障、机械失灵、老化造成的泄漏；</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⑤管道防腐涂层质量差，造成管道腐蚀；</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⑥管材或连接缺陷，造成管道断裂、泄漏；</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⑦在管道近旁或上方进行其他生产活动时的挖掘造成管道破裂；</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操作失误：</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①操作人员没有培训上岗作业，不了解生产工艺流程，不熟悉岗位操作规程，不懂设备性能，盲目操作，遇到情况判断不准而操作失误，引发局部超压等造成的风险事故；</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②动力故障引发的事故，如停电造成的阀门无法关闭、通讯线路中断无法传递控制指令等导致事故发生；</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③其他选线不当或设计有误导致的事故风险；</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④对工作重视不够，责任心不强，操作中麻痹大意，擅离职守等造成的事故；</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⑤管理不够健全，没有完善的检查、监督、复核手续，没有切合实际的操作规程，故障不能得到及时处理而引发事故。</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人为破坏</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人为蓄意破坏造成的事故，在管道上钻孔、盗窃管道附属设施的部件等，均可引起管道破坏、污水外泄，造成比较严重的直接危害和继发危害。</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二</w:t>
      </w:r>
      <w:r>
        <w:rPr>
          <w:rFonts w:hint="eastAsia"/>
          <w:color w:val="auto"/>
          <w:highlight w:val="none"/>
          <w:lang w:eastAsia="zh-CN"/>
        </w:rPr>
        <w:t>）</w:t>
      </w:r>
      <w:r>
        <w:rPr>
          <w:rFonts w:hint="eastAsia" w:ascii="Times New Roman" w:hAnsi="Times New Roman" w:eastAsia="宋体"/>
          <w:color w:val="auto"/>
          <w:highlight w:val="none"/>
        </w:rPr>
        <w:t>自然风险因素</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自然风险因素主要有暴雨、洪水、地震等。结合管线经过地区和</w:t>
      </w:r>
      <w:r>
        <w:rPr>
          <w:rFonts w:hint="eastAsia"/>
          <w:color w:val="auto"/>
          <w:highlight w:val="none"/>
          <w:lang w:eastAsia="zh-CN"/>
        </w:rPr>
        <w:t>废水收集池</w:t>
      </w:r>
      <w:r>
        <w:rPr>
          <w:rFonts w:hint="eastAsia" w:ascii="Times New Roman" w:hAnsi="Times New Roman" w:eastAsia="宋体"/>
          <w:color w:val="auto"/>
          <w:highlight w:val="none"/>
        </w:rPr>
        <w:t>所在位置的自然环境、社会环境，对本项目的事故风险因素分析如下：</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地震</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地震对建构筑物的破坏作用明显，作用范围大，进而威胁设备和人员安全。</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本工程主要处于地震烈度为7度区域，经强度计算校核，本项目输水管道和</w:t>
      </w:r>
      <w:r>
        <w:rPr>
          <w:rFonts w:hint="eastAsia"/>
          <w:color w:val="auto"/>
          <w:highlight w:val="none"/>
          <w:lang w:eastAsia="zh-CN"/>
        </w:rPr>
        <w:t>废水收集池</w:t>
      </w:r>
      <w:r>
        <w:rPr>
          <w:rFonts w:hint="eastAsia" w:ascii="Times New Roman" w:hAnsi="Times New Roman" w:eastAsia="宋体"/>
          <w:color w:val="auto"/>
          <w:highlight w:val="none"/>
        </w:rPr>
        <w:t>具有抗地震波引起的拉伸和压缩能力，不会因地震波引起破坏。</w:t>
      </w:r>
    </w:p>
    <w:p>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洪水</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项目区域年降水量150mm，夏季降水量最大，洪水冲刷形成的侵蚀，很可能使管线暴露，易导致断裂。随地势趋缓洪水冲刷能力有所减缓，常常形成巨大的径流向低处集中，在局部低地形成侵蚀沟，仍可能造成管线和</w:t>
      </w:r>
      <w:r>
        <w:rPr>
          <w:rFonts w:hint="eastAsia"/>
          <w:color w:val="auto"/>
          <w:highlight w:val="none"/>
          <w:lang w:eastAsia="zh-CN"/>
        </w:rPr>
        <w:t>废水收集池</w:t>
      </w:r>
      <w:r>
        <w:rPr>
          <w:rFonts w:hint="eastAsia" w:ascii="Times New Roman" w:hAnsi="Times New Roman" w:eastAsia="宋体"/>
          <w:color w:val="auto"/>
          <w:highlight w:val="none"/>
        </w:rPr>
        <w:t>暴露，易导致断裂和破裂。管线断裂穿孔和</w:t>
      </w:r>
      <w:r>
        <w:rPr>
          <w:rFonts w:hint="eastAsia"/>
          <w:color w:val="auto"/>
          <w:highlight w:val="none"/>
          <w:lang w:eastAsia="zh-CN"/>
        </w:rPr>
        <w:t>废水收集池</w:t>
      </w:r>
      <w:r>
        <w:rPr>
          <w:rFonts w:hint="eastAsia" w:ascii="Times New Roman" w:hAnsi="Times New Roman" w:eastAsia="宋体"/>
          <w:color w:val="auto"/>
          <w:highlight w:val="none"/>
        </w:rPr>
        <w:t>破裂事故发生在洪水期间，将可能使污染迅速蔓延和扩大。</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4、医疗废物污染事故</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医疗废物若包装不严密或随意堆放则可产生大面积的污染，对环境产生不可挽回的影响。本项目医疗废物是指治疗过程中产生少量废弃药品、废针管等。据国家卫生部门的医疗检测报告表明，医疗垃圾可能受到各种病菌的污染。此外，垃圾中的有机物不仅滋生蚊蝇，造成疾病的传播，并且在腐败分解时生成多种有害物质将污染大气、危害人体健康。因此医疗垃圾具有空间污染、急性传染和潜伏性污染等特征，其病毒、病菌的危害性是普通生活垃圾的几十、几百甚至上千倍，如果处理不当，将造成水体、大气、土壤的污染及对人体的直接危害，甚至成为疫病流行的源头。医疗垃圾的随意堆放会污染大气环境，随意填埋会污染地下水源，随意焚烧会产生强烈的致癌物质二噁英。</w:t>
      </w:r>
    </w:p>
    <w:p>
      <w:pPr>
        <w:pStyle w:val="5"/>
        <w:rPr>
          <w:rFonts w:ascii="Times New Roman" w:hAnsi="Times New Roman" w:eastAsia="宋体"/>
          <w:color w:val="auto"/>
          <w:highlight w:val="none"/>
        </w:rPr>
      </w:pPr>
      <w:bookmarkStart w:id="220" w:name="_Toc106663514"/>
      <w:r>
        <w:rPr>
          <w:rFonts w:hint="eastAsia" w:ascii="Times New Roman" w:hAnsi="Times New Roman" w:eastAsia="宋体"/>
          <w:color w:val="auto"/>
          <w:highlight w:val="none"/>
        </w:rPr>
        <w:t>5.3.7环境风险防范措施及应急要求</w:t>
      </w:r>
      <w:bookmarkEnd w:id="220"/>
    </w:p>
    <w:p>
      <w:pPr>
        <w:ind w:firstLine="480"/>
        <w:rPr>
          <w:rFonts w:ascii="Times New Roman" w:hAnsi="Times New Roman" w:eastAsia="宋体"/>
          <w:color w:val="auto"/>
          <w:highlight w:val="none"/>
        </w:rPr>
      </w:pPr>
      <w:r>
        <w:rPr>
          <w:rFonts w:ascii="Times New Roman" w:hAnsi="Times New Roman" w:eastAsia="宋体"/>
          <w:color w:val="auto"/>
          <w:highlight w:val="none"/>
        </w:rPr>
        <w:t>1、病鸡尸体处置措施</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养殖场应定期检查蛋鸡的健康状况，做到及时发现、及时隔离、及时救治，严格控制疾病大面积传播。</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死鸡尸体要及时处理，首先要进行严格的尸体检验，如果是因中毒或者是因病而死，鸡尸体则要严格按照防疫条例进行无害化处理后，本项目采用填埋井对其进行处理。</w:t>
      </w:r>
    </w:p>
    <w:p>
      <w:pPr>
        <w:ind w:firstLine="480"/>
        <w:rPr>
          <w:rFonts w:ascii="Times New Roman" w:hAnsi="Times New Roman" w:eastAsia="宋体"/>
          <w:color w:val="auto"/>
          <w:highlight w:val="none"/>
        </w:rPr>
      </w:pPr>
      <w:r>
        <w:rPr>
          <w:rFonts w:ascii="Times New Roman" w:hAnsi="Times New Roman" w:eastAsia="宋体"/>
          <w:color w:val="auto"/>
          <w:highlight w:val="none"/>
        </w:rPr>
        <w:t>2、疫情防疫</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疫情风险防范措施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卫生防疫是规模化养殖场成败的关键，必须严格按照《中华人民共和国动物防疫法》的要求，做到</w:t>
      </w:r>
      <w:r>
        <w:rPr>
          <w:rFonts w:hint="eastAsia"/>
          <w:color w:val="auto"/>
          <w:highlight w:val="none"/>
          <w:lang w:eastAsia="zh-CN"/>
        </w:rPr>
        <w:t>”</w:t>
      </w:r>
      <w:r>
        <w:rPr>
          <w:rFonts w:ascii="Times New Roman" w:hAnsi="Times New Roman" w:eastAsia="宋体"/>
          <w:color w:val="auto"/>
          <w:highlight w:val="none"/>
        </w:rPr>
        <w:t>以防为主，防治结合，制度健全，责任到人</w:t>
      </w:r>
      <w:r>
        <w:rPr>
          <w:rFonts w:hint="eastAsia"/>
          <w:color w:val="auto"/>
          <w:highlight w:val="none"/>
          <w:lang w:eastAsia="zh-CN"/>
        </w:rPr>
        <w:t>”</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消毒制度</w:t>
      </w:r>
    </w:p>
    <w:p>
      <w:pPr>
        <w:ind w:firstLine="480"/>
        <w:rPr>
          <w:rFonts w:ascii="Times New Roman" w:hAnsi="Times New Roman" w:eastAsia="宋体"/>
          <w:color w:val="auto"/>
          <w:highlight w:val="none"/>
        </w:rPr>
      </w:pPr>
      <w:r>
        <w:rPr>
          <w:rFonts w:ascii="Times New Roman" w:hAnsi="Times New Roman" w:eastAsia="宋体"/>
          <w:color w:val="auto"/>
          <w:highlight w:val="none"/>
        </w:rPr>
        <w:t>凡进入饲养场的人和车辆等都需要经过消毒。凡是进入饲养场的工作人员，一律更换工作服、工作鞋，并经紫外线照射5分钟进行消毒。外来人员必须进入生产区时，也应按照上述方法消毒，在场区管理人员的带领下，按照指定路线行走。</w:t>
      </w:r>
    </w:p>
    <w:p>
      <w:pPr>
        <w:ind w:firstLine="480"/>
        <w:rPr>
          <w:rFonts w:ascii="Times New Roman" w:hAnsi="Times New Roman" w:eastAsia="宋体"/>
          <w:color w:val="auto"/>
          <w:highlight w:val="none"/>
        </w:rPr>
      </w:pP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加强饲养管理，增强畜禽抵抗力</w:t>
      </w:r>
    </w:p>
    <w:p>
      <w:pPr>
        <w:ind w:firstLine="480"/>
        <w:rPr>
          <w:rFonts w:ascii="Times New Roman" w:hAnsi="Times New Roman" w:eastAsia="宋体"/>
          <w:color w:val="auto"/>
          <w:highlight w:val="none"/>
        </w:rPr>
      </w:pPr>
      <w:r>
        <w:rPr>
          <w:rFonts w:ascii="Times New Roman" w:hAnsi="Times New Roman" w:eastAsia="宋体"/>
          <w:color w:val="auto"/>
          <w:highlight w:val="none"/>
        </w:rPr>
        <w:t>①要按照畜禽的品种、年龄、体重、强弱等进行合理分群饲养。根据各类畜禽的营养需要、饲养标准，确定适宜的饲粮和饲喂方法。</w:t>
      </w:r>
    </w:p>
    <w:p>
      <w:pPr>
        <w:ind w:firstLine="480"/>
        <w:rPr>
          <w:rFonts w:ascii="Times New Roman" w:hAnsi="Times New Roman" w:eastAsia="宋体"/>
          <w:color w:val="auto"/>
          <w:highlight w:val="none"/>
        </w:rPr>
      </w:pPr>
      <w:r>
        <w:rPr>
          <w:rFonts w:ascii="Times New Roman" w:hAnsi="Times New Roman" w:eastAsia="宋体"/>
          <w:color w:val="auto"/>
          <w:highlight w:val="none"/>
        </w:rPr>
        <w:t>②保证圈舍清洁舒适，通风良好。</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有计划地进行药物预防</w:t>
      </w:r>
    </w:p>
    <w:p>
      <w:pPr>
        <w:ind w:firstLine="480"/>
        <w:rPr>
          <w:rFonts w:ascii="Times New Roman" w:hAnsi="Times New Roman" w:eastAsia="宋体"/>
          <w:color w:val="auto"/>
          <w:highlight w:val="none"/>
        </w:rPr>
      </w:pPr>
      <w:r>
        <w:rPr>
          <w:rFonts w:ascii="Times New Roman" w:hAnsi="Times New Roman" w:eastAsia="宋体"/>
          <w:color w:val="auto"/>
          <w:highlight w:val="none"/>
        </w:rPr>
        <w:t>为了提高雏鸡的成活率，除加强饲养管理、及时免疫外，必要时还要辅以药物预防。目前最常用的是抗菌素类饲料添加剂。</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发现传染病的紧急处理</w:t>
      </w:r>
    </w:p>
    <w:p>
      <w:pPr>
        <w:ind w:firstLine="480"/>
        <w:rPr>
          <w:rFonts w:ascii="Times New Roman" w:hAnsi="Times New Roman" w:eastAsia="宋体"/>
          <w:color w:val="auto"/>
          <w:highlight w:val="none"/>
        </w:rPr>
      </w:pPr>
      <w:r>
        <w:rPr>
          <w:rFonts w:ascii="Times New Roman" w:hAnsi="Times New Roman" w:eastAsia="宋体"/>
          <w:color w:val="auto"/>
          <w:highlight w:val="none"/>
        </w:rPr>
        <w:t>对于传染病，尤其急性烈性传染病如禽流感、鸡霍乱等，发现早，诊断及时准确，又能迅速采取针对性措施，便可有效地制止传染病的蔓延。</w:t>
      </w:r>
    </w:p>
    <w:p>
      <w:pPr>
        <w:ind w:firstLine="480"/>
        <w:rPr>
          <w:rFonts w:ascii="Times New Roman" w:hAnsi="Times New Roman" w:eastAsia="宋体"/>
          <w:color w:val="auto"/>
          <w:highlight w:val="none"/>
        </w:rPr>
      </w:pPr>
      <w:r>
        <w:rPr>
          <w:rFonts w:ascii="Times New Roman" w:hAnsi="Times New Roman" w:eastAsia="宋体"/>
          <w:color w:val="auto"/>
          <w:highlight w:val="none"/>
        </w:rPr>
        <w:t>生物安全措施包括的内容很多，严格地说生物安全措施就是为防止一切传染病源进入鸡场而采取的措施，叫作生物安全措施。通常是</w:t>
      </w:r>
      <w:r>
        <w:rPr>
          <w:rFonts w:hint="eastAsia"/>
          <w:color w:val="auto"/>
          <w:highlight w:val="none"/>
          <w:lang w:eastAsia="zh-CN"/>
        </w:rPr>
        <w:t>”</w:t>
      </w:r>
      <w:r>
        <w:rPr>
          <w:rFonts w:ascii="Times New Roman" w:hAnsi="Times New Roman" w:eastAsia="宋体"/>
          <w:color w:val="auto"/>
          <w:highlight w:val="none"/>
        </w:rPr>
        <w:t>一隔二养三免疫</w:t>
      </w:r>
      <w:r>
        <w:rPr>
          <w:rFonts w:hint="eastAsia"/>
          <w:color w:val="auto"/>
          <w:highlight w:val="none"/>
          <w:lang w:eastAsia="zh-CN"/>
        </w:rPr>
        <w:t>”</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一隔就是要做好隔离，一旦发生传染病，将病鸡与健康鸡隔离开来，将疫情控制在最小范围内；二养就是进行科学化的养殖，要千方百计地为鸡创造一个适合鸡生长发育的环境，最大限度地减少各种应急对鸡造成有害影响，使鸡体本身健康成长发育。这样就有能力抵抗外界不良因素的影响。第三就是在鸡群健康的前提下，我们实行严格地免疫制度，使鸡群能保证在我们的科学技术操作范围内，能准确实施100%的免疫，特别是对禽流感的免疫。</w:t>
      </w:r>
    </w:p>
    <w:p>
      <w:pPr>
        <w:ind w:firstLine="480"/>
        <w:rPr>
          <w:rFonts w:ascii="Times New Roman" w:hAnsi="Times New Roman" w:eastAsia="宋体"/>
          <w:color w:val="auto"/>
          <w:highlight w:val="none"/>
        </w:rPr>
      </w:pPr>
      <w:r>
        <w:rPr>
          <w:rFonts w:ascii="Times New Roman" w:hAnsi="Times New Roman" w:eastAsia="宋体"/>
          <w:color w:val="auto"/>
          <w:highlight w:val="none"/>
        </w:rPr>
        <w:t>由于高致病性禽流感发病急，发病率和死亡率很高，目前尚无治疗方法。所以养鸡者必须要求饲养人员要经常仔细观察鸡群的活动及健康状况，若发现有异常表现，特别有互相传染的嫌疑，应立即报告兽医或生产管理人员，相关负责人必须立即赶到现场，认为有必要时要尽快组织力量进行诊断。在诊断过程中，疑似或确认为新城疫、禽流感、传染性法氏囊病、传染性支气管炎、鸡痘、鸡霍乱及传染性鼻炎等急性支气管病性，必须立即隔离病鸡，尽可能缩小病鸡的活动范围，对病鸡的排泄物、分泌物污染的场地，都要用聚维酮碘溶液和复方戊二醛溶液进行喷射消毒。污染的垫草、粪便彻底清除，予以烧毁，被污染的用具、工作服、鞋，用福尔马林熏蒸消毒，场门设立标牌，禁止人、畜出入。</w:t>
      </w:r>
    </w:p>
    <w:p>
      <w:pPr>
        <w:ind w:firstLine="480"/>
        <w:rPr>
          <w:rFonts w:ascii="Times New Roman" w:hAnsi="Times New Roman" w:eastAsia="宋体"/>
          <w:color w:val="auto"/>
          <w:highlight w:val="none"/>
        </w:rPr>
      </w:pPr>
      <w:r>
        <w:rPr>
          <w:rFonts w:ascii="Times New Roman" w:hAnsi="Times New Roman" w:eastAsia="宋体"/>
          <w:color w:val="auto"/>
          <w:highlight w:val="none"/>
        </w:rPr>
        <w:t>3、排水管网和</w:t>
      </w:r>
      <w:r>
        <w:rPr>
          <w:rFonts w:hint="eastAsia"/>
          <w:color w:val="auto"/>
          <w:highlight w:val="none"/>
          <w:lang w:eastAsia="zh-CN"/>
        </w:rPr>
        <w:t>废水收集池</w:t>
      </w:r>
      <w:r>
        <w:rPr>
          <w:rFonts w:ascii="Times New Roman" w:hAnsi="Times New Roman" w:eastAsia="宋体"/>
          <w:color w:val="auto"/>
          <w:highlight w:val="none"/>
        </w:rPr>
        <w:t>风险事故防范措施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无论是人为因素，还是自然灾害引起的事故，都必须采取以预防为主的措施，以避免事故的发生或使事故造成的危害降低到最低的程度。对于人为因素引起的事故可以通过提高作业人员素质、加强责任心以及采取技术手段和管理手段来避免，而对于自然灾害引起的事故则主要靠采取各种工程技术措施来预防。</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防洪、抗震等措施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①敷设尽量避开地震及可能引起泥石流等地段，当避开有困难时，对局部地段采取安全防护措施。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②管线穿越大的干沟或排碱渠时，视情况而采取到吸虹管或架空保温管线通过。</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管线和</w:t>
      </w:r>
      <w:r>
        <w:rPr>
          <w:rFonts w:hint="eastAsia"/>
          <w:color w:val="auto"/>
          <w:highlight w:val="none"/>
          <w:lang w:eastAsia="zh-CN"/>
        </w:rPr>
        <w:t>废水收集池</w:t>
      </w:r>
      <w:r>
        <w:rPr>
          <w:rFonts w:ascii="Times New Roman" w:hAnsi="Times New Roman" w:eastAsia="宋体"/>
          <w:color w:val="auto"/>
          <w:highlight w:val="none"/>
        </w:rPr>
        <w:t>破裂预防措施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为尽量避免管线破裂事故的发生，减轻管线和</w:t>
      </w:r>
      <w:r>
        <w:rPr>
          <w:rFonts w:hint="eastAsia"/>
          <w:color w:val="auto"/>
          <w:highlight w:val="none"/>
          <w:lang w:eastAsia="zh-CN"/>
        </w:rPr>
        <w:t>废水收集池</w:t>
      </w:r>
      <w:r>
        <w:rPr>
          <w:rFonts w:ascii="Times New Roman" w:hAnsi="Times New Roman" w:eastAsia="宋体"/>
          <w:color w:val="auto"/>
          <w:highlight w:val="none"/>
        </w:rPr>
        <w:t>破裂、泄漏事故对环境的影响，应该采取以下的安全环保措施：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①敷设路线应设置永久性标志，提醒人们在管线两侧20~50m范围内活动可能造成伤害，防止其他单位施工造成管道损坏；</w:t>
      </w:r>
    </w:p>
    <w:p>
      <w:pPr>
        <w:ind w:firstLine="480"/>
        <w:rPr>
          <w:rFonts w:ascii="Times New Roman" w:hAnsi="Times New Roman" w:eastAsia="宋体"/>
          <w:color w:val="auto"/>
          <w:highlight w:val="none"/>
        </w:rPr>
      </w:pPr>
      <w:r>
        <w:rPr>
          <w:rFonts w:ascii="Times New Roman" w:hAnsi="Times New Roman" w:eastAsia="宋体"/>
          <w:color w:val="auto"/>
          <w:highlight w:val="none"/>
        </w:rPr>
        <w:t>②操作失误是出现事故的又一重要原因，为此要加强管理，提高职工技术水平和职业道德素质，以减少和杜绝此类事故的发生；</w:t>
      </w:r>
    </w:p>
    <w:p>
      <w:pPr>
        <w:ind w:firstLine="480"/>
        <w:rPr>
          <w:rFonts w:ascii="Times New Roman" w:hAnsi="Times New Roman" w:eastAsia="宋体"/>
          <w:color w:val="auto"/>
          <w:highlight w:val="none"/>
        </w:rPr>
      </w:pPr>
      <w:r>
        <w:rPr>
          <w:rFonts w:ascii="Times New Roman" w:hAnsi="Times New Roman" w:eastAsia="宋体"/>
          <w:color w:val="auto"/>
          <w:highlight w:val="none"/>
        </w:rPr>
        <w:t>③建立完善的安全措施和监督管理机构，做好安全防护工作，以防止人为破坏事故发生；</w:t>
      </w:r>
    </w:p>
    <w:p>
      <w:pPr>
        <w:ind w:firstLine="480"/>
        <w:rPr>
          <w:rFonts w:ascii="Times New Roman" w:hAnsi="Times New Roman" w:eastAsia="宋体"/>
          <w:color w:val="auto"/>
          <w:highlight w:val="none"/>
        </w:rPr>
      </w:pPr>
      <w:r>
        <w:rPr>
          <w:rFonts w:ascii="Times New Roman" w:hAnsi="Times New Roman" w:eastAsia="宋体"/>
          <w:color w:val="auto"/>
          <w:highlight w:val="none"/>
        </w:rPr>
        <w:t>④在污水管线沿线设置截断阀，管线在发生破裂时做到及时的截断，减少排入外环境的污水量；</w:t>
      </w:r>
    </w:p>
    <w:p>
      <w:pPr>
        <w:ind w:firstLine="480"/>
        <w:rPr>
          <w:rFonts w:ascii="Times New Roman" w:hAnsi="Times New Roman" w:eastAsia="宋体"/>
          <w:color w:val="auto"/>
          <w:highlight w:val="none"/>
        </w:rPr>
      </w:pPr>
      <w:r>
        <w:rPr>
          <w:rFonts w:ascii="Times New Roman" w:hAnsi="Times New Roman" w:eastAsia="宋体"/>
          <w:color w:val="auto"/>
          <w:highlight w:val="none"/>
        </w:rPr>
        <w:t>⑤为确保排水管线和</w:t>
      </w:r>
      <w:r>
        <w:rPr>
          <w:rFonts w:hint="eastAsia"/>
          <w:color w:val="auto"/>
          <w:highlight w:val="none"/>
          <w:lang w:eastAsia="zh-CN"/>
        </w:rPr>
        <w:t>废水收集池</w:t>
      </w:r>
      <w:r>
        <w:rPr>
          <w:rFonts w:ascii="Times New Roman" w:hAnsi="Times New Roman" w:eastAsia="宋体"/>
          <w:color w:val="auto"/>
          <w:highlight w:val="none"/>
        </w:rPr>
        <w:t>的安全，建设单位应在工程设计阶段合理设计，选材要结实、耐用、防腐，保证材料的质量。在工程建设中要严把质量关，保证工程质量。</w:t>
      </w:r>
    </w:p>
    <w:p>
      <w:pPr>
        <w:ind w:firstLine="480"/>
        <w:rPr>
          <w:rFonts w:ascii="Times New Roman" w:hAnsi="Times New Roman" w:eastAsia="宋体"/>
          <w:color w:val="auto"/>
          <w:highlight w:val="none"/>
        </w:rPr>
      </w:pPr>
      <w:r>
        <w:rPr>
          <w:rFonts w:ascii="Times New Roman" w:hAnsi="Times New Roman" w:eastAsia="宋体"/>
          <w:color w:val="auto"/>
          <w:highlight w:val="none"/>
        </w:rPr>
        <w:t>⑥在运行管理中要从严要求，定期对管线和</w:t>
      </w:r>
      <w:r>
        <w:rPr>
          <w:rFonts w:hint="eastAsia"/>
          <w:color w:val="auto"/>
          <w:highlight w:val="none"/>
          <w:lang w:eastAsia="zh-CN"/>
        </w:rPr>
        <w:t>废水收集池</w:t>
      </w:r>
      <w:r>
        <w:rPr>
          <w:rFonts w:ascii="Times New Roman" w:hAnsi="Times New Roman" w:eastAsia="宋体"/>
          <w:color w:val="auto"/>
          <w:highlight w:val="none"/>
        </w:rPr>
        <w:t>进行巡检，及时发现问题，从快从速处理，预防事故发生。管线沿线设立明显标志物，以避免管线遭到人为破坏。</w:t>
      </w:r>
    </w:p>
    <w:p>
      <w:pPr>
        <w:ind w:firstLine="480"/>
        <w:rPr>
          <w:rFonts w:ascii="Times New Roman" w:hAnsi="Times New Roman" w:eastAsia="宋体"/>
          <w:color w:val="auto"/>
          <w:highlight w:val="none"/>
        </w:rPr>
      </w:pPr>
      <w:r>
        <w:rPr>
          <w:rFonts w:ascii="Times New Roman" w:hAnsi="Times New Roman" w:eastAsia="宋体"/>
          <w:color w:val="auto"/>
          <w:highlight w:val="none"/>
        </w:rPr>
        <w:t>4、医疗废物污染事故防范措施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为了防止医疗废物污染环境，采取措施如下：</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合理布局，</w:t>
      </w:r>
      <w:r>
        <w:rPr>
          <w:rFonts w:hint="eastAsia"/>
          <w:color w:val="auto"/>
          <w:highlight w:val="none"/>
          <w:lang w:eastAsia="zh-CN"/>
        </w:rPr>
        <w:t>医疗废物暂存间</w:t>
      </w:r>
      <w:r>
        <w:rPr>
          <w:rFonts w:ascii="Times New Roman" w:hAnsi="Times New Roman" w:eastAsia="宋体"/>
          <w:color w:val="auto"/>
          <w:highlight w:val="none"/>
        </w:rPr>
        <w:t>、收集通道等应尽量避开人流通道；</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采购符合国家规定的废物收集容器，按照相关法律法规要求进行分类收集、盛装；</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对医疗废物收集、管理人员配备必要的个人防护用具；</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医疗废物暂存场处应按照《医疗废物管理条例》</w:t>
      </w:r>
      <w:r>
        <w:rPr>
          <w:rFonts w:hint="eastAsia"/>
          <w:color w:val="auto"/>
          <w:highlight w:val="none"/>
          <w:lang w:eastAsia="zh-CN"/>
        </w:rPr>
        <w:t>（</w:t>
      </w:r>
      <w:r>
        <w:rPr>
          <w:rFonts w:ascii="Times New Roman" w:hAnsi="Times New Roman" w:eastAsia="宋体"/>
          <w:color w:val="auto"/>
          <w:highlight w:val="none"/>
        </w:rPr>
        <w:t>国务院令第380号</w:t>
      </w:r>
      <w:r>
        <w:rPr>
          <w:rFonts w:hint="eastAsia"/>
          <w:color w:val="auto"/>
          <w:highlight w:val="none"/>
          <w:lang w:eastAsia="zh-CN"/>
        </w:rPr>
        <w:t>）</w:t>
      </w:r>
      <w:r>
        <w:rPr>
          <w:rFonts w:ascii="Times New Roman" w:hAnsi="Times New Roman" w:eastAsia="宋体"/>
          <w:color w:val="auto"/>
          <w:highlight w:val="none"/>
        </w:rPr>
        <w:t>等相关要求进行设置；</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制定医疗废物管理制度。</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医疗废物的收集、贮存、交接、运输的收运全过程均应严格按照《医疗废物管理条例》、《医疗废物转运车技术要求》等相关规定执行，在运送时执行医疗废物转移联单制度，由医疗废物处置场及产生单位共同填写《危险废物转移联单》</w:t>
      </w:r>
      <w:r>
        <w:rPr>
          <w:rFonts w:hint="eastAsia"/>
          <w:color w:val="auto"/>
          <w:highlight w:val="none"/>
          <w:lang w:eastAsia="zh-CN"/>
        </w:rPr>
        <w:t>（</w:t>
      </w:r>
      <w:r>
        <w:rPr>
          <w:rFonts w:ascii="Times New Roman" w:hAnsi="Times New Roman" w:eastAsia="宋体"/>
          <w:color w:val="auto"/>
          <w:highlight w:val="none"/>
        </w:rPr>
        <w:t>医疗废物专用</w:t>
      </w:r>
      <w:r>
        <w:rPr>
          <w:rFonts w:hint="eastAsia"/>
          <w:color w:val="auto"/>
          <w:highlight w:val="none"/>
          <w:lang w:eastAsia="zh-CN"/>
        </w:rPr>
        <w:t>）</w:t>
      </w:r>
      <w:r>
        <w:rPr>
          <w:rFonts w:ascii="Times New Roman" w:hAnsi="Times New Roman" w:eastAsia="宋体"/>
          <w:color w:val="auto"/>
          <w:highlight w:val="none"/>
        </w:rPr>
        <w:t>，运输车辆填写《医疗废物运送登记卡》，同时还应填报医疗废物处置报表，报当地生态环境局备案。</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7</w:t>
      </w:r>
      <w:r>
        <w:rPr>
          <w:rFonts w:hint="eastAsia"/>
          <w:color w:val="auto"/>
          <w:highlight w:val="none"/>
          <w:lang w:eastAsia="zh-CN"/>
        </w:rPr>
        <w:t>）</w:t>
      </w:r>
      <w:r>
        <w:rPr>
          <w:rFonts w:ascii="Times New Roman" w:hAnsi="Times New Roman" w:eastAsia="宋体"/>
          <w:color w:val="auto"/>
          <w:highlight w:val="none"/>
        </w:rPr>
        <w:t>医疗废物运送使用专用车辆，车辆厢体应与驾驶室分离并密闭，车内应配备必要的消毒等应急物品。确定合理的运输线路，尽量避开人口密集区、交通拥堵道路及时段，对运送人员进行专业技能与安全防护技能培训等。</w:t>
      </w:r>
    </w:p>
    <w:p>
      <w:pPr>
        <w:ind w:firstLine="480"/>
        <w:rPr>
          <w:rFonts w:ascii="Times New Roman" w:hAnsi="Times New Roman" w:eastAsia="宋体"/>
          <w:color w:val="auto"/>
          <w:highlight w:val="none"/>
        </w:rPr>
      </w:pPr>
      <w:r>
        <w:rPr>
          <w:rFonts w:ascii="Times New Roman" w:hAnsi="Times New Roman" w:eastAsia="宋体"/>
          <w:color w:val="auto"/>
          <w:highlight w:val="none"/>
        </w:rPr>
        <w:t>5、生产及管理过程风险防范措施</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生产过程风险防范措施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圈舍、畜禽消毒、</w:t>
      </w:r>
      <w:r>
        <w:rPr>
          <w:rFonts w:hint="eastAsia"/>
          <w:color w:val="auto"/>
          <w:highlight w:val="none"/>
          <w:lang w:eastAsia="zh-CN"/>
        </w:rPr>
        <w:t>废水收集池</w:t>
      </w:r>
      <w:r>
        <w:rPr>
          <w:rFonts w:ascii="Times New Roman" w:hAnsi="Times New Roman" w:eastAsia="宋体"/>
          <w:color w:val="auto"/>
          <w:highlight w:val="none"/>
        </w:rPr>
        <w:t>投药应有专人负责，按照规范操作，操作时配备必要的防范措施，主要消毒设备、投药设备的维修、保养工作。配备合格的工作人员，认真落实工作人员责任制，经常对供水、供电设备进行检查和维护。</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管理及操作环节风险防范措施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①建立健全安全生产责任制，制定安全生产规章制度和操作规程。</w:t>
      </w:r>
    </w:p>
    <w:p>
      <w:pPr>
        <w:ind w:firstLine="480"/>
        <w:rPr>
          <w:rFonts w:ascii="Times New Roman" w:hAnsi="Times New Roman" w:eastAsia="宋体"/>
          <w:color w:val="auto"/>
          <w:highlight w:val="none"/>
        </w:rPr>
      </w:pPr>
      <w:r>
        <w:rPr>
          <w:rFonts w:ascii="Times New Roman" w:hAnsi="Times New Roman" w:eastAsia="宋体"/>
          <w:color w:val="auto"/>
          <w:highlight w:val="none"/>
        </w:rPr>
        <w:t>②企业主要负责人和安全生产管理人员应当接受有关主管部门的安全生产知识和管理能力考核，合格后方可任职。</w:t>
      </w:r>
    </w:p>
    <w:p>
      <w:pPr>
        <w:ind w:firstLine="480"/>
        <w:rPr>
          <w:rFonts w:ascii="Times New Roman" w:hAnsi="Times New Roman" w:eastAsia="宋体"/>
          <w:color w:val="auto"/>
          <w:highlight w:val="none"/>
        </w:rPr>
      </w:pPr>
      <w:r>
        <w:rPr>
          <w:rFonts w:ascii="Times New Roman" w:hAnsi="Times New Roman" w:eastAsia="宋体"/>
          <w:color w:val="auto"/>
          <w:highlight w:val="none"/>
        </w:rPr>
        <w:t>③对工作人员应进行教育和培训并进行考核，保证工作人员具备必要的资质和能力。</w:t>
      </w:r>
    </w:p>
    <w:p>
      <w:pPr>
        <w:ind w:firstLine="480"/>
        <w:rPr>
          <w:rFonts w:ascii="Times New Roman" w:hAnsi="Times New Roman" w:eastAsia="宋体"/>
          <w:color w:val="auto"/>
          <w:highlight w:val="none"/>
        </w:rPr>
      </w:pPr>
      <w:r>
        <w:rPr>
          <w:rFonts w:ascii="Times New Roman" w:hAnsi="Times New Roman" w:eastAsia="宋体"/>
          <w:color w:val="auto"/>
          <w:highlight w:val="none"/>
        </w:rPr>
        <w:t>④各生产岗位工作人员严格按照规程进行操作，并按照要求穿戴劳保用品。</w:t>
      </w:r>
    </w:p>
    <w:p>
      <w:pPr>
        <w:ind w:firstLine="480"/>
        <w:rPr>
          <w:rFonts w:ascii="Times New Roman" w:hAnsi="Times New Roman" w:eastAsia="宋体"/>
          <w:color w:val="auto"/>
          <w:highlight w:val="none"/>
        </w:rPr>
      </w:pPr>
      <w:r>
        <w:rPr>
          <w:rFonts w:ascii="Times New Roman" w:hAnsi="Times New Roman" w:eastAsia="宋体"/>
          <w:color w:val="auto"/>
          <w:highlight w:val="none"/>
        </w:rPr>
        <w:t>⑤安排专人定时巡查，检查各设施设备是否正常运行。</w:t>
      </w:r>
    </w:p>
    <w:p>
      <w:pPr>
        <w:pStyle w:val="5"/>
        <w:rPr>
          <w:rFonts w:ascii="Times New Roman" w:hAnsi="Times New Roman" w:eastAsia="宋体"/>
          <w:color w:val="auto"/>
          <w:highlight w:val="none"/>
        </w:rPr>
      </w:pPr>
      <w:bookmarkStart w:id="221" w:name="_Toc106663515"/>
      <w:r>
        <w:rPr>
          <w:rFonts w:hint="eastAsia" w:ascii="Times New Roman" w:hAnsi="Times New Roman" w:eastAsia="宋体"/>
          <w:color w:val="auto"/>
          <w:highlight w:val="none"/>
        </w:rPr>
        <w:t>5.3.8环境风险应急预案</w:t>
      </w:r>
      <w:bookmarkEnd w:id="221"/>
    </w:p>
    <w:p>
      <w:pPr>
        <w:ind w:firstLine="480"/>
        <w:rPr>
          <w:rFonts w:ascii="Times New Roman" w:hAnsi="Times New Roman" w:eastAsia="宋体"/>
          <w:color w:val="auto"/>
          <w:highlight w:val="none"/>
        </w:rPr>
      </w:pPr>
      <w:r>
        <w:rPr>
          <w:rFonts w:ascii="Times New Roman" w:hAnsi="Times New Roman" w:eastAsia="宋体"/>
          <w:color w:val="auto"/>
          <w:highlight w:val="none"/>
        </w:rPr>
        <w:t>建设单位应根据《国家突发公共事件总体应急预案》、《国家事故应急预案框架指南》、《危险化学品事故应急救援预案编制导则》等相关规定的要求，制订和完善本项目风险事故应急预案。</w:t>
      </w:r>
    </w:p>
    <w:p>
      <w:pPr>
        <w:numPr>
          <w:ilvl w:val="0"/>
          <w:numId w:val="2"/>
        </w:numPr>
        <w:ind w:firstLine="480"/>
        <w:rPr>
          <w:rFonts w:ascii="Times New Roman" w:hAnsi="Times New Roman" w:eastAsia="宋体"/>
          <w:color w:val="auto"/>
          <w:highlight w:val="none"/>
        </w:rPr>
      </w:pPr>
      <w:r>
        <w:rPr>
          <w:rFonts w:ascii="Times New Roman" w:hAnsi="Times New Roman" w:eastAsia="宋体"/>
          <w:color w:val="auto"/>
          <w:highlight w:val="none"/>
        </w:rPr>
        <w:t>企业内部应急预案</w:t>
      </w:r>
    </w:p>
    <w:p>
      <w:pPr>
        <w:ind w:firstLine="480"/>
        <w:rPr>
          <w:rFonts w:ascii="Times New Roman" w:hAnsi="Times New Roman" w:eastAsia="宋体"/>
          <w:color w:val="auto"/>
          <w:highlight w:val="none"/>
        </w:rPr>
      </w:pPr>
      <w:r>
        <w:rPr>
          <w:rFonts w:ascii="Times New Roman" w:hAnsi="Times New Roman" w:eastAsia="宋体"/>
          <w:color w:val="auto"/>
          <w:highlight w:val="none"/>
        </w:rPr>
        <w:t>建设单位应按照国家《事故应急预案框架指南》，开展经常性的安全预案演练，加强应急救援专业队伍建设，配备相应的安全防护和救援器材，提高快速反应救援能力，及时有效处置可能发生的应急事故。项目应建立应急预案，应急预案应包括以下的内容和要求：</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建立企业—乡镇人民政府—市人民政府的联防应急组织机构，并配备相应的人员。</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规定预案的级别及分级响应程序，并设置应急设施，设备与器材等。</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规定应急状态下的报警通讯方式、通知方式和交通保障、管制。</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④</w:t>
      </w:r>
      <w:r>
        <w:rPr>
          <w:rFonts w:ascii="Times New Roman" w:hAnsi="Times New Roman" w:eastAsia="宋体"/>
          <w:color w:val="auto"/>
          <w:highlight w:val="none"/>
        </w:rPr>
        <w:t>由专业队伍负责对事故现场进行侦察监测，对事故性质、参数与后果进行评估，为指挥部门提供决策依据。组织人员成立抢险队，及时拦截危险品泄漏至水体或打捞落入水体中的物件，同时采取相应的处置措施，最大限度地减轻影响范围和程度。</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⑤</w:t>
      </w:r>
      <w:r>
        <w:rPr>
          <w:rFonts w:ascii="Times New Roman" w:hAnsi="Times New Roman" w:eastAsia="宋体"/>
          <w:color w:val="auto"/>
          <w:highlight w:val="none"/>
        </w:rPr>
        <w:t>应急检测、防护措施、清除泄漏措施和器材。</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⑥</w:t>
      </w:r>
      <w:r>
        <w:rPr>
          <w:rFonts w:ascii="Times New Roman" w:hAnsi="Times New Roman" w:eastAsia="宋体"/>
          <w:color w:val="auto"/>
          <w:highlight w:val="none"/>
        </w:rPr>
        <w:t>事故现场、受事故影响的区域人员及公众对毒物应急剂量控制规定，撤离组织计划及救护，医疗救护与公众健康。</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⑦</w:t>
      </w:r>
      <w:r>
        <w:rPr>
          <w:rFonts w:ascii="Times New Roman" w:hAnsi="Times New Roman" w:eastAsia="宋体"/>
          <w:color w:val="auto"/>
          <w:highlight w:val="none"/>
        </w:rPr>
        <w:t>规定应急状态终止程序，事故现场善后处理，恢复措施，邻近区域解除事故警戒及善后恢复措施。</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⑧</w:t>
      </w:r>
      <w:r>
        <w:rPr>
          <w:rFonts w:ascii="Times New Roman" w:hAnsi="Times New Roman" w:eastAsia="宋体"/>
          <w:color w:val="auto"/>
          <w:highlight w:val="none"/>
        </w:rPr>
        <w:t>应急计划制定后，平时安排人员培训与演练。</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⑨</w:t>
      </w:r>
      <w:r>
        <w:rPr>
          <w:rFonts w:ascii="Times New Roman" w:hAnsi="Times New Roman" w:eastAsia="宋体"/>
          <w:color w:val="auto"/>
          <w:highlight w:val="none"/>
        </w:rPr>
        <w:t>对邻近地区开展公众教育、培训和发布有关信息。</w:t>
      </w:r>
    </w:p>
    <w:p>
      <w:pPr>
        <w:ind w:firstLine="480"/>
        <w:rPr>
          <w:rFonts w:ascii="Times New Roman" w:hAnsi="Times New Roman" w:eastAsia="宋体"/>
          <w:color w:val="auto"/>
          <w:highlight w:val="none"/>
        </w:rPr>
      </w:pPr>
      <w:r>
        <w:rPr>
          <w:rFonts w:ascii="Times New Roman" w:hAnsi="Times New Roman" w:eastAsia="宋体"/>
          <w:color w:val="auto"/>
          <w:highlight w:val="none"/>
        </w:rPr>
        <w:t>事故应急处置程序如图</w:t>
      </w:r>
      <w:r>
        <w:rPr>
          <w:rFonts w:hint="eastAsia" w:ascii="Times New Roman" w:hAnsi="Times New Roman" w:eastAsia="宋体"/>
          <w:color w:val="auto"/>
          <w:highlight w:val="none"/>
        </w:rPr>
        <w:t>5.3-2</w:t>
      </w:r>
      <w:r>
        <w:rPr>
          <w:rFonts w:ascii="Times New Roman" w:hAnsi="Times New Roman" w:eastAsia="宋体"/>
          <w:color w:val="auto"/>
          <w:highlight w:val="none"/>
        </w:rPr>
        <w:t>所示。</w:t>
      </w:r>
    </w:p>
    <w:p>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4465955" cy="3171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475576" cy="3178057"/>
                    </a:xfrm>
                    <a:prstGeom prst="rect">
                      <a:avLst/>
                    </a:prstGeom>
                    <a:noFill/>
                    <a:ln>
                      <a:noFill/>
                    </a:ln>
                  </pic:spPr>
                </pic:pic>
              </a:graphicData>
            </a:graphic>
          </wp:inline>
        </w:drawing>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图5.3-2事故应急处置程序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w:t>
      </w:r>
      <w:r>
        <w:rPr>
          <w:rFonts w:ascii="Times New Roman" w:hAnsi="Times New Roman" w:eastAsia="宋体"/>
          <w:color w:val="auto"/>
          <w:highlight w:val="none"/>
        </w:rPr>
        <w:t>应急救援保障</w:t>
      </w:r>
    </w:p>
    <w:p>
      <w:pPr>
        <w:ind w:firstLine="480"/>
        <w:rPr>
          <w:rFonts w:ascii="Times New Roman" w:hAnsi="Times New Roman" w:eastAsia="宋体"/>
          <w:color w:val="auto"/>
          <w:highlight w:val="none"/>
        </w:rPr>
      </w:pPr>
      <w:r>
        <w:rPr>
          <w:rFonts w:ascii="Times New Roman" w:hAnsi="Times New Roman" w:eastAsia="宋体"/>
          <w:color w:val="auto"/>
          <w:highlight w:val="none"/>
        </w:rPr>
        <w:t>企业需具备应急救援保障设备及器材，包括防护服、消防水泵、灭火器材、氧气呼吸器、防爆手电、对讲机、警戒围绳等。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w:t>
      </w:r>
      <w:r>
        <w:rPr>
          <w:rFonts w:ascii="Times New Roman" w:hAnsi="Times New Roman" w:eastAsia="宋体"/>
          <w:color w:val="auto"/>
          <w:highlight w:val="none"/>
        </w:rPr>
        <w:t>事故应急措施</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污水渗漏事故应急措施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一旦发现污水渗漏，应及时对渗漏处进行处理，同时对周边地下水进行监测，如发现地下水受到污染，可以采取水力抽取截获的方法，将受到污染的区域的地下水用水泵抽出，防止受污染的地下水向周围迁移，减少污染扩散，同时应上报环保及水利部门采取进一步应急措施。</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疫病事故应急措施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兽医应及时诊断、调查疫源，根据疫病种类做好隔离、消毒、紧急防疫、</w:t>
      </w:r>
      <w:r>
        <w:rPr>
          <w:rFonts w:hint="eastAsia"/>
          <w:color w:val="auto"/>
          <w:highlight w:val="none"/>
          <w:lang w:val="en-US" w:eastAsia="zh-CN"/>
        </w:rPr>
        <w:t>鸡</w:t>
      </w:r>
      <w:r>
        <w:rPr>
          <w:rFonts w:ascii="Times New Roman" w:hAnsi="Times New Roman" w:eastAsia="宋体"/>
          <w:color w:val="auto"/>
          <w:highlight w:val="none"/>
        </w:rPr>
        <w:t>病治疗和淘汰等工作，把疫情控制在最小范围内；发生人畜共患病时，及时报告卫生部门，共同采取扑灭措施；在最后一只病</w:t>
      </w:r>
      <w:r>
        <w:rPr>
          <w:rFonts w:hint="eastAsia"/>
          <w:color w:val="auto"/>
          <w:highlight w:val="none"/>
          <w:lang w:val="en-US" w:eastAsia="zh-CN"/>
        </w:rPr>
        <w:t>鸡</w:t>
      </w:r>
      <w:r>
        <w:rPr>
          <w:rFonts w:ascii="Times New Roman" w:hAnsi="Times New Roman" w:eastAsia="宋体"/>
          <w:color w:val="auto"/>
          <w:highlight w:val="none"/>
        </w:rPr>
        <w:t>淘汰或痊愈后，需经该传染病最长潜伏期的观察，不再出现新病例，并经严格消毒后，可撤消隔离或申请解除。</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w:t>
      </w:r>
      <w:r>
        <w:rPr>
          <w:rFonts w:ascii="Times New Roman" w:hAnsi="Times New Roman" w:eastAsia="宋体"/>
          <w:color w:val="auto"/>
          <w:highlight w:val="none"/>
        </w:rPr>
        <w:t>应急终止</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应急终止的条件</w:t>
      </w:r>
    </w:p>
    <w:p>
      <w:pPr>
        <w:ind w:firstLine="480"/>
        <w:rPr>
          <w:rFonts w:ascii="Times New Roman" w:hAnsi="Times New Roman" w:eastAsia="宋体"/>
          <w:color w:val="auto"/>
          <w:highlight w:val="none"/>
        </w:rPr>
      </w:pPr>
      <w:r>
        <w:rPr>
          <w:rFonts w:ascii="Times New Roman" w:hAnsi="Times New Roman" w:eastAsia="宋体"/>
          <w:color w:val="auto"/>
          <w:highlight w:val="none"/>
        </w:rPr>
        <w:t>a、事件现场得到控制，事件条件已经消除；</w:t>
      </w:r>
    </w:p>
    <w:p>
      <w:pPr>
        <w:ind w:firstLine="480"/>
        <w:rPr>
          <w:rFonts w:ascii="Times New Roman" w:hAnsi="Times New Roman" w:eastAsia="宋体"/>
          <w:color w:val="auto"/>
          <w:highlight w:val="none"/>
        </w:rPr>
      </w:pPr>
      <w:r>
        <w:rPr>
          <w:rFonts w:ascii="Times New Roman" w:hAnsi="Times New Roman" w:eastAsia="宋体"/>
          <w:color w:val="auto"/>
          <w:highlight w:val="none"/>
        </w:rPr>
        <w:t>b、污染源的释放已降至规定限值以内；</w:t>
      </w:r>
    </w:p>
    <w:p>
      <w:pPr>
        <w:ind w:firstLine="480"/>
        <w:rPr>
          <w:rFonts w:ascii="Times New Roman" w:hAnsi="Times New Roman" w:eastAsia="宋体"/>
          <w:color w:val="auto"/>
          <w:highlight w:val="none"/>
        </w:rPr>
      </w:pPr>
      <w:r>
        <w:rPr>
          <w:rFonts w:ascii="Times New Roman" w:hAnsi="Times New Roman" w:eastAsia="宋体"/>
          <w:color w:val="auto"/>
          <w:highlight w:val="none"/>
        </w:rPr>
        <w:t>c、事件所造成的危害已经被彻底消除，无继发可能；</w:t>
      </w:r>
    </w:p>
    <w:p>
      <w:pPr>
        <w:ind w:firstLine="480"/>
        <w:rPr>
          <w:rFonts w:ascii="Times New Roman" w:hAnsi="Times New Roman" w:eastAsia="宋体"/>
          <w:color w:val="auto"/>
          <w:highlight w:val="none"/>
        </w:rPr>
      </w:pPr>
      <w:r>
        <w:rPr>
          <w:rFonts w:ascii="Times New Roman" w:hAnsi="Times New Roman" w:eastAsia="宋体"/>
          <w:color w:val="auto"/>
          <w:highlight w:val="none"/>
        </w:rPr>
        <w:t>d、事件现场的各种专业应急处置行动已无继续的必要；</w:t>
      </w:r>
    </w:p>
    <w:p>
      <w:pPr>
        <w:ind w:firstLine="480"/>
        <w:rPr>
          <w:rFonts w:ascii="Times New Roman" w:hAnsi="Times New Roman" w:eastAsia="宋体"/>
          <w:color w:val="auto"/>
          <w:highlight w:val="none"/>
        </w:rPr>
      </w:pPr>
      <w:r>
        <w:rPr>
          <w:rFonts w:ascii="Times New Roman" w:hAnsi="Times New Roman" w:eastAsia="宋体"/>
          <w:color w:val="auto"/>
          <w:highlight w:val="none"/>
        </w:rPr>
        <w:t>e、采取一切必要的防护措施以保护公众再次免受危害，并使事件可能引起的中长期影响趋于合理且尽量低的水平。</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应急终止的程序</w:t>
      </w:r>
    </w:p>
    <w:p>
      <w:pPr>
        <w:ind w:firstLine="480"/>
        <w:rPr>
          <w:rFonts w:ascii="Times New Roman" w:hAnsi="Times New Roman" w:eastAsia="宋体"/>
          <w:color w:val="auto"/>
          <w:highlight w:val="none"/>
        </w:rPr>
      </w:pPr>
      <w:r>
        <w:rPr>
          <w:rFonts w:ascii="Times New Roman" w:hAnsi="Times New Roman" w:eastAsia="宋体"/>
          <w:color w:val="auto"/>
          <w:highlight w:val="none"/>
        </w:rPr>
        <w:t>a、指挥领导小组确认终止时机或由事故责任单位提出，经指挥领导小组批准；</w:t>
      </w:r>
    </w:p>
    <w:p>
      <w:pPr>
        <w:ind w:firstLine="480"/>
        <w:rPr>
          <w:rFonts w:ascii="Times New Roman" w:hAnsi="Times New Roman" w:eastAsia="宋体"/>
          <w:color w:val="auto"/>
          <w:highlight w:val="none"/>
        </w:rPr>
      </w:pPr>
      <w:r>
        <w:rPr>
          <w:rFonts w:ascii="Times New Roman" w:hAnsi="Times New Roman" w:eastAsia="宋体"/>
          <w:color w:val="auto"/>
          <w:highlight w:val="none"/>
        </w:rPr>
        <w:t>b、指挥领导小组向所属各专业应急响应队伍下达应急终止命令；</w:t>
      </w:r>
    </w:p>
    <w:p>
      <w:pPr>
        <w:ind w:firstLine="480"/>
        <w:rPr>
          <w:rFonts w:ascii="Times New Roman" w:hAnsi="Times New Roman" w:eastAsia="宋体"/>
          <w:color w:val="auto"/>
          <w:highlight w:val="none"/>
        </w:rPr>
      </w:pPr>
      <w:r>
        <w:rPr>
          <w:rFonts w:ascii="Times New Roman" w:hAnsi="Times New Roman" w:eastAsia="宋体"/>
          <w:color w:val="auto"/>
          <w:highlight w:val="none"/>
        </w:rPr>
        <w:t>c、应急状态终止后，相关类别环境事件专业应急工作组应根据政府有关指示和实际情况，继续进行环境监测和评价工作，直至其他补救措施无须继续进行为止。</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应急终止后的后续工作</w:t>
      </w:r>
    </w:p>
    <w:p>
      <w:pPr>
        <w:ind w:firstLine="480"/>
        <w:rPr>
          <w:rFonts w:ascii="Times New Roman" w:hAnsi="Times New Roman" w:eastAsia="宋体"/>
          <w:color w:val="auto"/>
          <w:highlight w:val="none"/>
        </w:rPr>
      </w:pPr>
      <w:r>
        <w:rPr>
          <w:rFonts w:ascii="Times New Roman" w:hAnsi="Times New Roman" w:eastAsia="宋体"/>
          <w:color w:val="auto"/>
          <w:highlight w:val="none"/>
        </w:rPr>
        <w:t>a、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pPr>
        <w:ind w:firstLine="480"/>
        <w:rPr>
          <w:rFonts w:ascii="Times New Roman" w:hAnsi="Times New Roman" w:eastAsia="宋体"/>
          <w:color w:val="auto"/>
          <w:highlight w:val="none"/>
        </w:rPr>
      </w:pPr>
      <w:r>
        <w:rPr>
          <w:rFonts w:ascii="Times New Roman" w:hAnsi="Times New Roman" w:eastAsia="宋体"/>
          <w:color w:val="auto"/>
          <w:highlight w:val="none"/>
        </w:rPr>
        <w:t>b、向本单位相关部门、周边村庄等受影响区域，通知本事件危险已解除。</w:t>
      </w:r>
    </w:p>
    <w:p>
      <w:pPr>
        <w:ind w:firstLine="480"/>
        <w:rPr>
          <w:rFonts w:ascii="Times New Roman" w:hAnsi="Times New Roman" w:eastAsia="宋体"/>
          <w:color w:val="auto"/>
          <w:highlight w:val="none"/>
        </w:rPr>
      </w:pPr>
      <w:r>
        <w:rPr>
          <w:rFonts w:ascii="Times New Roman" w:hAnsi="Times New Roman" w:eastAsia="宋体"/>
          <w:color w:val="auto"/>
          <w:highlight w:val="none"/>
        </w:rPr>
        <w:t>c、应急终止后，应急指挥组应做好现场的保护，用隔离警示带围住事故现场区域。应急指挥组还要配合有关部门查找事件原因，防止类似问题的重复出现。</w:t>
      </w:r>
    </w:p>
    <w:p>
      <w:pPr>
        <w:ind w:firstLine="480"/>
        <w:rPr>
          <w:rFonts w:ascii="Times New Roman" w:hAnsi="Times New Roman" w:eastAsia="宋体"/>
          <w:color w:val="auto"/>
          <w:highlight w:val="none"/>
        </w:rPr>
      </w:pPr>
      <w:r>
        <w:rPr>
          <w:rFonts w:ascii="Times New Roman" w:hAnsi="Times New Roman" w:eastAsia="宋体"/>
          <w:color w:val="auto"/>
          <w:highlight w:val="none"/>
        </w:rPr>
        <w:t>d、撰写突发环境事件总结报告，于应急终止后上报。</w:t>
      </w:r>
    </w:p>
    <w:p>
      <w:pPr>
        <w:ind w:firstLine="480"/>
        <w:rPr>
          <w:rFonts w:ascii="Times New Roman" w:hAnsi="Times New Roman" w:eastAsia="宋体"/>
          <w:color w:val="auto"/>
          <w:highlight w:val="none"/>
        </w:rPr>
      </w:pPr>
      <w:r>
        <w:rPr>
          <w:rFonts w:ascii="Times New Roman" w:hAnsi="Times New Roman" w:eastAsia="宋体"/>
          <w:color w:val="auto"/>
          <w:highlight w:val="none"/>
        </w:rPr>
        <w:t>e、根据环境事件的类别，由相关专业主管部门组织对环境应急预案进行评估，并及时修订。</w:t>
      </w:r>
    </w:p>
    <w:p>
      <w:pPr>
        <w:ind w:firstLine="480"/>
        <w:rPr>
          <w:rFonts w:ascii="Times New Roman" w:hAnsi="Times New Roman" w:eastAsia="宋体"/>
          <w:color w:val="auto"/>
          <w:highlight w:val="none"/>
        </w:rPr>
      </w:pPr>
      <w:r>
        <w:rPr>
          <w:rFonts w:ascii="Times New Roman" w:hAnsi="Times New Roman" w:eastAsia="宋体"/>
          <w:color w:val="auto"/>
          <w:highlight w:val="none"/>
        </w:rPr>
        <w:t>f、参加应急行动的部门分别组织、指导环境应急救援队伍维护、保养应急仪器设备，使之始终保持良好的技术状态。</w:t>
      </w:r>
    </w:p>
    <w:p>
      <w:pPr>
        <w:ind w:firstLine="480"/>
        <w:rPr>
          <w:rFonts w:ascii="Times New Roman" w:hAnsi="Times New Roman" w:eastAsia="宋体"/>
          <w:color w:val="auto"/>
          <w:highlight w:val="none"/>
        </w:rPr>
      </w:pPr>
      <w:r>
        <w:rPr>
          <w:rFonts w:ascii="Times New Roman" w:hAnsi="Times New Roman" w:eastAsia="宋体"/>
          <w:color w:val="auto"/>
          <w:highlight w:val="none"/>
        </w:rPr>
        <w:t>g、根据事故调查结果，对公司现有的防范措施与应急预案进行评价，指出其有效性和不足之处，提出整改意见。</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w:t>
      </w:r>
      <w:r>
        <w:rPr>
          <w:rFonts w:ascii="Times New Roman" w:hAnsi="Times New Roman" w:eastAsia="宋体"/>
          <w:color w:val="auto"/>
          <w:highlight w:val="none"/>
        </w:rPr>
        <w:t>应急救援培训计划</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应急救援人员培训</w:t>
      </w:r>
    </w:p>
    <w:p>
      <w:pPr>
        <w:ind w:firstLine="480"/>
        <w:rPr>
          <w:rFonts w:ascii="Times New Roman" w:hAnsi="Times New Roman" w:eastAsia="宋体"/>
          <w:color w:val="auto"/>
          <w:highlight w:val="none"/>
        </w:rPr>
      </w:pPr>
      <w:r>
        <w:rPr>
          <w:rFonts w:ascii="Times New Roman" w:hAnsi="Times New Roman" w:eastAsia="宋体"/>
          <w:color w:val="auto"/>
          <w:highlight w:val="none"/>
        </w:rPr>
        <w:t>建设单位应定期对应急救援人员进行应急事故处理及紧急救援培训，应急救援人员的培训由领导小组统一安排制定专人进行。</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员工应急响应培训</w:t>
      </w:r>
    </w:p>
    <w:p>
      <w:pPr>
        <w:ind w:firstLine="480"/>
        <w:rPr>
          <w:rFonts w:ascii="Times New Roman" w:hAnsi="Times New Roman" w:eastAsia="宋体"/>
          <w:color w:val="auto"/>
          <w:highlight w:val="none"/>
        </w:rPr>
      </w:pPr>
      <w:r>
        <w:rPr>
          <w:rFonts w:ascii="Times New Roman" w:hAnsi="Times New Roman" w:eastAsia="宋体"/>
          <w:color w:val="auto"/>
          <w:highlight w:val="none"/>
        </w:rPr>
        <w:t>由建设单位组织应急救援人员定期对员工进行应急事故处理及紧急救援培训，提高员工风险防范意识及自救能力。</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演练计划</w:t>
      </w:r>
    </w:p>
    <w:p>
      <w:pPr>
        <w:ind w:firstLine="480"/>
        <w:rPr>
          <w:rFonts w:ascii="Times New Roman" w:hAnsi="Times New Roman" w:eastAsia="宋体"/>
          <w:color w:val="auto"/>
          <w:highlight w:val="none"/>
        </w:rPr>
      </w:pPr>
      <w:r>
        <w:rPr>
          <w:rFonts w:ascii="Times New Roman" w:hAnsi="Times New Roman" w:eastAsia="宋体"/>
          <w:color w:val="auto"/>
          <w:highlight w:val="none"/>
        </w:rPr>
        <w:t>建设单位须定期进行突发事件紧急响应演习，至少每半年组织一次，由公司应急救援领导小组组织。</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w:t>
      </w:r>
      <w:r>
        <w:rPr>
          <w:rFonts w:ascii="Times New Roman" w:hAnsi="Times New Roman" w:eastAsia="宋体"/>
          <w:color w:val="auto"/>
          <w:highlight w:val="none"/>
        </w:rPr>
        <w:t>应急预案演习</w:t>
      </w:r>
    </w:p>
    <w:p>
      <w:pPr>
        <w:ind w:firstLine="480"/>
        <w:rPr>
          <w:rFonts w:ascii="Times New Roman" w:hAnsi="Times New Roman" w:eastAsia="宋体"/>
          <w:color w:val="auto"/>
          <w:highlight w:val="none"/>
        </w:rPr>
      </w:pPr>
      <w:r>
        <w:rPr>
          <w:rFonts w:ascii="Times New Roman" w:hAnsi="Times New Roman" w:eastAsia="宋体"/>
          <w:color w:val="auto"/>
          <w:highlight w:val="none"/>
        </w:rPr>
        <w:t>为验证应急预案的可操作性和合理性，确保所有职工都了解该应急预案，同时为了增强各部门之间的相互协作能力，应对各类可能发生事故进行培训和应急演练，从而确保预案的适时改进。所有运作人员参与污染事故应急演习的时间间隔不得超过一年，并做好演练记录。</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根据本项目的实际情况，企业还应从以下几方面加强事故应急防范：</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建立应急救援指挥系统</w:t>
      </w:r>
    </w:p>
    <w:p>
      <w:pPr>
        <w:ind w:firstLine="480"/>
        <w:rPr>
          <w:rFonts w:ascii="Times New Roman" w:hAnsi="Times New Roman" w:eastAsia="宋体"/>
          <w:color w:val="auto"/>
          <w:highlight w:val="none"/>
        </w:rPr>
      </w:pPr>
      <w:r>
        <w:rPr>
          <w:rFonts w:ascii="Times New Roman" w:hAnsi="Times New Roman" w:eastAsia="宋体"/>
          <w:color w:val="auto"/>
          <w:highlight w:val="none"/>
        </w:rPr>
        <w:t>企业应组建指挥小组。指挥小组负责重大事故应急预案的制定及修订；组建应急救援专业队伍，定时组织工作人员进行培训，并组织实施平时的演练；经常性检查应急预案的各项准备工作，以确保系统能正常工作。及时向上级汇报事故情况，并对事故做总结。</w:t>
      </w:r>
    </w:p>
    <w:p>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现场事故处置</w:t>
      </w:r>
    </w:p>
    <w:p>
      <w:pPr>
        <w:ind w:firstLine="480"/>
        <w:rPr>
          <w:rFonts w:ascii="Times New Roman" w:hAnsi="Times New Roman" w:eastAsia="宋体"/>
          <w:color w:val="auto"/>
          <w:highlight w:val="none"/>
        </w:rPr>
      </w:pPr>
      <w:r>
        <w:rPr>
          <w:rFonts w:ascii="Times New Roman" w:hAnsi="Times New Roman" w:eastAsia="宋体"/>
          <w:color w:val="auto"/>
          <w:highlight w:val="none"/>
        </w:rPr>
        <w:t>发生重大事故时，应紧急疏散场区工作人员，危险区域实行隔离，禁止进入，无关人员不得靠近。现场扑救人员应佩戴氧气隔离防毒面具，穿专用防护服</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建设单位应按照《企业突发环境事件风险评估指南（试行）》（环境保护部环办[2014]34号）的要求建立环境风险事故应急预案，应急预案所要求的基本内容可参照表5.3</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6中的相关内容。</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表5.3</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6应急预案内容一览表</w:t>
      </w:r>
    </w:p>
    <w:tbl>
      <w:tblPr>
        <w:tblStyle w:val="34"/>
        <w:tblW w:w="8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54"/>
        <w:gridCol w:w="5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序号</w:t>
            </w:r>
          </w:p>
        </w:tc>
        <w:tc>
          <w:tcPr>
            <w:tcW w:w="128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项目</w:t>
            </w:r>
          </w:p>
        </w:tc>
        <w:tc>
          <w:tcPr>
            <w:tcW w:w="329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应急计划区</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危险目标，环境保护目标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2</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应急组织机构、人员</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厂区、地区应急组织机构、人员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3</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预案分级响应条件</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4</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应急救援保障</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应急设施，设备与器材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5</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报警、通讯联络方式</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6</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应急环境监测、抢险、救援及控制措施</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7</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应急检测、防护措施、清楚泄露措施和器材</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事故现场、临近区域、控制防火措施，控制和清楚污染措施及相应设备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8</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人员紧急撤离、疏散，应急剂量控制、撤离组织计划</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事故现场、厂区临近区、受事故影响的区域人员及公众对毒物应急剂量控制规定，撤离组织计划及救护，医疗救护与公众健康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9</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事故应急救援关闭程序与恢复措施</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规定应急状态终止程序；</w:t>
            </w:r>
          </w:p>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事故现场善后处理，恢复措施；</w:t>
            </w:r>
          </w:p>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临近区域解除事故警戒及善后恢复措施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10</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应急培训计划</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11</w:t>
            </w:r>
          </w:p>
        </w:tc>
        <w:tc>
          <w:tcPr>
            <w:tcW w:w="1282"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公众教育和信息</w:t>
            </w:r>
          </w:p>
        </w:tc>
        <w:tc>
          <w:tcPr>
            <w:tcW w:w="3295" w:type="pct"/>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对临近地区开展公众教育、培训和发布有关信息</w:t>
            </w:r>
          </w:p>
        </w:tc>
      </w:tr>
    </w:tbl>
    <w:p>
      <w:pPr>
        <w:pStyle w:val="4"/>
        <w:rPr>
          <w:rFonts w:ascii="Times New Roman" w:hAnsi="Times New Roman" w:eastAsia="宋体"/>
          <w:color w:val="auto"/>
          <w:highlight w:val="none"/>
        </w:rPr>
      </w:pPr>
      <w:bookmarkStart w:id="222" w:name="_Toc106663516"/>
      <w:bookmarkStart w:id="223" w:name="_Toc89619346"/>
      <w:r>
        <w:rPr>
          <w:rFonts w:hint="eastAsia" w:ascii="Times New Roman" w:hAnsi="Times New Roman" w:eastAsia="宋体"/>
          <w:color w:val="auto"/>
          <w:highlight w:val="none"/>
        </w:rPr>
        <w:t>5.3.9项目风险评价结论与建议</w:t>
      </w:r>
      <w:bookmarkEnd w:id="222"/>
      <w:bookmarkEnd w:id="223"/>
    </w:p>
    <w:p>
      <w:pPr>
        <w:ind w:firstLine="480"/>
        <w:rPr>
          <w:rFonts w:ascii="Times New Roman" w:hAnsi="Times New Roman" w:eastAsia="宋体"/>
          <w:color w:val="auto"/>
          <w:highlight w:val="none"/>
        </w:rPr>
      </w:pPr>
      <w:r>
        <w:rPr>
          <w:rFonts w:ascii="Times New Roman" w:hAnsi="Times New Roman" w:eastAsia="宋体"/>
          <w:color w:val="auto"/>
          <w:highlight w:val="none"/>
        </w:rPr>
        <w:t>1、风险评价结论</w:t>
      </w:r>
    </w:p>
    <w:p>
      <w:pPr>
        <w:ind w:firstLine="480"/>
        <w:rPr>
          <w:rFonts w:ascii="Times New Roman" w:hAnsi="Times New Roman" w:eastAsia="宋体"/>
          <w:color w:val="auto"/>
          <w:highlight w:val="none"/>
        </w:rPr>
      </w:pPr>
      <w:r>
        <w:rPr>
          <w:rFonts w:ascii="Times New Roman" w:hAnsi="Times New Roman" w:eastAsia="宋体"/>
          <w:color w:val="auto"/>
          <w:highlight w:val="none"/>
        </w:rPr>
        <w:t>风险评价的结果表明，本项目环境风险主要来自蛋鸡饲养过程中的病鸡尸体、排水管网和</w:t>
      </w:r>
      <w:r>
        <w:rPr>
          <w:rFonts w:hint="eastAsia"/>
          <w:color w:val="auto"/>
          <w:highlight w:val="none"/>
          <w:lang w:eastAsia="zh-CN"/>
        </w:rPr>
        <w:t>废水收集池</w:t>
      </w:r>
      <w:r>
        <w:rPr>
          <w:rFonts w:ascii="Times New Roman" w:hAnsi="Times New Roman" w:eastAsia="宋体"/>
          <w:color w:val="auto"/>
          <w:highlight w:val="none"/>
        </w:rPr>
        <w:t>泄露、医疗废物污染事故等。本项目距居民区较远，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p>
    <w:p>
      <w:pPr>
        <w:ind w:firstLine="480"/>
        <w:rPr>
          <w:rFonts w:ascii="Times New Roman" w:hAnsi="Times New Roman" w:eastAsia="宋体"/>
          <w:color w:val="auto"/>
          <w:highlight w:val="none"/>
        </w:rPr>
      </w:pPr>
      <w:r>
        <w:rPr>
          <w:rFonts w:ascii="Times New Roman" w:hAnsi="Times New Roman" w:eastAsia="宋体"/>
          <w:color w:val="auto"/>
          <w:highlight w:val="none"/>
        </w:rPr>
        <w:t>2、建议</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本项目具有潜在的事故风险，尽管风险可接受，但企业应从建设、生产、贮运等各方面积极采取防护措施，这是确保安全的根本措施。</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当出现事故时，要采取紧急的工程应急措施，如必要，应采取社会应急措施，以控制事故和减少对环境造成的危害。</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按照企业制定的突发环境事故应急预案，定期进行预案演练并实现与地方政府或相关管理部门突发环境事故应急预案的有效衔接。</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建设单位必须高度重视，做到风险防范警钟常鸣，环境安全管理常抓不懈；严格落实各项风险防范措施，不断完善风险管理体系。</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建立企业环境风险应急机制，加强厂区管道、</w:t>
      </w:r>
      <w:r>
        <w:rPr>
          <w:rFonts w:hint="eastAsia"/>
          <w:color w:val="auto"/>
          <w:highlight w:val="none"/>
          <w:lang w:eastAsia="zh-CN"/>
        </w:rPr>
        <w:t>医疗废物暂存间</w:t>
      </w:r>
      <w:r>
        <w:rPr>
          <w:rFonts w:ascii="Times New Roman" w:hAnsi="Times New Roman" w:eastAsia="宋体"/>
          <w:color w:val="auto"/>
          <w:highlight w:val="none"/>
        </w:rPr>
        <w:t>的巡查、监视力度，强化风险管理，强化对员工的职业素质教育，杜绝违章作业。</w:t>
      </w:r>
    </w:p>
    <w:p>
      <w:pPr>
        <w:ind w:firstLine="480"/>
        <w:rPr>
          <w:rFonts w:ascii="Times New Roman" w:hAnsi="Times New Roman" w:eastAsia="宋体"/>
          <w:color w:val="auto"/>
          <w:highlight w:val="none"/>
        </w:rPr>
      </w:pPr>
      <w:r>
        <w:rPr>
          <w:rFonts w:ascii="Times New Roman" w:hAnsi="Times New Roman" w:eastAsia="宋体"/>
          <w:color w:val="auto"/>
          <w:highlight w:val="none"/>
        </w:rPr>
        <w:t>3、建设项目环境风险简单分析内容表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建设项目环境风险简单分析内容见表5.3-7。</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表5.3-7建设项目环境风险简单分析内容表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990"/>
        <w:gridCol w:w="1823"/>
        <w:gridCol w:w="1365"/>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建设项目名称</w:t>
            </w:r>
          </w:p>
        </w:tc>
        <w:tc>
          <w:tcPr>
            <w:tcW w:w="4065" w:type="pct"/>
            <w:gridSpan w:val="4"/>
            <w:shd w:val="clear" w:color="auto" w:fill="auto"/>
            <w:vAlign w:val="center"/>
          </w:tcPr>
          <w:p>
            <w:pPr>
              <w:spacing w:line="240" w:lineRule="auto"/>
              <w:ind w:firstLine="0" w:firstLineChars="0"/>
              <w:jc w:val="center"/>
              <w:rPr>
                <w:rFonts w:hint="eastAsia" w:ascii="Times New Roman" w:hAnsi="Times New Roman" w:eastAsia="宋体"/>
                <w:color w:val="auto"/>
                <w:kern w:val="2"/>
                <w:sz w:val="21"/>
                <w:szCs w:val="24"/>
                <w:highlight w:val="none"/>
                <w:lang w:eastAsia="zh-CN"/>
              </w:rPr>
            </w:pPr>
            <w:r>
              <w:rPr>
                <w:rFonts w:hint="eastAsia" w:ascii="Times New Roman" w:hAnsi="Times New Roman" w:eastAsia="宋体"/>
                <w:color w:val="auto"/>
                <w:kern w:val="2"/>
                <w:sz w:val="21"/>
                <w:szCs w:val="24"/>
                <w:highlight w:val="none"/>
                <w:lang w:eastAsia="zh-CN"/>
              </w:rPr>
              <w:t>玛纳斯县蛋鸡育成鸡圈舍建设及设备采购项目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建设地点</w:t>
            </w:r>
          </w:p>
        </w:tc>
        <w:tc>
          <w:tcPr>
            <w:tcW w:w="581"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新疆</w:t>
            </w:r>
          </w:p>
        </w:tc>
        <w:tc>
          <w:tcPr>
            <w:tcW w:w="107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昌吉州</w:t>
            </w:r>
          </w:p>
        </w:tc>
        <w:tc>
          <w:tcPr>
            <w:tcW w:w="801" w:type="pct"/>
            <w:shd w:val="clear" w:color="auto" w:fill="auto"/>
            <w:vAlign w:val="center"/>
          </w:tcPr>
          <w:p>
            <w:pPr>
              <w:spacing w:line="240" w:lineRule="auto"/>
              <w:ind w:firstLine="0" w:firstLineChars="0"/>
              <w:jc w:val="center"/>
              <w:rPr>
                <w:rFonts w:hint="eastAsia" w:ascii="Times New Roman" w:hAnsi="Times New Roman" w:eastAsia="宋体"/>
                <w:color w:val="auto"/>
                <w:kern w:val="2"/>
                <w:sz w:val="21"/>
                <w:szCs w:val="24"/>
                <w:highlight w:val="none"/>
                <w:lang w:eastAsia="zh-CN"/>
              </w:rPr>
            </w:pPr>
            <w:r>
              <w:rPr>
                <w:rFonts w:hint="eastAsia" w:ascii="Times New Roman" w:hAnsi="Times New Roman" w:eastAsia="宋体"/>
                <w:color w:val="auto"/>
                <w:kern w:val="2"/>
                <w:sz w:val="21"/>
                <w:szCs w:val="24"/>
                <w:highlight w:val="none"/>
                <w:lang w:eastAsia="zh-CN"/>
              </w:rPr>
              <w:t>玛纳斯县</w:t>
            </w:r>
          </w:p>
        </w:tc>
        <w:tc>
          <w:tcPr>
            <w:tcW w:w="1613" w:type="pct"/>
            <w:shd w:val="clear" w:color="auto" w:fill="auto"/>
            <w:vAlign w:val="center"/>
          </w:tcPr>
          <w:p>
            <w:pPr>
              <w:spacing w:line="240" w:lineRule="auto"/>
              <w:ind w:firstLine="0" w:firstLineChars="0"/>
              <w:jc w:val="center"/>
              <w:rPr>
                <w:rFonts w:hint="default" w:ascii="Times New Roman" w:hAnsi="Times New Roman" w:eastAsia="宋体"/>
                <w:color w:val="auto"/>
                <w:kern w:val="2"/>
                <w:sz w:val="21"/>
                <w:szCs w:val="24"/>
                <w:highlight w:val="none"/>
                <w:lang w:val="en-US" w:eastAsia="zh-CN"/>
              </w:rPr>
            </w:pPr>
            <w:r>
              <w:rPr>
                <w:rFonts w:hint="eastAsia"/>
                <w:color w:val="auto"/>
                <w:kern w:val="2"/>
                <w:sz w:val="21"/>
                <w:szCs w:val="24"/>
                <w:highlight w:val="none"/>
                <w:lang w:val="en-US" w:eastAsia="zh-CN"/>
              </w:rPr>
              <w:t>广东地乡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地理坐标</w:t>
            </w:r>
          </w:p>
        </w:tc>
        <w:tc>
          <w:tcPr>
            <w:tcW w:w="581"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经度</w:t>
            </w:r>
          </w:p>
        </w:tc>
        <w:tc>
          <w:tcPr>
            <w:tcW w:w="1070"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86°19′54″</w:t>
            </w:r>
          </w:p>
        </w:tc>
        <w:tc>
          <w:tcPr>
            <w:tcW w:w="801"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纬度</w:t>
            </w:r>
          </w:p>
        </w:tc>
        <w:tc>
          <w:tcPr>
            <w:tcW w:w="1613"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44°20′39″N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主要危险物质及分布</w:t>
            </w:r>
          </w:p>
        </w:tc>
        <w:tc>
          <w:tcPr>
            <w:tcW w:w="4065" w:type="pct"/>
            <w:gridSpan w:val="4"/>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本项目不涉及《建设项目环境风险评价技术导则》</w:t>
            </w:r>
            <w:r>
              <w:rPr>
                <w:rFonts w:hint="eastAsia"/>
                <w:color w:val="auto"/>
                <w:kern w:val="2"/>
                <w:sz w:val="21"/>
                <w:szCs w:val="24"/>
                <w:highlight w:val="none"/>
                <w:lang w:eastAsia="zh-CN"/>
              </w:rPr>
              <w:t>（</w:t>
            </w:r>
            <w:r>
              <w:rPr>
                <w:rFonts w:ascii="Times New Roman" w:hAnsi="Times New Roman" w:eastAsia="宋体"/>
                <w:color w:val="auto"/>
                <w:kern w:val="2"/>
                <w:sz w:val="21"/>
                <w:szCs w:val="24"/>
                <w:highlight w:val="none"/>
              </w:rPr>
              <w:t>HJ169-2018</w:t>
            </w:r>
            <w:r>
              <w:rPr>
                <w:rFonts w:hint="eastAsia"/>
                <w:color w:val="auto"/>
                <w:kern w:val="2"/>
                <w:sz w:val="21"/>
                <w:szCs w:val="24"/>
                <w:highlight w:val="none"/>
                <w:lang w:eastAsia="zh-CN"/>
              </w:rPr>
              <w:t>）</w:t>
            </w:r>
            <w:r>
              <w:rPr>
                <w:rFonts w:ascii="Times New Roman" w:hAnsi="Times New Roman" w:eastAsia="宋体"/>
                <w:color w:val="auto"/>
                <w:kern w:val="2"/>
                <w:sz w:val="21"/>
                <w:szCs w:val="24"/>
                <w:highlight w:val="none"/>
              </w:rPr>
              <w:t>附录B中的风险物质。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环境影响途径及危害后果</w:t>
            </w:r>
          </w:p>
        </w:tc>
        <w:tc>
          <w:tcPr>
            <w:tcW w:w="4065" w:type="pct"/>
            <w:gridSpan w:val="4"/>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大气途径：无；</w:t>
            </w:r>
          </w:p>
          <w:p>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地表水途径：无；</w:t>
            </w:r>
          </w:p>
          <w:p>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地下水途径：管线和</w:t>
            </w:r>
            <w:r>
              <w:rPr>
                <w:rFonts w:hint="eastAsia"/>
                <w:color w:val="auto"/>
                <w:kern w:val="2"/>
                <w:sz w:val="21"/>
                <w:szCs w:val="24"/>
                <w:highlight w:val="none"/>
                <w:lang w:eastAsia="zh-CN"/>
              </w:rPr>
              <w:t>废水收集池</w:t>
            </w:r>
            <w:r>
              <w:rPr>
                <w:rFonts w:ascii="Times New Roman" w:hAnsi="Times New Roman" w:eastAsia="宋体"/>
                <w:color w:val="auto"/>
                <w:kern w:val="2"/>
                <w:sz w:val="21"/>
                <w:szCs w:val="24"/>
                <w:highlight w:val="none"/>
              </w:rPr>
              <w:t>泄露、医疗废物污染等；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风险防范措施要求</w:t>
            </w:r>
          </w:p>
        </w:tc>
        <w:tc>
          <w:tcPr>
            <w:tcW w:w="4065" w:type="pct"/>
            <w:gridSpan w:val="4"/>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①制定突发事件环境应急预案并定期演练；</w:t>
            </w:r>
          </w:p>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②建设单位从总图布置、工艺控制系统安全设置、电器安全措施、防雷防静电、制定应急预案等方面完善了环境风险防范措施；</w:t>
            </w:r>
          </w:p>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③采取基础防渗进行风险防范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935" w:type="pct"/>
            <w:shd w:val="clear" w:color="auto" w:fill="auto"/>
            <w:vAlign w:val="center"/>
          </w:tcPr>
          <w:p>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填表说明</w:t>
            </w:r>
          </w:p>
        </w:tc>
        <w:tc>
          <w:tcPr>
            <w:tcW w:w="4065" w:type="pct"/>
            <w:gridSpan w:val="4"/>
            <w:shd w:val="clear" w:color="auto" w:fill="auto"/>
            <w:vAlign w:val="center"/>
          </w:tcPr>
          <w:p>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本项目风险潜势为Ⅰ，仅进行简单分析，在采取有效的防范措施、制定相应的应急预案的前提下，建设单位可将事故风险的影响减至最小。本项目在落实上述提出的存储过程中的风险防范及应急措施、生产过程中的风险防范及应急措施、环境影响途径的风险防范及应急措施后，可做到环境风险可防控要求，本项目环境风险防范措施有效可行，环境风险可防控。</w:t>
            </w:r>
          </w:p>
        </w:tc>
      </w:tr>
    </w:tbl>
    <w:p>
      <w:pPr>
        <w:ind w:firstLine="480"/>
        <w:rPr>
          <w:rFonts w:ascii="Times New Roman" w:hAnsi="Times New Roman" w:eastAsia="宋体"/>
          <w:color w:val="auto"/>
          <w:highlight w:val="none"/>
        </w:rPr>
        <w:sectPr>
          <w:headerReference r:id="rId25" w:type="default"/>
          <w:footerReference r:id="rId26" w:type="default"/>
          <w:pgSz w:w="11906" w:h="16838"/>
          <w:pgMar w:top="1440" w:right="1800" w:bottom="1327"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rPr>
          <w:rFonts w:ascii="Times New Roman" w:hAnsi="Times New Roman" w:eastAsia="宋体"/>
          <w:color w:val="auto"/>
          <w:highlight w:val="none"/>
        </w:rPr>
      </w:pPr>
      <w:bookmarkStart w:id="224" w:name="_Toc89619347"/>
      <w:bookmarkStart w:id="225" w:name="_Toc106663517"/>
      <w:r>
        <w:rPr>
          <w:rFonts w:hint="eastAsia" w:ascii="Times New Roman" w:hAnsi="Times New Roman" w:eastAsia="宋体"/>
          <w:color w:val="auto"/>
          <w:highlight w:val="none"/>
        </w:rPr>
        <w:t>6、</w:t>
      </w:r>
      <w:bookmarkEnd w:id="224"/>
      <w:bookmarkEnd w:id="225"/>
      <w:r>
        <w:rPr>
          <w:rFonts w:hint="eastAsia" w:ascii="Times New Roman" w:hAnsi="Times New Roman" w:eastAsia="宋体"/>
          <w:color w:val="auto"/>
          <w:highlight w:val="none"/>
        </w:rPr>
        <w:t>污染防治措施和对策建议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根据国家有关环保法规要求，该项目必须执行</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pPr>
        <w:pStyle w:val="4"/>
        <w:rPr>
          <w:rFonts w:ascii="Times New Roman" w:hAnsi="Times New Roman" w:eastAsia="宋体"/>
          <w:color w:val="auto"/>
          <w:highlight w:val="none"/>
        </w:rPr>
      </w:pPr>
      <w:bookmarkStart w:id="226" w:name="_Toc106663518"/>
      <w:bookmarkStart w:id="227" w:name="_Toc89619348"/>
      <w:r>
        <w:rPr>
          <w:rFonts w:hint="eastAsia" w:ascii="Times New Roman" w:hAnsi="Times New Roman" w:eastAsia="宋体"/>
          <w:color w:val="auto"/>
          <w:highlight w:val="none"/>
        </w:rPr>
        <w:t>6.1施工期污染防治措施</w:t>
      </w:r>
      <w:bookmarkEnd w:id="226"/>
      <w:bookmarkEnd w:id="22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内容主要包括场地平整、开挖土石方、打桩、构筑基础施工、钢筋、砖混结构施工、管线施工及装修施工、场地清理等，施工期对环境的影响主要是扬尘、废水、施工噪声、建筑垃圾及生态影响等。本次评价针对以上影响提出相应污染防治措施进行论证。</w:t>
      </w:r>
    </w:p>
    <w:p>
      <w:pPr>
        <w:pStyle w:val="5"/>
        <w:rPr>
          <w:rFonts w:ascii="Times New Roman" w:hAnsi="Times New Roman" w:eastAsia="宋体"/>
          <w:color w:val="auto"/>
          <w:highlight w:val="none"/>
        </w:rPr>
      </w:pPr>
      <w:bookmarkStart w:id="228" w:name="_Toc106663519"/>
      <w:r>
        <w:rPr>
          <w:rFonts w:hint="eastAsia" w:ascii="Times New Roman" w:hAnsi="Times New Roman" w:eastAsia="宋体"/>
          <w:color w:val="auto"/>
          <w:highlight w:val="none"/>
        </w:rPr>
        <w:t>6.1.1施工期大气污染防治措施</w:t>
      </w:r>
      <w:bookmarkEnd w:id="22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GB3095-2012）二级标准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1、无组织排放扬尘的防治措施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过程中产生的扬尘尽管是短期的，但会对周围环境带来不利的影响，因此在施工期应采取相应的措施尽量减少扬尘的产生。为降低扬尘产生量，保护大气环境，施工单位应根据《关于进一步加强建设工程扬尘污染防治专项整治的通知》等的规定，在施工期采取以下扬尘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（1）施工作业区应配备专人负责，做到科学管理、文明施工；在基础施工期，应尽可能采取措施提高工程进度，并将土石方及时外运到指定地点，缩短堆放的危害周期。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合理安排施工工期；施工工地应定期洒水，特别是旱季施工；施工现场周边设置符合要求的围拦；竣工后要及时清理场地。对于建设施工阶段的车辆和机械扬尘，采取洒水抑尘；洒水次数根据天气状况而定，一般每天洒水1～2次，若遇大风或干燥天气可适当增加洒水次数，遇雨天则不必洒水。施工场地洒水量对扬尘的影响很大，场地洒水后，扬尘量将降低28%～75%，可大大减少扬尘对环境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（3）对施工区周围的道路进行清扫，减少粉尘和二次扬尘的产生。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于装运含尘物料的运输车辆进行密封运输，严格控制和规范车辆运输量和方式，容易产生粉尘的物料装载高度不得超过车辆两边和尾部的挡板和蓬布，严格控制物料的撒落；尽量选择对周围环境影响较小的运输路线。</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（5）限制施工区内运输车辆的速度，卡车在施工场地的车速控制在10km/h，推土机的速度控制在8km/h内。对运输过程中散落在路面上的泥土要及时清扫，以减少运行过程中的扬尘。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（6）施工现场应设置稳固、整齐、美观并符合安全标准要求的连续封闭式围挡（其边界设置高度2.5m以上），对于特殊地点无法设置围挡、围栏及防溢座的，应设置警示牌，严禁敞开式作业。</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（7）施工现场必须做到</w:t>
      </w:r>
      <w:r>
        <w:rPr>
          <w:rFonts w:hint="eastAsia"/>
          <w:color w:val="auto"/>
          <w:highlight w:val="none"/>
          <w:lang w:eastAsia="zh-CN"/>
        </w:rPr>
        <w:t>”</w:t>
      </w:r>
      <w:r>
        <w:rPr>
          <w:rFonts w:hint="eastAsia" w:ascii="Times New Roman" w:hAnsi="Times New Roman" w:eastAsia="宋体"/>
          <w:color w:val="auto"/>
          <w:highlight w:val="none"/>
        </w:rPr>
        <w:t>6个100%</w:t>
      </w:r>
      <w:r>
        <w:rPr>
          <w:rFonts w:hint="eastAsia"/>
          <w:color w:val="auto"/>
          <w:highlight w:val="none"/>
          <w:lang w:eastAsia="zh-CN"/>
        </w:rPr>
        <w:t>”</w:t>
      </w:r>
      <w:r>
        <w:rPr>
          <w:rFonts w:hint="eastAsia" w:ascii="Times New Roman" w:hAnsi="Times New Roman" w:eastAsia="宋体"/>
          <w:color w:val="auto"/>
          <w:highlight w:val="none"/>
        </w:rPr>
        <w:t>，即施工现场100%围挡、工地砂土100%覆盖、工地路面100%硬化、拆除工程100%洒水降尘、出工地车辆100%冲净车轮车身、暂不开发的场地100%绿化。</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易起尘物料采取袋装、覆盖等措施，严禁高空抛撒作业，施工过程中使用水泥、石灰、砂石、涂料、铺装材料等易产生扬尘的建筑材料，应采取密闭存储、设置围挡或堆砌围墙、采用防尘布苫盖或其他有效的防尘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（9）施工期尽量避开大风、大雨天气，对施工作业面应边施工、边洒水，尽可能降低或避免对区域的扬尘污染。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10）建筑垃圾应在48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（11）粉尘、扬尘和燃油产生的污染物对人体健康有害，对受影响的施工人员应做好劳动保护，特别是材料加工、运输粉尘较大的施工场地更应做好防护措施，配备必要的劳保用品。</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2、施工机械排放尾气的防治措施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建设单位针对汽车尾气的排放拟采取以下的措施：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（1）运输、施工单位使用符合国家有关标准的运输车辆和工程机械，严禁使用超标排放污染物的车辆和机械。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（2）所有车辆和机械必须定时维修和维护，保证正常运营，减少事故排放。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（3）运输车辆统一调度，避免出现拥挤，尽可能正常装载和行驶，以免在交通不畅通的情况下，排出更多的尾气。</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（4）运输车辆禁止超载，不得使用劣质燃料；对车辆的尾气排放应进行监督管理，严格执行汽车排污监管办法相关规定，避免排放黑烟。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综上所述，施工期大气污染防治措施简单，经济有效，操作难度小；在采取上述措施后，大气污染物的排放将有效减少，不会对当地大气环境质量造成大的影响；评价认为大气污染防治措施有效可行。</w:t>
      </w:r>
    </w:p>
    <w:p>
      <w:pPr>
        <w:pStyle w:val="5"/>
        <w:rPr>
          <w:rFonts w:ascii="Times New Roman" w:hAnsi="Times New Roman" w:eastAsia="宋体"/>
          <w:color w:val="auto"/>
          <w:highlight w:val="none"/>
        </w:rPr>
      </w:pPr>
      <w:bookmarkStart w:id="229" w:name="_Toc106663520"/>
      <w:r>
        <w:rPr>
          <w:rFonts w:hint="eastAsia" w:ascii="Times New Roman" w:hAnsi="Times New Roman" w:eastAsia="宋体"/>
          <w:color w:val="auto"/>
          <w:highlight w:val="none"/>
        </w:rPr>
        <w:t>6.1.2施工期水污染防治措施</w:t>
      </w:r>
      <w:bookmarkEnd w:id="22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施工期废水主要是来自施工废水及施工人员的生活污水。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避免施工中对水环境的影响，应严格施工管理。地基填土应控制好土的最佳用水量，保证地基的压实度，并做好边坡的防护；修建临时沉淀池，收集沉淀处理含悬浮物高的废水，施工废水经沉淀处理后由于水质较为澄清，可回用作施工用水及道路的洒水。这样可以使施工期废水对水体的影响得到有效的控制。对于施工人员产生的生活污水，应设置防渗干化池或移动式环保公厕集中收集，并定期拉运至当地污水处理厂进行处理，不会对环境造成明显影响。但在施工过程中应加强环境管理，尽量避免施工废水任意乱排，以减缓施工废水对周围环境的不利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沉淀池、防渗干化池均为施工现场常见的废水治理设施，工程量较小，投资较低，杜绝了废水随意泼洒、肆意横流的现象。因此上述废水防治措施从技术、经济方面来讲均可行。</w:t>
      </w:r>
    </w:p>
    <w:p>
      <w:pPr>
        <w:pStyle w:val="5"/>
        <w:rPr>
          <w:rFonts w:ascii="Times New Roman" w:hAnsi="Times New Roman" w:eastAsia="宋体"/>
          <w:color w:val="auto"/>
          <w:highlight w:val="none"/>
        </w:rPr>
      </w:pPr>
      <w:bookmarkStart w:id="230" w:name="_Toc106663521"/>
      <w:r>
        <w:rPr>
          <w:rFonts w:hint="eastAsia" w:ascii="Times New Roman" w:hAnsi="Times New Roman" w:eastAsia="宋体"/>
          <w:color w:val="auto"/>
          <w:highlight w:val="none"/>
        </w:rPr>
        <w:t>6.1.3施工期噪声污染防治措施</w:t>
      </w:r>
      <w:bookmarkEnd w:id="23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1、强噪声机械的降噪措施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推行清洁生产，必须采用低噪声的施工机械和先进的施工技术，以达到控制噪声的目的。施工机械进场应得到环保部门的批准，对环境噪声污染严重的落后的施工机械和施工方式实行淘汰制度。施工中应采用低噪声新技术设备，使噪声污染在施工中得到控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（2）在施工机械与设备与基础或连接部位之间采用弹簧减震、橡皮减震、管道减震、阻尼减震技术，可减少动量，降低噪声。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（3）降低钢模施工噪声，小钢模改为竹夹板以减少振动作业时冲击钢模产生噪声。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（4）合理布局施工场地，在允许的情况下，高噪声施工机械设备布置在远离居民的位置。按照有关规定，每个施工段对作业区设置围挡。</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（5）施工车辆禁鸣喇叭。</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（6）施工过程中加强检查、维护和保养机械设备，保持润滑，紧固各部件，减少运行震动噪声。减轻噪声对周围环境敏感点的影响。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2、人为噪声控制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（1）提倡文明施工，建立控制人为噪声的管理制度，增强施工人员的环保意识，提高防治噪声扰民的自觉性，减少人为噪声污染。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（2）在施工现场禁止大声喧哗吵闹、高声唱歌或敲击工具等。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（3）作业中搬运物件，必须轻拿轻放，钢铁件堆放不发出大的声响，严禁抛掷物件而造成噪声。</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3、个人防护</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单位应合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经采取以上的降噪措施后，有效的减缓了施工和运输噪声对项目施工人员和周围居民区的影响，因此施工期拟采取的噪声防治措施可行。</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pPr>
        <w:pStyle w:val="5"/>
        <w:rPr>
          <w:rFonts w:ascii="Times New Roman" w:hAnsi="Times New Roman" w:eastAsia="宋体"/>
          <w:color w:val="auto"/>
          <w:highlight w:val="none"/>
        </w:rPr>
      </w:pPr>
      <w:bookmarkStart w:id="231" w:name="_Toc106663522"/>
      <w:r>
        <w:rPr>
          <w:rFonts w:hint="eastAsia" w:ascii="Times New Roman" w:hAnsi="Times New Roman" w:eastAsia="宋体"/>
          <w:color w:val="auto"/>
          <w:highlight w:val="none"/>
        </w:rPr>
        <w:t>6.1.4施工期固体废物防治措施</w:t>
      </w:r>
      <w:bookmarkEnd w:id="23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生活垃圾和建筑垃圾的影响主要体现在其堆放过程中，在风力作用下，引起垃圾及粉尘随风飘散，对空气造成污染影响。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针对项目施工期固体废弃物种类及特点，提出如下防治措施：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（1）临时土石方于施工区就近堆放，采取覆盖围护措施，防止大风和大雨时造成的水土流失。堆放前设置挡土墙，堆放后表土覆盖防尘布，抑制扬尘产生。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施工中产生的不能再利用的建筑垃圾，应进行分类收集、分类管理，能够回收利用的尽量回收再利用，以节约资源；对于不能回收利用的要进行收集并于施工区内固定地点集中暂存，施工完成后及时处理，拉运至当地环保部门指定的建筑垃圾填埋场填埋处置或委托处置建筑垃圾的单位及时外处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车辆运输建筑垃圾时，须采取覆盖措施，不得沿途漏撒；施工单位应在施工前5日向建设局申报工程垃圾处置计划，如实填报垃圾的种类、数量、运输路线及处置方案等事项，并与有关管理部门签订环境卫生责任书。</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（5）工程完工后1个月内，应当将施工场地的剩余建筑垃圾处置干净，不得占用道路或其他类型土地来堆放建筑垃圾。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采取上述措施后施工期固体废弃物对项目区及周边环境影响不大。</w:t>
      </w:r>
    </w:p>
    <w:p>
      <w:pPr>
        <w:pStyle w:val="5"/>
        <w:rPr>
          <w:rFonts w:ascii="Times New Roman" w:hAnsi="Times New Roman" w:eastAsia="宋体"/>
          <w:color w:val="auto"/>
          <w:highlight w:val="none"/>
        </w:rPr>
      </w:pPr>
      <w:bookmarkStart w:id="232" w:name="_Toc106663523"/>
      <w:r>
        <w:rPr>
          <w:rFonts w:hint="eastAsia" w:ascii="Times New Roman" w:hAnsi="Times New Roman" w:eastAsia="宋体"/>
          <w:color w:val="auto"/>
          <w:highlight w:val="none"/>
        </w:rPr>
        <w:t>6.1.5施工期生态环境防治措施</w:t>
      </w:r>
      <w:bookmarkEnd w:id="232"/>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项目对生态产生的负面影响主要体现在施工期工程施工阶段，主要影响因素为土壤、动植物以及景观影响。针对生态影响，本次环评提出如下措施：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期地基开挖后产生的表土于施工区域内集中堆放，就近回填，堆放期间采取覆盖围护措施，防止大风大雨时造成水土流失。堆放前设置挡土墙，堆放后表土堆场上覆盖防尘布，要求施工过程中及时利用原表土对施工造成的裸露地面或基坑进行平整、回填覆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（2）在施工过程中填挖土方，会产生水土流失，建设施工尽量安排于非雨天和大风天进行，以避免水土流失的发生，从而尽可能降低对生态环境的潜在影响。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（3）施工完成后，对施工区域内场地进行全面整地并采取硬化措施，避免地表裸露增加水土流失量。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（4）施工过程中场地内的施工运输道路等应及时清扫，洒水，减少车辆行驶过程中的扬尘产生量。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（5）加强施工人员生态保护意识的宣传工作。禁止施工人员破坏设计用地以外的植被或占用规定施工区以外的区域。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采取以上措施后，可最大限度减少因施工引起的负面生态影响。</w:t>
      </w:r>
    </w:p>
    <w:p>
      <w:pPr>
        <w:pStyle w:val="4"/>
        <w:rPr>
          <w:rFonts w:ascii="Times New Roman" w:hAnsi="Times New Roman" w:eastAsia="宋体"/>
          <w:color w:val="auto"/>
          <w:highlight w:val="none"/>
        </w:rPr>
      </w:pPr>
      <w:bookmarkStart w:id="233" w:name="_Toc106663524"/>
      <w:bookmarkStart w:id="234" w:name="_Toc89619349"/>
      <w:r>
        <w:rPr>
          <w:rFonts w:hint="eastAsia" w:ascii="Times New Roman" w:hAnsi="Times New Roman" w:eastAsia="宋体"/>
          <w:color w:val="auto"/>
          <w:highlight w:val="none"/>
        </w:rPr>
        <w:t>6.2运营期污染防治措施分析</w:t>
      </w:r>
      <w:bookmarkEnd w:id="233"/>
      <w:bookmarkEnd w:id="234"/>
    </w:p>
    <w:p>
      <w:pPr>
        <w:pStyle w:val="5"/>
        <w:rPr>
          <w:rFonts w:ascii="Times New Roman" w:hAnsi="Times New Roman" w:eastAsia="宋体"/>
          <w:color w:val="auto"/>
          <w:highlight w:val="none"/>
        </w:rPr>
      </w:pPr>
      <w:bookmarkStart w:id="235" w:name="_Toc106663525"/>
      <w:r>
        <w:rPr>
          <w:rFonts w:hint="eastAsia" w:ascii="Times New Roman" w:hAnsi="Times New Roman" w:eastAsia="宋体"/>
          <w:color w:val="auto"/>
          <w:highlight w:val="none"/>
        </w:rPr>
        <w:t>6.2.1大气污染物防治措施</w:t>
      </w:r>
      <w:bookmarkEnd w:id="235"/>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6.2.1.1恶臭治理措施可行性分析</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1</w:t>
      </w:r>
      <w:r>
        <w:rPr>
          <w:rFonts w:hint="eastAsia"/>
          <w:color w:val="auto"/>
          <w:sz w:val="24"/>
          <w:highlight w:val="none"/>
          <w:lang w:eastAsia="zh-CN"/>
        </w:rPr>
        <w:t>）</w:t>
      </w:r>
      <w:r>
        <w:rPr>
          <w:rFonts w:hint="eastAsia" w:ascii="Times New Roman" w:hAnsi="Times New Roman" w:eastAsia="宋体"/>
          <w:color w:val="auto"/>
          <w:sz w:val="24"/>
          <w:highlight w:val="none"/>
        </w:rPr>
        <w:t>废气污染防治措施及可行性分析</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由于圈舍的恶臭污染源很分散，集中处理困难，最有效的控制方法是预防为主，在恶臭产生的源头就地处理。根据《畜禽养殖业污染治理工程技术规范》</w:t>
      </w:r>
      <w:r>
        <w:rPr>
          <w:rFonts w:hint="eastAsia"/>
          <w:color w:val="auto"/>
          <w:sz w:val="24"/>
          <w:highlight w:val="none"/>
          <w:lang w:eastAsia="zh-CN"/>
        </w:rPr>
        <w:t>（</w:t>
      </w:r>
      <w:r>
        <w:rPr>
          <w:rFonts w:hint="eastAsia" w:ascii="Times New Roman" w:hAnsi="Times New Roman" w:eastAsia="宋体"/>
          <w:color w:val="auto"/>
          <w:sz w:val="24"/>
          <w:highlight w:val="none"/>
        </w:rPr>
        <w:t>HJ497-2009</w:t>
      </w:r>
      <w:r>
        <w:rPr>
          <w:rFonts w:hint="eastAsia"/>
          <w:color w:val="auto"/>
          <w:sz w:val="24"/>
          <w:highlight w:val="none"/>
          <w:lang w:eastAsia="zh-CN"/>
        </w:rPr>
        <w:t>）</w:t>
      </w:r>
      <w:r>
        <w:rPr>
          <w:rFonts w:hint="eastAsia" w:ascii="Times New Roman" w:hAnsi="Times New Roman" w:eastAsia="宋体"/>
          <w:color w:val="auto"/>
          <w:sz w:val="24"/>
          <w:highlight w:val="none"/>
        </w:rPr>
        <w:t>及《畜禽养殖业污染防治技术规范》</w:t>
      </w:r>
      <w:r>
        <w:rPr>
          <w:rFonts w:hint="eastAsia"/>
          <w:color w:val="auto"/>
          <w:sz w:val="24"/>
          <w:highlight w:val="none"/>
          <w:lang w:eastAsia="zh-CN"/>
        </w:rPr>
        <w:t>（</w:t>
      </w:r>
      <w:r>
        <w:rPr>
          <w:rFonts w:hint="eastAsia" w:ascii="Times New Roman" w:hAnsi="Times New Roman" w:eastAsia="宋体"/>
          <w:color w:val="auto"/>
          <w:sz w:val="24"/>
          <w:highlight w:val="none"/>
        </w:rPr>
        <w:t>HJ/T81-2001</w:t>
      </w:r>
      <w:r>
        <w:rPr>
          <w:rFonts w:hint="eastAsia"/>
          <w:color w:val="auto"/>
          <w:sz w:val="24"/>
          <w:highlight w:val="none"/>
          <w:lang w:eastAsia="zh-CN"/>
        </w:rPr>
        <w:t>）</w:t>
      </w:r>
      <w:r>
        <w:rPr>
          <w:rFonts w:hint="eastAsia" w:ascii="Times New Roman" w:hAnsi="Times New Roman" w:eastAsia="宋体"/>
          <w:color w:val="auto"/>
          <w:sz w:val="24"/>
          <w:highlight w:val="none"/>
        </w:rPr>
        <w:t>相关要求，结合拟建项目生产实际，本评价主要提出如下措施减降恶臭污染物的产生：</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w:t>
      </w:r>
      <w:r>
        <w:rPr>
          <w:rFonts w:hint="eastAsia"/>
          <w:color w:val="auto"/>
          <w:sz w:val="24"/>
          <w:highlight w:val="none"/>
          <w:lang w:eastAsia="zh-CN"/>
        </w:rPr>
        <w:t>）</w:t>
      </w:r>
      <w:r>
        <w:rPr>
          <w:rFonts w:hint="eastAsia" w:ascii="Times New Roman" w:hAnsi="Times New Roman" w:eastAsia="宋体"/>
          <w:color w:val="auto"/>
          <w:sz w:val="24"/>
          <w:highlight w:val="none"/>
        </w:rPr>
        <w:t>管理措施：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①养殖鸡舍清理：</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相关研究资料，养殖鸡舍的恶臭浓度主要与舍内温度与粪便的堆积量、堆积时间呈正相关关系，养殖鸡舍与食槽每天清扫，蛋鸡出栏后立即对养殖鸡舍进行清洗与消毒，可在一定程度上保障养殖鸡舍清洁卫生，在此基础上评价提出增设措施如下：</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A、养殖鸡舍采用多层网架养殖，鸡粪便排入传送带，由自动刮粪机收集后清出养殖鸡舍，直接运输至有机肥厂，运输时应尽可能采用密封罐车；</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B、养殖鸡舍加强通风，确保室内干燥；</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C、夏季可采用喷药等方式预防蚊蝇滋生，各养殖鸡舍的污水沟应加盖密封处理，不得露天排放；</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D、在经济条件允许的情况下，建议在气温较高季节使用掩臭剂、氧化剂处理喷洒养殖鸡舍及未及时清理的粪便，在不利于污染物稀释、扩散的气象条件下可每天酌情增加粪污清理次数。</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②场地绿化</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养殖鸡舍外1m处种植成排杨树，其他各区也栽花种草，进行环境整区绿化。评价要求应在场界设置4~5m的绿色隔离带，可种树2~3排以隔离场内恶臭气体，鉴于养殖行业的特殊性，在树种选择上可考虑除臭、吸尘等效果较好的树种。</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③密闭设施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废水收集池</w:t>
      </w:r>
      <w:r>
        <w:rPr>
          <w:rFonts w:hint="eastAsia" w:ascii="Times New Roman" w:hAnsi="Times New Roman" w:eastAsia="宋体"/>
          <w:color w:val="auto"/>
          <w:sz w:val="24"/>
          <w:highlight w:val="none"/>
        </w:rPr>
        <w:t>采取加盖密封的方式，并根据实际情况在周围喷洒除臭剂、消毒剂，以减轻</w:t>
      </w:r>
      <w:r>
        <w:rPr>
          <w:rFonts w:hint="eastAsia"/>
          <w:color w:val="auto"/>
          <w:sz w:val="24"/>
          <w:highlight w:val="none"/>
          <w:lang w:eastAsia="zh-CN"/>
        </w:rPr>
        <w:t>废水收集池</w:t>
      </w:r>
      <w:r>
        <w:rPr>
          <w:rFonts w:hint="eastAsia" w:ascii="Times New Roman" w:hAnsi="Times New Roman" w:eastAsia="宋体"/>
          <w:color w:val="auto"/>
          <w:sz w:val="24"/>
          <w:highlight w:val="none"/>
        </w:rPr>
        <w:t>产生的恶臭气体。</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w:t>
      </w:r>
      <w:r>
        <w:rPr>
          <w:rFonts w:hint="eastAsia"/>
          <w:color w:val="auto"/>
          <w:sz w:val="24"/>
          <w:highlight w:val="none"/>
          <w:lang w:eastAsia="zh-CN"/>
        </w:rPr>
        <w:t>）</w:t>
      </w:r>
      <w:r>
        <w:rPr>
          <w:rFonts w:hint="eastAsia" w:ascii="Times New Roman" w:hAnsi="Times New Roman" w:eastAsia="宋体"/>
          <w:color w:val="auto"/>
          <w:sz w:val="24"/>
          <w:highlight w:val="none"/>
        </w:rPr>
        <w:t>技术措施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由于本项目养殖规模较大，恶臭产生量较高，在采取包括养殖鸡舍清理、调整饲料配比、场外绿化等措施后仍将可能对周边产生较大影响。</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①方案比选</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本次评价对目前养殖行业较为常用的恶臭气体的处理方法进行了分析，各处理方法优缺点比较见表</w:t>
      </w:r>
      <w:r>
        <w:rPr>
          <w:rFonts w:hint="eastAsia" w:ascii="Times New Roman" w:hAnsi="Times New Roman" w:eastAsia="宋体"/>
          <w:color w:val="auto"/>
          <w:sz w:val="24"/>
          <w:highlight w:val="none"/>
          <w:lang w:val="en-US" w:eastAsia="zh-CN"/>
        </w:rPr>
        <w:t>6</w:t>
      </w:r>
      <w:r>
        <w:rPr>
          <w:rFonts w:hint="eastAsia" w:ascii="Times New Roman" w:hAnsi="Times New Roman" w:eastAsia="宋体"/>
          <w:color w:val="auto"/>
          <w:sz w:val="24"/>
          <w:highlight w:val="none"/>
        </w:rPr>
        <w:t>.2-1。</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表</w:t>
      </w:r>
      <w:r>
        <w:rPr>
          <w:rFonts w:hint="eastAsia" w:ascii="Times New Roman" w:hAnsi="Times New Roman" w:eastAsia="宋体"/>
          <w:b/>
          <w:bCs/>
          <w:color w:val="auto"/>
          <w:sz w:val="24"/>
          <w:highlight w:val="none"/>
          <w:lang w:val="en-US" w:eastAsia="zh-CN"/>
        </w:rPr>
        <w:t>6</w:t>
      </w:r>
      <w:r>
        <w:rPr>
          <w:rFonts w:hint="eastAsia" w:ascii="Times New Roman" w:hAnsi="Times New Roman" w:eastAsia="宋体"/>
          <w:b/>
          <w:bCs/>
          <w:color w:val="auto"/>
          <w:sz w:val="24"/>
          <w:highlight w:val="none"/>
        </w:rPr>
        <w:t>.2-1常用恶臭除臭措施比较</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4"/>
        <w:gridCol w:w="1712"/>
        <w:gridCol w:w="2425"/>
        <w:gridCol w:w="2148"/>
        <w:gridCol w:w="16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臭氧净化法</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生物分解法</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吸附法</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除臭剂喷洒法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技术原理</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利用臭氧的强氧化力对臭气成份进行氧化分解，同时具有消毒灭菌作用</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利用循环水流将恶臭气体导入生物滤池、洗涤塔或反应器，利用反应膜上培养微生物将污染物质降解为低害物质</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利用活性炭等吸附剂内部空隙结构发达，表面积比巨大原理，吸附通过活性炭池的恶臭气体分子</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通过向产生恶臭的空间喷洒酸、碱等化学除臭剂，将恶臭气体进行中和、吸收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除臭效率</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最高可＞90%，但处理低浓度气体效率较低</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最高可达70%，随运行参数、微生物活性波动大</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初期除臭效率可达65%，但需经常更换吸附剂</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对低浓度恶臭气体处理效率＞50%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除臭范围</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氨、硫化氢、甲硫醇、苯乙烯、三甲胺、二甲基二硫醚等混合气体</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需培养专一处理一种或几种性质相近气体的微生物菌种</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适用低浓度、大风量臭气，但对湿度较大的气体处理效果不好</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需根据处理废气种类选用不同除臭剂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使用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寿命</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＞2万小时，需通电与干燥空气</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养护困难，需添加药剂、控制PH值、温度等</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吸附剂需经常进行更换，处理设备寿命较长</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需专用加药泵并经常添加除臭剂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运行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成本</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运行耗电较低，但一次性投入较高</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维护费用较高，菌种一旦死亡需重新培养</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吸附剂需经常更换，运行维护成本高</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需定期补充除臭剂，需专人操作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二次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污染</w:t>
            </w:r>
          </w:p>
        </w:tc>
        <w:tc>
          <w:tcPr>
            <w:tcW w:w="1030"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剩余臭氧</w:t>
            </w:r>
          </w:p>
        </w:tc>
        <w:tc>
          <w:tcPr>
            <w:tcW w:w="145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污泥、污水</w:t>
            </w:r>
          </w:p>
        </w:tc>
        <w:tc>
          <w:tcPr>
            <w:tcW w:w="129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废弃吸附剂</w:t>
            </w:r>
          </w:p>
        </w:tc>
        <w:tc>
          <w:tcPr>
            <w:tcW w:w="1016"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除臭剂施用过量易造成二次污染</w:t>
            </w:r>
          </w:p>
        </w:tc>
      </w:tr>
    </w:tbl>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通过对上述除臭措施的分析比较，评价建议采用除臭剂喷洒法处理养殖场运行产生的恶臭气体。</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②推荐恶臭气体治理方案</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评价依据废气产生情况及产生源具体特点，提出以下恶臭净化技术措施建议：</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养殖鸡舍：鸡舍采用除臭液喷洒机定期对养殖鸡舍地面、传送带进行喷洒，定期清洗鸡舍地面并加强机械通风，鸡舍四周以及各鸡舍之间的空地上种植高大乔木等措施。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废水收集池</w:t>
      </w:r>
      <w:r>
        <w:rPr>
          <w:rFonts w:hint="eastAsia" w:ascii="Times New Roman" w:hAnsi="Times New Roman" w:eastAsia="宋体"/>
          <w:color w:val="auto"/>
          <w:sz w:val="24"/>
          <w:highlight w:val="none"/>
        </w:rPr>
        <w:t>：采用加盖密封的方式，每次鸡舍冲洗完及时进行拉运，缩短暂存的时间。</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3</w:t>
      </w:r>
      <w:r>
        <w:rPr>
          <w:rFonts w:hint="eastAsia"/>
          <w:color w:val="auto"/>
          <w:sz w:val="24"/>
          <w:highlight w:val="none"/>
          <w:lang w:eastAsia="zh-CN"/>
        </w:rPr>
        <w:t>）</w:t>
      </w:r>
      <w:r>
        <w:rPr>
          <w:rFonts w:hint="eastAsia" w:ascii="Times New Roman" w:hAnsi="Times New Roman" w:eastAsia="宋体"/>
          <w:color w:val="auto"/>
          <w:sz w:val="24"/>
          <w:highlight w:val="none"/>
        </w:rPr>
        <w:t>处理措施可行性分析</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根据类比监测结果，本项目运行阶段无组织排放的NH3、H2S均可满足《恶臭污染物排放标准》</w:t>
      </w:r>
      <w:r>
        <w:rPr>
          <w:rFonts w:hint="eastAsia"/>
          <w:color w:val="auto"/>
          <w:sz w:val="24"/>
          <w:highlight w:val="none"/>
          <w:lang w:eastAsia="zh-CN"/>
        </w:rPr>
        <w:t>（</w:t>
      </w:r>
      <w:r>
        <w:rPr>
          <w:rFonts w:hint="eastAsia" w:ascii="Times New Roman" w:hAnsi="Times New Roman" w:eastAsia="宋体"/>
          <w:color w:val="auto"/>
          <w:sz w:val="24"/>
          <w:highlight w:val="none"/>
        </w:rPr>
        <w:t>GB14554-93</w:t>
      </w:r>
      <w:r>
        <w:rPr>
          <w:rFonts w:hint="eastAsia"/>
          <w:color w:val="auto"/>
          <w:sz w:val="24"/>
          <w:highlight w:val="none"/>
          <w:lang w:eastAsia="zh-CN"/>
        </w:rPr>
        <w:t>）</w:t>
      </w:r>
      <w:r>
        <w:rPr>
          <w:rFonts w:hint="eastAsia" w:ascii="Times New Roman" w:hAnsi="Times New Roman" w:eastAsia="宋体"/>
          <w:color w:val="auto"/>
          <w:sz w:val="24"/>
          <w:highlight w:val="none"/>
        </w:rPr>
        <w:t>中表1新污染源二级标准排放要求，臭气浓度也满足《畜禽养殖业污染物排放标准》</w:t>
      </w:r>
      <w:r>
        <w:rPr>
          <w:rFonts w:hint="eastAsia"/>
          <w:color w:val="auto"/>
          <w:sz w:val="24"/>
          <w:highlight w:val="none"/>
          <w:lang w:eastAsia="zh-CN"/>
        </w:rPr>
        <w:t>（</w:t>
      </w:r>
      <w:r>
        <w:rPr>
          <w:rFonts w:hint="eastAsia" w:ascii="Times New Roman" w:hAnsi="Times New Roman" w:eastAsia="宋体"/>
          <w:color w:val="auto"/>
          <w:sz w:val="24"/>
          <w:highlight w:val="none"/>
        </w:rPr>
        <w:t>GB18596-2001</w:t>
      </w:r>
      <w:r>
        <w:rPr>
          <w:rFonts w:hint="eastAsia"/>
          <w:color w:val="auto"/>
          <w:sz w:val="24"/>
          <w:highlight w:val="none"/>
          <w:lang w:eastAsia="zh-CN"/>
        </w:rPr>
        <w:t>）</w:t>
      </w:r>
      <w:r>
        <w:rPr>
          <w:rFonts w:hint="eastAsia" w:ascii="Times New Roman" w:hAnsi="Times New Roman" w:eastAsia="宋体"/>
          <w:color w:val="auto"/>
          <w:sz w:val="24"/>
          <w:highlight w:val="none"/>
        </w:rPr>
        <w:t>中集约化畜禽养殖业恶臭污染物排放标准要求。恶臭污染物最大地面空气质量浓度均满足《环境影响评价技术导则大气环境》</w:t>
      </w:r>
      <w:r>
        <w:rPr>
          <w:rFonts w:hint="eastAsia"/>
          <w:color w:val="auto"/>
          <w:sz w:val="24"/>
          <w:highlight w:val="none"/>
          <w:lang w:eastAsia="zh-CN"/>
        </w:rPr>
        <w:t>（</w:t>
      </w:r>
      <w:r>
        <w:rPr>
          <w:rFonts w:hint="eastAsia" w:ascii="Times New Roman" w:hAnsi="Times New Roman" w:eastAsia="宋体"/>
          <w:color w:val="auto"/>
          <w:sz w:val="24"/>
          <w:highlight w:val="none"/>
        </w:rPr>
        <w:t>HJ2.2-2018</w:t>
      </w:r>
      <w:r>
        <w:rPr>
          <w:rFonts w:hint="eastAsia"/>
          <w:color w:val="auto"/>
          <w:sz w:val="24"/>
          <w:highlight w:val="none"/>
          <w:lang w:eastAsia="zh-CN"/>
        </w:rPr>
        <w:t>）</w:t>
      </w:r>
      <w:r>
        <w:rPr>
          <w:rFonts w:hint="eastAsia" w:ascii="Times New Roman" w:hAnsi="Times New Roman" w:eastAsia="宋体"/>
          <w:color w:val="auto"/>
          <w:sz w:val="24"/>
          <w:highlight w:val="none"/>
        </w:rPr>
        <w:t>附录D其他污染物空气质量浓度参考限值。因此，采取以上措施可行。</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4</w:t>
      </w:r>
      <w:r>
        <w:rPr>
          <w:rFonts w:hint="eastAsia"/>
          <w:color w:val="auto"/>
          <w:sz w:val="24"/>
          <w:highlight w:val="none"/>
          <w:lang w:eastAsia="zh-CN"/>
        </w:rPr>
        <w:t>）</w:t>
      </w:r>
      <w:r>
        <w:rPr>
          <w:rFonts w:hint="eastAsia" w:ascii="Times New Roman" w:hAnsi="Times New Roman" w:eastAsia="宋体"/>
          <w:color w:val="auto"/>
          <w:sz w:val="24"/>
          <w:highlight w:val="none"/>
        </w:rPr>
        <w:t>主要要求与建议</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除臭液应选用除臭效率高、养殖副作用小的产品，不得单纯采用掩臭剂掩盖恶臭，建议优先考虑含有天然植物萃取物的生物制剂。</w:t>
      </w:r>
    </w:p>
    <w:p>
      <w:pPr>
        <w:pStyle w:val="5"/>
        <w:rPr>
          <w:rFonts w:ascii="Times New Roman" w:hAnsi="Times New Roman" w:eastAsia="宋体"/>
          <w:color w:val="auto"/>
          <w:highlight w:val="none"/>
        </w:rPr>
      </w:pPr>
      <w:bookmarkStart w:id="236" w:name="_Toc106663526"/>
      <w:r>
        <w:rPr>
          <w:rFonts w:hint="eastAsia" w:ascii="Times New Roman" w:hAnsi="Times New Roman" w:eastAsia="宋体"/>
          <w:color w:val="auto"/>
          <w:highlight w:val="none"/>
        </w:rPr>
        <w:t>6.2.2运营期水污染防治措施</w:t>
      </w:r>
      <w:bookmarkEnd w:id="236"/>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6.2.2.1废水排放可行性分析</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1</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废水排放情况</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本项目废水产生量约为</w:t>
      </w:r>
      <w:r>
        <w:rPr>
          <w:rFonts w:hint="eastAsia" w:ascii="Times New Roman" w:hAnsi="Times New Roman" w:eastAsia="宋体"/>
          <w:color w:val="auto"/>
          <w:sz w:val="24"/>
          <w:szCs w:val="24"/>
          <w:highlight w:val="none"/>
          <w:lang w:eastAsia="zh-CN"/>
        </w:rPr>
        <w:t>778.24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/a，其中生活污水产生量467.2m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/a，鸡舍废水产生量</w:t>
      </w:r>
      <w:r>
        <w:rPr>
          <w:rFonts w:hint="eastAsia" w:ascii="Times New Roman" w:hAnsi="Times New Roman" w:eastAsia="宋体"/>
          <w:color w:val="auto"/>
          <w:sz w:val="24"/>
          <w:szCs w:val="24"/>
          <w:highlight w:val="none"/>
          <w:lang w:eastAsia="zh-CN"/>
        </w:rPr>
        <w:t>311.04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/a。其主要污染因子主要为CODcr、BOD</w:t>
      </w:r>
      <w:r>
        <w:rPr>
          <w:rFonts w:ascii="Times New Roman" w:hAnsi="Times New Roman" w:eastAsia="宋体"/>
          <w:color w:val="auto"/>
          <w:sz w:val="24"/>
          <w:szCs w:val="24"/>
          <w:highlight w:val="none"/>
          <w:vertAlign w:val="subscript"/>
        </w:rPr>
        <w:t>5</w:t>
      </w:r>
      <w:r>
        <w:rPr>
          <w:rFonts w:ascii="Times New Roman" w:hAnsi="Times New Roman" w:eastAsia="宋体"/>
          <w:color w:val="auto"/>
          <w:sz w:val="24"/>
          <w:szCs w:val="24"/>
          <w:highlight w:val="none"/>
        </w:rPr>
        <w:t>、NH</w:t>
      </w:r>
      <w:r>
        <w:rPr>
          <w:rFonts w:ascii="Times New Roman" w:hAnsi="Times New Roman" w:eastAsia="宋体"/>
          <w:color w:val="auto"/>
          <w:sz w:val="24"/>
          <w:szCs w:val="24"/>
          <w:highlight w:val="none"/>
          <w:vertAlign w:val="subscript"/>
        </w:rPr>
        <w:t>3</w:t>
      </w:r>
      <w:r>
        <w:rPr>
          <w:rFonts w:ascii="Times New Roman" w:hAnsi="Times New Roman" w:eastAsia="宋体"/>
          <w:color w:val="auto"/>
          <w:sz w:val="24"/>
          <w:szCs w:val="24"/>
          <w:highlight w:val="none"/>
        </w:rPr>
        <w:t>-N和SS。生活污水直接排入下水管网，最终进入玛纳斯县城污水处理厂；鸡舍冲洗废水排入</w:t>
      </w:r>
      <w:r>
        <w:rPr>
          <w:rFonts w:hint="eastAsia" w:ascii="Times New Roman" w:hAnsi="Times New Roman"/>
          <w:color w:val="auto"/>
          <w:sz w:val="24"/>
          <w:szCs w:val="24"/>
          <w:highlight w:val="none"/>
          <w:lang w:eastAsia="zh-CN"/>
        </w:rPr>
        <w:t>废水收集池经预处理后用作农肥。</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鸡舍废水去向的可行性分析</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本项目每年从天康公司的现代化专业蛋鸡育雏场购买出壳鸡苗，饲养方式采取全进全出制，0-6周</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42天</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在育雏舍进行养殖，7周-16周</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70天</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转至育成舍进行养殖，饲养16周左右外售给头工乡蛋鸡产业园。根据《无公害食品畜禽饲养兽医防疫准则》</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NY/T5339-2017</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中相关规定，</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畜禽转舍、售出后，应对空舍进行严格清洁和消毒，消毒后至少空舍一周后，再引入畜禽饲养</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/100m</w:t>
      </w:r>
      <w:r>
        <w:rPr>
          <w:rFonts w:ascii="Times New Roman" w:hAnsi="Times New Roman" w:eastAsia="宋体"/>
          <w:color w:val="auto"/>
          <w:sz w:val="24"/>
          <w:szCs w:val="24"/>
          <w:highlight w:val="none"/>
          <w:vertAlign w:val="superscript"/>
        </w:rPr>
        <w:t>2</w:t>
      </w:r>
      <w:r>
        <w:rPr>
          <w:rFonts w:ascii="Times New Roman" w:hAnsi="Times New Roman" w:eastAsia="宋体"/>
          <w:color w:val="auto"/>
          <w:sz w:val="24"/>
          <w:szCs w:val="24"/>
          <w:highlight w:val="none"/>
        </w:rPr>
        <w:t>计，项目区计划设置鸡舍</w:t>
      </w:r>
      <w:r>
        <w:rPr>
          <w:rFonts w:hint="eastAsia" w:ascii="Times New Roman" w:hAnsi="Times New Roman" w:eastAsia="宋体"/>
          <w:color w:val="auto"/>
          <w:sz w:val="24"/>
          <w:szCs w:val="24"/>
          <w:highlight w:val="none"/>
          <w:lang w:val="en-US" w:eastAsia="zh-CN"/>
        </w:rPr>
        <w:t>6</w:t>
      </w:r>
      <w:r>
        <w:rPr>
          <w:rFonts w:ascii="Times New Roman" w:hAnsi="Times New Roman" w:eastAsia="宋体"/>
          <w:color w:val="auto"/>
          <w:sz w:val="24"/>
          <w:szCs w:val="24"/>
          <w:highlight w:val="none"/>
        </w:rPr>
        <w:t>栋，每栋鸡舍建筑面积为</w:t>
      </w:r>
      <w:r>
        <w:rPr>
          <w:rFonts w:hint="eastAsia" w:ascii="Times New Roman" w:hAnsi="Times New Roman" w:eastAsia="宋体"/>
          <w:color w:val="auto"/>
          <w:sz w:val="24"/>
          <w:szCs w:val="24"/>
          <w:highlight w:val="none"/>
          <w:lang w:val="en-US" w:eastAsia="zh-CN"/>
        </w:rPr>
        <w:t>1080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共</w:t>
      </w:r>
      <w:r>
        <w:rPr>
          <w:rFonts w:hint="eastAsia" w:ascii="Times New Roman" w:hAnsi="Times New Roman" w:eastAsia="宋体"/>
          <w:color w:val="auto"/>
          <w:sz w:val="24"/>
          <w:szCs w:val="24"/>
          <w:highlight w:val="none"/>
          <w:lang w:val="en-US" w:eastAsia="zh-CN"/>
        </w:rPr>
        <w:t>6480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，则项目区每栋鸡舍冲洗用水量为21.6m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/次，</w:t>
      </w:r>
      <w:r>
        <w:rPr>
          <w:rFonts w:hint="eastAsia" w:ascii="Times New Roman" w:hAnsi="Times New Roman" w:eastAsia="宋体"/>
          <w:color w:val="auto"/>
          <w:sz w:val="24"/>
          <w:szCs w:val="24"/>
          <w:highlight w:val="none"/>
          <w:lang w:val="en-US" w:eastAsia="zh-CN"/>
        </w:rPr>
        <w:t>64.8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全场共</w:t>
      </w:r>
      <w:r>
        <w:rPr>
          <w:rFonts w:hint="eastAsia" w:ascii="Times New Roman" w:hAnsi="Times New Roman" w:eastAsia="宋体"/>
          <w:color w:val="auto"/>
          <w:sz w:val="24"/>
          <w:szCs w:val="24"/>
          <w:highlight w:val="none"/>
          <w:lang w:val="en-US" w:eastAsia="zh-CN"/>
        </w:rPr>
        <w:t>388.8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鸡舍冲洗废水按照用水量的80%计算，则产生量约为</w:t>
      </w:r>
      <w:r>
        <w:rPr>
          <w:rFonts w:hint="eastAsia" w:ascii="Times New Roman" w:hAnsi="Times New Roman" w:eastAsia="宋体"/>
          <w:color w:val="auto"/>
          <w:sz w:val="24"/>
          <w:szCs w:val="24"/>
          <w:highlight w:val="none"/>
          <w:lang w:eastAsia="zh-CN"/>
        </w:rPr>
        <w:t>311.04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/a。每4个月冲洗1次，共</w:t>
      </w:r>
      <w:r>
        <w:rPr>
          <w:rFonts w:hint="eastAsia" w:ascii="Times New Roman" w:hAnsi="Times New Roman" w:eastAsia="宋体"/>
          <w:color w:val="auto"/>
          <w:sz w:val="24"/>
          <w:szCs w:val="24"/>
          <w:highlight w:val="none"/>
          <w:lang w:val="en-US" w:eastAsia="zh-CN"/>
        </w:rPr>
        <w:t>6</w:t>
      </w:r>
      <w:r>
        <w:rPr>
          <w:rFonts w:ascii="Times New Roman" w:hAnsi="Times New Roman" w:eastAsia="宋体"/>
          <w:color w:val="auto"/>
          <w:sz w:val="24"/>
          <w:szCs w:val="24"/>
          <w:highlight w:val="none"/>
        </w:rPr>
        <w:t>栋鸡舍，每栋每次鸡舍冲洗排放量为</w:t>
      </w:r>
      <w:r>
        <w:rPr>
          <w:rFonts w:hint="eastAsia" w:ascii="Times New Roman" w:hAnsi="Times New Roman"/>
          <w:color w:val="auto"/>
          <w:sz w:val="24"/>
          <w:szCs w:val="24"/>
          <w:highlight w:val="none"/>
          <w:lang w:eastAsia="zh-CN"/>
        </w:rPr>
        <w:t>17.28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w:t>
      </w:r>
      <w:r>
        <w:rPr>
          <w:rFonts w:hint="eastAsia" w:ascii="Times New Roman" w:hAnsi="Times New Roman"/>
          <w:color w:val="auto"/>
          <w:sz w:val="24"/>
          <w:szCs w:val="24"/>
          <w:highlight w:val="none"/>
          <w:lang w:val="en-US" w:eastAsia="zh-CN"/>
        </w:rPr>
        <w:t>次</w:t>
      </w:r>
      <w:r>
        <w:rPr>
          <w:rFonts w:ascii="Times New Roman" w:hAnsi="Times New Roman" w:eastAsia="宋体"/>
          <w:color w:val="auto"/>
          <w:sz w:val="24"/>
          <w:szCs w:val="24"/>
          <w:highlight w:val="none"/>
        </w:rPr>
        <w:t>，鸡舍冲洗废水排入</w:t>
      </w:r>
      <w:r>
        <w:rPr>
          <w:rFonts w:hint="eastAsia" w:ascii="Times New Roman" w:hAnsi="Times New Roman"/>
          <w:color w:val="auto"/>
          <w:sz w:val="24"/>
          <w:szCs w:val="24"/>
          <w:highlight w:val="none"/>
          <w:lang w:eastAsia="zh-CN"/>
        </w:rPr>
        <w:t>废水收集池（</w:t>
      </w:r>
      <w:r>
        <w:rPr>
          <w:rFonts w:ascii="Times New Roman" w:hAnsi="Times New Roman" w:eastAsia="宋体"/>
          <w:color w:val="auto"/>
          <w:sz w:val="24"/>
          <w:szCs w:val="24"/>
          <w:highlight w:val="none"/>
        </w:rPr>
        <w:t>配备</w:t>
      </w:r>
      <w:r>
        <w:rPr>
          <w:rFonts w:hint="eastAsia" w:ascii="Times New Roman" w:hAnsi="Times New Roman"/>
          <w:color w:val="auto"/>
          <w:sz w:val="24"/>
          <w:szCs w:val="24"/>
          <w:highlight w:val="none"/>
          <w:lang w:val="en-US" w:eastAsia="zh-CN"/>
        </w:rPr>
        <w:t>150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的</w:t>
      </w:r>
      <w:r>
        <w:rPr>
          <w:rFonts w:hint="eastAsia" w:ascii="Times New Roman" w:hAnsi="Times New Roman"/>
          <w:color w:val="auto"/>
          <w:sz w:val="24"/>
          <w:szCs w:val="24"/>
          <w:highlight w:val="none"/>
          <w:lang w:eastAsia="zh-CN"/>
        </w:rPr>
        <w:t>废水收集池）</w:t>
      </w:r>
      <w:r>
        <w:rPr>
          <w:rFonts w:ascii="Times New Roman" w:hAnsi="Times New Roman" w:eastAsia="宋体"/>
          <w:color w:val="auto"/>
          <w:sz w:val="24"/>
          <w:szCs w:val="24"/>
          <w:highlight w:val="none"/>
        </w:rPr>
        <w:t>，</w:t>
      </w:r>
      <w:r>
        <w:rPr>
          <w:rFonts w:hint="eastAsia" w:ascii="Times New Roman" w:hAnsi="Times New Roman"/>
          <w:color w:val="auto"/>
          <w:sz w:val="24"/>
          <w:szCs w:val="24"/>
          <w:highlight w:val="none"/>
          <w:lang w:val="en-US" w:eastAsia="zh-CN"/>
        </w:rPr>
        <w:t>废水经预处理后用作农肥。</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3</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排入玛纳斯县城污水处理厂可行性分析</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玛纳斯县城污水处理厂于2012年10月正式运行，2016年取得原昌吉州环境保护局下发昌州环函〔2016〕86号文件，同意该项目通过建设项目竣工环境保护验收。由禹源排水有限责任公司开发建设，日处理规模20000m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。该污水处理厂采用改良型A</w:t>
      </w:r>
      <w:r>
        <w:rPr>
          <w:rFonts w:ascii="Times New Roman" w:hAnsi="Times New Roman" w:eastAsia="宋体"/>
          <w:color w:val="auto"/>
          <w:sz w:val="24"/>
          <w:szCs w:val="24"/>
          <w:highlight w:val="none"/>
          <w:vertAlign w:val="subscript"/>
        </w:rPr>
        <w:t>2</w:t>
      </w:r>
      <w:r>
        <w:rPr>
          <w:rFonts w:ascii="Times New Roman" w:hAnsi="Times New Roman" w:eastAsia="宋体"/>
          <w:color w:val="auto"/>
          <w:sz w:val="24"/>
          <w:szCs w:val="24"/>
          <w:highlight w:val="none"/>
        </w:rPr>
        <w:t>O工艺，出水水质达到《城镇污水处理厂污染物排放标准》一级A标准。原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过接触消毒池消毒后达标外排。经污水处理厂处理后中水冬季排至皇公地水库储存，夏季用于绿化及生态林灌溉。目前，该污水处理厂运行状况良好，出水水质达标。</w:t>
      </w:r>
    </w:p>
    <w:p>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本项目废水排水水质符合玛纳斯县城污水处理厂纳污标准。本项目日排水量较小，平时仅为职工生活污水，排水量为1.28m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/d，因此符合玛纳斯县城污水处理厂处理负荷。因此，本项目排水方案可行。</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6.2.2.3</w:t>
      </w:r>
      <w:r>
        <w:rPr>
          <w:rFonts w:ascii="Times New Roman" w:hAnsi="Times New Roman" w:eastAsia="宋体"/>
          <w:color w:val="auto"/>
          <w:highlight w:val="none"/>
        </w:rPr>
        <w:t>地下水</w:t>
      </w:r>
      <w:r>
        <w:rPr>
          <w:rFonts w:hint="eastAsia" w:ascii="Times New Roman" w:hAnsi="Times New Roman" w:eastAsia="宋体"/>
          <w:color w:val="auto"/>
          <w:highlight w:val="none"/>
        </w:rPr>
        <w:t>污染防治措施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1、防控措施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为了进一步保护所在区域地下水资源，本工程在设计上对</w:t>
      </w:r>
      <w:r>
        <w:rPr>
          <w:rFonts w:hint="eastAsia"/>
          <w:color w:val="auto"/>
          <w:highlight w:val="none"/>
          <w:lang w:val="en-US" w:eastAsia="zh-CN"/>
        </w:rPr>
        <w:t>鸡舍</w:t>
      </w:r>
      <w:r>
        <w:rPr>
          <w:rFonts w:hint="eastAsia" w:ascii="Times New Roman" w:hAnsi="Times New Roman" w:eastAsia="宋体"/>
          <w:color w:val="auto"/>
          <w:highlight w:val="none"/>
        </w:rPr>
        <w:t>、污水处理区、</w:t>
      </w:r>
      <w:r>
        <w:rPr>
          <w:rFonts w:hint="eastAsia"/>
          <w:color w:val="auto"/>
          <w:highlight w:val="none"/>
          <w:lang w:eastAsia="zh-CN"/>
        </w:rPr>
        <w:t>医疗废物暂存间</w:t>
      </w:r>
      <w:r>
        <w:rPr>
          <w:rFonts w:hint="eastAsia" w:ascii="Times New Roman" w:hAnsi="Times New Roman" w:eastAsia="宋体"/>
          <w:color w:val="auto"/>
          <w:highlight w:val="none"/>
        </w:rPr>
        <w:t>等采取以下防渗处理措施：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（1）对</w:t>
      </w:r>
      <w:r>
        <w:rPr>
          <w:rFonts w:hint="eastAsia"/>
          <w:color w:val="auto"/>
          <w:highlight w:val="none"/>
          <w:lang w:val="en-US" w:eastAsia="zh-CN"/>
        </w:rPr>
        <w:t>安全填埋井</w:t>
      </w:r>
      <w:r>
        <w:rPr>
          <w:rFonts w:hint="eastAsia" w:ascii="Times New Roman" w:hAnsi="Times New Roman" w:eastAsia="宋体"/>
          <w:color w:val="auto"/>
          <w:highlight w:val="none"/>
        </w:rPr>
        <w:t>、</w:t>
      </w:r>
      <w:r>
        <w:rPr>
          <w:rFonts w:hint="eastAsia"/>
          <w:color w:val="auto"/>
          <w:highlight w:val="none"/>
          <w:lang w:eastAsia="zh-CN"/>
        </w:rPr>
        <w:t>医疗废物暂存间、</w:t>
      </w:r>
      <w:r>
        <w:rPr>
          <w:rFonts w:hint="eastAsia"/>
          <w:color w:val="auto"/>
          <w:highlight w:val="none"/>
          <w:lang w:val="en-US" w:eastAsia="zh-CN"/>
        </w:rPr>
        <w:t>废水收集池</w:t>
      </w:r>
      <w:r>
        <w:rPr>
          <w:rFonts w:hint="eastAsia" w:ascii="Times New Roman" w:hAnsi="Times New Roman" w:eastAsia="宋体"/>
          <w:color w:val="auto"/>
          <w:highlight w:val="none"/>
        </w:rPr>
        <w:t>按照重点防渗区采取措施，参照《危险废物贮存污染控制标准》（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）：基础必须防渗，防渗层为至少1m厚粘土层（渗透系数≤10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cm/s），或2mm厚高密度聚乙烯，或至2mm厚的其它人工材料，渗透系数≤10</w:t>
      </w:r>
      <w:r>
        <w:rPr>
          <w:rFonts w:hint="eastAsia" w:ascii="Times New Roman" w:hAnsi="Times New Roman" w:eastAsia="宋体"/>
          <w:color w:val="auto"/>
          <w:highlight w:val="none"/>
          <w:vertAlign w:val="superscript"/>
        </w:rPr>
        <w:t>-10</w:t>
      </w:r>
      <w:r>
        <w:rPr>
          <w:rFonts w:hint="eastAsia" w:ascii="Times New Roman" w:hAnsi="Times New Roman" w:eastAsia="宋体"/>
          <w:color w:val="auto"/>
          <w:highlight w:val="none"/>
        </w:rPr>
        <w:t>cm/s。</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（2）对一般固废暂存区、养殖圈舍和周围地面等按一般防渗区采取防渗措施。底压实粘土层厚度要≥1m，满足渗透系数K≤1.0×10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cm/s；防渗粘土层上部及贮水池侧面铺设1.0mm高密度聚乙烯（HDPE）防渗膜（渗透系数K≤10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cm/s），在做好基层防渗的基础上进行水泥硬化。</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（3）其他建筑物及道路采取简单防渗，对其地面采用混凝土进行一般地面硬化。防渗分区图见图</w:t>
      </w:r>
      <w:r>
        <w:rPr>
          <w:rFonts w:hint="eastAsia"/>
          <w:color w:val="auto"/>
          <w:highlight w:val="none"/>
          <w:lang w:val="en-US" w:eastAsia="zh-CN"/>
        </w:rPr>
        <w:t>5</w:t>
      </w:r>
      <w:r>
        <w:rPr>
          <w:rFonts w:hint="eastAsia" w:ascii="Times New Roman" w:hAnsi="Times New Roman" w:eastAsia="宋体"/>
          <w:color w:val="auto"/>
          <w:highlight w:val="none"/>
        </w:rPr>
        <w:t>.2-</w:t>
      </w:r>
      <w:r>
        <w:rPr>
          <w:rFonts w:hint="eastAsia"/>
          <w:color w:val="auto"/>
          <w:highlight w:val="none"/>
          <w:lang w:val="en-US" w:eastAsia="zh-CN"/>
        </w:rPr>
        <w:t>1</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（4）平时注意污水处理等设施的维护，确保系统正常运行。</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（5）确保污水管道质量，应用质量良好的管材，增加管段长度，减少管道接口，避免废水的跑、冒、滴、漏现象的发生。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（6）加强管理，建立巡逻制度，定期对场地进行检查，及时发现问题，查找隐患，杜绝污染物的外排。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（7）应及时监控厂区周边地下水环境。</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本项目对地下水的主要污染途径为废水渗透，在认真采取以上措施的基础上，一旦水泥硬化层发生断裂，由于防渗层的保护作用，废水不会对地下水源造成影响。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2、跟踪监测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定期对厂区周边地下水环境进行监测，委托具有资质的单位进行，监测报告应包括建设项目所在地及其影响区地下水环境跟踪监测数据，各生产设施及污染防控措施等设施的运行状况、维护记录，同时对监测结果进行信息公开，每年公开一次。</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经现场踏勘，建设单位将项目区上游、下游地下水井作为日后地下水监控井，与本项目所在区域属于同一水文地质单元，每年对地下水环境进行监测，监测项目为pH、COD、BOD、氨氮、粪大肠菌群，发现问题及时解决。建设单位在运营过程中应认真落实跟踪监测的工作，专职人员应编写地下水环境跟踪监测报告，报告中的内容应包括：地下水跟踪监测的数据（污染物种类、数量、浓度），生产设备、管线、贮存和运输装置的运行情况，跑冒滴漏记录和维护记录。</w:t>
      </w:r>
    </w:p>
    <w:p>
      <w:pPr>
        <w:pStyle w:val="5"/>
        <w:rPr>
          <w:rFonts w:ascii="Times New Roman" w:hAnsi="Times New Roman" w:eastAsia="宋体"/>
          <w:color w:val="auto"/>
          <w:highlight w:val="none"/>
        </w:rPr>
      </w:pPr>
      <w:bookmarkStart w:id="237" w:name="_Toc106663527"/>
      <w:r>
        <w:rPr>
          <w:rFonts w:hint="eastAsia" w:ascii="Times New Roman" w:hAnsi="Times New Roman" w:eastAsia="宋体"/>
          <w:color w:val="auto"/>
          <w:highlight w:val="none"/>
        </w:rPr>
        <w:t>6.2.3运营期噪声污染防治措施</w:t>
      </w:r>
      <w:bookmarkEnd w:id="23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本项目的噪声源主要来源于场内</w:t>
      </w:r>
      <w:r>
        <w:rPr>
          <w:rFonts w:hint="eastAsia"/>
          <w:color w:val="auto"/>
          <w:highlight w:val="none"/>
          <w:lang w:val="en-US" w:eastAsia="zh-CN"/>
        </w:rPr>
        <w:t>鸡</w:t>
      </w:r>
      <w:r>
        <w:rPr>
          <w:rFonts w:hint="eastAsia" w:ascii="Times New Roman" w:hAnsi="Times New Roman" w:eastAsia="宋体"/>
          <w:color w:val="auto"/>
          <w:highlight w:val="none"/>
        </w:rPr>
        <w:t>叫声、圈舍换气扇噪声、水泵、运输车辆等设备噪声。企业采取声源上降低噪声和从噪声传播途径上降低噪声两个环节着手：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（1）企业选用低噪声设备，并使其处于良好的运转状态，同时对声源采用减震、消声措施。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（2）在设备的基础与地面之间安装减振垫，减少机械振动产生的噪声污染。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（3）选取低噪声水泵，并将水泵设在各密闭机房，再经减震处理。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（4）加强场区机动车特别是货运机动车的管理，在场内不准随意鸣笛，达到预定停车位后及时熄火。</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color w:val="auto"/>
          <w:highlight w:val="none"/>
          <w:lang w:val="en-US" w:eastAsia="zh-CN"/>
        </w:rPr>
        <w:t>5</w:t>
      </w:r>
      <w:r>
        <w:rPr>
          <w:rFonts w:hint="eastAsia" w:ascii="Times New Roman" w:hAnsi="Times New Roman" w:eastAsia="宋体"/>
          <w:color w:val="auto"/>
          <w:highlight w:val="none"/>
        </w:rPr>
        <w:t>）加强设备的维护，确保设备处于良好的运转状态，杜绝因设备不正常运转时产生的高噪声现象。</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上述治理措施后可有效治理噪声污染，降低对周围声环境影响，产生较好的社会效益。同时根据项目厂界噪声实测结果可知，本项目运营期间噪声值满足《工业企业厂界环境噪声排放标准》（GB12348-2008）中</w:t>
      </w:r>
      <w:r>
        <w:rPr>
          <w:rFonts w:hint="eastAsia"/>
          <w:color w:val="auto"/>
          <w:highlight w:val="none"/>
          <w:lang w:val="en-US" w:eastAsia="zh-CN"/>
        </w:rPr>
        <w:t>2</w:t>
      </w:r>
      <w:r>
        <w:rPr>
          <w:rFonts w:hint="eastAsia" w:ascii="Times New Roman" w:hAnsi="Times New Roman" w:eastAsia="宋体"/>
          <w:color w:val="auto"/>
          <w:highlight w:val="none"/>
        </w:rPr>
        <w:t>类标准排放限值，噪声可满足达标排放要求。</w:t>
      </w:r>
    </w:p>
    <w:p>
      <w:pPr>
        <w:pStyle w:val="5"/>
        <w:rPr>
          <w:rFonts w:ascii="Times New Roman" w:hAnsi="Times New Roman" w:eastAsia="宋体"/>
          <w:color w:val="auto"/>
          <w:highlight w:val="none"/>
        </w:rPr>
      </w:pPr>
      <w:bookmarkStart w:id="238" w:name="_Toc106663528"/>
      <w:r>
        <w:rPr>
          <w:rFonts w:hint="eastAsia" w:ascii="Times New Roman" w:hAnsi="Times New Roman" w:eastAsia="宋体"/>
          <w:color w:val="auto"/>
          <w:highlight w:val="none"/>
        </w:rPr>
        <w:t>6.2.4运营期固废污染防治措施</w:t>
      </w:r>
      <w:bookmarkEnd w:id="238"/>
    </w:p>
    <w:p>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w:t>
      </w:r>
    </w:p>
    <w:p>
      <w:pPr>
        <w:ind w:firstLine="480"/>
        <w:rPr>
          <w:rFonts w:hint="default" w:ascii="Times New Roman" w:hAnsi="Times New Roman" w:eastAsia="宋体"/>
          <w:color w:val="auto"/>
          <w:highlight w:val="none"/>
          <w:lang w:val="en-US" w:eastAsia="zh-CN"/>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鸡粪</w:t>
      </w:r>
      <w:r>
        <w:rPr>
          <w:rFonts w:hint="eastAsia"/>
          <w:color w:val="auto"/>
          <w:highlight w:val="none"/>
          <w:lang w:eastAsia="zh-CN"/>
        </w:rPr>
        <w:t>、</w:t>
      </w:r>
      <w:r>
        <w:rPr>
          <w:rFonts w:ascii="Times New Roman" w:hAnsi="Times New Roman" w:eastAsia="宋体"/>
          <w:color w:val="auto"/>
          <w:highlight w:val="none"/>
        </w:rPr>
        <w:t>散落羽毛</w:t>
      </w:r>
      <w:r>
        <w:rPr>
          <w:rFonts w:hint="eastAsia"/>
          <w:color w:val="auto"/>
          <w:highlight w:val="none"/>
          <w:lang w:val="en-US" w:eastAsia="zh-CN"/>
        </w:rPr>
        <w:t>及污泥</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本项目区产生的</w:t>
      </w:r>
      <w:r>
        <w:rPr>
          <w:rFonts w:hint="eastAsia"/>
          <w:color w:val="auto"/>
          <w:highlight w:val="none"/>
          <w:lang w:eastAsia="zh-CN"/>
        </w:rPr>
        <w:t>鸡粪及散落羽毛采用自动清粪系统清理与废水收集池污泥</w:t>
      </w:r>
      <w:r>
        <w:rPr>
          <w:rFonts w:hint="eastAsia"/>
          <w:color w:val="auto"/>
          <w:highlight w:val="none"/>
          <w:lang w:val="en-US" w:eastAsia="zh-CN"/>
        </w:rPr>
        <w:t>一同</w:t>
      </w:r>
      <w:r>
        <w:rPr>
          <w:rFonts w:ascii="Times New Roman" w:hAnsi="Times New Roman" w:eastAsia="宋体"/>
          <w:color w:val="auto"/>
          <w:highlight w:val="none"/>
        </w:rPr>
        <w:t>拉运至有机肥厂，由其负责定期清运工作。不在厂区内暂存。</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病死鸡只</w:t>
      </w:r>
    </w:p>
    <w:p>
      <w:pPr>
        <w:ind w:firstLine="480"/>
        <w:rPr>
          <w:rFonts w:ascii="Times New Roman" w:hAnsi="Times New Roman" w:eastAsia="宋体"/>
          <w:color w:val="auto"/>
          <w:highlight w:val="none"/>
        </w:rPr>
      </w:pPr>
      <w:r>
        <w:rPr>
          <w:rFonts w:ascii="Times New Roman" w:hAnsi="Times New Roman" w:eastAsia="宋体"/>
          <w:color w:val="auto"/>
          <w:highlight w:val="none"/>
        </w:rPr>
        <w:t>病死鸡只的危害性则要看具体死因，若因为鸡只抗病性弱、开放性外伤、感冒、发烧等常见疾病死亡的鸡只，企业按《畜禽养殖业污染防治技术规范》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有关规定由企业自行作无害化处理。若因为鸡瘟、新城疫等传染性疾病死亡的鸡只，则属于严控废物，企业按照制定的《防疫检疫制度》上报上级部门进行检查处理，并由上级部门制定处理方案，交由防疫部门处置。不得在场内自行处理，否则可能会对饲养人员的健康产生危害，甚至发生疫情。</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根据环办函[2014]789号文《关于病害动物无害化处理有关意见的复函》：</w:t>
      </w:r>
      <w:r>
        <w:rPr>
          <w:rFonts w:hint="eastAsia"/>
          <w:color w:val="auto"/>
          <w:highlight w:val="none"/>
          <w:lang w:eastAsia="zh-CN"/>
        </w:rPr>
        <w:t>”</w:t>
      </w:r>
      <w:r>
        <w:rPr>
          <w:rFonts w:ascii="Times New Roman" w:hAnsi="Times New Roman" w:eastAsia="宋体"/>
          <w:color w:val="auto"/>
          <w:highlight w:val="none"/>
        </w:rPr>
        <w:t>病害动物无害化处理项目由农业部门按照有关法律法规和技术规范进行监管，可以实现病害动物无害化处理和环境污染防控的目的，不宜再认定为危险废物集中处置项目。病害动物的无害化处理应执行《中华人民共和国动物防疫法》</w:t>
      </w:r>
      <w:r>
        <w:rPr>
          <w:rFonts w:hint="eastAsia"/>
          <w:color w:val="auto"/>
          <w:highlight w:val="none"/>
          <w:lang w:eastAsia="zh-CN"/>
        </w:rPr>
        <w:t>”</w:t>
      </w:r>
      <w:r>
        <w:rPr>
          <w:rFonts w:ascii="Times New Roman" w:hAnsi="Times New Roman" w:eastAsia="宋体"/>
          <w:color w:val="auto"/>
          <w:highlight w:val="none"/>
        </w:rPr>
        <w:t>。</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本项目常见疾病病死鸡采用填埋井对其进行无害化处理，设计建设</w:t>
      </w:r>
      <w:r>
        <w:rPr>
          <w:rFonts w:hint="eastAsia"/>
          <w:color w:val="auto"/>
          <w:highlight w:val="none"/>
          <w:lang w:eastAsia="zh-CN"/>
        </w:rPr>
        <w:t>9口</w:t>
      </w:r>
      <w:r>
        <w:rPr>
          <w:rFonts w:ascii="Times New Roman" w:hAnsi="Times New Roman" w:eastAsia="宋体"/>
          <w:color w:val="auto"/>
          <w:highlight w:val="none"/>
        </w:rPr>
        <w:t>安全填埋井，填埋井拟建设于厂区东北侧，位于厂区下风向。填埋井为混凝土结构，深度为3m，直径1m，井口加盖密封。病死鸡只一般多为雏鸡，体积较小，每只约需要0.0034m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的填埋空间，每口填埋井可容纳约</w:t>
      </w:r>
      <w:r>
        <w:rPr>
          <w:rFonts w:hint="eastAsia"/>
          <w:color w:val="auto"/>
          <w:highlight w:val="none"/>
          <w:lang w:eastAsia="zh-CN"/>
        </w:rPr>
        <w:t>800只</w:t>
      </w:r>
      <w:r>
        <w:rPr>
          <w:rFonts w:ascii="Times New Roman" w:hAnsi="Times New Roman" w:eastAsia="宋体"/>
          <w:color w:val="auto"/>
          <w:highlight w:val="none"/>
        </w:rPr>
        <w:t>病死鸡。进行填埋时，井底洒一层厚度为2~5cm的生石灰，并在每次投入畜禽尸体后，覆盖一层厚度大于10cm的熟石灰，确保病死鸡只尸体得到被完全销毁和达到较好的杀菌效果。井填满后，用粘土填埋压实并封口。操作过程严格按照畜禽病害肉尸及其产品无害化处理规程操作。填埋井填满封口后，厂区外东北侧自西向东可以依次续建。填埋井设置位于场区下风向地势较高处，井底做好防渗漏，填埋井周围设置警示标识。并定期巡查。填埋后，对填埋场所进行定期消毒，连续消毒三周以上。项目区地下水埋深在地下，埋深约为60~80m，地质结构较简单稳定，填埋井做防渗处理，确保不会造成地下水污染。本项目安全填埋井建设严格按照《畜禽养殖业污染治理工程技术规范》</w:t>
      </w:r>
      <w:r>
        <w:rPr>
          <w:rFonts w:hint="eastAsia"/>
          <w:color w:val="auto"/>
          <w:highlight w:val="none"/>
          <w:lang w:eastAsia="zh-CN"/>
        </w:rPr>
        <w:t>（</w:t>
      </w:r>
      <w:r>
        <w:rPr>
          <w:rFonts w:ascii="Times New Roman" w:hAnsi="Times New Roman" w:eastAsia="宋体"/>
          <w:color w:val="auto"/>
          <w:highlight w:val="none"/>
        </w:rPr>
        <w:t>HJ497-2009</w:t>
      </w:r>
      <w:r>
        <w:rPr>
          <w:rFonts w:hint="eastAsia"/>
          <w:color w:val="auto"/>
          <w:highlight w:val="none"/>
          <w:lang w:eastAsia="zh-CN"/>
        </w:rPr>
        <w:t>）</w:t>
      </w:r>
      <w:r>
        <w:rPr>
          <w:rFonts w:ascii="Times New Roman" w:hAnsi="Times New Roman" w:eastAsia="宋体"/>
          <w:color w:val="auto"/>
          <w:highlight w:val="none"/>
        </w:rPr>
        <w:t>、《畜禽养殖业污染防治技术规范》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和《病死及病害动物无害化处理技术规范》</w:t>
      </w:r>
      <w:r>
        <w:rPr>
          <w:rFonts w:hint="eastAsia"/>
          <w:color w:val="auto"/>
          <w:highlight w:val="none"/>
          <w:lang w:eastAsia="zh-CN"/>
        </w:rPr>
        <w:t>（</w:t>
      </w:r>
      <w:r>
        <w:rPr>
          <w:rFonts w:ascii="Times New Roman" w:hAnsi="Times New Roman" w:eastAsia="宋体"/>
          <w:color w:val="auto"/>
          <w:highlight w:val="none"/>
        </w:rPr>
        <w:t>农医发〔2017〕25号</w:t>
      </w:r>
      <w:r>
        <w:rPr>
          <w:rFonts w:hint="eastAsia"/>
          <w:color w:val="auto"/>
          <w:highlight w:val="none"/>
          <w:lang w:eastAsia="zh-CN"/>
        </w:rPr>
        <w:t>）</w:t>
      </w:r>
      <w:r>
        <w:rPr>
          <w:rFonts w:ascii="Times New Roman" w:hAnsi="Times New Roman" w:eastAsia="宋体"/>
          <w:color w:val="auto"/>
          <w:highlight w:val="none"/>
        </w:rPr>
        <w:t>中对病死畜禽尸体的处理与处置要求。</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废弃包装物</w:t>
      </w:r>
    </w:p>
    <w:p>
      <w:pPr>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本项目饲料包装袋最终返回原包装袋购置厂家回收，废弃包装物得到了合理利用。</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生活垃圾</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本项目生活垃圾集中收集起来运至当地生态环境部门指定的垃圾填埋场进行处理。</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医疗废物</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本项目对蛋鸡进行防疫、治疗过程中产生少量废弃药品、废针管等，医疗垃圾属于HW01类危险废物。集中交由交由有资质的单位进行处置。</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本项目医疗废物暂存间建设应按照《危险废物贮存污染控制标准》</w:t>
      </w:r>
      <w:r>
        <w:rPr>
          <w:rFonts w:hint="eastAsia"/>
          <w:color w:val="auto"/>
          <w:highlight w:val="none"/>
          <w:lang w:eastAsia="zh-CN"/>
        </w:rPr>
        <w:t>（GB18597-2023）</w:t>
      </w:r>
      <w:r>
        <w:rPr>
          <w:rFonts w:ascii="Times New Roman" w:hAnsi="Times New Roman" w:eastAsia="宋体"/>
          <w:color w:val="auto"/>
          <w:highlight w:val="none"/>
        </w:rPr>
        <w:t>、《医疗卫生机构医疗废物管理办法》</w:t>
      </w:r>
      <w:r>
        <w:rPr>
          <w:rFonts w:hint="eastAsia"/>
          <w:color w:val="auto"/>
          <w:highlight w:val="none"/>
          <w:lang w:eastAsia="zh-CN"/>
        </w:rPr>
        <w:t>（</w:t>
      </w:r>
      <w:r>
        <w:rPr>
          <w:rFonts w:ascii="Times New Roman" w:hAnsi="Times New Roman" w:eastAsia="宋体"/>
          <w:color w:val="auto"/>
          <w:highlight w:val="none"/>
        </w:rPr>
        <w:t>卫生部令36号</w:t>
      </w:r>
      <w:r>
        <w:rPr>
          <w:rFonts w:hint="eastAsia"/>
          <w:color w:val="auto"/>
          <w:highlight w:val="none"/>
          <w:lang w:eastAsia="zh-CN"/>
        </w:rPr>
        <w:t>）</w:t>
      </w:r>
      <w:r>
        <w:rPr>
          <w:rFonts w:ascii="Times New Roman" w:hAnsi="Times New Roman" w:eastAsia="宋体"/>
          <w:color w:val="auto"/>
          <w:highlight w:val="none"/>
        </w:rPr>
        <w:t>和《危险废物污染防治技术政策》</w:t>
      </w:r>
      <w:r>
        <w:rPr>
          <w:rFonts w:hint="eastAsia"/>
          <w:color w:val="auto"/>
          <w:highlight w:val="none"/>
          <w:lang w:eastAsia="zh-CN"/>
        </w:rPr>
        <w:t>（</w:t>
      </w:r>
      <w:r>
        <w:rPr>
          <w:rFonts w:ascii="Times New Roman" w:hAnsi="Times New Roman" w:eastAsia="宋体"/>
          <w:color w:val="auto"/>
          <w:highlight w:val="none"/>
        </w:rPr>
        <w:t>环发[2001]199号</w:t>
      </w:r>
      <w:r>
        <w:rPr>
          <w:rFonts w:hint="eastAsia"/>
          <w:color w:val="auto"/>
          <w:highlight w:val="none"/>
          <w:lang w:eastAsia="zh-CN"/>
        </w:rPr>
        <w:t>）</w:t>
      </w:r>
      <w:r>
        <w:rPr>
          <w:rFonts w:ascii="Times New Roman" w:hAnsi="Times New Roman" w:eastAsia="宋体"/>
          <w:color w:val="auto"/>
          <w:highlight w:val="none"/>
        </w:rPr>
        <w:t>的要求设置，暂存间地面必须防渗，防渗层需为渗透系数≤10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cm/s的1m厚的黏土层，暂存间地面与裙脚要用兼顾、防渗的材料建造，建筑材料必须与危险废物相容。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针对项目危险固废的特点和性质，建设单位应采取如下的处置措施：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hint="eastAsia"/>
          <w:color w:val="auto"/>
          <w:highlight w:val="none"/>
          <w:lang w:eastAsia="zh-CN"/>
        </w:rPr>
        <w:t>医疗废物暂存间</w:t>
      </w:r>
      <w:r>
        <w:rPr>
          <w:rFonts w:hint="eastAsia" w:ascii="Times New Roman" w:hAnsi="Times New Roman" w:eastAsia="宋体"/>
          <w:color w:val="auto"/>
          <w:highlight w:val="none"/>
        </w:rPr>
        <w:t>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属于《国家危险废物名录》（2021年）中划定的危险废物，严格按《危险废物贮存污染控制标准》（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）要求设置贮存场所。</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建设单位拟在项目区内设置危险废物暂存间，医疗废物存于</w:t>
      </w:r>
      <w:r>
        <w:rPr>
          <w:rFonts w:hint="eastAsia"/>
          <w:color w:val="auto"/>
          <w:highlight w:val="none"/>
          <w:lang w:eastAsia="zh-CN"/>
        </w:rPr>
        <w:t>医疗废物暂存间</w:t>
      </w:r>
      <w:r>
        <w:rPr>
          <w:rFonts w:hint="eastAsia" w:ascii="Times New Roman" w:hAnsi="Times New Roman" w:eastAsia="宋体"/>
          <w:color w:val="auto"/>
          <w:highlight w:val="none"/>
        </w:rPr>
        <w:t>，定期交由昌吉市城市生活垃圾综合处理有限公司运输及处置。</w:t>
      </w:r>
    </w:p>
    <w:p>
      <w:pPr>
        <w:ind w:firstLine="480"/>
        <w:rPr>
          <w:rFonts w:ascii="Times New Roman" w:hAnsi="Times New Roman" w:eastAsia="宋体"/>
          <w:color w:val="auto"/>
          <w:highlight w:val="none"/>
        </w:rPr>
      </w:pPr>
      <w:r>
        <w:rPr>
          <w:rFonts w:hint="eastAsia"/>
          <w:color w:val="auto"/>
          <w:highlight w:val="none"/>
          <w:lang w:eastAsia="zh-CN"/>
        </w:rPr>
        <w:t>医疗废物暂存间</w:t>
      </w:r>
      <w:r>
        <w:rPr>
          <w:rFonts w:hint="eastAsia" w:ascii="Times New Roman" w:hAnsi="Times New Roman" w:eastAsia="宋体"/>
          <w:color w:val="auto"/>
          <w:highlight w:val="none"/>
        </w:rPr>
        <w:t>建设应满足《危险废物贮存污染控制标准》（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）及修改单的要求，配套相应的防渗、防漏设施，保持密闭，防止雨水进入。</w:t>
      </w:r>
      <w:r>
        <w:rPr>
          <w:rFonts w:hint="eastAsia"/>
          <w:color w:val="auto"/>
          <w:highlight w:val="none"/>
          <w:lang w:eastAsia="zh-CN"/>
        </w:rPr>
        <w:t>医疗废物暂存间</w:t>
      </w:r>
      <w:r>
        <w:rPr>
          <w:rFonts w:hint="eastAsia" w:ascii="Times New Roman" w:hAnsi="Times New Roman" w:eastAsia="宋体"/>
          <w:color w:val="auto"/>
          <w:highlight w:val="none"/>
        </w:rPr>
        <w:t>地面与裙脚要用坚固、防渗的材料建造，建筑材料须与危险废物相容。用于存放危险废物的容器，必须有耐腐蚀的地面硬化，且表面无裂痕。应设计堵截泄漏的裙脚，地面与裙脚所围建的容积不低于堵截最大容器的最大存储量或总储量的1/5。危险废物堆放要防风、防雨、防晒。同时危险固废采取专用贮存装置，并设立危险物警示标志，由专人进行管理，做好危险废物排放量及处置记录。向相应的固体废物管理中心申报登记本项目产生的危险废物，并按照该中心的要求对上述危险废物进行全过程严格管理和安全处置。</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项目危险废物贮存场所（设施）基本情况见表6.2-</w:t>
      </w:r>
      <w:r>
        <w:rPr>
          <w:rFonts w:hint="eastAsia"/>
          <w:color w:val="auto"/>
          <w:highlight w:val="none"/>
          <w:lang w:val="en-US" w:eastAsia="zh-CN"/>
        </w:rPr>
        <w:t>2</w:t>
      </w:r>
      <w:r>
        <w:rPr>
          <w:rFonts w:hint="eastAsia" w:ascii="Times New Roman" w:hAnsi="Times New Roman" w:eastAsia="宋体"/>
          <w:color w:val="auto"/>
          <w:highlight w:val="none"/>
        </w:rPr>
        <w:t>。</w:t>
      </w:r>
    </w:p>
    <w:p>
      <w:pPr>
        <w:pStyle w:val="10"/>
        <w:keepNext w:val="0"/>
        <w:keepLines w:val="0"/>
        <w:pageBreakBefore w:val="0"/>
        <w:widowControl w:val="0"/>
        <w:kinsoku/>
        <w:wordWrap/>
        <w:overflowPunct/>
        <w:topLinePunct w:val="0"/>
        <w:autoSpaceDE/>
        <w:autoSpaceDN/>
        <w:bidi w:val="0"/>
        <w:adjustRightInd/>
        <w:snapToGrid/>
        <w:spacing w:before="0" w:after="0"/>
        <w:textAlignment w:val="auto"/>
        <w:rPr>
          <w:rFonts w:ascii="Times New Roman" w:hAnsi="Times New Roman" w:eastAsia="宋体"/>
          <w:color w:val="auto"/>
          <w:highlight w:val="none"/>
        </w:rPr>
      </w:pPr>
      <w:r>
        <w:rPr>
          <w:rFonts w:hint="eastAsia" w:ascii="Times New Roman" w:hAnsi="Times New Roman" w:eastAsia="宋体"/>
          <w:color w:val="auto"/>
          <w:highlight w:val="none"/>
        </w:rPr>
        <w:t>表6.2-</w:t>
      </w:r>
      <w:r>
        <w:rPr>
          <w:rFonts w:hint="eastAsia"/>
          <w:color w:val="auto"/>
          <w:highlight w:val="none"/>
          <w:lang w:val="en-US" w:eastAsia="zh-CN"/>
        </w:rPr>
        <w:t>2</w:t>
      </w:r>
      <w:r>
        <w:rPr>
          <w:rFonts w:hint="eastAsia" w:ascii="Times New Roman" w:hAnsi="Times New Roman" w:eastAsia="宋体"/>
          <w:color w:val="auto"/>
          <w:highlight w:val="none"/>
        </w:rPr>
        <w:t>建设项目危险废物贮存场所（设施）基本情况表</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50"/>
        <w:gridCol w:w="964"/>
        <w:gridCol w:w="935"/>
        <w:gridCol w:w="1196"/>
        <w:gridCol w:w="926"/>
        <w:gridCol w:w="910"/>
        <w:gridCol w:w="917"/>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序号</w:t>
            </w:r>
          </w:p>
        </w:tc>
        <w:tc>
          <w:tcPr>
            <w:tcW w:w="105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贮存场所</w:t>
            </w:r>
          </w:p>
        </w:tc>
        <w:tc>
          <w:tcPr>
            <w:tcW w:w="96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危险废物名称</w:t>
            </w:r>
          </w:p>
        </w:tc>
        <w:tc>
          <w:tcPr>
            <w:tcW w:w="935"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危险废物类别</w:t>
            </w:r>
          </w:p>
        </w:tc>
        <w:tc>
          <w:tcPr>
            <w:tcW w:w="119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危险废物代码</w:t>
            </w:r>
          </w:p>
        </w:tc>
        <w:tc>
          <w:tcPr>
            <w:tcW w:w="92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占地面积</w:t>
            </w:r>
          </w:p>
        </w:tc>
        <w:tc>
          <w:tcPr>
            <w:tcW w:w="91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贮存方式</w:t>
            </w:r>
          </w:p>
        </w:tc>
        <w:tc>
          <w:tcPr>
            <w:tcW w:w="917"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贮存能力</w:t>
            </w:r>
          </w:p>
        </w:tc>
        <w:tc>
          <w:tcPr>
            <w:tcW w:w="91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w:t>
            </w:r>
          </w:p>
        </w:tc>
        <w:tc>
          <w:tcPr>
            <w:tcW w:w="1050" w:type="dxa"/>
            <w:vAlign w:val="center"/>
          </w:tcPr>
          <w:p>
            <w:pPr>
              <w:snapToGrid w:val="0"/>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color w:val="auto"/>
                <w:kern w:val="2"/>
                <w:sz w:val="21"/>
                <w:szCs w:val="21"/>
                <w:highlight w:val="none"/>
                <w:lang w:eastAsia="zh-CN"/>
              </w:rPr>
              <w:t>医疗废物暂存间</w:t>
            </w:r>
          </w:p>
        </w:tc>
        <w:tc>
          <w:tcPr>
            <w:tcW w:w="964"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医疗固废</w:t>
            </w:r>
          </w:p>
        </w:tc>
        <w:tc>
          <w:tcPr>
            <w:tcW w:w="935"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HW01</w:t>
            </w:r>
          </w:p>
        </w:tc>
        <w:tc>
          <w:tcPr>
            <w:tcW w:w="119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900-001-01</w:t>
            </w:r>
          </w:p>
        </w:tc>
        <w:tc>
          <w:tcPr>
            <w:tcW w:w="926"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10m</w:t>
            </w:r>
            <w:r>
              <w:rPr>
                <w:rFonts w:hint="eastAsia" w:ascii="Times New Roman" w:hAnsi="Times New Roman" w:eastAsia="宋体"/>
                <w:color w:val="auto"/>
                <w:kern w:val="2"/>
                <w:sz w:val="21"/>
                <w:szCs w:val="21"/>
                <w:highlight w:val="none"/>
                <w:vertAlign w:val="superscript"/>
              </w:rPr>
              <w:t>2</w:t>
            </w:r>
          </w:p>
        </w:tc>
        <w:tc>
          <w:tcPr>
            <w:tcW w:w="91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桶装</w:t>
            </w:r>
          </w:p>
        </w:tc>
        <w:tc>
          <w:tcPr>
            <w:tcW w:w="917"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1t/a</w:t>
            </w:r>
          </w:p>
        </w:tc>
        <w:tc>
          <w:tcPr>
            <w:tcW w:w="91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1周</w:t>
            </w:r>
          </w:p>
        </w:tc>
      </w:tr>
    </w:tbl>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2、运输过程的污染防治措施</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按照《危险废物收集贮存运输技术规范》（HJ2025-2012），分析危险废物的收集和转运过程中采取的污染防治措施的可行性，并论证运输方式、运输线路的合理性。危险废物在运输过程中，如果管理不当或未采取适当的污染防治和安全防护措施，则极易造成污染。</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危险废物在出厂前经分类收集到危废桶，然后运至危废间暂存间。项目危废处置单位定期进厂收集、运输及处置；危废运输由危废处置单位专用车辆运输，沿途尽量避免穿越人群密集区。因此，只要在危废运输中加强控制和管理，项目危险废物输送对环境的影响不明显。</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项目对危废运输过程中拟采取如下防治措施：</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（1）运输时应采取密闭、遮盖、捆扎等措施防止扬散；</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（2）对运输危险废物的设施和设备应加强管理和未付，保证其正常运行和使用；</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（3）不能混合运输性质不相容而又未经安全性处置的危险废物；</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（4）转移危险废物时，必须按照规定填写危险废物转移联单，并向危险废物移出地和接受地的县级以上地方人民政府环境保护行政主管部门报告；</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（5）禁止将危险废物与旅客在用一运输工具上载运；</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（6）运输危险废物的车辆应尽可能避开城市、城镇等人群居住区、闹市区等；</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（7）运输危险废物的人员应当接受专业培训，经考核合格后，方可从事运输危险废物的工作；</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（8）应制定在发生意外事故时采取的应急措施和防范措施；</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（9）若发生突发性事故必须立即采取措施消除或者减轻对环境的污染危害，及时通报给附近的单位和居民，并向事故发生地县级以上人民政府环境保护行政主管部门和有关部门报告，接受调查处理。</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综上所述，本项目产生的固体废弃物经过收集、处理处置后，实现</w:t>
      </w:r>
      <w:r>
        <w:rPr>
          <w:rFonts w:hint="eastAsia"/>
          <w:color w:val="auto"/>
          <w:highlight w:val="none"/>
          <w:lang w:eastAsia="zh-CN"/>
        </w:rPr>
        <w:t>”</w:t>
      </w:r>
      <w:r>
        <w:rPr>
          <w:rFonts w:hint="eastAsia" w:ascii="Times New Roman" w:hAnsi="Times New Roman" w:eastAsia="宋体"/>
          <w:color w:val="auto"/>
          <w:highlight w:val="none"/>
        </w:rPr>
        <w:t>减量化、资源化和无害化</w:t>
      </w:r>
      <w:r>
        <w:rPr>
          <w:rFonts w:hint="eastAsia"/>
          <w:color w:val="auto"/>
          <w:highlight w:val="none"/>
          <w:lang w:eastAsia="zh-CN"/>
        </w:rPr>
        <w:t>”</w:t>
      </w:r>
      <w:r>
        <w:rPr>
          <w:rFonts w:hint="eastAsia" w:ascii="Times New Roman" w:hAnsi="Times New Roman" w:eastAsia="宋体"/>
          <w:color w:val="auto"/>
          <w:highlight w:val="none"/>
        </w:rPr>
        <w:t>的要求，不会对周围环境产生明显的不利影响。</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检疫及兽医站产生的医疗废物必须当日消毒，消毒后装入容器，常温下贮存不得超过一天，于5℃以下冷藏的，不得超过7天，夏季医疗垃圾在常温下贮存期不得超过一天，冬季由于气温较低，低于5℃以下冷藏的，医疗垃圾最长储存时间不得超过2d，根据《医疗废物管理条例》</w:t>
      </w:r>
      <w:r>
        <w:rPr>
          <w:rFonts w:hint="eastAsia"/>
          <w:color w:val="auto"/>
          <w:highlight w:val="none"/>
          <w:lang w:eastAsia="zh-CN"/>
        </w:rPr>
        <w:t>（</w:t>
      </w:r>
      <w:r>
        <w:rPr>
          <w:rFonts w:ascii="Times New Roman" w:hAnsi="Times New Roman" w:eastAsia="宋体"/>
          <w:color w:val="auto"/>
          <w:highlight w:val="none"/>
        </w:rPr>
        <w:t>2011年</w:t>
      </w:r>
      <w:r>
        <w:rPr>
          <w:rFonts w:hint="eastAsia"/>
          <w:color w:val="auto"/>
          <w:highlight w:val="none"/>
          <w:lang w:eastAsia="zh-CN"/>
        </w:rPr>
        <w:t>）</w:t>
      </w:r>
      <w:r>
        <w:rPr>
          <w:rFonts w:ascii="Times New Roman" w:hAnsi="Times New Roman" w:eastAsia="宋体"/>
          <w:color w:val="auto"/>
          <w:highlight w:val="none"/>
        </w:rPr>
        <w:t>要求，医疗废物经临时储存后交由有医疗废物处置资质的单位进行集中清运处理，要严格按照要求，在医疗废弃物的管理上必须要有交接签字制度，医疗废物产生量必须要有登记，以避免医疗废弃物的流失。在医疗废弃物的处置方面还必须做到分类、消毒、专人管理。</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综上分析，对固体废物采取相应治理措施后，固废可以得到合理处置，产生的固体废物对周围环境影响不大。</w:t>
      </w:r>
    </w:p>
    <w:p>
      <w:pPr>
        <w:pStyle w:val="5"/>
        <w:rPr>
          <w:rFonts w:ascii="Times New Roman" w:hAnsi="Times New Roman" w:eastAsia="宋体"/>
          <w:color w:val="auto"/>
          <w:highlight w:val="none"/>
        </w:rPr>
      </w:pPr>
      <w:bookmarkStart w:id="239" w:name="_Toc106663529"/>
      <w:r>
        <w:rPr>
          <w:rFonts w:hint="eastAsia" w:ascii="Times New Roman" w:hAnsi="Times New Roman" w:eastAsia="宋体"/>
          <w:color w:val="auto"/>
          <w:highlight w:val="none"/>
        </w:rPr>
        <w:t>6.2.6土壤污染防治措施</w:t>
      </w:r>
      <w:bookmarkEnd w:id="239"/>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6.2.6.1防治措施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（1）加强废水处理设施的维护和管理，及时发现处理设备的隐患，确保处理系统正常运行。</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（2）加强施工质量，对</w:t>
      </w:r>
      <w:r>
        <w:rPr>
          <w:rFonts w:hint="eastAsia" w:ascii="Times New Roman" w:hAnsi="Times New Roman" w:eastAsia="宋体"/>
          <w:color w:val="auto"/>
          <w:highlight w:val="none"/>
          <w:lang w:val="en-US" w:eastAsia="zh-CN"/>
        </w:rPr>
        <w:t>安全填埋井</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医疗废物暂存间、</w:t>
      </w:r>
      <w:r>
        <w:rPr>
          <w:rFonts w:hint="eastAsia"/>
          <w:color w:val="auto"/>
          <w:highlight w:val="none"/>
          <w:lang w:val="en-US" w:eastAsia="zh-CN"/>
        </w:rPr>
        <w:t>废水收集池</w:t>
      </w:r>
      <w:r>
        <w:rPr>
          <w:rFonts w:hint="eastAsia" w:ascii="Times New Roman" w:hAnsi="Times New Roman" w:eastAsia="宋体"/>
          <w:color w:val="auto"/>
          <w:highlight w:val="none"/>
        </w:rPr>
        <w:t>按重点防渗区采取措施，参照《危险废物贮存污染控制标准》（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）：基础必须防渗，防渗层为至少1m厚粘土层（渗透系数≤10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cm/s），或2mm厚高密度聚乙烯，或至2mm厚的其它人工材料，渗透系数≤10</w:t>
      </w:r>
      <w:r>
        <w:rPr>
          <w:rFonts w:hint="eastAsia" w:ascii="Times New Roman" w:hAnsi="Times New Roman" w:eastAsia="宋体"/>
          <w:color w:val="auto"/>
          <w:highlight w:val="none"/>
          <w:vertAlign w:val="superscript"/>
        </w:rPr>
        <w:t>-10</w:t>
      </w:r>
      <w:r>
        <w:rPr>
          <w:rFonts w:hint="eastAsia" w:ascii="Times New Roman" w:hAnsi="Times New Roman" w:eastAsia="宋体"/>
          <w:color w:val="auto"/>
          <w:highlight w:val="none"/>
        </w:rPr>
        <w:t>cm/s。</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w:t>
      </w:r>
      <w:r>
        <w:rPr>
          <w:rFonts w:hint="eastAsia"/>
          <w:color w:val="auto"/>
          <w:highlight w:val="none"/>
          <w:lang w:val="en-US" w:eastAsia="zh-CN"/>
        </w:rPr>
        <w:t>鸡舍</w:t>
      </w:r>
      <w:r>
        <w:rPr>
          <w:rFonts w:hint="eastAsia" w:ascii="Times New Roman" w:hAnsi="Times New Roman" w:eastAsia="宋体"/>
          <w:color w:val="auto"/>
          <w:highlight w:val="none"/>
        </w:rPr>
        <w:t>舍等按一般防渗区采取防渗措施。底压实粘土层厚度要≥1m，满足渗透系数K≤1.0×10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cm/s；防渗粘土层上部及贮水池侧面铺设1.0mm高密度聚乙烯（HDPE）防渗膜（渗透系数K≤10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cm/s），在做好基层防渗的基础上进行水泥硬化。</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（4）场区边界建设雨水截流沟、排水沟，及时拦截和导排雨水，减少废水产生量，降低事故风险。</w:t>
      </w:r>
    </w:p>
    <w:p>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6.2.6.2跟踪监测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（1）监测点位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根据《环境影响评价技术导则土壤环境》（HJ964-2018）的要求确定土壤跟踪监测点布设原则，结合厂区占地位置，共布设1个土壤跟踪监测点，考虑项目运营期土壤最可能受到污染同时受到污染后应交较严重的</w:t>
      </w:r>
      <w:r>
        <w:rPr>
          <w:rFonts w:hint="eastAsia"/>
          <w:color w:val="auto"/>
          <w:highlight w:val="none"/>
          <w:lang w:val="en-US" w:eastAsia="zh-CN"/>
        </w:rPr>
        <w:t>废水收集池</w:t>
      </w:r>
      <w:r>
        <w:rPr>
          <w:rFonts w:hint="eastAsia" w:ascii="Times New Roman" w:hAnsi="Times New Roman" w:eastAsia="宋体"/>
          <w:color w:val="auto"/>
          <w:highlight w:val="none"/>
        </w:rPr>
        <w:t>，因此在上述区域分别设置1个土壤跟踪监测点位。</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监测点布设情况见表6.2-</w:t>
      </w:r>
      <w:r>
        <w:rPr>
          <w:rFonts w:ascii="Times New Roman" w:hAnsi="Times New Roman" w:eastAsia="宋体"/>
          <w:color w:val="auto"/>
          <w:highlight w:val="none"/>
        </w:rPr>
        <w:t>5</w:t>
      </w:r>
      <w:r>
        <w:rPr>
          <w:rFonts w:hint="eastAsia" w:ascii="Times New Roman" w:hAnsi="Times New Roman" w:eastAsia="宋体"/>
          <w:color w:val="auto"/>
          <w:highlight w:val="none"/>
        </w:rPr>
        <w:t>。</w:t>
      </w:r>
    </w:p>
    <w:p>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表6.2-</w:t>
      </w:r>
      <w:r>
        <w:rPr>
          <w:rFonts w:ascii="Times New Roman" w:hAnsi="Times New Roman" w:eastAsia="宋体"/>
          <w:color w:val="auto"/>
          <w:sz w:val="24"/>
          <w:szCs w:val="22"/>
          <w:highlight w:val="none"/>
        </w:rPr>
        <w:t>5</w:t>
      </w:r>
      <w:r>
        <w:rPr>
          <w:rFonts w:hint="eastAsia" w:ascii="Times New Roman" w:hAnsi="Times New Roman" w:eastAsia="宋体"/>
          <w:color w:val="auto"/>
          <w:sz w:val="24"/>
          <w:szCs w:val="22"/>
          <w:highlight w:val="none"/>
        </w:rPr>
        <w:t>环境监测点一览表</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功能</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编号</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位置</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占地范围内</w:t>
            </w:r>
          </w:p>
        </w:tc>
        <w:tc>
          <w:tcPr>
            <w:tcW w:w="2130"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T1</w:t>
            </w:r>
          </w:p>
        </w:tc>
        <w:tc>
          <w:tcPr>
            <w:tcW w:w="2131" w:type="dxa"/>
            <w:vAlign w:val="center"/>
          </w:tcPr>
          <w:p>
            <w:pPr>
              <w:snapToGrid w:val="0"/>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color w:val="auto"/>
                <w:kern w:val="2"/>
                <w:sz w:val="21"/>
                <w:szCs w:val="21"/>
                <w:highlight w:val="none"/>
                <w:lang w:eastAsia="zh-CN"/>
              </w:rPr>
              <w:t>废水收集池</w:t>
            </w:r>
          </w:p>
        </w:tc>
        <w:tc>
          <w:tcPr>
            <w:tcW w:w="2131" w:type="dxa"/>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柱状样</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（2）监测频率及监测因子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监测频率：1次/年。</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监测项目为：《畜禽养殖产地评价规范》（HJ568-2010）中表4养殖场土壤环境质量评价标准全值。</w:t>
      </w:r>
    </w:p>
    <w:p>
      <w:pPr>
        <w:pStyle w:val="5"/>
        <w:rPr>
          <w:rFonts w:ascii="Times New Roman" w:hAnsi="Times New Roman" w:eastAsia="宋体"/>
          <w:color w:val="auto"/>
          <w:highlight w:val="none"/>
        </w:rPr>
      </w:pPr>
      <w:bookmarkStart w:id="240" w:name="_Toc106663530"/>
      <w:r>
        <w:rPr>
          <w:rFonts w:hint="eastAsia" w:ascii="Times New Roman" w:hAnsi="Times New Roman" w:eastAsia="宋体"/>
          <w:color w:val="auto"/>
          <w:highlight w:val="none"/>
        </w:rPr>
        <w:t>6.2.7生态防治措施</w:t>
      </w:r>
      <w:bookmarkEnd w:id="240"/>
    </w:p>
    <w:p>
      <w:pPr>
        <w:ind w:firstLine="480"/>
        <w:rPr>
          <w:rFonts w:ascii="Times New Roman" w:hAnsi="Times New Roman" w:eastAsia="宋体"/>
          <w:color w:val="auto"/>
          <w:highlight w:val="none"/>
        </w:rPr>
      </w:pPr>
      <w:r>
        <w:rPr>
          <w:rFonts w:ascii="Times New Roman" w:hAnsi="Times New Roman" w:eastAsia="宋体"/>
          <w:color w:val="auto"/>
          <w:highlight w:val="none"/>
        </w:rPr>
        <w:t>（1）工程设计时应做好厂区绿化的规划设计，落实绿化费用，设置专职绿化管理人员，保证绿化效果。</w:t>
      </w:r>
    </w:p>
    <w:p>
      <w:pPr>
        <w:ind w:firstLine="480"/>
        <w:rPr>
          <w:rFonts w:ascii="Times New Roman" w:hAnsi="Times New Roman" w:eastAsia="宋体"/>
          <w:color w:val="auto"/>
          <w:highlight w:val="none"/>
        </w:rPr>
      </w:pPr>
      <w:r>
        <w:rPr>
          <w:rFonts w:ascii="Times New Roman" w:hAnsi="Times New Roman" w:eastAsia="宋体"/>
          <w:color w:val="auto"/>
          <w:highlight w:val="none"/>
        </w:rPr>
        <w:t>（2）规划本项目绿化对项目区的生态环境将起到一定的恢复作用，使局部生态环境得到改善，对项目区生态环境产生的影响不大。</w:t>
      </w:r>
    </w:p>
    <w:p>
      <w:pPr>
        <w:ind w:firstLine="480"/>
        <w:rPr>
          <w:rFonts w:ascii="Times New Roman" w:hAnsi="Times New Roman" w:eastAsia="宋体"/>
          <w:color w:val="auto"/>
          <w:highlight w:val="none"/>
        </w:rPr>
      </w:pPr>
      <w:r>
        <w:rPr>
          <w:rFonts w:ascii="Times New Roman" w:hAnsi="Times New Roman" w:eastAsia="宋体"/>
          <w:color w:val="auto"/>
          <w:highlight w:val="none"/>
        </w:rPr>
        <w:t>（3）另外为了原料运输及检修、消防需要，为了环境保护的要求，厂内其他未绿化裸露地面必须进行平整、硬化，主干道和人行道必须铺设混凝土或沥青路面，以达到美化厂区环境，为生产营造所需的良好环境的目的。</w:t>
      </w:r>
    </w:p>
    <w:p>
      <w:pPr>
        <w:pStyle w:val="4"/>
        <w:rPr>
          <w:rFonts w:ascii="Times New Roman" w:hAnsi="Times New Roman" w:eastAsia="宋体"/>
          <w:color w:val="auto"/>
          <w:highlight w:val="none"/>
        </w:rPr>
      </w:pPr>
      <w:bookmarkStart w:id="241" w:name="_Toc106663531"/>
      <w:bookmarkStart w:id="242" w:name="_Toc89619350"/>
      <w:r>
        <w:rPr>
          <w:rFonts w:hint="eastAsia" w:ascii="Times New Roman" w:hAnsi="Times New Roman" w:eastAsia="宋体"/>
          <w:color w:val="auto"/>
          <w:highlight w:val="none"/>
        </w:rPr>
        <w:t>6.3环境风险防范措施</w:t>
      </w:r>
      <w:bookmarkEnd w:id="241"/>
      <w:bookmarkEnd w:id="242"/>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应加大事故防范措施建设，加大防范力度，防患于未然。另外，要制定合理可行的事故应急预案，以控制事故和减少对环境造成的危害。</w:t>
      </w:r>
    </w:p>
    <w:p>
      <w:pPr>
        <w:pStyle w:val="5"/>
        <w:rPr>
          <w:rFonts w:ascii="Times New Roman" w:hAnsi="Times New Roman" w:eastAsia="宋体"/>
          <w:color w:val="auto"/>
          <w:highlight w:val="none"/>
        </w:rPr>
      </w:pPr>
      <w:bookmarkStart w:id="243" w:name="_Toc106663532"/>
      <w:r>
        <w:rPr>
          <w:rFonts w:hint="eastAsia" w:ascii="Times New Roman" w:hAnsi="Times New Roman" w:eastAsia="宋体"/>
          <w:color w:val="auto"/>
          <w:highlight w:val="none"/>
        </w:rPr>
        <w:t>6.3.1火灾防范措施</w:t>
      </w:r>
      <w:bookmarkEnd w:id="24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（1）制定安全管理制度、安全操作规程和工艺操作规程。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color w:val="auto"/>
          <w:highlight w:val="none"/>
          <w:lang w:val="en-US" w:eastAsia="zh-CN"/>
        </w:rPr>
        <w:t>2</w:t>
      </w:r>
      <w:r>
        <w:rPr>
          <w:rFonts w:hint="eastAsia" w:ascii="Times New Roman" w:hAnsi="Times New Roman" w:eastAsia="宋体"/>
          <w:color w:val="auto"/>
          <w:highlight w:val="none"/>
        </w:rPr>
        <w:t>）生产工人必须经过考核录用，认真培训。认真学习工艺生产技术、安全生产要点和岗位安全操作规程，熟悉生产原辅料及产品日常防护、急救措施以及泄漏处理和灭火方法，考试合格后，持证上岗。</w:t>
      </w:r>
    </w:p>
    <w:p>
      <w:pPr>
        <w:pStyle w:val="5"/>
        <w:rPr>
          <w:rFonts w:ascii="Times New Roman" w:hAnsi="Times New Roman" w:eastAsia="宋体"/>
          <w:color w:val="auto"/>
          <w:highlight w:val="none"/>
        </w:rPr>
      </w:pPr>
      <w:bookmarkStart w:id="244" w:name="_Toc106663533"/>
      <w:r>
        <w:rPr>
          <w:rFonts w:hint="eastAsia" w:ascii="Times New Roman" w:hAnsi="Times New Roman" w:eastAsia="宋体"/>
          <w:color w:val="auto"/>
          <w:highlight w:val="none"/>
        </w:rPr>
        <w:t>6.3.2废气处理措施故障防范措施</w:t>
      </w:r>
      <w:bookmarkEnd w:id="24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要求建设单位必须加强环保设备的管理和维护，减小净化系统失效概率，降低对环境的不良影响。一旦发生废气非正常及事故排放，应立即停止生产，并及时检修，待故障解除后，方可恢复生产。</w:t>
      </w:r>
    </w:p>
    <w:p>
      <w:pPr>
        <w:pStyle w:val="5"/>
        <w:rPr>
          <w:rFonts w:ascii="Times New Roman" w:hAnsi="Times New Roman" w:eastAsia="宋体"/>
          <w:color w:val="auto"/>
          <w:highlight w:val="none"/>
        </w:rPr>
      </w:pPr>
      <w:bookmarkStart w:id="245" w:name="_Toc106663534"/>
      <w:r>
        <w:rPr>
          <w:rFonts w:hint="eastAsia" w:ascii="Times New Roman" w:hAnsi="Times New Roman" w:eastAsia="宋体"/>
          <w:color w:val="auto"/>
          <w:highlight w:val="none"/>
        </w:rPr>
        <w:t>6.3.3有害物质泄漏防范措施</w:t>
      </w:r>
      <w:bookmarkEnd w:id="24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（1）项目区内一般区域采用水泥硬化路面，</w:t>
      </w:r>
      <w:r>
        <w:rPr>
          <w:rFonts w:hint="eastAsia"/>
          <w:color w:val="auto"/>
          <w:highlight w:val="none"/>
          <w:lang w:eastAsia="zh-CN"/>
        </w:rPr>
        <w:t>医疗废物暂存间</w:t>
      </w:r>
      <w:r>
        <w:rPr>
          <w:rFonts w:hint="eastAsia" w:ascii="Times New Roman" w:hAnsi="Times New Roman" w:eastAsia="宋体"/>
          <w:color w:val="auto"/>
          <w:highlight w:val="none"/>
        </w:rPr>
        <w:t>、</w:t>
      </w:r>
      <w:r>
        <w:rPr>
          <w:rFonts w:hint="eastAsia"/>
          <w:color w:val="auto"/>
          <w:highlight w:val="none"/>
          <w:lang w:val="en-US" w:eastAsia="zh-CN"/>
        </w:rPr>
        <w:t>安全填埋井</w:t>
      </w:r>
      <w:r>
        <w:rPr>
          <w:rFonts w:hint="eastAsia" w:ascii="Times New Roman" w:hAnsi="Times New Roman" w:eastAsia="宋体"/>
          <w:color w:val="auto"/>
          <w:highlight w:val="none"/>
        </w:rPr>
        <w:t>、</w:t>
      </w:r>
      <w:r>
        <w:rPr>
          <w:rFonts w:hint="eastAsia"/>
          <w:color w:val="auto"/>
          <w:highlight w:val="none"/>
          <w:lang w:eastAsia="zh-CN"/>
        </w:rPr>
        <w:t>废水收集池</w:t>
      </w:r>
      <w:r>
        <w:rPr>
          <w:rFonts w:hint="eastAsia" w:ascii="Times New Roman" w:hAnsi="Times New Roman" w:eastAsia="宋体"/>
          <w:color w:val="auto"/>
          <w:highlight w:val="none"/>
        </w:rPr>
        <w:t>为重点防渗区，对于重点防治污染区执行地面防渗设计；要求防渗等级不大于1.0×10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cm/s，可采用现浇防渗钢筋钢纤维混凝土层（渗透系数不大于1.0×10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cm/s）、防渗涂料面层（渗透系数不大于1.0×10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cm/s）。项目</w:t>
      </w:r>
      <w:r>
        <w:rPr>
          <w:rFonts w:hint="eastAsia"/>
          <w:color w:val="auto"/>
          <w:highlight w:val="none"/>
          <w:lang w:val="en-US" w:eastAsia="zh-CN"/>
        </w:rPr>
        <w:t>鸡</w:t>
      </w:r>
      <w:r>
        <w:rPr>
          <w:rFonts w:hint="eastAsia" w:ascii="Times New Roman" w:hAnsi="Times New Roman" w:eastAsia="宋体"/>
          <w:color w:val="auto"/>
          <w:highlight w:val="none"/>
        </w:rPr>
        <w:t>舍为一般防渗区。对于一般污染防治区，参照《一般工业固体废物贮存、处置场污染控制标准》（GB18599-2001）Ⅱ类场进行设计，天然基础层的渗透系数均大于1.0×10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cm/s，因此应采用天然或人工材料构筑防渗层，防渗层的厚度应相当于渗透系数1.0×10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cm/s和厚度1.5m的粘土层的防渗性能。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（2）加强环境监测，定期检查厂区硫化物、氨等恶臭气的气体浓度；发现异常情况立即处理。</w:t>
      </w:r>
    </w:p>
    <w:p>
      <w:pPr>
        <w:pStyle w:val="5"/>
        <w:rPr>
          <w:rFonts w:ascii="Times New Roman" w:hAnsi="Times New Roman" w:eastAsia="宋体"/>
          <w:color w:val="auto"/>
          <w:highlight w:val="none"/>
        </w:rPr>
      </w:pPr>
      <w:bookmarkStart w:id="246" w:name="_Toc106663535"/>
      <w:r>
        <w:rPr>
          <w:rFonts w:hint="eastAsia" w:ascii="Times New Roman" w:hAnsi="Times New Roman" w:eastAsia="宋体"/>
          <w:color w:val="auto"/>
          <w:highlight w:val="none"/>
        </w:rPr>
        <w:t>6.3.4疫病风险防范措施</w:t>
      </w:r>
      <w:bookmarkEnd w:id="246"/>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为预防</w:t>
      </w:r>
      <w:r>
        <w:rPr>
          <w:rFonts w:hint="eastAsia"/>
          <w:color w:val="auto"/>
          <w:highlight w:val="none"/>
          <w:lang w:val="en-US" w:eastAsia="zh-CN"/>
        </w:rPr>
        <w:t>鸡</w:t>
      </w:r>
      <w:r>
        <w:rPr>
          <w:rFonts w:hint="eastAsia" w:ascii="Times New Roman" w:hAnsi="Times New Roman" w:eastAsia="宋体"/>
          <w:color w:val="auto"/>
          <w:highlight w:val="none"/>
        </w:rPr>
        <w:t>疫情的发生，本养殖场首先做好综合预防措施和扑灭措施，预防措施包括：加强饲养管理，增强</w:t>
      </w:r>
      <w:r>
        <w:rPr>
          <w:rFonts w:hint="eastAsia"/>
          <w:color w:val="auto"/>
          <w:highlight w:val="none"/>
          <w:lang w:val="en-US" w:eastAsia="zh-CN"/>
        </w:rPr>
        <w:t>鸡</w:t>
      </w:r>
      <w:r>
        <w:rPr>
          <w:rFonts w:hint="eastAsia" w:ascii="Times New Roman" w:hAnsi="Times New Roman" w:eastAsia="宋体"/>
          <w:color w:val="auto"/>
          <w:highlight w:val="none"/>
        </w:rPr>
        <w:t>的抵抗力；坚持自繁自养；制订合理的免疫程序；药物预防。扑灭措施包括：疫情上报、诊断、隔离和封锁、紧急接种和治疗、消毒、尸体处理。当发生重大动物疫情时应按照当地政府和主管部门要求采取措施：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（1）加强饲养管理，增强</w:t>
      </w:r>
      <w:r>
        <w:rPr>
          <w:rFonts w:hint="eastAsia"/>
          <w:color w:val="auto"/>
          <w:highlight w:val="none"/>
          <w:lang w:val="en-US" w:eastAsia="zh-CN"/>
        </w:rPr>
        <w:t>鸡</w:t>
      </w:r>
      <w:r>
        <w:rPr>
          <w:rFonts w:hint="eastAsia" w:ascii="Times New Roman" w:hAnsi="Times New Roman" w:eastAsia="宋体"/>
          <w:color w:val="auto"/>
          <w:highlight w:val="none"/>
        </w:rPr>
        <w:t>抵抗力。</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1）要按照</w:t>
      </w:r>
      <w:r>
        <w:rPr>
          <w:rFonts w:hint="eastAsia"/>
          <w:color w:val="auto"/>
          <w:highlight w:val="none"/>
          <w:lang w:val="en-US" w:eastAsia="zh-CN"/>
        </w:rPr>
        <w:t>鸡</w:t>
      </w:r>
      <w:r>
        <w:rPr>
          <w:rFonts w:hint="eastAsia" w:ascii="Times New Roman" w:hAnsi="Times New Roman" w:eastAsia="宋体"/>
          <w:color w:val="auto"/>
          <w:highlight w:val="none"/>
        </w:rPr>
        <w:t>的品种、性别、年龄、体重、强弱等进行合理分群饲养。根据各类</w:t>
      </w:r>
      <w:r>
        <w:rPr>
          <w:rFonts w:hint="eastAsia"/>
          <w:color w:val="auto"/>
          <w:highlight w:val="none"/>
          <w:lang w:val="en-US" w:eastAsia="zh-CN"/>
        </w:rPr>
        <w:t>鸡</w:t>
      </w:r>
      <w:r>
        <w:rPr>
          <w:rFonts w:hint="eastAsia" w:ascii="Times New Roman" w:hAnsi="Times New Roman" w:eastAsia="宋体"/>
          <w:color w:val="auto"/>
          <w:highlight w:val="none"/>
        </w:rPr>
        <w:t>的营养需要、饲养标准，确定适宜的饲粮和饲喂方法。</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2）保证</w:t>
      </w:r>
      <w:r>
        <w:rPr>
          <w:rFonts w:hint="eastAsia"/>
          <w:color w:val="auto"/>
          <w:highlight w:val="none"/>
          <w:lang w:val="en-US" w:eastAsia="zh-CN"/>
        </w:rPr>
        <w:t>鸡</w:t>
      </w:r>
      <w:r>
        <w:rPr>
          <w:rFonts w:hint="eastAsia" w:ascii="Times New Roman" w:hAnsi="Times New Roman" w:eastAsia="宋体"/>
          <w:color w:val="auto"/>
          <w:highlight w:val="none"/>
        </w:rPr>
        <w:t>舍清洁舒适，通风良好。每月用药物进行1～2次定期消毒。空出的</w:t>
      </w:r>
      <w:r>
        <w:rPr>
          <w:rFonts w:hint="eastAsia"/>
          <w:color w:val="auto"/>
          <w:highlight w:val="none"/>
          <w:lang w:val="en-US" w:eastAsia="zh-CN"/>
        </w:rPr>
        <w:t>鸡</w:t>
      </w:r>
      <w:r>
        <w:rPr>
          <w:rFonts w:hint="eastAsia" w:ascii="Times New Roman" w:hAnsi="Times New Roman" w:eastAsia="宋体"/>
          <w:color w:val="auto"/>
          <w:highlight w:val="none"/>
        </w:rPr>
        <w:t>舍，一定要彻底消毒，一周后才可进</w:t>
      </w:r>
      <w:r>
        <w:rPr>
          <w:rFonts w:hint="eastAsia"/>
          <w:color w:val="auto"/>
          <w:highlight w:val="none"/>
          <w:lang w:val="en-US" w:eastAsia="zh-CN"/>
        </w:rPr>
        <w:t>鸡</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（2）制订合理的免疫程序，与当地兽医主管理部门保持联系，做好场区</w:t>
      </w:r>
      <w:r>
        <w:rPr>
          <w:rFonts w:hint="eastAsia"/>
          <w:color w:val="auto"/>
          <w:highlight w:val="none"/>
          <w:lang w:val="en-US" w:eastAsia="zh-CN"/>
        </w:rPr>
        <w:t>鸡</w:t>
      </w:r>
      <w:r>
        <w:rPr>
          <w:rFonts w:hint="eastAsia" w:ascii="Times New Roman" w:hAnsi="Times New Roman" w:eastAsia="宋体"/>
          <w:color w:val="auto"/>
          <w:highlight w:val="none"/>
        </w:rPr>
        <w:t>免疫工作。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（3）发现传染病的紧急处理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发现传染病或疑似传染病时，应按照《中华人民共和国动物防疫法》的有关条款，采取相应的紧急防治措施，就地扑灭，尸体应作无害化处理。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具体实施措施有：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1）封闭管理。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人员管理：禁止非本场人员进入生产区；本场饲养人员进入生产区时，必须更换工作衣鞋，通过紫外线消毒后，经消毒池入内；本场兽医不得到场外就诊、防疫。</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工具、车辆要求：场内外工具、车辆要严格分开，并定期消毒；外来工具、车辆一般不予进入。力争做到饲养</w:t>
      </w:r>
      <w:r>
        <w:rPr>
          <w:rFonts w:hint="eastAsia"/>
          <w:color w:val="auto"/>
          <w:highlight w:val="none"/>
          <w:lang w:val="en-US" w:eastAsia="zh-CN"/>
        </w:rPr>
        <w:t>鸡苗</w:t>
      </w:r>
      <w:r>
        <w:rPr>
          <w:rFonts w:hint="eastAsia" w:ascii="Times New Roman" w:hAnsi="Times New Roman" w:eastAsia="宋体"/>
          <w:color w:val="auto"/>
          <w:highlight w:val="none"/>
        </w:rPr>
        <w:t>全进全出，禁止与其他动物混养；禁止生的畜产品带入生产区。</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把好引种关：引种前要了解产地疫病情况，并经动物防疫部门监测检疫，引入后要隔离饲养观察。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2）科学免疫。</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对</w:t>
      </w:r>
      <w:r>
        <w:rPr>
          <w:rFonts w:hint="eastAsia"/>
          <w:color w:val="auto"/>
          <w:highlight w:val="none"/>
          <w:lang w:val="en-US" w:eastAsia="zh-CN"/>
        </w:rPr>
        <w:t>鸡</w:t>
      </w:r>
      <w:r>
        <w:rPr>
          <w:rFonts w:hint="eastAsia" w:ascii="Times New Roman" w:hAnsi="Times New Roman" w:eastAsia="宋体"/>
          <w:color w:val="auto"/>
          <w:highlight w:val="none"/>
        </w:rPr>
        <w:t>实行科学免疫是有效防止疫病发生的重要措施。养殖场应根据本场的疫病史、场周围的疫情、</w:t>
      </w:r>
      <w:r>
        <w:rPr>
          <w:rFonts w:hint="eastAsia"/>
          <w:color w:val="auto"/>
          <w:highlight w:val="none"/>
          <w:lang w:val="en-US" w:eastAsia="zh-CN"/>
        </w:rPr>
        <w:t>鸡</w:t>
      </w:r>
      <w:r>
        <w:rPr>
          <w:rFonts w:hint="eastAsia" w:ascii="Times New Roman" w:hAnsi="Times New Roman" w:eastAsia="宋体"/>
          <w:color w:val="auto"/>
          <w:highlight w:val="none"/>
        </w:rPr>
        <w:t>免疫抗体水平及</w:t>
      </w:r>
      <w:r>
        <w:rPr>
          <w:rFonts w:hint="eastAsia"/>
          <w:color w:val="auto"/>
          <w:highlight w:val="none"/>
          <w:lang w:val="en-US" w:eastAsia="zh-CN"/>
        </w:rPr>
        <w:t>鸡</w:t>
      </w:r>
      <w:r>
        <w:rPr>
          <w:rFonts w:hint="eastAsia" w:ascii="Times New Roman" w:hAnsi="Times New Roman" w:eastAsia="宋体"/>
          <w:color w:val="auto"/>
          <w:highlight w:val="none"/>
        </w:rPr>
        <w:t>的不同饲养阶段等情况，有针对性地制定免疫计划。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选择购买由国家畜牧兽医行政管理部门定点生产的疫苗，加强疫苗保管储存，并由兽医按防疫注射操作规程实行免疫，同时建立免疫档案。有条件的应及时开展免疫效果监测，并根据监测情况调整免疫程序。</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3）规范消毒。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消毒工作须做到经常化、制度化，要定期交替使用广谱、高效、低毒的消毒剂；制定科学的消毒程序，定期对</w:t>
      </w:r>
      <w:r>
        <w:rPr>
          <w:rFonts w:hint="eastAsia"/>
          <w:color w:val="auto"/>
          <w:highlight w:val="none"/>
          <w:lang w:val="en-US" w:eastAsia="zh-CN"/>
        </w:rPr>
        <w:t>鸡</w:t>
      </w:r>
      <w:r>
        <w:rPr>
          <w:rFonts w:hint="eastAsia" w:ascii="Times New Roman" w:hAnsi="Times New Roman" w:eastAsia="宋体"/>
          <w:color w:val="auto"/>
          <w:highlight w:val="none"/>
        </w:rPr>
        <w:t>舍周边环境消毒，任何饲养阶段的</w:t>
      </w:r>
      <w:r>
        <w:rPr>
          <w:rFonts w:hint="eastAsia"/>
          <w:color w:val="auto"/>
          <w:highlight w:val="none"/>
          <w:lang w:val="en-US" w:eastAsia="zh-CN"/>
        </w:rPr>
        <w:t>鸡</w:t>
      </w:r>
      <w:r>
        <w:rPr>
          <w:rFonts w:hint="eastAsia" w:ascii="Times New Roman" w:hAnsi="Times New Roman" w:eastAsia="宋体"/>
          <w:color w:val="auto"/>
          <w:highlight w:val="none"/>
        </w:rPr>
        <w:t>舍每周至少消毒2次，在条件允许的情况下，要实施带体消毒。</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4）合理用药。</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规模养殖场兽医用药要严格实行处方用药制度，定期采集一些病</w:t>
      </w:r>
      <w:r>
        <w:rPr>
          <w:rFonts w:hint="eastAsia"/>
          <w:color w:val="auto"/>
          <w:highlight w:val="none"/>
          <w:lang w:val="en-US" w:eastAsia="zh-CN"/>
        </w:rPr>
        <w:t>鸡</w:t>
      </w:r>
      <w:r>
        <w:rPr>
          <w:rFonts w:hint="eastAsia" w:ascii="Times New Roman" w:hAnsi="Times New Roman" w:eastAsia="宋体"/>
          <w:color w:val="auto"/>
          <w:highlight w:val="none"/>
        </w:rPr>
        <w:t>的病料进行细菌分离培养和药敏试验，并根据药敏试验结果选择敏感药物进行预防、治疗，避免耐药菌株的产生。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5）疫情监测。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兽医每天要定期巡查</w:t>
      </w:r>
      <w:r>
        <w:rPr>
          <w:rFonts w:hint="eastAsia"/>
          <w:color w:val="auto"/>
          <w:highlight w:val="none"/>
          <w:lang w:eastAsia="zh-CN"/>
        </w:rPr>
        <w:t>鸡</w:t>
      </w:r>
      <w:r>
        <w:rPr>
          <w:rFonts w:hint="eastAsia" w:ascii="Times New Roman" w:hAnsi="Times New Roman" w:eastAsia="宋体"/>
          <w:color w:val="auto"/>
          <w:highlight w:val="none"/>
        </w:rPr>
        <w:t>舍，发现疫情要及时采取应对措施。规模养殖场一旦发生重大动物疫情时，要立即向当地动物防疫监督机构报告，并及时采取隔离、消毒、扑杀、紧急免疫等有效措施，控制疫情，防止疫情扩散。</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6）日常卫生。</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平常要认真做好牧场卫生工作，及时处理粪便，定期进行灭鼠、灭蝇、灭蚊等工作。</w:t>
      </w:r>
    </w:p>
    <w:p>
      <w:pPr>
        <w:pStyle w:val="5"/>
        <w:rPr>
          <w:rFonts w:ascii="Times New Roman" w:hAnsi="Times New Roman" w:eastAsia="宋体"/>
          <w:color w:val="auto"/>
          <w:highlight w:val="none"/>
        </w:rPr>
      </w:pPr>
      <w:bookmarkStart w:id="247" w:name="_Toc106663536"/>
      <w:r>
        <w:rPr>
          <w:rFonts w:hint="eastAsia" w:ascii="Times New Roman" w:hAnsi="Times New Roman" w:eastAsia="宋体"/>
          <w:color w:val="auto"/>
          <w:highlight w:val="none"/>
        </w:rPr>
        <w:t>6.3.5养殖场隔离舍建设要求及日常防治措施</w:t>
      </w:r>
      <w:bookmarkEnd w:id="24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环评建议设置隔离舍，隔离舍必须在年主导风向的下风向，并且不得在地下水径流的上游区。此外隔离区必须与生产区、生活办公区隔开，一般隔离舍区设置在距离生产区、生活办公区50-100m远处较为合适。要求隔离舍四周绿化隔离带隔开，并设专用消毒设施，隔离场的入口处设置警示标志。</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另外隔离舍区要加强管理：要求工作人员无人兽共患传染病；严禁非工作人员进入隔离区；工作人员进出隔离区应该遵循程序，更衣→换鞋→经消毒池→消毒通道进出；隔离舍要定期彻底清洗/毒隔设备（运输车辆等）；工作人员未经管理人员批准随意进出隔离舍；不得携进（出）任何物品。</w:t>
      </w:r>
    </w:p>
    <w:p>
      <w:pPr>
        <w:ind w:firstLine="480"/>
        <w:rPr>
          <w:rFonts w:ascii="Times New Roman" w:hAnsi="Times New Roman" w:eastAsia="宋体"/>
          <w:color w:val="auto"/>
          <w:highlight w:val="none"/>
        </w:rPr>
        <w:sectPr>
          <w:footerReference r:id="rId27" w:type="default"/>
          <w:footerReference r:id="rId2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rPr>
          <w:rFonts w:ascii="Times New Roman" w:hAnsi="Times New Roman" w:eastAsia="宋体"/>
          <w:color w:val="auto"/>
          <w:highlight w:val="none"/>
        </w:rPr>
      </w:pPr>
      <w:bookmarkStart w:id="248" w:name="_Toc106663537"/>
      <w:bookmarkStart w:id="249" w:name="_Toc89619351"/>
      <w:r>
        <w:rPr>
          <w:rFonts w:hint="eastAsia" w:ascii="Times New Roman" w:hAnsi="Times New Roman" w:eastAsia="宋体"/>
          <w:color w:val="auto"/>
          <w:highlight w:val="none"/>
        </w:rPr>
        <w:t>7、环境影响经济损益分析</w:t>
      </w:r>
      <w:bookmarkEnd w:id="248"/>
      <w:bookmarkEnd w:id="24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影响经济损益分析的主要任务是衡量项目的环保投资所能收到的环境效益和经济效益，衡量建设项目的环保投资在经济上的合理水平。建设项目的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实现经济的持续发展和环境质量的不断改善。本项目属于畜牧养殖行业，通过对本项目的经济、社会和环境效益分析，使项目的建设论证更加充分可靠，工程的设计和实施更加完善，为项目决策者更好地考虑环境、经济和社会效益的统一提供依据，以实现经济的持续增长、社会的良性发展和环境质量的保持与改善。</w:t>
      </w:r>
    </w:p>
    <w:p>
      <w:pPr>
        <w:pStyle w:val="4"/>
        <w:rPr>
          <w:rFonts w:ascii="Times New Roman" w:hAnsi="Times New Roman" w:eastAsia="宋体"/>
          <w:color w:val="auto"/>
          <w:highlight w:val="none"/>
        </w:rPr>
      </w:pPr>
      <w:bookmarkStart w:id="250" w:name="_Toc106663538"/>
      <w:bookmarkStart w:id="251" w:name="_Toc89619352"/>
      <w:r>
        <w:rPr>
          <w:rFonts w:hint="eastAsia" w:ascii="Times New Roman" w:hAnsi="Times New Roman" w:eastAsia="宋体"/>
          <w:color w:val="auto"/>
          <w:highlight w:val="none"/>
        </w:rPr>
        <w:t>7.1社会效益分析</w:t>
      </w:r>
      <w:bookmarkEnd w:id="250"/>
      <w:bookmarkEnd w:id="25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本项目的社会效益主要表现在：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1、通过该项目的实施，调整种植业结构，加大农业综合开发利用的力度，将现有的资源优势转化为产业优势，提高土地的产出效益。</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2、通过引进优良品质，采用现代化的养殖工艺与装备，通过标准化、规模化</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模式，加速</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畜牧业产业化进程，推动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畜牧业实现高效生产和可持续发展具有较好的示范作用。</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3、项目实施后将促进和带动周边加工业等相关产业的发展。同时，结合本项目的实施，可以进一步促进规划区内基础设施的建设。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4、本项目的实施可以直接或间接的增加许多就业机会，促进社会的安定团结。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5、项目的实施可以增加当地政府的税收，促进当地经济发展和人民生活质量。</w:t>
      </w:r>
    </w:p>
    <w:p>
      <w:pPr>
        <w:pStyle w:val="4"/>
        <w:rPr>
          <w:rFonts w:ascii="Times New Roman" w:hAnsi="Times New Roman" w:eastAsia="宋体"/>
          <w:color w:val="auto"/>
          <w:highlight w:val="none"/>
        </w:rPr>
      </w:pPr>
      <w:bookmarkStart w:id="252" w:name="_Toc106663539"/>
      <w:bookmarkStart w:id="253" w:name="_Toc89619353"/>
      <w:r>
        <w:rPr>
          <w:rFonts w:hint="eastAsia" w:ascii="Times New Roman" w:hAnsi="Times New Roman" w:eastAsia="宋体"/>
          <w:color w:val="auto"/>
          <w:highlight w:val="none"/>
        </w:rPr>
        <w:t>7.2经济效益分析</w:t>
      </w:r>
      <w:bookmarkEnd w:id="252"/>
      <w:bookmarkEnd w:id="25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1、直接经济效益</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根据项目可研提供数据，项目建成后，年收益可达</w:t>
      </w:r>
      <w:r>
        <w:rPr>
          <w:rFonts w:hint="eastAsia"/>
          <w:color w:val="auto"/>
          <w:highlight w:val="none"/>
          <w:lang w:val="en-US" w:eastAsia="zh-CN"/>
        </w:rPr>
        <w:t>3240</w:t>
      </w:r>
      <w:r>
        <w:rPr>
          <w:rFonts w:hint="eastAsia" w:ascii="Times New Roman" w:hAnsi="Times New Roman" w:eastAsia="宋体"/>
          <w:color w:val="auto"/>
          <w:highlight w:val="none"/>
        </w:rPr>
        <w:t>万元，项目总投资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万元，项目收益率较高。</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2、间接经济效益</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该项目建设有利于调整区域农业结构，带动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及周边地区种植业、运输业及相关产业的发展，形成</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产业链，加快农业产业化进程，有效解决</w:t>
      </w:r>
      <w:r>
        <w:rPr>
          <w:rFonts w:hint="eastAsia"/>
          <w:color w:val="auto"/>
          <w:highlight w:val="none"/>
          <w:lang w:eastAsia="zh-CN"/>
        </w:rPr>
        <w:t>”</w:t>
      </w:r>
      <w:r>
        <w:rPr>
          <w:rFonts w:hint="eastAsia" w:ascii="Times New Roman" w:hAnsi="Times New Roman" w:eastAsia="宋体"/>
          <w:color w:val="auto"/>
          <w:highlight w:val="none"/>
        </w:rPr>
        <w:t>三农</w:t>
      </w:r>
      <w:r>
        <w:rPr>
          <w:rFonts w:hint="eastAsia"/>
          <w:color w:val="auto"/>
          <w:highlight w:val="none"/>
          <w:lang w:eastAsia="zh-CN"/>
        </w:rPr>
        <w:t>”</w:t>
      </w:r>
      <w:r>
        <w:rPr>
          <w:rFonts w:hint="eastAsia" w:ascii="Times New Roman" w:hAnsi="Times New Roman" w:eastAsia="宋体"/>
          <w:color w:val="auto"/>
          <w:highlight w:val="none"/>
        </w:rPr>
        <w:t>问题，增加当地农民的收入。</w:t>
      </w:r>
    </w:p>
    <w:p>
      <w:pPr>
        <w:pStyle w:val="5"/>
        <w:rPr>
          <w:rFonts w:ascii="Times New Roman" w:hAnsi="Times New Roman" w:eastAsia="宋体"/>
          <w:color w:val="auto"/>
          <w:highlight w:val="none"/>
        </w:rPr>
      </w:pPr>
      <w:bookmarkStart w:id="254" w:name="_Toc106663540"/>
      <w:r>
        <w:rPr>
          <w:rFonts w:hint="eastAsia" w:ascii="Times New Roman" w:hAnsi="Times New Roman" w:eastAsia="宋体"/>
          <w:color w:val="auto"/>
          <w:highlight w:val="none"/>
        </w:rPr>
        <w:t>7.3环境效益分析</w:t>
      </w:r>
      <w:bookmarkEnd w:id="254"/>
    </w:p>
    <w:p>
      <w:pPr>
        <w:ind w:firstLine="480"/>
        <w:rPr>
          <w:rFonts w:ascii="Times New Roman" w:hAnsi="Times New Roman" w:eastAsia="宋体"/>
          <w:color w:val="auto"/>
          <w:highlight w:val="none"/>
        </w:rPr>
      </w:pPr>
      <w:r>
        <w:rPr>
          <w:rFonts w:ascii="Times New Roman" w:hAnsi="Times New Roman" w:eastAsia="宋体"/>
          <w:color w:val="auto"/>
          <w:highlight w:val="none"/>
        </w:rPr>
        <w:t>本项目拟投资327万元，用于废水处理、场区绿化、恶臭治理及病死鸡只无害化填埋处理等，保证对环境的影响降低到最小程度，满足建设项目环境保护管理的要求。</w:t>
      </w:r>
    </w:p>
    <w:p>
      <w:pPr>
        <w:ind w:firstLine="480"/>
        <w:rPr>
          <w:rFonts w:ascii="Times New Roman" w:hAnsi="Times New Roman" w:eastAsia="宋体"/>
          <w:color w:val="auto"/>
          <w:highlight w:val="none"/>
        </w:rPr>
      </w:pPr>
      <w:r>
        <w:rPr>
          <w:rFonts w:ascii="Times New Roman" w:hAnsi="Times New Roman" w:eastAsia="宋体"/>
          <w:color w:val="auto"/>
          <w:highlight w:val="none"/>
        </w:rPr>
        <w:t>建设项目环保措施主要是体现国家环保政策，贯彻</w:t>
      </w:r>
      <w:r>
        <w:rPr>
          <w:rFonts w:hint="eastAsia"/>
          <w:color w:val="auto"/>
          <w:highlight w:val="none"/>
          <w:lang w:eastAsia="zh-CN"/>
        </w:rPr>
        <w:t>”</w:t>
      </w:r>
      <w:r>
        <w:rPr>
          <w:rFonts w:ascii="Times New Roman" w:hAnsi="Times New Roman" w:eastAsia="宋体"/>
          <w:color w:val="auto"/>
          <w:highlight w:val="none"/>
        </w:rPr>
        <w:t>总量控制</w:t>
      </w:r>
      <w:r>
        <w:rPr>
          <w:rFonts w:hint="eastAsia"/>
          <w:color w:val="auto"/>
          <w:highlight w:val="none"/>
          <w:lang w:eastAsia="zh-CN"/>
        </w:rPr>
        <w:t>”</w:t>
      </w:r>
      <w:r>
        <w:rPr>
          <w:rFonts w:ascii="Times New Roman" w:hAnsi="Times New Roman" w:eastAsia="宋体"/>
          <w:color w:val="auto"/>
          <w:highlight w:val="none"/>
        </w:rPr>
        <w:t>、</w:t>
      </w:r>
      <w:r>
        <w:rPr>
          <w:rFonts w:hint="eastAsia"/>
          <w:color w:val="auto"/>
          <w:highlight w:val="none"/>
          <w:lang w:eastAsia="zh-CN"/>
        </w:rPr>
        <w:t>”</w:t>
      </w:r>
      <w:r>
        <w:rPr>
          <w:rFonts w:ascii="Times New Roman" w:hAnsi="Times New Roman" w:eastAsia="宋体"/>
          <w:color w:val="auto"/>
          <w:highlight w:val="none"/>
        </w:rPr>
        <w:t>达标排放</w:t>
      </w:r>
      <w:r>
        <w:rPr>
          <w:rFonts w:hint="eastAsia"/>
          <w:color w:val="auto"/>
          <w:highlight w:val="none"/>
          <w:lang w:eastAsia="zh-CN"/>
        </w:rPr>
        <w:t>”</w:t>
      </w:r>
      <w:r>
        <w:rPr>
          <w:rFonts w:ascii="Times New Roman" w:hAnsi="Times New Roman" w:eastAsia="宋体"/>
          <w:color w:val="auto"/>
          <w:highlight w:val="none"/>
        </w:rPr>
        <w:t>污染控制原则，达到保护环境的目的。通过治理措施，本项目包括鸡粪、鸡舍鸡舍冲洗废水，生活污水等可以实现达标排放，厂界噪声达标。这些措施的实施产生的环境效益较明显。</w:t>
      </w:r>
    </w:p>
    <w:p>
      <w:pPr>
        <w:pStyle w:val="4"/>
        <w:rPr>
          <w:rFonts w:ascii="Times New Roman" w:hAnsi="Times New Roman" w:eastAsia="宋体"/>
          <w:color w:val="auto"/>
          <w:highlight w:val="none"/>
        </w:rPr>
      </w:pPr>
      <w:bookmarkStart w:id="255" w:name="_Toc106663541"/>
      <w:bookmarkStart w:id="256" w:name="_Toc89619354"/>
      <w:r>
        <w:rPr>
          <w:rFonts w:hint="eastAsia" w:ascii="Times New Roman" w:hAnsi="Times New Roman" w:eastAsia="宋体"/>
          <w:color w:val="auto"/>
          <w:highlight w:val="none"/>
        </w:rPr>
        <w:t>7.4环境经济效益分析</w:t>
      </w:r>
      <w:bookmarkEnd w:id="255"/>
      <w:bookmarkEnd w:id="256"/>
    </w:p>
    <w:p>
      <w:pPr>
        <w:pStyle w:val="5"/>
        <w:rPr>
          <w:rFonts w:ascii="Times New Roman" w:hAnsi="Times New Roman" w:eastAsia="宋体"/>
          <w:color w:val="auto"/>
          <w:highlight w:val="none"/>
        </w:rPr>
      </w:pPr>
      <w:bookmarkStart w:id="257" w:name="_Toc106663542"/>
      <w:r>
        <w:rPr>
          <w:rFonts w:hint="eastAsia" w:ascii="Times New Roman" w:hAnsi="Times New Roman" w:eastAsia="宋体"/>
          <w:color w:val="auto"/>
          <w:highlight w:val="none"/>
        </w:rPr>
        <w:t>7.4.1环保投资</w:t>
      </w:r>
      <w:bookmarkEnd w:id="25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依据《建设项目环境保护设计规定》，环保设施划分的基本原则是，污染治理环境保护所需的设施、装置和工程设施，生产工艺需要又为环境保护服务的设施，为保证生产有良好环境所采取的防尘、绿化设施等均属环保设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万元，其中环保投资为</w:t>
      </w:r>
      <w:r>
        <w:rPr>
          <w:rFonts w:hint="eastAsia"/>
          <w:color w:val="auto"/>
          <w:highlight w:val="none"/>
          <w:lang w:val="en-US" w:eastAsia="zh-CN"/>
        </w:rPr>
        <w:t>327</w:t>
      </w:r>
      <w:r>
        <w:rPr>
          <w:rFonts w:hint="eastAsia" w:ascii="Times New Roman" w:hAnsi="Times New Roman" w:eastAsia="宋体"/>
          <w:color w:val="auto"/>
          <w:highlight w:val="none"/>
        </w:rPr>
        <w:t>万元，占总投资的</w:t>
      </w:r>
      <w:r>
        <w:rPr>
          <w:rFonts w:hint="eastAsia"/>
          <w:color w:val="auto"/>
          <w:highlight w:val="none"/>
          <w:lang w:val="en-US" w:eastAsia="zh-CN"/>
        </w:rPr>
        <w:t>17.5</w:t>
      </w:r>
      <w:r>
        <w:rPr>
          <w:rFonts w:hint="eastAsia" w:ascii="Times New Roman" w:hAnsi="Times New Roman" w:eastAsia="宋体"/>
          <w:color w:val="auto"/>
          <w:highlight w:val="none"/>
        </w:rPr>
        <w:t>%。环保投资明细见表7.3-1。</w:t>
      </w:r>
    </w:p>
    <w:p>
      <w:pPr>
        <w:pStyle w:val="10"/>
        <w:rPr>
          <w:rFonts w:hint="eastAsia" w:ascii="Times New Roman" w:hAnsi="Times New Roman" w:eastAsia="宋体"/>
          <w:color w:val="auto"/>
          <w:highlight w:val="none"/>
        </w:rPr>
      </w:pPr>
    </w:p>
    <w:p>
      <w:pPr>
        <w:pStyle w:val="10"/>
        <w:rPr>
          <w:rFonts w:hint="eastAsia" w:ascii="Times New Roman" w:hAnsi="Times New Roman" w:eastAsia="宋体"/>
          <w:color w:val="auto"/>
          <w:highlight w:val="none"/>
        </w:rPr>
      </w:pPr>
    </w:p>
    <w:p>
      <w:pPr>
        <w:pStyle w:val="10"/>
        <w:rPr>
          <w:rFonts w:hint="eastAsia" w:ascii="Times New Roman" w:hAnsi="Times New Roman" w:eastAsia="宋体"/>
          <w:color w:val="auto"/>
          <w:highlight w:val="none"/>
        </w:rPr>
      </w:pPr>
    </w:p>
    <w:p>
      <w:pPr>
        <w:pStyle w:val="10"/>
        <w:rPr>
          <w:rFonts w:hint="eastAsia" w:ascii="Times New Roman" w:hAnsi="Times New Roman" w:eastAsia="宋体"/>
          <w:color w:val="auto"/>
          <w:highlight w:val="none"/>
        </w:rPr>
      </w:pPr>
    </w:p>
    <w:p>
      <w:pPr>
        <w:pStyle w:val="10"/>
        <w:rPr>
          <w:rFonts w:hint="eastAsia" w:ascii="Times New Roman" w:hAnsi="Times New Roman" w:eastAsia="宋体"/>
          <w:color w:val="auto"/>
          <w:highlight w:val="none"/>
        </w:rPr>
      </w:pP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表7</w:t>
      </w:r>
      <w:r>
        <w:rPr>
          <w:rFonts w:ascii="Times New Roman" w:hAnsi="Times New Roman" w:eastAsia="宋体"/>
          <w:color w:val="auto"/>
          <w:highlight w:val="none"/>
        </w:rPr>
        <w:t>.3-1</w:t>
      </w:r>
      <w:r>
        <w:rPr>
          <w:rFonts w:hint="eastAsia" w:ascii="Times New Roman" w:hAnsi="Times New Roman" w:eastAsia="宋体"/>
          <w:color w:val="auto"/>
          <w:highlight w:val="none"/>
        </w:rPr>
        <w:t>环境保护投资估算一览表</w:t>
      </w:r>
    </w:p>
    <w:tbl>
      <w:tblPr>
        <w:tblStyle w:val="176"/>
        <w:tblW w:w="501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20"/>
        <w:gridCol w:w="699"/>
        <w:gridCol w:w="1270"/>
        <w:gridCol w:w="3504"/>
        <w:gridCol w:w="978"/>
        <w:gridCol w:w="13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312" w:type="pc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类别</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污染环节源</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治理措施</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投资</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万元</w:t>
            </w:r>
            <w:r>
              <w:rPr>
                <w:rFonts w:hint="eastAsia" w:ascii="Times New Roman" w:hAnsi="Times New Roman" w:eastAsia="宋体" w:cs="宋体"/>
                <w:color w:val="auto"/>
                <w:spacing w:val="0"/>
                <w:position w:val="0"/>
                <w:sz w:val="21"/>
                <w:szCs w:val="21"/>
                <w:highlight w:val="none"/>
                <w:lang w:eastAsia="zh-CN"/>
              </w:rPr>
              <w:t>）</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养殖区恶臭</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喷洒除臭剂、场区绿化</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冲洗废水排入</w:t>
            </w:r>
            <w:r>
              <w:rPr>
                <w:rFonts w:hint="eastAsia" w:ascii="Times New Roman" w:hAnsi="Times New Roman" w:eastAsia="宋体" w:cs="宋体"/>
                <w:color w:val="auto"/>
                <w:spacing w:val="0"/>
                <w:position w:val="0"/>
                <w:sz w:val="21"/>
                <w:szCs w:val="21"/>
                <w:highlight w:val="none"/>
                <w:lang w:eastAsia="zh-CN"/>
              </w:rPr>
              <w:t>废水收集池（</w:t>
            </w:r>
            <w:r>
              <w:rPr>
                <w:rFonts w:hint="eastAsia" w:ascii="Times New Roman" w:hAnsi="Times New Roman" w:eastAsia="宋体" w:cs="宋体"/>
                <w:color w:val="auto"/>
                <w:spacing w:val="0"/>
                <w:position w:val="0"/>
                <w:sz w:val="21"/>
                <w:szCs w:val="21"/>
                <w:highlight w:val="none"/>
                <w:lang w:val="en-US" w:eastAsia="zh-CN"/>
              </w:rPr>
              <w:t>150m</w:t>
            </w:r>
            <w:r>
              <w:rPr>
                <w:rFonts w:hint="eastAsia" w:ascii="Times New Roman" w:hAnsi="Times New Roman" w:eastAsia="宋体" w:cs="宋体"/>
                <w:color w:val="auto"/>
                <w:spacing w:val="0"/>
                <w:position w:val="0"/>
                <w:sz w:val="21"/>
                <w:szCs w:val="21"/>
                <w:highlight w:val="none"/>
                <w:vertAlign w:val="superscript"/>
                <w:lang w:val="en-US" w:eastAsia="zh-CN"/>
              </w:rPr>
              <w:t>3</w:t>
            </w:r>
            <w:r>
              <w:rPr>
                <w:rFonts w:hint="eastAsia" w:ascii="Times New Roman" w:hAnsi="Times New Roman" w:eastAsia="宋体" w:cs="宋体"/>
                <w:color w:val="auto"/>
                <w:spacing w:val="0"/>
                <w:position w:val="0"/>
                <w:sz w:val="21"/>
                <w:szCs w:val="21"/>
                <w:highlight w:val="none"/>
                <w:lang w:eastAsia="zh-CN"/>
              </w:rPr>
              <w:t>）</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41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病死鸡只</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安全填埋井</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w:t>
            </w:r>
          </w:p>
        </w:tc>
        <w:tc>
          <w:tcPr>
            <w:tcW w:w="419"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医疗垃圾</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设置医疗废物暂存间一座，占地面积</w:t>
            </w:r>
            <w:r>
              <w:rPr>
                <w:rFonts w:ascii="Times New Roman" w:hAnsi="Times New Roman" w:eastAsia="宋体" w:cs="Times New Roman"/>
                <w:color w:val="auto"/>
                <w:spacing w:val="0"/>
                <w:position w:val="0"/>
                <w:sz w:val="21"/>
                <w:szCs w:val="21"/>
                <w:highlight w:val="none"/>
              </w:rPr>
              <w:t>15m</w:t>
            </w:r>
            <w:r>
              <w:rPr>
                <w:rFonts w:ascii="Times New Roman" w:hAnsi="Times New Roman" w:eastAsia="宋体" w:cs="Times New Roman"/>
                <w:color w:val="auto"/>
                <w:spacing w:val="0"/>
                <w:position w:val="0"/>
                <w:sz w:val="21"/>
                <w:szCs w:val="14"/>
                <w:highlight w:val="none"/>
                <w:vertAlign w:val="superscript"/>
              </w:rPr>
              <w:t>2</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w:t>
            </w:r>
          </w:p>
        </w:tc>
        <w:tc>
          <w:tcPr>
            <w:tcW w:w="41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厂区设置垃圾桶，集中收集后交环卫部门统一处理</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6</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设备噪声</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合理布局，选用低噪声设备、减振、厂房隔声等</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w:t>
            </w:r>
          </w:p>
        </w:tc>
        <w:tc>
          <w:tcPr>
            <w:tcW w:w="1180"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在厂区空地植树种草</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5" w:hRule="atLeast"/>
          <w:jc w:val="center"/>
        </w:trPr>
        <w:tc>
          <w:tcPr>
            <w:tcW w:w="312"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w:t>
            </w:r>
          </w:p>
        </w:tc>
        <w:tc>
          <w:tcPr>
            <w:tcW w:w="419"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地下水及土壤防治</w:t>
            </w:r>
          </w:p>
        </w:tc>
        <w:tc>
          <w:tcPr>
            <w:tcW w:w="76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防渗工程</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根据</w:t>
            </w:r>
            <w:r>
              <w:rPr>
                <w:rFonts w:ascii="Times New Roman" w:hAnsi="Times New Roman" w:eastAsia="宋体" w:cs="Times New Roman"/>
                <w:color w:val="auto"/>
                <w:spacing w:val="0"/>
                <w:position w:val="0"/>
                <w:sz w:val="21"/>
                <w:szCs w:val="21"/>
                <w:highlight w:val="none"/>
              </w:rPr>
              <w:t>HJ610-2016</w:t>
            </w:r>
            <w:r>
              <w:rPr>
                <w:rFonts w:ascii="Times New Roman" w:hAnsi="Times New Roman" w:eastAsia="宋体" w:cs="宋体"/>
                <w:color w:val="auto"/>
                <w:spacing w:val="0"/>
                <w:position w:val="0"/>
                <w:sz w:val="21"/>
                <w:szCs w:val="21"/>
                <w:highlight w:val="none"/>
              </w:rPr>
              <w:t>《环境影响评价技</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术导则地下水环境》及</w:t>
            </w:r>
            <w:r>
              <w:rPr>
                <w:rFonts w:ascii="Times New Roman" w:hAnsi="Times New Roman" w:eastAsia="宋体" w:cs="Times New Roman"/>
                <w:color w:val="auto"/>
                <w:spacing w:val="0"/>
                <w:position w:val="0"/>
                <w:sz w:val="21"/>
                <w:szCs w:val="21"/>
                <w:highlight w:val="none"/>
              </w:rPr>
              <w:t>GB18597-2001</w:t>
            </w:r>
            <w:r>
              <w:rPr>
                <w:rFonts w:ascii="Times New Roman" w:hAnsi="Times New Roman" w:eastAsia="宋体" w:cs="宋体"/>
                <w:color w:val="auto"/>
                <w:spacing w:val="0"/>
                <w:position w:val="0"/>
                <w:sz w:val="21"/>
                <w:szCs w:val="21"/>
                <w:highlight w:val="none"/>
              </w:rPr>
              <w:t>《危险废物贮存污染控制标准》进行分区防渗，具体如下：重点防渗区包括：危废暂存间、安全填埋井。重点污染区各单元防渗层等效黏土防渗层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21"/>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。危废暂存间、安全填埋井混凝土地面采用混凝土防渗、</w:t>
            </w:r>
            <w:r>
              <w:rPr>
                <w:rFonts w:ascii="Times New Roman" w:hAnsi="Times New Roman" w:eastAsia="宋体" w:cs="Times New Roman"/>
                <w:color w:val="auto"/>
                <w:spacing w:val="0"/>
                <w:position w:val="0"/>
                <w:sz w:val="21"/>
                <w:szCs w:val="21"/>
                <w:highlight w:val="none"/>
              </w:rPr>
              <w:t>HDPE</w:t>
            </w:r>
            <w:r>
              <w:rPr>
                <w:rFonts w:ascii="Times New Roman" w:hAnsi="Times New Roman" w:eastAsia="宋体" w:cs="宋体"/>
                <w:color w:val="auto"/>
                <w:spacing w:val="0"/>
                <w:position w:val="0"/>
                <w:sz w:val="21"/>
                <w:szCs w:val="21"/>
                <w:highlight w:val="none"/>
              </w:rPr>
              <w:t>膜防渗和钠基膨润土防水毯防渗层，确保等效黏土防渗层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K≤1×10-7cm/s</w:t>
            </w:r>
            <w:r>
              <w:rPr>
                <w:rFonts w:ascii="Times New Roman" w:hAnsi="Times New Roman" w:eastAsia="宋体" w:cs="宋体"/>
                <w:color w:val="auto"/>
                <w:spacing w:val="0"/>
                <w:position w:val="0"/>
                <w:sz w:val="21"/>
                <w:szCs w:val="21"/>
                <w:highlight w:val="none"/>
              </w:rPr>
              <w:t>。一般防渗区包括：鸡舍。对一般防渗区采取的防渗措施：等效黏土防渗层</w:t>
            </w:r>
            <w:r>
              <w:rPr>
                <w:rFonts w:ascii="Times New Roman" w:hAnsi="Times New Roman" w:eastAsia="宋体" w:cs="Times New Roman"/>
                <w:color w:val="auto"/>
                <w:spacing w:val="0"/>
                <w:position w:val="0"/>
                <w:sz w:val="21"/>
                <w:szCs w:val="21"/>
                <w:highlight w:val="none"/>
              </w:rPr>
              <w:t>Mb≥1.5m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21"/>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，再在上层铺</w:t>
            </w:r>
            <w:r>
              <w:rPr>
                <w:rFonts w:ascii="Times New Roman" w:hAnsi="Times New Roman" w:eastAsia="宋体" w:cs="Times New Roman"/>
                <w:color w:val="auto"/>
                <w:spacing w:val="0"/>
                <w:position w:val="0"/>
                <w:sz w:val="21"/>
                <w:szCs w:val="21"/>
                <w:highlight w:val="none"/>
              </w:rPr>
              <w:t>10~15cm</w:t>
            </w:r>
            <w:r>
              <w:rPr>
                <w:rFonts w:ascii="Times New Roman" w:hAnsi="Times New Roman" w:eastAsia="宋体" w:cs="宋体"/>
                <w:color w:val="auto"/>
                <w:spacing w:val="0"/>
                <w:position w:val="0"/>
                <w:sz w:val="21"/>
                <w:szCs w:val="21"/>
                <w:highlight w:val="none"/>
              </w:rPr>
              <w:t>水泥进行硬化。简单防渗区：包括办公生活区等地面水泥硬化处理。</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120</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92"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合计</w:t>
            </w:r>
          </w:p>
        </w:tc>
        <w:tc>
          <w:tcPr>
            <w:tcW w:w="210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327</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bl>
    <w:p>
      <w:pPr>
        <w:pStyle w:val="10"/>
        <w:rPr>
          <w:rFonts w:ascii="Times New Roman" w:hAnsi="Times New Roman" w:eastAsia="宋体"/>
          <w:color w:val="auto"/>
          <w:highlight w:val="none"/>
        </w:rPr>
      </w:pPr>
    </w:p>
    <w:p>
      <w:pPr>
        <w:pStyle w:val="5"/>
        <w:rPr>
          <w:rFonts w:ascii="Times New Roman" w:hAnsi="Times New Roman" w:eastAsia="宋体"/>
          <w:color w:val="auto"/>
          <w:highlight w:val="none"/>
        </w:rPr>
      </w:pPr>
      <w:bookmarkStart w:id="258" w:name="_Toc106663543"/>
      <w:r>
        <w:rPr>
          <w:rFonts w:hint="eastAsia" w:ascii="Times New Roman" w:hAnsi="Times New Roman" w:eastAsia="宋体"/>
          <w:color w:val="auto"/>
          <w:highlight w:val="none"/>
        </w:rPr>
        <w:t>7.4.2环境效益分析</w:t>
      </w:r>
      <w:bookmarkEnd w:id="258"/>
    </w:p>
    <w:p>
      <w:pPr>
        <w:ind w:firstLine="480"/>
        <w:rPr>
          <w:rFonts w:ascii="Times New Roman" w:hAnsi="Times New Roman" w:eastAsia="宋体"/>
          <w:color w:val="auto"/>
          <w:highlight w:val="none"/>
        </w:rPr>
      </w:pPr>
      <w:r>
        <w:rPr>
          <w:rFonts w:ascii="Times New Roman" w:hAnsi="Times New Roman" w:eastAsia="宋体"/>
          <w:color w:val="auto"/>
          <w:highlight w:val="none"/>
        </w:rPr>
        <w:t>总体来说，本项目生产运行后所产生的环境正面影响相对来说是较大的，这在环境影响预测评价中已经进行了详细评述。污染损失值以潜在损失值为主体，所含因素较多，难以完全量化估算，故本环评重点对所采取的污染防治措施的环境损益进行分析评述。</w:t>
      </w:r>
    </w:p>
    <w:p>
      <w:pPr>
        <w:ind w:firstLine="480"/>
        <w:rPr>
          <w:rFonts w:ascii="Times New Roman" w:hAnsi="Times New Roman" w:eastAsia="宋体"/>
          <w:color w:val="auto"/>
          <w:highlight w:val="none"/>
        </w:rPr>
      </w:pPr>
      <w:r>
        <w:rPr>
          <w:rFonts w:ascii="Times New Roman" w:hAnsi="Times New Roman" w:eastAsia="宋体"/>
          <w:color w:val="auto"/>
          <w:highlight w:val="none"/>
        </w:rPr>
        <w:t>污染控制措施的经济损益包括两个方面：一是直接经济效益，二是间接经济效益。直接经济效益是指环保措施直接提供的产品价值</w:t>
      </w:r>
      <w:r>
        <w:rPr>
          <w:rFonts w:hint="eastAsia"/>
          <w:color w:val="auto"/>
          <w:highlight w:val="none"/>
          <w:lang w:eastAsia="zh-CN"/>
        </w:rPr>
        <w:t>（</w:t>
      </w:r>
      <w:r>
        <w:rPr>
          <w:rFonts w:ascii="Times New Roman" w:hAnsi="Times New Roman" w:eastAsia="宋体"/>
          <w:color w:val="auto"/>
          <w:highlight w:val="none"/>
        </w:rPr>
        <w:t>即内部效益</w:t>
      </w:r>
      <w:r>
        <w:rPr>
          <w:rFonts w:hint="eastAsia"/>
          <w:color w:val="auto"/>
          <w:highlight w:val="none"/>
          <w:lang w:eastAsia="zh-CN"/>
        </w:rPr>
        <w:t>）</w:t>
      </w:r>
      <w:r>
        <w:rPr>
          <w:rFonts w:ascii="Times New Roman" w:hAnsi="Times New Roman" w:eastAsia="宋体"/>
          <w:color w:val="auto"/>
          <w:highlight w:val="none"/>
        </w:rPr>
        <w:t>，间接经济效益是指污染物治理后所能减少的因污染带来的损失费用</w:t>
      </w:r>
      <w:r>
        <w:rPr>
          <w:rFonts w:hint="eastAsia"/>
          <w:color w:val="auto"/>
          <w:highlight w:val="none"/>
          <w:lang w:eastAsia="zh-CN"/>
        </w:rPr>
        <w:t>（</w:t>
      </w:r>
      <w:r>
        <w:rPr>
          <w:rFonts w:ascii="Times New Roman" w:hAnsi="Times New Roman" w:eastAsia="宋体"/>
          <w:color w:val="auto"/>
          <w:highlight w:val="none"/>
        </w:rPr>
        <w:t>即外部效益</w:t>
      </w:r>
      <w:r>
        <w:rPr>
          <w:rFonts w:hint="eastAsia"/>
          <w:color w:val="auto"/>
          <w:highlight w:val="none"/>
          <w:lang w:eastAsia="zh-CN"/>
        </w:rPr>
        <w:t>）</w:t>
      </w:r>
      <w:r>
        <w:rPr>
          <w:rFonts w:ascii="Times New Roman" w:hAnsi="Times New Roman" w:eastAsia="宋体"/>
          <w:color w:val="auto"/>
          <w:highlight w:val="none"/>
        </w:rPr>
        <w:t>。间接经济效益和损失是一个问题的两个方面，两者之间存在着互换关系，即环境污染使污染区域使用功能下降所造成的损失值，可以作为减少污染所得到的利益。</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本项目建成后，鸡舍冲洗废水排入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产生的鸡粪采用自动清粪系统清理后直接拉运至有机肥生产公司作为有机肥生产的原料，由其负责定期清运工作，实现资源的综合利用。</w:t>
      </w:r>
    </w:p>
    <w:p>
      <w:pPr>
        <w:ind w:firstLine="480"/>
        <w:rPr>
          <w:rFonts w:ascii="Times New Roman" w:hAnsi="Times New Roman" w:eastAsia="宋体"/>
          <w:color w:val="auto"/>
          <w:highlight w:val="none"/>
        </w:rPr>
      </w:pPr>
      <w:r>
        <w:rPr>
          <w:rFonts w:ascii="Times New Roman" w:hAnsi="Times New Roman" w:eastAsia="宋体"/>
          <w:color w:val="auto"/>
          <w:highlight w:val="none"/>
        </w:rPr>
        <w:t>在此，间接经济效益是指因采取污染防治措施而避免或减缓环境影响而降低的环境经济损失。根据间接经济效益和损失可以互换的关系，本环评采用污染损失值反推因减少污染所得到的利益，进行环境经济损益分析。</w:t>
      </w:r>
    </w:p>
    <w:p>
      <w:pPr>
        <w:ind w:firstLine="480"/>
        <w:rPr>
          <w:rFonts w:ascii="Times New Roman" w:hAnsi="Times New Roman" w:eastAsia="宋体"/>
          <w:color w:val="auto"/>
          <w:highlight w:val="none"/>
        </w:rPr>
      </w:pPr>
      <w:r>
        <w:rPr>
          <w:rFonts w:ascii="Times New Roman" w:hAnsi="Times New Roman" w:eastAsia="宋体"/>
          <w:color w:val="auto"/>
          <w:highlight w:val="none"/>
        </w:rPr>
        <w:t>从项目所处位置来看，如果本项目不加治理任意排放，会造成地表水、地下水质量下降，直接影响到项目区附近人群的生活。因此，本项目</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若不加治理的排放，所造成的经济损失十分巨大，从反面说明污染治理工程的间接效益巨大。</w:t>
      </w:r>
    </w:p>
    <w:p>
      <w:pPr>
        <w:pStyle w:val="4"/>
        <w:rPr>
          <w:rFonts w:ascii="Times New Roman" w:hAnsi="Times New Roman" w:eastAsia="宋体"/>
          <w:color w:val="auto"/>
          <w:highlight w:val="none"/>
        </w:rPr>
      </w:pPr>
      <w:bookmarkStart w:id="259" w:name="_Toc89619355"/>
      <w:bookmarkStart w:id="260" w:name="_Toc24143"/>
      <w:bookmarkStart w:id="261" w:name="_Toc106663544"/>
      <w:r>
        <w:rPr>
          <w:rFonts w:hint="eastAsia" w:ascii="Times New Roman" w:hAnsi="Times New Roman" w:eastAsia="宋体"/>
          <w:color w:val="auto"/>
          <w:highlight w:val="none"/>
        </w:rPr>
        <w:t>7.5小结</w:t>
      </w:r>
      <w:bookmarkEnd w:id="259"/>
      <w:bookmarkEnd w:id="260"/>
      <w:bookmarkEnd w:id="261"/>
    </w:p>
    <w:p>
      <w:pPr>
        <w:ind w:firstLine="480"/>
        <w:rPr>
          <w:rFonts w:ascii="Times New Roman" w:hAnsi="Times New Roman" w:eastAsia="宋体"/>
          <w:color w:val="auto"/>
          <w:highlight w:val="none"/>
        </w:rPr>
      </w:pPr>
      <w:r>
        <w:rPr>
          <w:rFonts w:ascii="Times New Roman" w:hAnsi="Times New Roman" w:eastAsia="宋体"/>
          <w:color w:val="auto"/>
          <w:highlight w:val="none"/>
        </w:rPr>
        <w:t>综上分析，本项目的实施在促进地方经济发展的同时又具有良好的社会效益。该项目市场前景良好，能促进当地经济的发展，将为周围群众扩大就业机会，能提高群众的生活质量，所以从社会经济角度看是可行的。同时，项目在保证环保投资的前提下，能够实现达标排放，环境效益比较明显，因此从环境经济角度来看也是合理可行的。本项目具有较好的经济效益、社会效益和环境效益。</w:t>
      </w:r>
    </w:p>
    <w:p>
      <w:pPr>
        <w:tabs>
          <w:tab w:val="center" w:pos="4393"/>
        </w:tabs>
        <w:ind w:firstLine="480"/>
        <w:rPr>
          <w:rFonts w:ascii="Times New Roman" w:hAnsi="Times New Roman" w:eastAsia="宋体"/>
          <w:color w:val="auto"/>
          <w:highlight w:val="none"/>
        </w:rPr>
        <w:sectPr>
          <w:footerReference r:id="rId29" w:type="default"/>
          <w:pgSz w:w="11906" w:h="16838"/>
          <w:pgMar w:top="1440" w:right="1800" w:bottom="1440" w:left="1800" w:header="851" w:footer="720" w:gutter="0"/>
          <w:pgBorders>
            <w:top w:val="none" w:sz="0" w:space="0"/>
            <w:left w:val="none" w:sz="0" w:space="0"/>
            <w:bottom w:val="none" w:sz="0" w:space="0"/>
            <w:right w:val="none" w:sz="0" w:space="0"/>
          </w:pgBorders>
          <w:pgNumType w:fmt="decimal"/>
          <w:cols w:space="425" w:num="1"/>
          <w:docGrid w:type="lines" w:linePitch="326" w:charSpace="0"/>
        </w:sectPr>
      </w:pPr>
      <w:r>
        <w:rPr>
          <w:rFonts w:ascii="Times New Roman" w:hAnsi="Times New Roman" w:eastAsia="宋体"/>
          <w:color w:val="auto"/>
          <w:highlight w:val="none"/>
        </w:rPr>
        <w:tab/>
      </w:r>
    </w:p>
    <w:p>
      <w:pPr>
        <w:pStyle w:val="3"/>
        <w:rPr>
          <w:rFonts w:ascii="Times New Roman" w:hAnsi="Times New Roman" w:eastAsia="宋体"/>
          <w:color w:val="auto"/>
          <w:highlight w:val="none"/>
        </w:rPr>
      </w:pPr>
      <w:bookmarkStart w:id="262" w:name="_Toc89619356"/>
      <w:bookmarkStart w:id="263" w:name="_Toc31169"/>
      <w:bookmarkStart w:id="264" w:name="_Toc106663545"/>
      <w:r>
        <w:rPr>
          <w:rFonts w:hint="eastAsia" w:ascii="Times New Roman" w:hAnsi="Times New Roman" w:eastAsia="宋体"/>
          <w:color w:val="auto"/>
          <w:highlight w:val="none"/>
        </w:rPr>
        <w:t>8</w:t>
      </w:r>
      <w:r>
        <w:rPr>
          <w:rFonts w:ascii="Times New Roman" w:hAnsi="Times New Roman" w:eastAsia="宋体"/>
          <w:color w:val="auto"/>
          <w:highlight w:val="none"/>
        </w:rPr>
        <w:t>、环境管理与</w:t>
      </w:r>
      <w:r>
        <w:rPr>
          <w:rFonts w:hint="eastAsia" w:ascii="Times New Roman" w:hAnsi="Times New Roman" w:eastAsia="宋体"/>
          <w:color w:val="auto"/>
          <w:highlight w:val="none"/>
        </w:rPr>
        <w:t>环境</w:t>
      </w:r>
      <w:r>
        <w:rPr>
          <w:rFonts w:ascii="Times New Roman" w:hAnsi="Times New Roman" w:eastAsia="宋体"/>
          <w:color w:val="auto"/>
          <w:highlight w:val="none"/>
        </w:rPr>
        <w:t>监测计划</w:t>
      </w:r>
      <w:bookmarkEnd w:id="262"/>
      <w:bookmarkEnd w:id="263"/>
      <w:bookmarkEnd w:id="264"/>
    </w:p>
    <w:p>
      <w:pPr>
        <w:pStyle w:val="4"/>
        <w:rPr>
          <w:rFonts w:ascii="Times New Roman" w:hAnsi="Times New Roman" w:eastAsia="宋体"/>
          <w:color w:val="auto"/>
          <w:highlight w:val="none"/>
        </w:rPr>
      </w:pPr>
      <w:bookmarkStart w:id="265" w:name="_Toc89619357"/>
      <w:bookmarkStart w:id="266" w:name="_Toc27120"/>
      <w:bookmarkStart w:id="267" w:name="_Toc106663546"/>
      <w:bookmarkStart w:id="268" w:name="_Toc265225645"/>
      <w:bookmarkStart w:id="269" w:name="_Toc117518217"/>
      <w:bookmarkStart w:id="270" w:name="_Toc117518382"/>
      <w:bookmarkStart w:id="271" w:name="_Toc117518136"/>
      <w:bookmarkStart w:id="272" w:name="_Toc117518577"/>
      <w:bookmarkStart w:id="273" w:name="_Toc265225833"/>
      <w:bookmarkStart w:id="274" w:name="_Toc117518302"/>
      <w:bookmarkStart w:id="275" w:name="_Toc370052948"/>
      <w:bookmarkStart w:id="276" w:name="_Toc273384091"/>
      <w:bookmarkStart w:id="277" w:name="_Toc23478"/>
      <w:bookmarkStart w:id="278" w:name="_Toc269723052"/>
      <w:bookmarkStart w:id="279" w:name="_Toc304234029"/>
      <w:bookmarkStart w:id="280" w:name="_Toc117517872"/>
      <w:r>
        <w:rPr>
          <w:rFonts w:hint="eastAsia" w:ascii="Times New Roman" w:hAnsi="Times New Roman" w:eastAsia="宋体"/>
          <w:color w:val="auto"/>
          <w:highlight w:val="none"/>
        </w:rPr>
        <w:t>8.1环境管理</w:t>
      </w:r>
      <w:bookmarkEnd w:id="265"/>
      <w:bookmarkEnd w:id="266"/>
      <w:bookmarkEnd w:id="267"/>
    </w:p>
    <w:p>
      <w:pPr>
        <w:ind w:firstLine="480"/>
        <w:rPr>
          <w:rFonts w:ascii="Times New Roman" w:hAnsi="Times New Roman" w:eastAsia="宋体"/>
          <w:color w:val="auto"/>
          <w:highlight w:val="none"/>
        </w:rPr>
      </w:pPr>
      <w:bookmarkStart w:id="281" w:name="_Toc9027"/>
      <w:r>
        <w:rPr>
          <w:rFonts w:hint="eastAsia" w:ascii="Times New Roman" w:hAnsi="Times New Roman" w:eastAsia="宋体"/>
          <w:color w:val="auto"/>
          <w:highlight w:val="none"/>
        </w:rPr>
        <w:t>环境管理是指建设单位、设计单位和施工单位在工程的可行性研究、工程设计、建设期和运行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工程建设期和运行期，接受地方生态环境主管部门的监督和指导，并配合生态环境主管部门完成对工程建设的</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审查。</w:t>
      </w:r>
      <w:bookmarkEnd w:id="281"/>
    </w:p>
    <w:p>
      <w:pPr>
        <w:pStyle w:val="5"/>
        <w:rPr>
          <w:rFonts w:ascii="Times New Roman" w:hAnsi="Times New Roman" w:eastAsia="宋体"/>
          <w:color w:val="auto"/>
          <w:highlight w:val="none"/>
        </w:rPr>
      </w:pPr>
      <w:bookmarkStart w:id="282" w:name="_Toc9564"/>
      <w:bookmarkStart w:id="283" w:name="_Toc106663547"/>
      <w:r>
        <w:rPr>
          <w:rFonts w:hint="eastAsia" w:ascii="Times New Roman" w:hAnsi="Times New Roman" w:eastAsia="宋体"/>
          <w:color w:val="auto"/>
          <w:highlight w:val="none"/>
        </w:rPr>
        <w:t>8.1.1设置环境管理机构</w:t>
      </w:r>
      <w:bookmarkEnd w:id="282"/>
      <w:bookmarkEnd w:id="283"/>
    </w:p>
    <w:p>
      <w:pPr>
        <w:ind w:firstLine="480"/>
        <w:rPr>
          <w:rFonts w:ascii="Times New Roman" w:hAnsi="Times New Roman" w:eastAsia="宋体"/>
          <w:color w:val="auto"/>
          <w:highlight w:val="none"/>
        </w:rPr>
      </w:pPr>
      <w:bookmarkStart w:id="284" w:name="_Toc29128"/>
      <w:r>
        <w:rPr>
          <w:rFonts w:hint="eastAsia" w:ascii="Times New Roman" w:hAnsi="Times New Roman" w:eastAsia="宋体"/>
          <w:color w:val="auto"/>
          <w:highlight w:val="none"/>
        </w:rPr>
        <w:t>厂区内设置专门的安全生产、环境保护与事故应急管理机构（环保处），并设置专职环保人员负责环境管理、环境监测和事故应急处理。环保处设置专职处长1名，直接向企业领导负责，统一负责管理、组织、落实、监督企业的环境保护工作。厂区内设置兼职环保人员，承担各级环境管理职责，并向环保处负责。</w:t>
      </w:r>
      <w:bookmarkEnd w:id="284"/>
    </w:p>
    <w:p>
      <w:pPr>
        <w:ind w:firstLine="480"/>
        <w:rPr>
          <w:rFonts w:ascii="Times New Roman" w:hAnsi="Times New Roman" w:eastAsia="宋体"/>
          <w:color w:val="auto"/>
          <w:highlight w:val="none"/>
        </w:rPr>
      </w:pPr>
      <w:bookmarkStart w:id="285" w:name="_Toc15753"/>
      <w:r>
        <w:rPr>
          <w:rFonts w:hint="eastAsia" w:ascii="Times New Roman" w:hAnsi="Times New Roman" w:eastAsia="宋体"/>
          <w:color w:val="auto"/>
          <w:highlight w:val="none"/>
        </w:rPr>
        <w:t>环保处设置专职管理人员2～3名，负责与各单项污染治理设施的沟通、协调与日常管理。对工作人员实行培训后持证上岗，制定工作人员岗位责任制，增强操作人员的环境保护意识。机构人员具体职责为：</w:t>
      </w:r>
      <w:bookmarkEnd w:id="285"/>
    </w:p>
    <w:p>
      <w:pPr>
        <w:ind w:firstLine="480"/>
        <w:rPr>
          <w:rFonts w:ascii="Times New Roman" w:hAnsi="Times New Roman" w:eastAsia="宋体"/>
          <w:color w:val="auto"/>
          <w:highlight w:val="none"/>
        </w:rPr>
      </w:pPr>
      <w:bookmarkStart w:id="286" w:name="_Toc2979"/>
      <w:r>
        <w:rPr>
          <w:rFonts w:hint="eastAsia" w:ascii="Times New Roman" w:hAnsi="Times New Roman" w:eastAsia="宋体"/>
          <w:color w:val="auto"/>
          <w:highlight w:val="none"/>
        </w:rPr>
        <w:t>（1）认真贯彻执行国家以及昌吉州、</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环保法规及行业环保规定，负责制定全场近、远期环境保护规划并督促计划实施。落实环保要求，解决存在的环保问题。</w:t>
      </w:r>
      <w:bookmarkEnd w:id="286"/>
    </w:p>
    <w:p>
      <w:pPr>
        <w:ind w:firstLine="480"/>
        <w:rPr>
          <w:rFonts w:ascii="Times New Roman" w:hAnsi="Times New Roman" w:eastAsia="宋体"/>
          <w:color w:val="auto"/>
          <w:highlight w:val="none"/>
        </w:rPr>
      </w:pPr>
      <w:bookmarkStart w:id="287" w:name="_Toc32751"/>
      <w:r>
        <w:rPr>
          <w:rFonts w:hint="eastAsia" w:ascii="Times New Roman" w:hAnsi="Times New Roman" w:eastAsia="宋体"/>
          <w:color w:val="auto"/>
          <w:highlight w:val="none"/>
        </w:rPr>
        <w:t>（2）组织制定厂内的环境保护管理规章制度，并监督检查其执行情况，针对企业的具体情况，制定并组织实施环境保护规划和年度工作计划；</w:t>
      </w:r>
      <w:bookmarkEnd w:id="287"/>
    </w:p>
    <w:p>
      <w:pPr>
        <w:ind w:firstLine="480"/>
        <w:rPr>
          <w:rFonts w:ascii="Times New Roman" w:hAnsi="Times New Roman" w:eastAsia="宋体"/>
          <w:color w:val="auto"/>
          <w:highlight w:val="none"/>
        </w:rPr>
      </w:pPr>
      <w:bookmarkStart w:id="288" w:name="_Toc28465"/>
      <w:r>
        <w:rPr>
          <w:rFonts w:hint="eastAsia" w:ascii="Times New Roman" w:hAnsi="Times New Roman" w:eastAsia="宋体"/>
          <w:color w:val="auto"/>
          <w:highlight w:val="none"/>
        </w:rPr>
        <w:t>（3）落实环保设施运行的管理计划、操作规程，及时汇总存在的问题，提交技术部门改进解决。</w:t>
      </w:r>
      <w:bookmarkEnd w:id="288"/>
    </w:p>
    <w:p>
      <w:pPr>
        <w:ind w:firstLine="480"/>
        <w:rPr>
          <w:rFonts w:ascii="Times New Roman" w:hAnsi="Times New Roman" w:eastAsia="宋体"/>
          <w:color w:val="auto"/>
          <w:highlight w:val="none"/>
        </w:rPr>
      </w:pPr>
      <w:bookmarkStart w:id="289" w:name="_Toc17709"/>
      <w:r>
        <w:rPr>
          <w:rFonts w:ascii="Times New Roman" w:hAnsi="Times New Roman" w:eastAsia="宋体"/>
          <w:color w:val="auto"/>
          <w:highlight w:val="none"/>
        </w:rPr>
        <w:t>（4）负责开展日常的环境监测工作，建立健全原始记录，分析掌握污染动态以及</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的综合处置情况；</w:t>
      </w:r>
      <w:bookmarkEnd w:id="289"/>
    </w:p>
    <w:p>
      <w:pPr>
        <w:ind w:firstLine="480"/>
        <w:rPr>
          <w:rFonts w:ascii="Times New Roman" w:hAnsi="Times New Roman" w:eastAsia="宋体"/>
          <w:color w:val="auto"/>
          <w:highlight w:val="none"/>
        </w:rPr>
      </w:pPr>
      <w:bookmarkStart w:id="290" w:name="_Toc32609"/>
      <w:r>
        <w:rPr>
          <w:rFonts w:ascii="Times New Roman" w:hAnsi="Times New Roman" w:eastAsia="宋体"/>
          <w:color w:val="auto"/>
          <w:highlight w:val="none"/>
        </w:rPr>
        <w:t>（5）建立环保档案，做好企业环境管理台账记录和企业环保资料的统计整理工作，及时向当地环保部门上报环保工作报表以及提供相应的技术数据；</w:t>
      </w:r>
      <w:bookmarkEnd w:id="290"/>
    </w:p>
    <w:p>
      <w:pPr>
        <w:ind w:firstLine="480"/>
        <w:rPr>
          <w:rFonts w:ascii="Times New Roman" w:hAnsi="Times New Roman" w:eastAsia="宋体"/>
          <w:color w:val="auto"/>
          <w:highlight w:val="none"/>
        </w:rPr>
      </w:pPr>
      <w:bookmarkStart w:id="291" w:name="_Toc26113"/>
      <w:r>
        <w:rPr>
          <w:rFonts w:ascii="Times New Roman" w:hAnsi="Times New Roman" w:eastAsia="宋体"/>
          <w:color w:val="auto"/>
          <w:highlight w:val="none"/>
        </w:rPr>
        <w:t>（7）检查落实安全消防措施，开展环保、安全知识教育，对从事与环保工作有关的特殊岗位（如承担环保设施运行与维护）的员工的技能进行定期培训和考核；</w:t>
      </w:r>
      <w:bookmarkEnd w:id="291"/>
    </w:p>
    <w:p>
      <w:pPr>
        <w:ind w:firstLine="480"/>
        <w:rPr>
          <w:rFonts w:ascii="Times New Roman" w:hAnsi="Times New Roman" w:eastAsia="宋体"/>
          <w:color w:val="auto"/>
          <w:highlight w:val="none"/>
        </w:rPr>
      </w:pPr>
      <w:bookmarkStart w:id="292" w:name="_Toc21851"/>
      <w:r>
        <w:rPr>
          <w:rFonts w:ascii="Times New Roman" w:hAnsi="Times New Roman" w:eastAsia="宋体"/>
          <w:color w:val="auto"/>
          <w:highlight w:val="none"/>
        </w:rPr>
        <w:t>（8）负责处理各类污染事故和突发紧急事件，组织抢救和善后处理工作；</w:t>
      </w:r>
      <w:bookmarkEnd w:id="292"/>
    </w:p>
    <w:p>
      <w:pPr>
        <w:ind w:firstLine="480"/>
        <w:rPr>
          <w:rFonts w:ascii="Times New Roman" w:hAnsi="Times New Roman" w:eastAsia="宋体"/>
          <w:color w:val="auto"/>
          <w:highlight w:val="none"/>
        </w:rPr>
      </w:pPr>
      <w:bookmarkStart w:id="293" w:name="_Toc13513"/>
      <w:r>
        <w:rPr>
          <w:rFonts w:ascii="Times New Roman" w:hAnsi="Times New Roman" w:eastAsia="宋体"/>
          <w:color w:val="auto"/>
          <w:highlight w:val="none"/>
        </w:rPr>
        <w:t>（9）负责企业的清洁生产工作的开展和维持，配合当地环境保护部门对企业的环境管理。</w:t>
      </w:r>
      <w:bookmarkEnd w:id="293"/>
    </w:p>
    <w:p>
      <w:pPr>
        <w:ind w:firstLine="480"/>
        <w:rPr>
          <w:rFonts w:ascii="Times New Roman" w:hAnsi="Times New Roman" w:eastAsia="宋体"/>
          <w:color w:val="auto"/>
          <w:highlight w:val="none"/>
        </w:rPr>
      </w:pPr>
      <w:bookmarkStart w:id="294" w:name="_Toc2172"/>
      <w:r>
        <w:rPr>
          <w:rFonts w:ascii="Times New Roman" w:hAnsi="Times New Roman" w:eastAsia="宋体"/>
          <w:color w:val="auto"/>
          <w:highlight w:val="none"/>
        </w:rPr>
        <w:t>（10）做好企业环境管理信息公开工作。</w:t>
      </w:r>
      <w:bookmarkEnd w:id="294"/>
    </w:p>
    <w:p>
      <w:pPr>
        <w:pStyle w:val="5"/>
        <w:rPr>
          <w:rFonts w:ascii="Times New Roman" w:hAnsi="Times New Roman" w:eastAsia="宋体"/>
          <w:color w:val="auto"/>
          <w:highlight w:val="none"/>
        </w:rPr>
      </w:pPr>
      <w:bookmarkStart w:id="295" w:name="_Toc2076"/>
      <w:bookmarkStart w:id="296" w:name="_Toc106663548"/>
      <w:r>
        <w:rPr>
          <w:rFonts w:ascii="Times New Roman" w:hAnsi="Times New Roman" w:eastAsia="宋体"/>
          <w:color w:val="auto"/>
          <w:highlight w:val="none"/>
        </w:rPr>
        <w:t>8.1.2落实环境管理制度</w:t>
      </w:r>
      <w:bookmarkEnd w:id="295"/>
      <w:bookmarkEnd w:id="296"/>
    </w:p>
    <w:p>
      <w:pPr>
        <w:ind w:firstLine="480"/>
        <w:rPr>
          <w:rFonts w:ascii="Times New Roman" w:hAnsi="Times New Roman" w:eastAsia="宋体"/>
          <w:color w:val="auto"/>
          <w:highlight w:val="none"/>
        </w:rPr>
      </w:pPr>
      <w:bookmarkStart w:id="297" w:name="_Toc26364"/>
      <w:r>
        <w:rPr>
          <w:rFonts w:ascii="Times New Roman" w:hAnsi="Times New Roman" w:eastAsia="宋体"/>
          <w:color w:val="auto"/>
          <w:highlight w:val="none"/>
        </w:rPr>
        <w:t>在本项目设计以及施工与营运过程中必须制定严格的环境管理计划。环境管理由项目负责人直接领导，由具有环境保护知识与经验的工程技术人员担任环保员，负责并协调有关环境监测的具体事项，环保业务上同时接受各子项目所在地的指导和监督。</w:t>
      </w:r>
      <w:bookmarkEnd w:id="297"/>
    </w:p>
    <w:p>
      <w:pPr>
        <w:ind w:firstLine="480"/>
        <w:rPr>
          <w:rFonts w:ascii="Times New Roman" w:hAnsi="Times New Roman" w:eastAsia="宋体"/>
          <w:color w:val="auto"/>
          <w:highlight w:val="none"/>
        </w:rPr>
      </w:pPr>
      <w:bookmarkStart w:id="298" w:name="_Toc1869"/>
      <w:r>
        <w:rPr>
          <w:rFonts w:hint="eastAsia"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三同时</w:t>
      </w:r>
      <w:r>
        <w:rPr>
          <w:rFonts w:hint="eastAsia"/>
          <w:color w:val="auto"/>
          <w:highlight w:val="none"/>
          <w:lang w:eastAsia="zh-CN"/>
        </w:rPr>
        <w:t>”</w:t>
      </w:r>
      <w:r>
        <w:rPr>
          <w:rFonts w:ascii="Times New Roman" w:hAnsi="Times New Roman" w:eastAsia="宋体"/>
          <w:color w:val="auto"/>
          <w:highlight w:val="none"/>
        </w:rPr>
        <w:t>制度</w:t>
      </w:r>
      <w:bookmarkEnd w:id="298"/>
    </w:p>
    <w:p>
      <w:pPr>
        <w:ind w:firstLine="480"/>
        <w:rPr>
          <w:rFonts w:ascii="Times New Roman" w:hAnsi="Times New Roman" w:eastAsia="宋体"/>
          <w:color w:val="auto"/>
          <w:highlight w:val="none"/>
        </w:rPr>
      </w:pPr>
      <w:bookmarkStart w:id="299" w:name="_Toc11513"/>
      <w:r>
        <w:rPr>
          <w:rFonts w:ascii="Times New Roman" w:hAnsi="Times New Roman" w:eastAsia="宋体"/>
          <w:color w:val="auto"/>
          <w:highlight w:val="none"/>
        </w:rPr>
        <w:t>根据《建设项目环境保护管理条例》，建设项目需要配套建设的环境保护设施，必须与主体工程同时设计、同时施工、同时投产使用。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再次投入生产或者使用。</w:t>
      </w:r>
      <w:bookmarkEnd w:id="299"/>
    </w:p>
    <w:p>
      <w:pPr>
        <w:ind w:firstLine="480"/>
        <w:rPr>
          <w:rFonts w:ascii="Times New Roman" w:hAnsi="Times New Roman" w:eastAsia="宋体"/>
          <w:color w:val="auto"/>
          <w:highlight w:val="none"/>
        </w:rPr>
      </w:pPr>
      <w:bookmarkStart w:id="300" w:name="_Toc12235"/>
      <w:r>
        <w:rPr>
          <w:rFonts w:hint="eastAsia" w:ascii="Times New Roman" w:hAnsi="Times New Roman" w:eastAsia="宋体"/>
          <w:color w:val="auto"/>
          <w:highlight w:val="none"/>
        </w:rPr>
        <w:t>（2）排污许可证制度</w:t>
      </w:r>
      <w:bookmarkEnd w:id="300"/>
    </w:p>
    <w:p>
      <w:pPr>
        <w:ind w:firstLine="480"/>
        <w:rPr>
          <w:rFonts w:ascii="Times New Roman" w:hAnsi="Times New Roman" w:eastAsia="宋体"/>
          <w:color w:val="auto"/>
          <w:highlight w:val="none"/>
        </w:rPr>
      </w:pPr>
      <w:bookmarkStart w:id="301" w:name="_Toc29891"/>
      <w:r>
        <w:rPr>
          <w:rFonts w:hint="eastAsia"/>
          <w:color w:val="auto"/>
          <w:highlight w:val="none"/>
          <w:lang w:val="en-US" w:eastAsia="zh-CN"/>
        </w:rPr>
        <w:t>根据《固定污染源排污许可分类管理名录（2019年版）》，本项目为“一、畜牧业03中的家禽饲养032-无污水排放口的规模化畜禽养殖场、养殖小区”因此为登记管理。</w:t>
      </w:r>
      <w:r>
        <w:rPr>
          <w:rFonts w:ascii="Times New Roman" w:hAnsi="Times New Roman" w:eastAsia="宋体"/>
          <w:color w:val="auto"/>
          <w:highlight w:val="none"/>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bookmarkEnd w:id="301"/>
    </w:p>
    <w:p>
      <w:pPr>
        <w:ind w:firstLine="480"/>
        <w:rPr>
          <w:rFonts w:ascii="Times New Roman" w:hAnsi="Times New Roman" w:eastAsia="宋体"/>
          <w:color w:val="auto"/>
          <w:highlight w:val="none"/>
        </w:rPr>
      </w:pPr>
      <w:bookmarkStart w:id="302" w:name="_Toc701"/>
      <w:r>
        <w:rPr>
          <w:rFonts w:hint="eastAsia" w:ascii="Times New Roman" w:hAnsi="Times New Roman" w:eastAsia="宋体"/>
          <w:color w:val="auto"/>
          <w:highlight w:val="none"/>
        </w:rPr>
        <w:t>（3）</w:t>
      </w:r>
      <w:r>
        <w:rPr>
          <w:rFonts w:ascii="Times New Roman" w:hAnsi="Times New Roman" w:eastAsia="宋体"/>
          <w:color w:val="auto"/>
          <w:highlight w:val="none"/>
        </w:rPr>
        <w:t>环保台账制度</w:t>
      </w:r>
      <w:bookmarkEnd w:id="302"/>
    </w:p>
    <w:p>
      <w:pPr>
        <w:ind w:firstLine="480"/>
        <w:rPr>
          <w:rFonts w:ascii="Times New Roman" w:hAnsi="Times New Roman" w:eastAsia="宋体"/>
          <w:color w:val="auto"/>
          <w:highlight w:val="none"/>
        </w:rPr>
      </w:pPr>
      <w:bookmarkStart w:id="303" w:name="_Toc12954"/>
      <w:r>
        <w:rPr>
          <w:rFonts w:ascii="Times New Roman" w:hAnsi="Times New Roman" w:eastAsia="宋体"/>
          <w:color w:val="auto"/>
          <w:highlight w:val="none"/>
        </w:rPr>
        <w:t>厂内需完善记录制度和档案保存制度，有利于环境管理质量的追踪和持续改进；记录和台帐包括设施运行和维护记录、危险废物进出台帐、废水、废气污染物监测台帐、所有化学品使用台帐、突发性事件的处理、调查记录等，妥善保存所有记录、台帐及污染物排放监测资料、环境管理档案资料等。</w:t>
      </w:r>
      <w:bookmarkEnd w:id="303"/>
    </w:p>
    <w:p>
      <w:pPr>
        <w:ind w:firstLine="480"/>
        <w:rPr>
          <w:rFonts w:ascii="Times New Roman" w:hAnsi="Times New Roman" w:eastAsia="宋体"/>
          <w:color w:val="auto"/>
          <w:highlight w:val="none"/>
        </w:rPr>
      </w:pPr>
      <w:bookmarkStart w:id="304" w:name="_Toc1104"/>
      <w:r>
        <w:rPr>
          <w:rFonts w:hint="eastAsia" w:ascii="Times New Roman" w:hAnsi="Times New Roman" w:eastAsia="宋体"/>
          <w:color w:val="auto"/>
          <w:highlight w:val="none"/>
        </w:rPr>
        <w:t>（4）</w:t>
      </w:r>
      <w:r>
        <w:rPr>
          <w:rFonts w:ascii="Times New Roman" w:hAnsi="Times New Roman" w:eastAsia="宋体"/>
          <w:color w:val="auto"/>
          <w:highlight w:val="none"/>
        </w:rPr>
        <w:t>污染治理设施管理制度</w:t>
      </w:r>
      <w:bookmarkEnd w:id="304"/>
    </w:p>
    <w:p>
      <w:pPr>
        <w:ind w:firstLine="480"/>
        <w:rPr>
          <w:rFonts w:ascii="Times New Roman" w:hAnsi="Times New Roman" w:eastAsia="宋体"/>
          <w:color w:val="auto"/>
          <w:highlight w:val="none"/>
        </w:rPr>
      </w:pPr>
      <w:bookmarkStart w:id="305" w:name="_Toc24380"/>
      <w:r>
        <w:rPr>
          <w:rFonts w:ascii="Times New Roman" w:hAnsi="Times New Roman" w:eastAsia="宋体"/>
          <w:color w:val="auto"/>
          <w:highlight w:val="none"/>
        </w:rPr>
        <w:t>厂内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bookmarkEnd w:id="305"/>
    </w:p>
    <w:p>
      <w:pPr>
        <w:ind w:firstLine="480"/>
        <w:rPr>
          <w:rFonts w:ascii="Times New Roman" w:hAnsi="Times New Roman" w:eastAsia="宋体"/>
          <w:color w:val="auto"/>
          <w:highlight w:val="none"/>
        </w:rPr>
      </w:pPr>
      <w:bookmarkStart w:id="306" w:name="_Toc17029"/>
      <w:r>
        <w:rPr>
          <w:rFonts w:hint="eastAsia" w:ascii="Times New Roman" w:hAnsi="Times New Roman" w:eastAsia="宋体"/>
          <w:color w:val="auto"/>
          <w:highlight w:val="none"/>
        </w:rPr>
        <w:t>（5）</w:t>
      </w:r>
      <w:r>
        <w:rPr>
          <w:rFonts w:ascii="Times New Roman" w:hAnsi="Times New Roman" w:eastAsia="宋体"/>
          <w:color w:val="auto"/>
          <w:highlight w:val="none"/>
        </w:rPr>
        <w:t>报告制度</w:t>
      </w:r>
      <w:bookmarkEnd w:id="306"/>
    </w:p>
    <w:p>
      <w:pPr>
        <w:ind w:firstLine="480"/>
        <w:rPr>
          <w:rFonts w:ascii="Times New Roman" w:hAnsi="Times New Roman" w:eastAsia="宋体"/>
          <w:color w:val="auto"/>
          <w:highlight w:val="none"/>
        </w:rPr>
      </w:pPr>
      <w:bookmarkStart w:id="307" w:name="_Toc20462"/>
      <w:r>
        <w:rPr>
          <w:rFonts w:ascii="Times New Roman" w:hAnsi="Times New Roman" w:eastAsia="宋体"/>
          <w:color w:val="auto"/>
          <w:highlight w:val="none"/>
        </w:rPr>
        <w:t>报告内容主要为污染治理设施的运行情况、污染物排放情况及污染事故或污染纠纷等。厂内环境保护相关的所有记录、台帐及污染物排放监测资料、环境管理档案资料等应妥善保存并定期上报，发现污染因子超标，快速果断采取应对措施。建设单位应定期向属地环保部门报告污染治理设施运行情况、污染物排放情况以及污染事故、污染纠纷等情况，便于政府部门及时了解污染动态，以利于采取相应的对策措施。</w:t>
      </w:r>
      <w:bookmarkEnd w:id="307"/>
    </w:p>
    <w:p>
      <w:pPr>
        <w:ind w:firstLine="480"/>
        <w:rPr>
          <w:rFonts w:ascii="Times New Roman" w:hAnsi="Times New Roman" w:eastAsia="宋体"/>
          <w:color w:val="auto"/>
          <w:highlight w:val="none"/>
        </w:rPr>
      </w:pPr>
      <w:bookmarkStart w:id="308" w:name="_Toc1940"/>
      <w:r>
        <w:rPr>
          <w:rFonts w:hint="eastAsia" w:ascii="Times New Roman" w:hAnsi="Times New Roman" w:eastAsia="宋体"/>
          <w:color w:val="auto"/>
          <w:highlight w:val="none"/>
        </w:rPr>
        <w:t>（6）</w:t>
      </w:r>
      <w:r>
        <w:rPr>
          <w:rFonts w:ascii="Times New Roman" w:hAnsi="Times New Roman" w:eastAsia="宋体"/>
          <w:color w:val="auto"/>
          <w:highlight w:val="none"/>
        </w:rPr>
        <w:t>环保奖惩制度</w:t>
      </w:r>
      <w:bookmarkEnd w:id="308"/>
    </w:p>
    <w:p>
      <w:pPr>
        <w:ind w:firstLine="480"/>
        <w:rPr>
          <w:rFonts w:ascii="Times New Roman" w:hAnsi="Times New Roman" w:eastAsia="宋体"/>
          <w:color w:val="auto"/>
          <w:highlight w:val="none"/>
        </w:rPr>
      </w:pPr>
      <w:bookmarkStart w:id="309" w:name="_Toc28659"/>
      <w:r>
        <w:rPr>
          <w:rFonts w:ascii="Times New Roman" w:hAnsi="Times New Roman" w:eastAsia="宋体"/>
          <w:color w:val="auto"/>
          <w:highlight w:val="none"/>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w:t>
      </w:r>
      <w:bookmarkEnd w:id="309"/>
    </w:p>
    <w:p>
      <w:pPr>
        <w:ind w:firstLine="480"/>
        <w:rPr>
          <w:rFonts w:ascii="Times New Roman" w:hAnsi="Times New Roman" w:eastAsia="宋体"/>
          <w:color w:val="auto"/>
          <w:highlight w:val="none"/>
        </w:rPr>
      </w:pPr>
      <w:bookmarkStart w:id="310" w:name="_Toc15374"/>
      <w:r>
        <w:rPr>
          <w:rFonts w:ascii="Times New Roman" w:hAnsi="Times New Roman" w:eastAsia="宋体"/>
          <w:color w:val="auto"/>
          <w:highlight w:val="none"/>
        </w:rPr>
        <w:t>对环保观念淡薄、不按环保管理要求，造成环保设施损坏、环境污染及资源和能源浪费者一律处以重罚。</w:t>
      </w:r>
      <w:bookmarkEnd w:id="310"/>
    </w:p>
    <w:p>
      <w:pPr>
        <w:ind w:firstLine="480"/>
        <w:rPr>
          <w:rFonts w:ascii="Times New Roman" w:hAnsi="Times New Roman" w:eastAsia="宋体"/>
          <w:color w:val="auto"/>
          <w:highlight w:val="none"/>
        </w:rPr>
      </w:pPr>
      <w:bookmarkStart w:id="311" w:name="_Toc28298"/>
      <w:r>
        <w:rPr>
          <w:rFonts w:hint="eastAsia" w:ascii="Times New Roman" w:hAnsi="Times New Roman" w:eastAsia="宋体"/>
          <w:color w:val="auto"/>
          <w:highlight w:val="none"/>
        </w:rPr>
        <w:t>（7）</w:t>
      </w:r>
      <w:r>
        <w:rPr>
          <w:rFonts w:ascii="Times New Roman" w:hAnsi="Times New Roman" w:eastAsia="宋体"/>
          <w:color w:val="auto"/>
          <w:highlight w:val="none"/>
        </w:rPr>
        <w:t>信息公开制度</w:t>
      </w:r>
      <w:bookmarkEnd w:id="311"/>
    </w:p>
    <w:p>
      <w:pPr>
        <w:ind w:firstLine="480"/>
        <w:rPr>
          <w:rFonts w:ascii="Times New Roman" w:hAnsi="Times New Roman" w:eastAsia="宋体"/>
          <w:color w:val="auto"/>
          <w:highlight w:val="none"/>
        </w:rPr>
      </w:pPr>
      <w:bookmarkStart w:id="312" w:name="_Toc24420"/>
      <w:r>
        <w:rPr>
          <w:rFonts w:ascii="Times New Roman" w:hAnsi="Times New Roman" w:eastAsia="宋体"/>
          <w:color w:val="auto"/>
          <w:highlight w:val="none"/>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采取的环境保护措施及主要运行参数，排放的污染物种类、排放浓度和总量指标，排污口信息，执行的环境标准，环境风险防范措施以及环境监测等相关内容。</w:t>
      </w:r>
      <w:bookmarkEnd w:id="312"/>
    </w:p>
    <w:bookmarkEnd w:id="268"/>
    <w:bookmarkEnd w:id="269"/>
    <w:bookmarkEnd w:id="270"/>
    <w:bookmarkEnd w:id="271"/>
    <w:bookmarkEnd w:id="272"/>
    <w:bookmarkEnd w:id="273"/>
    <w:bookmarkEnd w:id="274"/>
    <w:bookmarkEnd w:id="275"/>
    <w:bookmarkEnd w:id="276"/>
    <w:bookmarkEnd w:id="277"/>
    <w:bookmarkEnd w:id="278"/>
    <w:bookmarkEnd w:id="279"/>
    <w:bookmarkEnd w:id="280"/>
    <w:p>
      <w:pPr>
        <w:pStyle w:val="5"/>
        <w:rPr>
          <w:rFonts w:ascii="Times New Roman" w:hAnsi="Times New Roman" w:eastAsia="宋体"/>
          <w:color w:val="auto"/>
          <w:highlight w:val="none"/>
        </w:rPr>
      </w:pPr>
      <w:bookmarkStart w:id="313" w:name="_Toc106663549"/>
      <w:r>
        <w:rPr>
          <w:rFonts w:hint="eastAsia" w:ascii="Times New Roman" w:hAnsi="Times New Roman" w:eastAsia="宋体"/>
          <w:color w:val="auto"/>
          <w:highlight w:val="none"/>
        </w:rPr>
        <w:t>8.1.3制定环境管理计划</w:t>
      </w:r>
      <w:bookmarkEnd w:id="313"/>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8.1.3.1施工期环境管理要求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针对项目施工期的环境的影响，采取以下措施：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（1）本项目属于新建项目，建设单位要求施工方采取水、气、声、生态保护及水土保持措施等，将环保工作的执行情况作为工程验收的标准之一等。</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（2）施工承包方应明确管理人员、职责等，并按照其承包施工段的环保要求，编制详细的</w:t>
      </w:r>
      <w:r>
        <w:rPr>
          <w:rFonts w:hint="eastAsia"/>
          <w:color w:val="auto"/>
          <w:highlight w:val="none"/>
          <w:lang w:eastAsia="zh-CN"/>
        </w:rPr>
        <w:t>”</w:t>
      </w:r>
      <w:r>
        <w:rPr>
          <w:rFonts w:hint="eastAsia" w:ascii="Times New Roman" w:hAnsi="Times New Roman" w:eastAsia="宋体"/>
          <w:color w:val="auto"/>
          <w:highlight w:val="none"/>
        </w:rPr>
        <w:t>工程施工环境管理方案</w:t>
      </w:r>
      <w:r>
        <w:rPr>
          <w:rFonts w:hint="eastAsia"/>
          <w:color w:val="auto"/>
          <w:highlight w:val="none"/>
          <w:lang w:eastAsia="zh-CN"/>
        </w:rPr>
        <w:t>”</w:t>
      </w:r>
      <w:r>
        <w:rPr>
          <w:rFonts w:hint="eastAsia" w:ascii="Times New Roman" w:hAnsi="Times New Roman" w:eastAsia="宋体"/>
          <w:color w:val="auto"/>
          <w:highlight w:val="none"/>
        </w:rPr>
        <w:t>，连同施工计划一起呈报业主环保管理部门以及相关的地方环保部门，前期工程进行回顾性分析。</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（3）在施工作业之前，对全体施工人员进行培训，包括环保知识、意识和能力的培训。在施工作业过程中，施工承包方应严格执行批准的工程施工环境管理方案，并认真落实各项环境保护措施。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议对该工程实施工程环境监督机制，并纳入到整体工程监理当中。环境监督工作方式以定期巡查为主，对存在重大环境问题隐患的施工区随时进行跟踪检查，做好记录，及时处理。监督环评报告书提出的环保措施得到落实，通过工程监理发出指令来控制施工中的环境问题。</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8.1.3.2运营期环境管理要求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运营期环境管理主要包括以下几方面：</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（1）检查本项目生产运营过程中是否对圈舍的畜禽粪及时清理冲洗，污粪收集至</w:t>
      </w:r>
      <w:r>
        <w:rPr>
          <w:rFonts w:hint="eastAsia"/>
          <w:color w:val="auto"/>
          <w:highlight w:val="none"/>
          <w:lang w:eastAsia="zh-CN"/>
        </w:rPr>
        <w:t>废水收集池</w:t>
      </w:r>
      <w:r>
        <w:rPr>
          <w:rFonts w:hint="eastAsia" w:ascii="Times New Roman" w:hAnsi="Times New Roman" w:eastAsia="宋体"/>
          <w:color w:val="auto"/>
          <w:highlight w:val="none"/>
        </w:rPr>
        <w:t>，臭气防护的效果是否符合有关标准。</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（2）检查企业是否对生产过程中产生生活污水进行了无害化处理。</w:t>
      </w:r>
      <w:r>
        <w:rPr>
          <w:rFonts w:hint="eastAsia"/>
          <w:color w:val="auto"/>
          <w:highlight w:val="none"/>
          <w:lang w:eastAsia="zh-CN"/>
        </w:rPr>
        <w:t>废水收集池</w:t>
      </w:r>
      <w:r>
        <w:rPr>
          <w:rFonts w:hint="eastAsia" w:ascii="Times New Roman" w:hAnsi="Times New Roman" w:eastAsia="宋体"/>
          <w:color w:val="auto"/>
          <w:highlight w:val="none"/>
        </w:rPr>
        <w:t>应建立规范的运行管理和操作责任制度，搞好设备维护。对排放废水水质进行监控，严禁不达标废水排放。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厂区产生噪声的设备如风机、水泵是否为国家禁止生产、销售、使用的淘汰产品。一些设备在运行了一段时期后，会产生额外的噪声与振动，也会使噪声值升高，应监督企业加强设备的维护，及时更换磨损部件，降低噪声，以确保厂界噪声满足标准要求。定期对厂界进行噪声监测，发现噪声超标应及时采取有效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（4）检查企业是否对生产过程中产生的畜禽粪、污泥进行合理的用于生产有机肥，病死畜禽尸体是否采用无害化处理。监督企业不准将未处理的固体废物随意排放。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（5）厂界周围进行绿化，选择净化效率高的物种，建立绿化带；</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本项目环境管理措施及要求见表8.1-1。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表8.1-1环境管理措施及要求一览表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5250"/>
        <w:gridCol w:w="1077"/>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建设阶段</w:t>
            </w:r>
          </w:p>
        </w:tc>
        <w:tc>
          <w:tcPr>
            <w:tcW w:w="3080"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环境监控管理措施</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实施方</w:t>
            </w:r>
          </w:p>
        </w:tc>
        <w:tc>
          <w:tcPr>
            <w:tcW w:w="640"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施工期</w:t>
            </w: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（1）注意控制施工现场对地面的扰动，减少扬尘；</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（2）施工完毕及时清理现场垃圾；</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（3）加强施工管理，禁止现场随意乱排生活污水；</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（4）环保投资、环保措施</w:t>
            </w:r>
            <w:r>
              <w:rPr>
                <w:rFonts w:hint="eastAsia"/>
                <w:color w:val="auto"/>
                <w:kern w:val="2"/>
                <w:sz w:val="21"/>
                <w:szCs w:val="21"/>
                <w:highlight w:val="none"/>
                <w:lang w:eastAsia="zh-CN"/>
              </w:rPr>
              <w:t>”</w:t>
            </w:r>
            <w:r>
              <w:rPr>
                <w:rFonts w:ascii="Times New Roman" w:hAnsi="Times New Roman" w:eastAsia="宋体"/>
                <w:color w:val="auto"/>
                <w:kern w:val="2"/>
                <w:sz w:val="21"/>
                <w:szCs w:val="21"/>
                <w:highlight w:val="none"/>
              </w:rPr>
              <w:t>三同时</w:t>
            </w:r>
            <w:r>
              <w:rPr>
                <w:rFonts w:hint="eastAsia"/>
                <w:color w:val="auto"/>
                <w:kern w:val="2"/>
                <w:sz w:val="21"/>
                <w:szCs w:val="21"/>
                <w:highlight w:val="none"/>
                <w:lang w:eastAsia="zh-CN"/>
              </w:rPr>
              <w:t>”</w:t>
            </w:r>
            <w:r>
              <w:rPr>
                <w:rFonts w:ascii="Times New Roman" w:hAnsi="Times New Roman" w:eastAsia="宋体"/>
                <w:color w:val="auto"/>
                <w:kern w:val="2"/>
                <w:sz w:val="21"/>
                <w:szCs w:val="21"/>
                <w:highlight w:val="none"/>
              </w:rPr>
              <w:t>。</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施工单位、建设单位</w:t>
            </w:r>
          </w:p>
        </w:tc>
        <w:tc>
          <w:tcPr>
            <w:tcW w:w="640" w:type="pct"/>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昌吉州生态环境局、环境监察大队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648" w:type="pct"/>
            <w:vMerge w:val="restar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运营期</w:t>
            </w: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（1）废气治理</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1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①</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圈舍的恶臭气体以无组织形式排放；</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2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②</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定期对臭气排放进行监测，环保设施严格控制、定期检查、减少臭气排放；</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3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③</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加强环保设施维护工作，保持其正常运行</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w:t>
            </w:r>
            <w:r>
              <w:rPr>
                <w:rFonts w:ascii="Times New Roman" w:hAnsi="Times New Roman" w:eastAsia="宋体"/>
                <w:color w:val="auto"/>
                <w:kern w:val="2"/>
                <w:sz w:val="21"/>
                <w:szCs w:val="21"/>
                <w:highlight w:val="none"/>
              </w:rPr>
              <w:t>加强管理，保证粪污处理设施正常运行。</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（3）噪声</w:t>
            </w:r>
          </w:p>
          <w:p>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s="宋体"/>
                <w:color w:val="auto"/>
                <w:kern w:val="2"/>
                <w:sz w:val="21"/>
                <w:szCs w:val="21"/>
                <w:highlight w:val="none"/>
              </w:rPr>
              <w:t>①</w:t>
            </w:r>
            <w:r>
              <w:rPr>
                <w:rFonts w:ascii="Times New Roman" w:hAnsi="Times New Roman" w:eastAsia="宋体"/>
                <w:color w:val="auto"/>
                <w:kern w:val="2"/>
                <w:sz w:val="21"/>
                <w:szCs w:val="21"/>
                <w:highlight w:val="none"/>
              </w:rPr>
              <w:t>选用低噪声设备及必要的隔声、减震措施；</w:t>
            </w:r>
          </w:p>
          <w:p>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s="宋体"/>
                <w:color w:val="auto"/>
                <w:kern w:val="2"/>
                <w:sz w:val="21"/>
                <w:szCs w:val="21"/>
                <w:highlight w:val="none"/>
              </w:rPr>
              <w:t>②</w:t>
            </w:r>
            <w:r>
              <w:rPr>
                <w:rFonts w:ascii="Times New Roman" w:hAnsi="Times New Roman" w:eastAsia="宋体"/>
                <w:color w:val="auto"/>
                <w:kern w:val="2"/>
                <w:sz w:val="21"/>
                <w:szCs w:val="21"/>
                <w:highlight w:val="none"/>
              </w:rPr>
              <w:t>保持设备良好的运营工况，及时维修检修。</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（4）固体废物</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1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①</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粪便污泥均</w:t>
            </w:r>
            <w:r>
              <w:rPr>
                <w:rFonts w:hint="eastAsia"/>
                <w:color w:val="auto"/>
                <w:kern w:val="2"/>
                <w:sz w:val="21"/>
                <w:szCs w:val="21"/>
                <w:highlight w:val="none"/>
                <w:lang w:val="en-US" w:eastAsia="zh-CN"/>
              </w:rPr>
              <w:t>外售有机肥厂</w:t>
            </w:r>
            <w:r>
              <w:rPr>
                <w:rFonts w:ascii="Times New Roman" w:hAnsi="Times New Roman" w:eastAsia="宋体"/>
                <w:color w:val="auto"/>
                <w:kern w:val="2"/>
                <w:sz w:val="21"/>
                <w:szCs w:val="21"/>
                <w:highlight w:val="none"/>
              </w:rPr>
              <w:t>；</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2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②</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医疗废物等暂存在</w:t>
            </w:r>
            <w:r>
              <w:rPr>
                <w:rFonts w:hint="eastAsia"/>
                <w:color w:val="auto"/>
                <w:kern w:val="2"/>
                <w:sz w:val="21"/>
                <w:szCs w:val="21"/>
                <w:highlight w:val="none"/>
                <w:lang w:eastAsia="zh-CN"/>
              </w:rPr>
              <w:t>医疗废物暂存间</w:t>
            </w:r>
            <w:r>
              <w:rPr>
                <w:rFonts w:ascii="Times New Roman" w:hAnsi="Times New Roman" w:eastAsia="宋体"/>
                <w:color w:val="auto"/>
                <w:kern w:val="2"/>
                <w:sz w:val="21"/>
                <w:szCs w:val="21"/>
                <w:highlight w:val="none"/>
              </w:rPr>
              <w:t>的专用容器内，定期委托当地有资质的单位处理；</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3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③</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病死</w:t>
            </w:r>
            <w:r>
              <w:rPr>
                <w:rFonts w:hint="eastAsia"/>
                <w:color w:val="auto"/>
                <w:kern w:val="2"/>
                <w:sz w:val="21"/>
                <w:szCs w:val="21"/>
                <w:highlight w:val="none"/>
                <w:lang w:val="en-US" w:eastAsia="zh-CN"/>
              </w:rPr>
              <w:t>鸡</w:t>
            </w:r>
            <w:r>
              <w:rPr>
                <w:rFonts w:hint="eastAsia" w:ascii="Times New Roman" w:hAnsi="Times New Roman" w:eastAsia="宋体"/>
                <w:color w:val="auto"/>
                <w:kern w:val="2"/>
                <w:sz w:val="21"/>
                <w:szCs w:val="21"/>
                <w:highlight w:val="none"/>
              </w:rPr>
              <w:t>尸体委托</w:t>
            </w:r>
            <w:r>
              <w:rPr>
                <w:rFonts w:hint="eastAsia"/>
                <w:color w:val="auto"/>
                <w:kern w:val="2"/>
                <w:sz w:val="21"/>
                <w:szCs w:val="21"/>
                <w:highlight w:val="none"/>
                <w:lang w:val="en-US" w:eastAsia="zh-CN"/>
              </w:rPr>
              <w:t>有资质单位</w:t>
            </w:r>
            <w:r>
              <w:rPr>
                <w:rFonts w:hint="eastAsia" w:ascii="Times New Roman" w:hAnsi="Times New Roman" w:eastAsia="宋体"/>
                <w:color w:val="auto"/>
                <w:kern w:val="2"/>
                <w:sz w:val="21"/>
                <w:szCs w:val="21"/>
                <w:highlight w:val="none"/>
              </w:rPr>
              <w:t>处置</w:t>
            </w:r>
            <w:r>
              <w:rPr>
                <w:rFonts w:ascii="Times New Roman" w:hAnsi="Times New Roman" w:eastAsia="宋体"/>
                <w:color w:val="auto"/>
                <w:kern w:val="2"/>
                <w:sz w:val="21"/>
                <w:szCs w:val="21"/>
                <w:highlight w:val="none"/>
              </w:rPr>
              <w:t>；</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4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④</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生活垃圾委托环卫部门定期统一清运。</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（5）生态保护</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加强厂区及外围绿化，厂区绿化系数达到</w:t>
            </w:r>
            <w:r>
              <w:rPr>
                <w:rFonts w:hint="eastAsia" w:ascii="Times New Roman" w:hAnsi="Times New Roman" w:eastAsia="宋体"/>
                <w:color w:val="auto"/>
                <w:kern w:val="2"/>
                <w:sz w:val="21"/>
                <w:szCs w:val="21"/>
                <w:highlight w:val="none"/>
              </w:rPr>
              <w:t>1</w:t>
            </w:r>
            <w:r>
              <w:rPr>
                <w:rFonts w:ascii="Times New Roman" w:hAnsi="Times New Roman" w:eastAsia="宋体"/>
                <w:color w:val="auto"/>
                <w:kern w:val="2"/>
                <w:sz w:val="21"/>
                <w:szCs w:val="21"/>
                <w:highlight w:val="none"/>
              </w:rPr>
              <w:t>%的要求。</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（6）环境管理</w:t>
            </w:r>
          </w:p>
          <w:p>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建立经常性环境监测制度，完善厂、工段、班组环保机构及环境目标管理。</w:t>
            </w:r>
          </w:p>
        </w:tc>
        <w:tc>
          <w:tcPr>
            <w:tcW w:w="632" w:type="pct"/>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pPr>
              <w:snapToGrid w:val="0"/>
              <w:spacing w:line="240" w:lineRule="auto"/>
              <w:ind w:firstLine="0" w:firstLineChars="0"/>
              <w:jc w:val="center"/>
              <w:rPr>
                <w:rFonts w:ascii="Times New Roman" w:hAnsi="Times New Roman" w:eastAsia="宋体"/>
                <w:color w:val="auto"/>
                <w:kern w:val="2"/>
                <w:sz w:val="21"/>
                <w:szCs w:val="21"/>
                <w:highlight w:val="none"/>
              </w:rPr>
            </w:pPr>
          </w:p>
        </w:tc>
      </w:tr>
    </w:tbl>
    <w:p>
      <w:pPr>
        <w:pStyle w:val="5"/>
        <w:rPr>
          <w:rFonts w:ascii="Times New Roman" w:hAnsi="Times New Roman" w:eastAsia="宋体"/>
          <w:color w:val="auto"/>
          <w:highlight w:val="none"/>
        </w:rPr>
      </w:pPr>
      <w:bookmarkStart w:id="314" w:name="_Toc106663550"/>
      <w:r>
        <w:rPr>
          <w:rFonts w:ascii="Times New Roman" w:hAnsi="Times New Roman" w:eastAsia="宋体"/>
          <w:color w:val="auto"/>
          <w:highlight w:val="none"/>
        </w:rPr>
        <w:t>8.1.4排污</w:t>
      </w:r>
      <w:r>
        <w:rPr>
          <w:rFonts w:hint="eastAsia" w:ascii="Times New Roman" w:hAnsi="Times New Roman" w:eastAsia="宋体"/>
          <w:color w:val="auto"/>
          <w:highlight w:val="none"/>
        </w:rPr>
        <w:t>口规范化设置</w:t>
      </w:r>
      <w:bookmarkEnd w:id="314"/>
    </w:p>
    <w:p>
      <w:pPr>
        <w:ind w:firstLine="480"/>
        <w:rPr>
          <w:rFonts w:ascii="Times New Roman" w:hAnsi="Times New Roman" w:eastAsia="宋体"/>
          <w:color w:val="auto"/>
          <w:highlight w:val="none"/>
        </w:rPr>
      </w:pPr>
      <w:r>
        <w:rPr>
          <w:rFonts w:ascii="Times New Roman" w:hAnsi="Times New Roman" w:eastAsia="宋体"/>
          <w:color w:val="auto"/>
          <w:highlight w:val="none"/>
        </w:rPr>
        <w:t>根据《排污许可管理办法（试行）》（环境保护部令第48号），排污单位应当依法持有排污许可证，并按照排污许可证的规定排放污染物。应当取得排污许可证而未取得的，不得排放污染物。固定噪声源、固体废物贮存和排气筒必须按照国家和自治区的有关规定进行建设，应符合</w:t>
      </w:r>
      <w:r>
        <w:rPr>
          <w:rFonts w:hint="eastAsia"/>
          <w:color w:val="auto"/>
          <w:highlight w:val="none"/>
          <w:lang w:eastAsia="zh-CN"/>
        </w:rPr>
        <w:t>”</w:t>
      </w:r>
      <w:r>
        <w:rPr>
          <w:rFonts w:ascii="Times New Roman" w:hAnsi="Times New Roman" w:eastAsia="宋体"/>
          <w:color w:val="auto"/>
          <w:highlight w:val="none"/>
        </w:rPr>
        <w:t>一明显、二合理、三便于</w:t>
      </w:r>
      <w:r>
        <w:rPr>
          <w:rFonts w:hint="eastAsia"/>
          <w:color w:val="auto"/>
          <w:highlight w:val="none"/>
          <w:lang w:eastAsia="zh-CN"/>
        </w:rPr>
        <w:t>”</w:t>
      </w:r>
      <w:r>
        <w:rPr>
          <w:rFonts w:ascii="Times New Roman" w:hAnsi="Times New Roman" w:eastAsia="宋体"/>
          <w:color w:val="auto"/>
          <w:highlight w:val="none"/>
        </w:rPr>
        <w:t>的要求，即环保标志明显，排污口设置合理，便于采集样品、便于监测计量、便于公众参与和监督管理。同时要求按照国家环保总局制定的《环境保护图形标志实施细则（试行）》的规定，设置与排污口相应的图形标志牌。</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本项目应按《环境保护图形标志—排放口（源）》（GB15562.1-1995）</w:t>
      </w:r>
      <w:r>
        <w:rPr>
          <w:rFonts w:hint="eastAsia"/>
          <w:color w:val="auto"/>
          <w:highlight w:val="none"/>
          <w:lang w:val="en-US" w:eastAsia="zh-CN"/>
        </w:rPr>
        <w:t>和《危险废物识别标志设置技术规范》（HJ1276-2022）</w:t>
      </w:r>
      <w:r>
        <w:rPr>
          <w:rFonts w:ascii="Times New Roman" w:hAnsi="Times New Roman" w:eastAsia="宋体"/>
          <w:color w:val="auto"/>
          <w:highlight w:val="none"/>
        </w:rPr>
        <w:t>规定的图形，在各气、水、声排污口（源）挂牌标识，做到各排污口（源）的环保标志明显，便于企业管理和公众监督。污染物排放口的环保图形标志牌应设置在靠近采样点的醒目位置处，标志牌设置高度为其上缘距地面约2m。</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本项目环境保护图形标志具体设置图形见图8.1-1。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图8.1-1环境保护图形标志</w:t>
      </w:r>
      <w:r>
        <w:rPr>
          <w:rFonts w:ascii="Times New Roman" w:hAnsi="Times New Roman" w:eastAsia="宋体"/>
          <w:caps w:val="0"/>
          <w:smallCaps w:val="0"/>
          <w:color w:val="auto"/>
          <w:highlight w:val="none"/>
        </w:rPr>
        <w:drawing>
          <wp:inline distT="0" distB="0" distL="114300" distR="114300">
            <wp:extent cx="5276215" cy="1837690"/>
            <wp:effectExtent l="0" t="0" r="635" b="1016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89"/>
                    <a:srcRect t="1025"/>
                    <a:stretch>
                      <a:fillRect/>
                    </a:stretch>
                  </pic:blipFill>
                  <pic:spPr>
                    <a:xfrm>
                      <a:off x="0" y="0"/>
                      <a:ext cx="5276215" cy="1837690"/>
                    </a:xfrm>
                    <a:prstGeom prst="rect">
                      <a:avLst/>
                    </a:prstGeom>
                    <a:noFill/>
                    <a:ln>
                      <a:noFill/>
                    </a:ln>
                  </pic:spPr>
                </pic:pic>
              </a:graphicData>
            </a:graphic>
          </wp:inline>
        </w:drawing>
      </w:r>
    </w:p>
    <w:p>
      <w:pPr>
        <w:pStyle w:val="5"/>
        <w:rPr>
          <w:rFonts w:ascii="Times New Roman" w:hAnsi="Times New Roman" w:eastAsia="宋体"/>
          <w:color w:val="auto"/>
          <w:highlight w:val="none"/>
        </w:rPr>
      </w:pPr>
      <w:bookmarkStart w:id="315" w:name="_Toc106663551"/>
      <w:r>
        <w:rPr>
          <w:rFonts w:hint="eastAsia" w:ascii="Times New Roman" w:hAnsi="Times New Roman" w:eastAsia="宋体"/>
          <w:color w:val="auto"/>
          <w:highlight w:val="none"/>
        </w:rPr>
        <w:t>8.1.5</w:t>
      </w:r>
      <w:r>
        <w:rPr>
          <w:rFonts w:ascii="Times New Roman" w:hAnsi="Times New Roman" w:eastAsia="宋体"/>
          <w:color w:val="auto"/>
          <w:highlight w:val="none"/>
        </w:rPr>
        <w:t>环境影响评价制度与排污许可制衔接分析</w:t>
      </w:r>
      <w:bookmarkEnd w:id="315"/>
    </w:p>
    <w:p>
      <w:pPr>
        <w:ind w:firstLine="480"/>
        <w:rPr>
          <w:rFonts w:ascii="Times New Roman" w:hAnsi="Times New Roman" w:eastAsia="宋体"/>
          <w:color w:val="auto"/>
          <w:highlight w:val="none"/>
        </w:rPr>
      </w:pPr>
      <w:r>
        <w:rPr>
          <w:rFonts w:ascii="Times New Roman" w:hAnsi="Times New Roman" w:eastAsia="宋体"/>
          <w:color w:val="auto"/>
          <w:highlight w:val="none"/>
        </w:rPr>
        <w:t>根据环办环评[2017]84号《关于做好环境影响评价制度与排污许可制衔接相关工作的通知》，为贯彻落实《国务院办公厅关于印发控制污染物排放许可制实施方案的通知》（国办发〔2016〕81号），推进环境质量改善，现就做好建设项目环境影响评价制度与排污许可制有机衔接相关工作通知。</w:t>
      </w:r>
    </w:p>
    <w:p>
      <w:pPr>
        <w:ind w:firstLine="480"/>
        <w:rPr>
          <w:rFonts w:ascii="Times New Roman" w:hAnsi="Times New Roman" w:eastAsia="宋体"/>
          <w:color w:val="auto"/>
          <w:highlight w:val="none"/>
        </w:rPr>
      </w:pPr>
      <w:r>
        <w:rPr>
          <w:rFonts w:ascii="Times New Roman" w:hAnsi="Times New Roman" w:eastAsia="宋体"/>
          <w:color w:val="auto"/>
          <w:highlight w:val="none"/>
        </w:rPr>
        <w:t>建设项目发生实际排污行为之前，排污单位应当按照国家环境保护相关法律法规以及《排污许可证申请与核发技术规范畜禽养殖行业》（HJ1029-2019）中相关规定申请排污许可证，不得无证排污或不按证排污。污染物排放相关的主要内容应当纳入排污许可证。</w:t>
      </w:r>
    </w:p>
    <w:p>
      <w:pPr>
        <w:pStyle w:val="5"/>
        <w:rPr>
          <w:rFonts w:ascii="Times New Roman" w:hAnsi="Times New Roman" w:eastAsia="宋体"/>
          <w:color w:val="auto"/>
          <w:highlight w:val="none"/>
        </w:rPr>
      </w:pPr>
      <w:bookmarkStart w:id="316" w:name="_Toc106663552"/>
      <w:r>
        <w:rPr>
          <w:rFonts w:hint="eastAsia" w:ascii="Times New Roman" w:hAnsi="Times New Roman" w:eastAsia="宋体"/>
          <w:color w:val="auto"/>
          <w:highlight w:val="none"/>
        </w:rPr>
        <w:t>8.1.6</w:t>
      </w:r>
      <w:r>
        <w:rPr>
          <w:rFonts w:ascii="Times New Roman" w:hAnsi="Times New Roman" w:eastAsia="宋体"/>
          <w:color w:val="auto"/>
          <w:highlight w:val="none"/>
        </w:rPr>
        <w:t>企业环境信息公开</w:t>
      </w:r>
      <w:bookmarkEnd w:id="316"/>
    </w:p>
    <w:p>
      <w:pPr>
        <w:ind w:firstLine="480"/>
        <w:rPr>
          <w:rFonts w:ascii="Times New Roman" w:hAnsi="Times New Roman" w:eastAsia="宋体"/>
          <w:color w:val="auto"/>
          <w:highlight w:val="none"/>
        </w:rPr>
      </w:pPr>
      <w:r>
        <w:rPr>
          <w:rFonts w:ascii="Times New Roman" w:hAnsi="Times New Roman" w:eastAsia="宋体"/>
          <w:color w:val="auto"/>
          <w:highlight w:val="none"/>
        </w:rPr>
        <w:t>根据《企业事业单位环境信息公开办法》（环境保护部第31号）相关规定，企业事业单位应当建立健全本单位环境信息公开制度，制定机构负责本单位环境信息公开日常工作。根据企业特点，新疆国瑞牧升科技有限公司网站或本单位的资料索取点、信息公开栏、信息亭、电子屏幕或其他便于公众及时、准确获得信息的场所和方式公开下列信息：</w:t>
      </w:r>
    </w:p>
    <w:p>
      <w:pPr>
        <w:ind w:firstLine="480"/>
        <w:rPr>
          <w:rFonts w:ascii="Times New Roman" w:hAnsi="Times New Roman" w:eastAsia="宋体"/>
          <w:color w:val="auto"/>
          <w:highlight w:val="none"/>
        </w:rPr>
      </w:pPr>
      <w:r>
        <w:rPr>
          <w:rFonts w:ascii="Times New Roman" w:hAnsi="Times New Roman" w:eastAsia="宋体"/>
          <w:color w:val="auto"/>
          <w:highlight w:val="none"/>
        </w:rPr>
        <w:t>1、项目基础信息：包括单位名称、组织机构代码、法定代表人、生产地址、联系方式，以及生产经营和管理服务的主要内容、产品及规模。</w:t>
      </w:r>
    </w:p>
    <w:p>
      <w:pPr>
        <w:ind w:firstLine="480"/>
        <w:rPr>
          <w:rFonts w:ascii="Times New Roman" w:hAnsi="Times New Roman" w:eastAsia="宋体"/>
          <w:color w:val="auto"/>
          <w:highlight w:val="none"/>
        </w:rPr>
      </w:pPr>
      <w:r>
        <w:rPr>
          <w:rFonts w:ascii="Times New Roman" w:hAnsi="Times New Roman" w:eastAsia="宋体"/>
          <w:color w:val="auto"/>
          <w:highlight w:val="none"/>
        </w:rPr>
        <w:t>2、排污信息：包括主要污染物及特征污染物的名称、排放方式、排放口数量和分布情况、排放浓度和总量、超标情况，及执行的污染物排放标准、核定的排放总量。</w:t>
      </w:r>
    </w:p>
    <w:p>
      <w:pPr>
        <w:ind w:firstLine="480"/>
        <w:rPr>
          <w:rFonts w:ascii="Times New Roman" w:hAnsi="Times New Roman" w:eastAsia="宋体"/>
          <w:color w:val="auto"/>
          <w:highlight w:val="none"/>
        </w:rPr>
      </w:pPr>
      <w:r>
        <w:rPr>
          <w:rFonts w:ascii="Times New Roman" w:hAnsi="Times New Roman" w:eastAsia="宋体"/>
          <w:color w:val="auto"/>
          <w:highlight w:val="none"/>
        </w:rPr>
        <w:t>3、防治污染设施的建设和运行情况。</w:t>
      </w:r>
    </w:p>
    <w:p>
      <w:pPr>
        <w:ind w:firstLine="480"/>
        <w:rPr>
          <w:rFonts w:ascii="Times New Roman" w:hAnsi="Times New Roman" w:eastAsia="宋体"/>
          <w:color w:val="auto"/>
          <w:highlight w:val="none"/>
        </w:rPr>
      </w:pPr>
      <w:r>
        <w:rPr>
          <w:rFonts w:ascii="Times New Roman" w:hAnsi="Times New Roman" w:eastAsia="宋体"/>
          <w:color w:val="auto"/>
          <w:highlight w:val="none"/>
        </w:rPr>
        <w:t>4、建设项目环境影响评价及其他环境保护行政许可情况。</w:t>
      </w:r>
    </w:p>
    <w:p>
      <w:pPr>
        <w:ind w:firstLine="480"/>
        <w:rPr>
          <w:rFonts w:ascii="Times New Roman" w:hAnsi="Times New Roman" w:eastAsia="宋体"/>
          <w:color w:val="auto"/>
          <w:highlight w:val="none"/>
        </w:rPr>
      </w:pPr>
      <w:r>
        <w:rPr>
          <w:rFonts w:ascii="Times New Roman" w:hAnsi="Times New Roman" w:eastAsia="宋体"/>
          <w:color w:val="auto"/>
          <w:highlight w:val="none"/>
        </w:rPr>
        <w:t>5、突发环境事件应急预案。</w:t>
      </w:r>
    </w:p>
    <w:p>
      <w:pPr>
        <w:ind w:firstLine="480"/>
        <w:rPr>
          <w:rFonts w:ascii="Times New Roman" w:hAnsi="Times New Roman" w:eastAsia="宋体"/>
          <w:color w:val="auto"/>
          <w:highlight w:val="none"/>
        </w:rPr>
      </w:pPr>
      <w:r>
        <w:rPr>
          <w:rFonts w:ascii="Times New Roman" w:hAnsi="Times New Roman" w:eastAsia="宋体"/>
          <w:color w:val="auto"/>
          <w:highlight w:val="none"/>
        </w:rPr>
        <w:t>6、其他应当公开的环境信息。</w:t>
      </w:r>
    </w:p>
    <w:p>
      <w:pPr>
        <w:ind w:firstLine="480"/>
        <w:rPr>
          <w:rFonts w:ascii="Times New Roman" w:hAnsi="Times New Roman" w:eastAsia="宋体"/>
          <w:color w:val="auto"/>
          <w:highlight w:val="none"/>
        </w:rPr>
      </w:pPr>
      <w:r>
        <w:rPr>
          <w:rFonts w:ascii="Times New Roman" w:hAnsi="Times New Roman" w:eastAsia="宋体"/>
          <w:color w:val="auto"/>
          <w:highlight w:val="none"/>
        </w:rPr>
        <w:t>如若公司的环境信息发生变更或有新生成时，应在环境信息生成或者变更之日起三十日内予以公开。环境保护主管部门应当宣传和引导公众监督企业事业单位环境信息公开工作</w:t>
      </w:r>
      <w:r>
        <w:rPr>
          <w:rFonts w:hint="eastAsia" w:ascii="Times New Roman" w:hAnsi="Times New Roman" w:eastAsia="宋体"/>
          <w:color w:val="auto"/>
          <w:highlight w:val="none"/>
        </w:rPr>
        <w:t>。</w:t>
      </w:r>
    </w:p>
    <w:p>
      <w:pPr>
        <w:pStyle w:val="4"/>
        <w:rPr>
          <w:rFonts w:ascii="Times New Roman" w:hAnsi="Times New Roman" w:eastAsia="宋体"/>
          <w:color w:val="auto"/>
          <w:highlight w:val="none"/>
        </w:rPr>
      </w:pPr>
      <w:bookmarkStart w:id="317" w:name="_Toc24182"/>
      <w:bookmarkStart w:id="318" w:name="_Toc273384092"/>
      <w:bookmarkStart w:id="319" w:name="_Toc94001017"/>
      <w:bookmarkStart w:id="320" w:name="_Toc75019041"/>
      <w:bookmarkStart w:id="321" w:name="_Toc116777512"/>
      <w:bookmarkStart w:id="322" w:name="_Toc370052949"/>
      <w:bookmarkStart w:id="323" w:name="_Toc112971017"/>
      <w:bookmarkStart w:id="324" w:name="_Toc113254453"/>
      <w:bookmarkStart w:id="325" w:name="_Toc113278854"/>
      <w:bookmarkStart w:id="326" w:name="_Toc265225834"/>
      <w:bookmarkStart w:id="327" w:name="_Toc113254183"/>
      <w:bookmarkStart w:id="328" w:name="_Toc269723053"/>
      <w:bookmarkStart w:id="329" w:name="_Toc304234030"/>
      <w:bookmarkStart w:id="330" w:name="_Toc79578680"/>
      <w:bookmarkStart w:id="331" w:name="_Toc112970953"/>
      <w:bookmarkStart w:id="332" w:name="_Toc265225646"/>
      <w:bookmarkStart w:id="333" w:name="_Toc4338"/>
      <w:bookmarkStart w:id="334" w:name="_Toc89619358"/>
      <w:bookmarkStart w:id="335" w:name="_Toc106663553"/>
      <w:r>
        <w:rPr>
          <w:rFonts w:hint="eastAsia" w:ascii="Times New Roman" w:hAnsi="Times New Roman" w:eastAsia="宋体"/>
          <w:color w:val="auto"/>
          <w:highlight w:val="none"/>
        </w:rPr>
        <w:t>8.2</w:t>
      </w:r>
      <w:r>
        <w:rPr>
          <w:rFonts w:ascii="Times New Roman" w:hAnsi="Times New Roman" w:eastAsia="宋体"/>
          <w:color w:val="auto"/>
          <w:highlight w:val="none"/>
        </w:rPr>
        <w:t>环境监测</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rFonts w:hint="eastAsia" w:ascii="Times New Roman" w:hAnsi="Times New Roman" w:eastAsia="宋体"/>
          <w:color w:val="auto"/>
          <w:highlight w:val="none"/>
        </w:rPr>
        <w:t>计划</w:t>
      </w:r>
      <w:bookmarkEnd w:id="333"/>
      <w:bookmarkEnd w:id="334"/>
      <w:bookmarkEnd w:id="33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根据本项目污染源和厂址区域环境特点，按照《排污单位自行监测技术指南总则》（HJ819）、《排污许可证申请与核发技术规范畜禽养殖行业》（HJ1029-2019）制定环境监测方案。</w:t>
      </w:r>
    </w:p>
    <w:p>
      <w:pPr>
        <w:ind w:firstLine="480"/>
        <w:rPr>
          <w:rFonts w:ascii="Times New Roman" w:hAnsi="Times New Roman" w:eastAsia="宋体"/>
          <w:color w:val="auto"/>
          <w:highlight w:val="none"/>
        </w:rPr>
      </w:pPr>
      <w:r>
        <w:rPr>
          <w:rFonts w:ascii="Times New Roman" w:hAnsi="Times New Roman" w:eastAsia="宋体"/>
          <w:color w:val="auto"/>
          <w:highlight w:val="none"/>
        </w:rPr>
        <w:t>针对本项目所排污染物情况，制定详细监测计划见表</w:t>
      </w:r>
      <w:r>
        <w:rPr>
          <w:rFonts w:hint="eastAsia" w:ascii="Times New Roman" w:hAnsi="Times New Roman" w:eastAsia="宋体"/>
          <w:color w:val="auto"/>
          <w:highlight w:val="none"/>
        </w:rPr>
        <w:t>8.2-1</w:t>
      </w:r>
      <w:r>
        <w:rPr>
          <w:rFonts w:ascii="Times New Roman" w:hAnsi="Times New Roman" w:eastAsia="宋体"/>
          <w:color w:val="auto"/>
          <w:highlight w:val="none"/>
        </w:rPr>
        <w:t>。</w:t>
      </w:r>
    </w:p>
    <w:p>
      <w:pPr>
        <w:pStyle w:val="10"/>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8.2-1</w:t>
      </w:r>
      <w:r>
        <w:rPr>
          <w:rFonts w:ascii="Times New Roman" w:hAnsi="Times New Roman" w:eastAsia="宋体"/>
          <w:color w:val="auto"/>
          <w:highlight w:val="none"/>
        </w:rPr>
        <w:t>建设项目环境</w:t>
      </w:r>
      <w:r>
        <w:rPr>
          <w:rFonts w:hint="eastAsia" w:ascii="Times New Roman" w:hAnsi="Times New Roman" w:eastAsia="宋体"/>
          <w:color w:val="auto"/>
          <w:highlight w:val="none"/>
        </w:rPr>
        <w:t>监测</w:t>
      </w:r>
      <w:r>
        <w:rPr>
          <w:rFonts w:ascii="Times New Roman" w:hAnsi="Times New Roman" w:eastAsia="宋体"/>
          <w:color w:val="auto"/>
          <w:highlight w:val="none"/>
        </w:rPr>
        <w:t>计划一览表</w:t>
      </w:r>
    </w:p>
    <w:tbl>
      <w:tblPr>
        <w:tblStyle w:val="34"/>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0" w:type="dxa"/>
          <w:bottom w:w="0" w:type="dxa"/>
          <w:right w:w="0" w:type="dxa"/>
        </w:tblCellMar>
      </w:tblPr>
      <w:tblGrid>
        <w:gridCol w:w="874"/>
        <w:gridCol w:w="1203"/>
        <w:gridCol w:w="3011"/>
        <w:gridCol w:w="2226"/>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97" w:hRule="atLeast"/>
          <w:jc w:val="center"/>
        </w:trPr>
        <w:tc>
          <w:tcPr>
            <w:tcW w:w="520" w:type="pct"/>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类型</w:t>
            </w:r>
          </w:p>
        </w:tc>
        <w:tc>
          <w:tcPr>
            <w:tcW w:w="715"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要素</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监测点位</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监测项目</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restart"/>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污染源监测</w:t>
            </w:r>
          </w:p>
        </w:tc>
        <w:tc>
          <w:tcPr>
            <w:tcW w:w="715" w:type="pct"/>
            <w:vMerge w:val="restar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废气</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S、臭气浓度</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vMerge w:val="continue"/>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圈舍无组织</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S、臭气浓度</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噪声</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厂界四周外1m</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等效A声级</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restart"/>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环境质量监测</w:t>
            </w:r>
          </w:p>
        </w:tc>
        <w:tc>
          <w:tcPr>
            <w:tcW w:w="715" w:type="pct"/>
            <w:vMerge w:val="restar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环境空气</w:t>
            </w:r>
          </w:p>
        </w:tc>
        <w:tc>
          <w:tcPr>
            <w:tcW w:w="1790" w:type="pct"/>
            <w:vMerge w:val="restar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项目区上下风向</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kern w:val="2"/>
                <w:sz w:val="21"/>
                <w:szCs w:val="22"/>
                <w:highlight w:val="none"/>
              </w:rPr>
            </w:pPr>
            <w:r>
              <w:rPr>
                <w:rFonts w:ascii="Times New Roman" w:hAnsi="Times New Roman" w:eastAsia="宋体"/>
                <w:color w:val="auto"/>
                <w:kern w:val="2"/>
                <w:sz w:val="21"/>
                <w:szCs w:val="22"/>
                <w:highlight w:val="none"/>
              </w:rPr>
              <w:t>1次/</w:t>
            </w:r>
            <w:r>
              <w:rPr>
                <w:rFonts w:hint="eastAsia" w:ascii="Times New Roman" w:hAnsi="Times New Roman" w:eastAsia="宋体"/>
                <w:color w:val="auto"/>
                <w:kern w:val="2"/>
                <w:sz w:val="21"/>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vMerge w:val="continue"/>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1790" w:type="pct"/>
            <w:vMerge w:val="continue"/>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臭气浓度</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kern w:val="2"/>
                <w:sz w:val="21"/>
                <w:szCs w:val="22"/>
                <w:highlight w:val="none"/>
              </w:rPr>
            </w:pPr>
            <w:r>
              <w:rPr>
                <w:rFonts w:ascii="Times New Roman" w:hAnsi="Times New Roman" w:eastAsia="宋体"/>
                <w:color w:val="auto"/>
                <w:kern w:val="2"/>
                <w:sz w:val="21"/>
                <w:szCs w:val="22"/>
                <w:highlight w:val="none"/>
              </w:rPr>
              <w:t>1次/</w:t>
            </w:r>
            <w:r>
              <w:rPr>
                <w:rFonts w:hint="eastAsia" w:ascii="Times New Roman" w:hAnsi="Times New Roman" w:eastAsia="宋体"/>
                <w:color w:val="auto"/>
                <w:kern w:val="2"/>
                <w:sz w:val="21"/>
                <w:szCs w:val="22"/>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地下水</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建设项目场地下游500m范围内</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pH、总硬度、溶解性总固体、耗氧量、硝酸盐、亚硝酸盐、氨氮、六价铬、硫酸盐、氯化物、氟化物、挥发酚、汞、砷、镉、铅、锰、氰化物、总大肠菌群</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color w:val="auto"/>
                <w:sz w:val="21"/>
                <w:szCs w:val="24"/>
                <w:highlight w:val="none"/>
                <w:lang w:val="en-US" w:eastAsia="zh-CN"/>
              </w:rPr>
              <w:t>1</w:t>
            </w:r>
            <w:r>
              <w:rPr>
                <w:rFonts w:hint="eastAsia" w:ascii="Times New Roman" w:hAnsi="Times New Roman" w:eastAsia="宋体"/>
                <w:color w:val="auto"/>
                <w:sz w:val="21"/>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土壤</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hint="eastAsia" w:ascii="Times New Roman" w:hAnsi="Times New Roman" w:eastAsia="宋体"/>
                <w:color w:val="auto"/>
                <w:sz w:val="21"/>
                <w:szCs w:val="24"/>
                <w:highlight w:val="none"/>
                <w:lang w:eastAsia="zh-CN"/>
              </w:rPr>
            </w:pPr>
            <w:r>
              <w:rPr>
                <w:rFonts w:hint="eastAsia"/>
                <w:color w:val="auto"/>
                <w:sz w:val="21"/>
                <w:szCs w:val="24"/>
                <w:highlight w:val="none"/>
                <w:lang w:val="en-US" w:eastAsia="zh-CN"/>
              </w:rPr>
              <w:t>项目区内</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铜、铅、砷</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噪声</w:t>
            </w:r>
          </w:p>
        </w:tc>
        <w:tc>
          <w:tcPr>
            <w:tcW w:w="1790"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厂界四周</w:t>
            </w:r>
          </w:p>
        </w:tc>
        <w:tc>
          <w:tcPr>
            <w:tcW w:w="1323"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等效A声级</w:t>
            </w:r>
          </w:p>
        </w:tc>
        <w:tc>
          <w:tcPr>
            <w:tcW w:w="652" w:type="pct"/>
            <w:tcBorders>
              <w:tl2br w:val="nil"/>
              <w:tr2bl w:val="nil"/>
            </w:tcBorders>
            <w:shd w:val="clear" w:color="000000" w:fill="auto"/>
            <w:vAlign w:val="center"/>
          </w:tcPr>
          <w:p>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季度</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关于监测点的选取、监测项目及监测周期的确定应根据国家规定的环境监测技术规范进行。</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非正常工况根据实际情况随时进行监测，如发生异常或对环境产生不利影响需立即采取相应措施进行处理。</w:t>
      </w:r>
    </w:p>
    <w:p>
      <w:pPr>
        <w:pStyle w:val="4"/>
        <w:rPr>
          <w:rFonts w:ascii="Times New Roman" w:hAnsi="Times New Roman" w:eastAsia="宋体"/>
          <w:color w:val="auto"/>
          <w:highlight w:val="none"/>
        </w:rPr>
      </w:pPr>
      <w:bookmarkStart w:id="336" w:name="_Toc106663554"/>
      <w:bookmarkStart w:id="337" w:name="_Toc89619359"/>
      <w:bookmarkStart w:id="338" w:name="_Toc18212"/>
      <w:bookmarkStart w:id="339" w:name="_Toc15438"/>
      <w:r>
        <w:rPr>
          <w:rFonts w:hint="eastAsia" w:ascii="Times New Roman" w:hAnsi="Times New Roman" w:eastAsia="宋体"/>
          <w:color w:val="auto"/>
          <w:highlight w:val="none"/>
        </w:rPr>
        <w:t>8.3</w:t>
      </w:r>
      <w:r>
        <w:rPr>
          <w:rFonts w:ascii="Times New Roman" w:hAnsi="Times New Roman" w:eastAsia="宋体"/>
          <w:color w:val="auto"/>
          <w:highlight w:val="none"/>
        </w:rPr>
        <w:t>竣工验收管理</w:t>
      </w:r>
      <w:bookmarkEnd w:id="336"/>
      <w:bookmarkEnd w:id="337"/>
      <w:bookmarkEnd w:id="338"/>
      <w:bookmarkEnd w:id="339"/>
    </w:p>
    <w:p>
      <w:pPr>
        <w:pStyle w:val="5"/>
        <w:rPr>
          <w:rFonts w:ascii="Times New Roman" w:hAnsi="Times New Roman" w:eastAsia="宋体"/>
          <w:color w:val="auto"/>
          <w:highlight w:val="none"/>
        </w:rPr>
      </w:pPr>
      <w:bookmarkStart w:id="340" w:name="_Toc106663555"/>
      <w:r>
        <w:rPr>
          <w:rFonts w:hint="eastAsia" w:ascii="Times New Roman" w:hAnsi="Times New Roman" w:eastAsia="宋体"/>
          <w:color w:val="auto"/>
          <w:highlight w:val="none"/>
        </w:rPr>
        <w:t>8.3.1竣工验收管理及要求</w:t>
      </w:r>
      <w:bookmarkEnd w:id="34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竣工环境保护验收暂行办法》，建设项目竣工后建设单位自主开展环境保护验收及相关监督管理。项目建设中应配套建设气、水、噪声或者固体废物污染防治设施，正式投入生产或使用之前自主开展环境保护验收。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验收报告分为验收监测（调查）报告、验收意见和其他需要说明的事项等三项内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（1）建设项目竣工环境保护验收的主要依据包括：</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①建设项目环境保护相关法律、法规、规章、标准和规范性文件；</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②建设项目竣工环境保护验收技术规范；</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③建设项目环境影响报告书及审批部门审批决定。</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（2）验收的程序和内容</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竣工后，建设单位应当如实查验、监测、记载建设项目环境保护设施的建设和调试情况，编制验收监测（调查）报告。以排放污染物为主的建设项目，参照《建设项目竣工环境保护验收技术指南污染影响类》编制验收监测报告。</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建设单位应当确保调试期间污染物排放符合国家和地方有关污染物排放标准和排污许可等相关管理规定。</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pStyle w:val="5"/>
        <w:rPr>
          <w:rFonts w:ascii="Times New Roman" w:hAnsi="Times New Roman" w:eastAsia="宋体"/>
          <w:color w:val="auto"/>
          <w:highlight w:val="none"/>
        </w:rPr>
      </w:pPr>
      <w:bookmarkStart w:id="341" w:name="_Toc106663556"/>
      <w:r>
        <w:rPr>
          <w:rFonts w:hint="eastAsia" w:ascii="Times New Roman" w:hAnsi="Times New Roman" w:eastAsia="宋体"/>
          <w:color w:val="auto"/>
          <w:highlight w:val="none"/>
        </w:rPr>
        <w:t>8.3.2环境保护</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验收</w:t>
      </w:r>
      <w:bookmarkEnd w:id="34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根据《中华人民共和国环境保护法》规定，项目建成后，应全面检查项目对周围环境的改变及环保设施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情况。项目试运行一段时间，达到生产正常、稳定后，由建设单位成立验收组进行自主验收。项目环保设施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竣工验收内容见表8.3-1。</w:t>
      </w:r>
    </w:p>
    <w:p>
      <w:pPr>
        <w:pStyle w:val="10"/>
        <w:rPr>
          <w:rFonts w:ascii="Times New Roman" w:hAnsi="Times New Roman" w:eastAsia="宋体"/>
          <w:color w:val="auto"/>
          <w:highlight w:val="none"/>
        </w:rPr>
      </w:pPr>
      <w:r>
        <w:rPr>
          <w:rFonts w:hint="eastAsia" w:ascii="Times New Roman" w:hAnsi="Times New Roman" w:eastAsia="宋体"/>
          <w:color w:val="auto"/>
          <w:highlight w:val="none"/>
        </w:rPr>
        <w:t>表8.3-1本项目环保设施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验收一览表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4"/>
        <w:gridCol w:w="663"/>
        <w:gridCol w:w="923"/>
        <w:gridCol w:w="3087"/>
        <w:gridCol w:w="3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污染类</w:t>
            </w:r>
            <w:r>
              <w:rPr>
                <w:rFonts w:hint="eastAsia" w:ascii="Times New Roman" w:hAnsi="Times New Roman" w:eastAsia="宋体" w:cs="宋体"/>
                <w:color w:val="auto"/>
                <w:spacing w:val="0"/>
                <w:position w:val="0"/>
                <w:sz w:val="21"/>
                <w:szCs w:val="21"/>
                <w:highlight w:val="none"/>
                <w:lang w:val="en-US" w:eastAsia="zh-CN"/>
              </w:rPr>
              <w:t>别</w:t>
            </w: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环保措施</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验收标准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w:t>
            </w: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鸡舍、</w:t>
            </w:r>
            <w:r>
              <w:rPr>
                <w:rFonts w:hint="eastAsia" w:ascii="Times New Roman" w:hAnsi="Times New Roman" w:eastAsia="宋体" w:cs="宋体"/>
                <w:color w:val="auto"/>
                <w:spacing w:val="0"/>
                <w:position w:val="0"/>
                <w:sz w:val="21"/>
                <w:szCs w:val="21"/>
                <w:highlight w:val="none"/>
                <w:lang w:eastAsia="zh-CN"/>
              </w:rPr>
              <w:t>废水收集池</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臭气浓度、</w:t>
            </w: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设置排风扇、鸡舍粪污日产日清，定期采用除臭剂进行喷洒，进行厂区绿化</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臭气浓度排放执行《畜禽养殖业污染物排放标准》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GB18596-2001</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中集约化畜禽养殖业恶臭污染物排放标准，</w:t>
            </w: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宋体"/>
                <w:color w:val="auto"/>
                <w:spacing w:val="0"/>
                <w:position w:val="0"/>
                <w:sz w:val="21"/>
                <w:szCs w:val="21"/>
                <w:highlight w:val="none"/>
              </w:rPr>
              <w:t>厂界排放浓度执行《恶臭污染物排放标准》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GB14554-93</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新污染源二级标准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w:t>
            </w:r>
          </w:p>
        </w:tc>
        <w:tc>
          <w:tcPr>
            <w:tcW w:w="399"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鸡舍和管理区</w:t>
            </w:r>
          </w:p>
        </w:tc>
        <w:tc>
          <w:tcPr>
            <w:tcW w:w="555"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鸡舍冲洗废水、生活污水</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生活污水直接排入下水管网</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tcBorders>
              <w:top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555"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rPr>
            </w:pPr>
            <w:r>
              <w:rPr>
                <w:rFonts w:ascii="Times New Roman" w:hAnsi="Times New Roman" w:eastAsia="宋体" w:cs="宋体"/>
                <w:color w:val="auto"/>
                <w:spacing w:val="0"/>
                <w:position w:val="0"/>
                <w:sz w:val="21"/>
                <w:szCs w:val="21"/>
                <w:highlight w:val="none"/>
              </w:rPr>
              <w:t>鸡舍冲洗废水排入</w:t>
            </w:r>
            <w:r>
              <w:rPr>
                <w:rFonts w:hint="eastAsia" w:ascii="Times New Roman" w:hAnsi="Times New Roman" w:eastAsia="宋体" w:cs="宋体"/>
                <w:color w:val="auto"/>
                <w:spacing w:val="0"/>
                <w:position w:val="0"/>
                <w:sz w:val="21"/>
                <w:szCs w:val="21"/>
                <w:highlight w:val="none"/>
                <w:lang w:eastAsia="zh-CN"/>
              </w:rPr>
              <w:t>废水收集池</w:t>
            </w:r>
            <w:r>
              <w:rPr>
                <w:rFonts w:hint="eastAsia" w:ascii="Times New Roman" w:hAnsi="Times New Roman" w:eastAsia="宋体" w:cs="宋体"/>
                <w:color w:val="auto"/>
                <w:spacing w:val="0"/>
                <w:position w:val="0"/>
                <w:sz w:val="21"/>
                <w:szCs w:val="21"/>
                <w:highlight w:val="none"/>
                <w:lang w:val="en-US" w:eastAsia="zh-CN"/>
              </w:rPr>
              <w:t>预处理后用作农肥</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w:t>
            </w: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设备噪声</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合理布置鸡舍间距，选用低噪声设备、厂房隔声减振等措施后</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厂界噪声执行《工业企业厂界环境噪声排放标准》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GB12348-2008</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2</w:t>
            </w:r>
            <w:r>
              <w:rPr>
                <w:rFonts w:ascii="Times New Roman" w:hAnsi="Times New Roman" w:eastAsia="宋体" w:cs="宋体"/>
                <w:color w:val="auto"/>
                <w:spacing w:val="0"/>
                <w:position w:val="0"/>
                <w:sz w:val="21"/>
                <w:szCs w:val="21"/>
                <w:highlight w:val="none"/>
              </w:rPr>
              <w:t>类标准限值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restart"/>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w:t>
            </w: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管理区</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生活垃圾集中收集合理处置</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鸡舍</w:t>
            </w:r>
            <w:r>
              <w:rPr>
                <w:rFonts w:hint="eastAsia" w:ascii="Times New Roman" w:hAnsi="Times New Roman" w:eastAsia="宋体" w:cs="宋体"/>
                <w:color w:val="auto"/>
                <w:spacing w:val="0"/>
                <w:position w:val="0"/>
                <w:sz w:val="21"/>
                <w:szCs w:val="21"/>
                <w:highlight w:val="none"/>
                <w:lang w:eastAsia="zh-CN"/>
              </w:rPr>
              <w:t>、</w:t>
            </w:r>
            <w:r>
              <w:rPr>
                <w:rFonts w:hint="eastAsia" w:ascii="Times New Roman" w:hAnsi="Times New Roman" w:eastAsia="宋体" w:cs="宋体"/>
                <w:color w:val="auto"/>
                <w:spacing w:val="0"/>
                <w:position w:val="0"/>
                <w:sz w:val="21"/>
                <w:szCs w:val="21"/>
                <w:highlight w:val="none"/>
                <w:lang w:val="en-US" w:eastAsia="zh-CN"/>
              </w:rPr>
              <w:t>废水收集池</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鸡粪</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散落羽毛</w:t>
            </w:r>
            <w:r>
              <w:rPr>
                <w:rFonts w:hint="eastAsia" w:ascii="Times New Roman" w:hAnsi="Times New Roman" w:eastAsia="宋体" w:cs="宋体"/>
                <w:color w:val="auto"/>
                <w:spacing w:val="0"/>
                <w:position w:val="0"/>
                <w:sz w:val="21"/>
                <w:szCs w:val="21"/>
                <w:highlight w:val="none"/>
                <w:lang w:val="en-US" w:eastAsia="zh-CN"/>
              </w:rPr>
              <w:t>及污泥</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鸡粪采用自动清粪系统清理后</w:t>
            </w:r>
            <w:r>
              <w:rPr>
                <w:rFonts w:hint="eastAsia" w:ascii="Times New Roman" w:hAnsi="Times New Roman" w:eastAsia="宋体" w:cs="宋体"/>
                <w:color w:val="auto"/>
                <w:spacing w:val="0"/>
                <w:position w:val="0"/>
                <w:sz w:val="21"/>
                <w:szCs w:val="21"/>
                <w:highlight w:val="none"/>
                <w:lang w:val="en-US" w:eastAsia="zh-CN"/>
              </w:rPr>
              <w:t>和污泥外售</w:t>
            </w:r>
            <w:r>
              <w:rPr>
                <w:rFonts w:ascii="Times New Roman" w:hAnsi="Times New Roman" w:eastAsia="宋体" w:cs="宋体"/>
                <w:color w:val="auto"/>
                <w:spacing w:val="0"/>
                <w:position w:val="0"/>
                <w:sz w:val="21"/>
                <w:szCs w:val="21"/>
                <w:highlight w:val="none"/>
              </w:rPr>
              <w:t>有机肥厂，由其负责定期清运工作。</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jc w:val="center"/>
        </w:trPr>
        <w:tc>
          <w:tcPr>
            <w:tcW w:w="334" w:type="pct"/>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病死鸡只</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安全填埋井填埋处置，安全填埋井按照重点防渗区防渗处置</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按照《畜禽养殖业污染防治技术规范》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HJ/T81-2001</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要求进行布置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生产加工区</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废弃包装袋</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饲料包装袋集中收集后外售</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危废暂存间</w:t>
            </w:r>
          </w:p>
        </w:tc>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医疗废物</w:t>
            </w:r>
          </w:p>
        </w:tc>
        <w:tc>
          <w:tcPr>
            <w:tcW w:w="1855"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按照《危险废物储存场所管理规范》设置医疗废物暂存间，定期</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交由有资质的单位</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w:t>
            </w:r>
          </w:p>
        </w:tc>
        <w:tc>
          <w:tcPr>
            <w:tcW w:w="2811"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种植草坪、树木，景观造型设计等</w:t>
            </w:r>
          </w:p>
        </w:tc>
        <w:tc>
          <w:tcPr>
            <w:tcW w:w="185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绿化率达</w:t>
            </w:r>
            <w:r>
              <w:rPr>
                <w:rFonts w:ascii="Times New Roman" w:hAnsi="Times New Roman" w:eastAsia="宋体" w:cs="Times New Roman"/>
                <w:color w:val="auto"/>
                <w:spacing w:val="0"/>
                <w:position w:val="0"/>
                <w:sz w:val="21"/>
                <w:szCs w:val="21"/>
                <w:highlight w:val="none"/>
              </w:rPr>
              <w:t>10%</w:t>
            </w:r>
          </w:p>
        </w:tc>
      </w:tr>
    </w:tbl>
    <w:p>
      <w:pPr>
        <w:pStyle w:val="4"/>
        <w:rPr>
          <w:rFonts w:ascii="Times New Roman" w:hAnsi="Times New Roman" w:eastAsia="宋体"/>
          <w:color w:val="auto"/>
          <w:highlight w:val="none"/>
        </w:rPr>
      </w:pPr>
      <w:bookmarkStart w:id="342" w:name="_Toc89619360"/>
      <w:bookmarkStart w:id="343" w:name="_Toc106663557"/>
      <w:r>
        <w:rPr>
          <w:rFonts w:hint="eastAsia" w:ascii="Times New Roman" w:hAnsi="Times New Roman" w:eastAsia="宋体"/>
          <w:color w:val="auto"/>
          <w:highlight w:val="none"/>
        </w:rPr>
        <w:t>8.4污染源排放清单</w:t>
      </w:r>
      <w:bookmarkEnd w:id="342"/>
      <w:bookmarkEnd w:id="34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本项目运营期间污染物排放清单见表8.4-1。</w:t>
      </w:r>
    </w:p>
    <w:p>
      <w:pPr>
        <w:pStyle w:val="10"/>
        <w:spacing w:after="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表8.4-1运营期污染源排放清单</w:t>
      </w:r>
    </w:p>
    <w:tbl>
      <w:tblPr>
        <w:tblStyle w:val="176"/>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7"/>
        <w:gridCol w:w="945"/>
        <w:gridCol w:w="1274"/>
        <w:gridCol w:w="1490"/>
        <w:gridCol w:w="3086"/>
        <w:gridCol w:w="1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主要污染物</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产生量</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处置措施</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废气</w:t>
            </w:r>
          </w:p>
        </w:tc>
        <w:tc>
          <w:tcPr>
            <w:tcW w:w="5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圈舍无组织</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圈舍定期喷洒除臭剂，鸡粪日产日清；圈舍四周绿化</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0.6</w:t>
            </w:r>
            <w:r>
              <w:rPr>
                <w:rFonts w:ascii="Times New Roman" w:hAnsi="Times New Roman" w:eastAsia="宋体" w:cs="Times New Roman"/>
                <w:color w:val="auto"/>
                <w:spacing w:val="0"/>
                <w:sz w:val="21"/>
                <w:szCs w:val="21"/>
                <w:highlight w:val="none"/>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0.046</w:t>
            </w:r>
            <w:r>
              <w:rPr>
                <w:rFonts w:ascii="Times New Roman" w:hAnsi="Times New Roman" w:eastAsia="宋体" w:cs="Times New Roman"/>
                <w:color w:val="auto"/>
                <w:spacing w:val="0"/>
                <w:sz w:val="21"/>
                <w:szCs w:val="21"/>
                <w:highlight w:val="none"/>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废水收集池</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进行加盖密闭，定期喷洒除臭剂，加强绿化</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56" w:type="pct"/>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废水</w:t>
            </w: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鸡舍冲洗废水</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311.04m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rPr>
            </w:pPr>
            <w:r>
              <w:rPr>
                <w:rFonts w:ascii="Times New Roman" w:hAnsi="Times New Roman" w:eastAsia="宋体" w:cs="宋体"/>
                <w:color w:val="auto"/>
                <w:spacing w:val="0"/>
                <w:sz w:val="21"/>
                <w:szCs w:val="21"/>
                <w:highlight w:val="none"/>
              </w:rPr>
              <w:t>鸡舍冲洗废水排入</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座配备</w:t>
            </w:r>
            <w:r>
              <w:rPr>
                <w:rFonts w:hint="eastAsia" w:cs="宋体"/>
                <w:color w:val="auto"/>
                <w:spacing w:val="0"/>
                <w:sz w:val="21"/>
                <w:szCs w:val="21"/>
                <w:highlight w:val="none"/>
                <w:lang w:val="en-US" w:eastAsia="zh-CN"/>
              </w:rPr>
              <w:t>150</w:t>
            </w:r>
            <w:r>
              <w:rPr>
                <w:rFonts w:ascii="Times New Roman" w:hAnsi="Times New Roman" w:eastAsia="宋体" w:cs="Times New Roman"/>
                <w:color w:val="auto"/>
                <w:spacing w:val="0"/>
                <w:sz w:val="21"/>
                <w:szCs w:val="21"/>
                <w:highlight w:val="none"/>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宋体"/>
                <w:color w:val="auto"/>
                <w:spacing w:val="0"/>
                <w:sz w:val="21"/>
                <w:szCs w:val="21"/>
                <w:highlight w:val="none"/>
              </w:rPr>
              <w:t>的</w:t>
            </w:r>
            <w:r>
              <w:rPr>
                <w:rFonts w:hint="eastAsia" w:cs="宋体"/>
                <w:color w:val="auto"/>
                <w:spacing w:val="0"/>
                <w:sz w:val="21"/>
                <w:szCs w:val="21"/>
                <w:highlight w:val="none"/>
                <w:lang w:eastAsia="zh-CN"/>
              </w:rPr>
              <w:t>废水收集池）</w:t>
            </w:r>
            <w:r>
              <w:rPr>
                <w:rFonts w:hint="eastAsia" w:cs="宋体"/>
                <w:color w:val="auto"/>
                <w:spacing w:val="0"/>
                <w:sz w:val="21"/>
                <w:szCs w:val="21"/>
                <w:highlight w:val="none"/>
                <w:lang w:val="en-US" w:eastAsia="zh-CN"/>
              </w:rPr>
              <w:t>经预处理后用作农肥</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rPr>
            </w:pPr>
            <w:r>
              <w:rPr>
                <w:rFonts w:hint="eastAsia" w:ascii="Times New Roman" w:hAnsi="Times New Roman" w:eastAsia="宋体" w:cs="Times New Roman"/>
                <w:color w:val="auto"/>
                <w:spacing w:val="0"/>
                <w:position w:val="7"/>
                <w:sz w:val="21"/>
                <w:szCs w:val="21"/>
                <w:highlight w:val="none"/>
                <w:lang w:val="en-US" w:eastAsia="zh-CN"/>
              </w:rPr>
              <w:t>311.04m</w:t>
            </w:r>
            <w:r>
              <w:rPr>
                <w:rFonts w:hint="eastAsia" w:ascii="Times New Roman" w:hAnsi="Times New Roman" w:eastAsia="宋体" w:cs="Times New Roman"/>
                <w:color w:val="auto"/>
                <w:spacing w:val="0"/>
                <w:position w:val="7"/>
                <w:sz w:val="21"/>
                <w:szCs w:val="21"/>
                <w:highlight w:val="none"/>
                <w:vertAlign w:val="superscript"/>
                <w:lang w:val="en-US" w:eastAsia="zh-CN"/>
              </w:rPr>
              <w:t>3</w:t>
            </w:r>
            <w:r>
              <w:rPr>
                <w:rFonts w:hint="eastAsia" w:ascii="Times New Roman" w:hAnsi="Times New Roman" w:eastAsia="宋体" w:cs="Times New Roman"/>
                <w:color w:val="auto"/>
                <w:spacing w:val="0"/>
                <w:position w:val="7"/>
                <w:sz w:val="21"/>
                <w:szCs w:val="21"/>
                <w:highlight w:val="none"/>
                <w:vertAlign w:val="baseline"/>
                <w:lang w:val="en-US" w:eastAsia="zh-C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生活污水</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直接排入下水管网，最终进入污水处理厂</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固体废物</w:t>
            </w: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c>
          <w:tcPr>
            <w:tcW w:w="185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清理后外售作为有机肥使用</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废水收集池</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c>
          <w:tcPr>
            <w:tcW w:w="185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3.6</w:t>
            </w:r>
            <w:r>
              <w:rPr>
                <w:rFonts w:ascii="Times New Roman" w:hAnsi="Times New Roman" w:eastAsia="宋体" w:cs="Times New Roman"/>
                <w:color w:val="auto"/>
                <w:spacing w:val="0"/>
                <w:sz w:val="21"/>
                <w:szCs w:val="21"/>
                <w:highlight w:val="none"/>
              </w:rPr>
              <w:t>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经设置的安全填埋井深埋处置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兽医站</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设置</w:t>
            </w:r>
            <w:r>
              <w:rPr>
                <w:rFonts w:hint="eastAsia" w:cs="宋体"/>
                <w:color w:val="auto"/>
                <w:spacing w:val="0"/>
                <w:sz w:val="21"/>
                <w:szCs w:val="21"/>
                <w:highlight w:val="none"/>
                <w:lang w:eastAsia="zh-CN"/>
              </w:rPr>
              <w:t>医疗废物暂存间</w:t>
            </w:r>
            <w:r>
              <w:rPr>
                <w:rFonts w:ascii="Times New Roman" w:hAnsi="Times New Roman" w:eastAsia="宋体" w:cs="宋体"/>
                <w:color w:val="auto"/>
                <w:spacing w:val="0"/>
                <w:sz w:val="21"/>
                <w:szCs w:val="21"/>
                <w:highlight w:val="none"/>
              </w:rPr>
              <w:t>暂存后定期交由有资质单位处置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废包装材料</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交由废物回收单位处置</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6" w:type="pct"/>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8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c>
          <w:tcPr>
            <w:tcW w:w="18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由环卫部门运至垃圾填埋场</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256" w:type="pc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噪声</w:t>
            </w:r>
          </w:p>
        </w:tc>
        <w:tc>
          <w:tcPr>
            <w:tcW w:w="1331"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工艺设备运行噪声，声级在</w:t>
            </w:r>
            <w:r>
              <w:rPr>
                <w:rFonts w:ascii="Times New Roman" w:hAnsi="Times New Roman" w:eastAsia="宋体" w:cs="Times New Roman"/>
                <w:color w:val="auto"/>
                <w:spacing w:val="0"/>
                <w:sz w:val="21"/>
                <w:szCs w:val="21"/>
                <w:highlight w:val="none"/>
              </w:rPr>
              <w:t>75~95dB</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A</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之间</w:t>
            </w:r>
          </w:p>
        </w:tc>
        <w:tc>
          <w:tcPr>
            <w:tcW w:w="3412"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设备选用低噪声设备，在安装时采取降噪减震措施，全部</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安装于室内，使用时定期检修，做好设备保养，落实工作</w:t>
            </w:r>
          </w:p>
          <w:p>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间防噪声劳动保护和管理，完善厂区绿化建设</w:t>
            </w:r>
          </w:p>
        </w:tc>
      </w:tr>
    </w:tbl>
    <w:p>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rPr>
          <w:rFonts w:ascii="Times New Roman" w:hAnsi="Times New Roman" w:eastAsia="宋体"/>
          <w:color w:val="auto"/>
          <w:highlight w:val="none"/>
        </w:rPr>
      </w:pPr>
      <w:bookmarkStart w:id="344" w:name="_Toc89619361"/>
      <w:bookmarkStart w:id="345" w:name="_Toc106663558"/>
      <w:r>
        <w:rPr>
          <w:rFonts w:hint="eastAsia" w:ascii="Times New Roman" w:hAnsi="Times New Roman" w:eastAsia="宋体"/>
          <w:color w:val="auto"/>
          <w:highlight w:val="none"/>
        </w:rPr>
        <w:t>9、结论与建议</w:t>
      </w:r>
      <w:bookmarkEnd w:id="344"/>
      <w:bookmarkEnd w:id="345"/>
    </w:p>
    <w:p>
      <w:pPr>
        <w:pStyle w:val="4"/>
        <w:rPr>
          <w:rFonts w:ascii="Times New Roman" w:hAnsi="Times New Roman" w:eastAsia="宋体"/>
          <w:color w:val="auto"/>
          <w:highlight w:val="none"/>
        </w:rPr>
      </w:pPr>
      <w:bookmarkStart w:id="346" w:name="_Toc106663559"/>
      <w:bookmarkStart w:id="347" w:name="_Toc89619362"/>
      <w:r>
        <w:rPr>
          <w:rFonts w:hint="eastAsia" w:ascii="Times New Roman" w:hAnsi="Times New Roman" w:eastAsia="宋体"/>
          <w:color w:val="auto"/>
          <w:highlight w:val="none"/>
        </w:rPr>
        <w:t>9.1建设项目概况</w:t>
      </w:r>
      <w:bookmarkEnd w:id="346"/>
      <w:bookmarkEnd w:id="347"/>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（1）项目名称：</w:t>
      </w:r>
      <w:r>
        <w:rPr>
          <w:rFonts w:hint="eastAsia" w:ascii="Times New Roman" w:hAnsi="Times New Roman" w:eastAsia="宋体"/>
          <w:color w:val="auto"/>
          <w:highlight w:val="none"/>
          <w:lang w:eastAsia="zh-CN"/>
        </w:rPr>
        <w:t>玛纳斯县蛋鸡育成鸡圈舍建设及设备采购项目</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（2）建设单位：</w:t>
      </w:r>
      <w:r>
        <w:rPr>
          <w:rFonts w:hint="eastAsia" w:ascii="Times New Roman" w:hAnsi="Times New Roman" w:eastAsia="宋体"/>
          <w:color w:val="auto"/>
          <w:highlight w:val="none"/>
          <w:lang w:eastAsia="zh-CN"/>
        </w:rPr>
        <w:t>玛纳斯县广东地乡人民政府</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（3）项目性质：新建</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（4）建设地点：本项目位于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，厂界四周均为农田（种植经济作物）。中心地理坐标：86°19′54″</w:t>
      </w:r>
      <w:r>
        <w:rPr>
          <w:rFonts w:ascii="Times New Roman" w:hAnsi="Times New Roman" w:eastAsia="宋体"/>
          <w:color w:val="auto"/>
          <w:highlight w:val="none"/>
        </w:rPr>
        <w:t>E，44°20′39″N</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（5）项目投资：项目总投资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（6）占地面积：本项目总占地面积为</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（7）生产规模：饲养规模达到</w:t>
      </w:r>
      <w:r>
        <w:rPr>
          <w:rFonts w:hint="eastAsia"/>
          <w:color w:val="auto"/>
          <w:highlight w:val="none"/>
          <w:lang w:val="en-US" w:eastAsia="zh-CN"/>
        </w:rPr>
        <w:t>72</w:t>
      </w:r>
      <w:r>
        <w:rPr>
          <w:rFonts w:hint="eastAsia" w:ascii="Times New Roman" w:hAnsi="Times New Roman" w:eastAsia="宋体"/>
          <w:color w:val="auto"/>
          <w:highlight w:val="none"/>
        </w:rPr>
        <w:t>万羽。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（8）劳动定员：本项目建成投产后，劳动定员为</w:t>
      </w:r>
      <w:r>
        <w:rPr>
          <w:rFonts w:hint="eastAsia"/>
          <w:color w:val="auto"/>
          <w:highlight w:val="none"/>
          <w:lang w:val="en-US" w:eastAsia="zh-CN"/>
        </w:rPr>
        <w:t>20</w:t>
      </w:r>
      <w:r>
        <w:rPr>
          <w:rFonts w:hint="eastAsia" w:ascii="Times New Roman" w:hAnsi="Times New Roman" w:eastAsia="宋体"/>
          <w:color w:val="auto"/>
          <w:highlight w:val="none"/>
        </w:rPr>
        <w:t>人，年生产</w:t>
      </w:r>
      <w:r>
        <w:rPr>
          <w:rFonts w:hint="eastAsia"/>
          <w:color w:val="auto"/>
          <w:highlight w:val="none"/>
          <w:lang w:val="en-US" w:eastAsia="zh-CN"/>
        </w:rPr>
        <w:t>365</w:t>
      </w:r>
      <w:r>
        <w:rPr>
          <w:rFonts w:hint="eastAsia" w:ascii="Times New Roman" w:hAnsi="Times New Roman" w:eastAsia="宋体"/>
          <w:color w:val="auto"/>
          <w:highlight w:val="none"/>
        </w:rPr>
        <w:t>天。</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（9）项目实施规划：计划202</w:t>
      </w:r>
      <w:r>
        <w:rPr>
          <w:rFonts w:hint="eastAsia"/>
          <w:color w:val="auto"/>
          <w:highlight w:val="none"/>
          <w:lang w:val="en-US" w:eastAsia="zh-CN"/>
        </w:rPr>
        <w:t>4</w:t>
      </w:r>
      <w:r>
        <w:rPr>
          <w:rFonts w:hint="eastAsia" w:ascii="Times New Roman" w:hAnsi="Times New Roman" w:eastAsia="宋体"/>
          <w:color w:val="auto"/>
          <w:highlight w:val="none"/>
        </w:rPr>
        <w:t>年</w:t>
      </w:r>
      <w:r>
        <w:rPr>
          <w:rFonts w:hint="eastAsia"/>
          <w:color w:val="auto"/>
          <w:highlight w:val="none"/>
          <w:lang w:val="en-US" w:eastAsia="zh-CN"/>
        </w:rPr>
        <w:t>8</w:t>
      </w:r>
      <w:r>
        <w:rPr>
          <w:rFonts w:hint="eastAsia" w:ascii="Times New Roman" w:hAnsi="Times New Roman" w:eastAsia="宋体"/>
          <w:color w:val="auto"/>
          <w:highlight w:val="none"/>
        </w:rPr>
        <w:t>月建成投产。</w:t>
      </w:r>
    </w:p>
    <w:p>
      <w:pPr>
        <w:pStyle w:val="4"/>
        <w:rPr>
          <w:rFonts w:ascii="Times New Roman" w:hAnsi="Times New Roman" w:eastAsia="宋体"/>
          <w:color w:val="auto"/>
          <w:highlight w:val="none"/>
        </w:rPr>
      </w:pPr>
      <w:bookmarkStart w:id="348" w:name="_Toc89619363"/>
      <w:bookmarkStart w:id="349" w:name="_Toc106663560"/>
      <w:r>
        <w:rPr>
          <w:rFonts w:hint="eastAsia" w:ascii="Times New Roman" w:hAnsi="Times New Roman" w:eastAsia="宋体"/>
          <w:color w:val="auto"/>
          <w:highlight w:val="none"/>
        </w:rPr>
        <w:t>9.2产业政策及相关规划符合性结论</w:t>
      </w:r>
      <w:bookmarkEnd w:id="348"/>
      <w:bookmarkEnd w:id="34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本项目为标准化规模</w:t>
      </w:r>
      <w:r>
        <w:rPr>
          <w:rFonts w:hint="eastAsia"/>
          <w:color w:val="auto"/>
          <w:highlight w:val="none"/>
          <w:lang w:val="en-US" w:eastAsia="zh-CN"/>
        </w:rPr>
        <w:t>蛋鸡</w:t>
      </w:r>
      <w:r>
        <w:rPr>
          <w:rFonts w:hint="eastAsia" w:ascii="Times New Roman" w:hAnsi="Times New Roman" w:eastAsia="宋体"/>
          <w:color w:val="auto"/>
          <w:highlight w:val="none"/>
        </w:rPr>
        <w:t>养殖项目，属于《</w:t>
      </w:r>
      <w:r>
        <w:rPr>
          <w:rFonts w:hint="eastAsia"/>
          <w:color w:val="auto"/>
          <w:highlight w:val="none"/>
          <w:lang w:eastAsia="zh-CN"/>
        </w:rPr>
        <w:t>产业结构调整指导目录（2021年本）</w:t>
      </w:r>
      <w:r>
        <w:rPr>
          <w:rFonts w:hint="eastAsia" w:ascii="Times New Roman" w:hAnsi="Times New Roman" w:eastAsia="宋体"/>
          <w:color w:val="auto"/>
          <w:highlight w:val="none"/>
        </w:rPr>
        <w:t>》中</w:t>
      </w:r>
      <w:r>
        <w:rPr>
          <w:rFonts w:hint="eastAsia"/>
          <w:color w:val="auto"/>
          <w:highlight w:val="none"/>
          <w:lang w:eastAsia="zh-CN"/>
        </w:rPr>
        <w:t>”</w:t>
      </w:r>
      <w:r>
        <w:rPr>
          <w:rFonts w:hint="eastAsia" w:ascii="Times New Roman" w:hAnsi="Times New Roman" w:eastAsia="宋体"/>
          <w:color w:val="auto"/>
          <w:highlight w:val="none"/>
        </w:rPr>
        <w:t>第一类鼓励类</w:t>
      </w:r>
      <w:r>
        <w:rPr>
          <w:rFonts w:hint="eastAsia"/>
          <w:color w:val="auto"/>
          <w:highlight w:val="none"/>
          <w:lang w:eastAsia="zh-CN"/>
        </w:rPr>
        <w:t>”</w:t>
      </w:r>
      <w:r>
        <w:rPr>
          <w:rFonts w:hint="eastAsia" w:ascii="Times New Roman" w:hAnsi="Times New Roman" w:eastAsia="宋体"/>
          <w:color w:val="auto"/>
          <w:highlight w:val="none"/>
        </w:rPr>
        <w:t>中</w:t>
      </w:r>
      <w:r>
        <w:rPr>
          <w:rFonts w:hint="eastAsia"/>
          <w:color w:val="auto"/>
          <w:highlight w:val="none"/>
          <w:lang w:eastAsia="zh-CN"/>
        </w:rPr>
        <w:t>”</w:t>
      </w:r>
      <w:r>
        <w:rPr>
          <w:rFonts w:hint="eastAsia" w:ascii="Times New Roman" w:hAnsi="Times New Roman" w:eastAsia="宋体"/>
          <w:color w:val="auto"/>
          <w:highlight w:val="none"/>
        </w:rPr>
        <w:t>一、农林业</w:t>
      </w:r>
      <w:r>
        <w:rPr>
          <w:rFonts w:hint="eastAsia"/>
          <w:color w:val="auto"/>
          <w:highlight w:val="none"/>
          <w:lang w:eastAsia="zh-CN"/>
        </w:rPr>
        <w:t>”</w:t>
      </w:r>
      <w:r>
        <w:rPr>
          <w:rFonts w:hint="eastAsia" w:ascii="Times New Roman" w:hAnsi="Times New Roman" w:eastAsia="宋体"/>
          <w:color w:val="auto"/>
          <w:highlight w:val="none"/>
        </w:rPr>
        <w:t>中的</w:t>
      </w:r>
      <w:r>
        <w:rPr>
          <w:rFonts w:hint="eastAsia"/>
          <w:color w:val="auto"/>
          <w:highlight w:val="none"/>
          <w:lang w:eastAsia="zh-CN"/>
        </w:rPr>
        <w:t>”</w:t>
      </w:r>
      <w:r>
        <w:rPr>
          <w:rFonts w:hint="eastAsia" w:ascii="Times New Roman" w:hAnsi="Times New Roman" w:eastAsia="宋体"/>
          <w:color w:val="auto"/>
          <w:highlight w:val="none"/>
        </w:rPr>
        <w:t>4、畜禽标准化规模养殖技术开发与应用</w:t>
      </w:r>
      <w:r>
        <w:rPr>
          <w:rFonts w:hint="eastAsia"/>
          <w:color w:val="auto"/>
          <w:highlight w:val="none"/>
          <w:lang w:eastAsia="zh-CN"/>
        </w:rPr>
        <w:t>”</w:t>
      </w:r>
      <w:r>
        <w:rPr>
          <w:rFonts w:hint="eastAsia" w:ascii="Times New Roman" w:hAnsi="Times New Roman" w:eastAsia="宋体"/>
          <w:color w:val="auto"/>
          <w:highlight w:val="none"/>
        </w:rPr>
        <w:t>，符合国家产业政策。</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项目的建设符合《新疆维吾尔自治区国民经济和社会发展第十四个五年规划和2035年远景目标纲要》、《新疆维吾尔自治区畜牧业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等相关要求，选址符合《畜禽规模养殖污染防治条例》（国务院令第643号）、《畜禽养殖业污染防治技术规范》（HJ/T81-2001）、《畜禽养殖业污染防治技术政策》（环发[2010]151号）等相关要求。项目的建设地点不涉及国家法规、标准规范限定的禁建区，不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划定的禁养区内。因此，本项目建设可行。</w:t>
      </w:r>
    </w:p>
    <w:p>
      <w:pPr>
        <w:ind w:firstLine="480"/>
        <w:rPr>
          <w:rFonts w:ascii="Times New Roman" w:hAnsi="Times New Roman" w:eastAsia="宋体"/>
          <w:color w:val="auto"/>
          <w:highlight w:val="none"/>
        </w:rPr>
      </w:pPr>
    </w:p>
    <w:p>
      <w:pPr>
        <w:pStyle w:val="4"/>
        <w:rPr>
          <w:rFonts w:ascii="Times New Roman" w:hAnsi="Times New Roman" w:eastAsia="宋体"/>
          <w:color w:val="auto"/>
          <w:highlight w:val="none"/>
        </w:rPr>
      </w:pPr>
      <w:bookmarkStart w:id="350" w:name="_Toc106663561"/>
      <w:bookmarkStart w:id="351" w:name="_Toc89619364"/>
      <w:r>
        <w:rPr>
          <w:rFonts w:hint="eastAsia" w:ascii="Times New Roman" w:hAnsi="Times New Roman" w:eastAsia="宋体"/>
          <w:color w:val="auto"/>
          <w:highlight w:val="none"/>
        </w:rPr>
        <w:t>9.3环境质量现状评价结论</w:t>
      </w:r>
      <w:bookmarkEnd w:id="350"/>
      <w:bookmarkEnd w:id="351"/>
    </w:p>
    <w:p>
      <w:pPr>
        <w:pStyle w:val="5"/>
        <w:rPr>
          <w:rFonts w:ascii="Times New Roman" w:hAnsi="Times New Roman" w:eastAsia="宋体"/>
          <w:color w:val="auto"/>
          <w:highlight w:val="none"/>
        </w:rPr>
      </w:pPr>
      <w:bookmarkStart w:id="352" w:name="_Toc106663562"/>
      <w:r>
        <w:rPr>
          <w:rFonts w:hint="eastAsia" w:ascii="Times New Roman" w:hAnsi="Times New Roman" w:eastAsia="宋体"/>
          <w:color w:val="auto"/>
          <w:highlight w:val="none"/>
        </w:rPr>
        <w:t>9.3.1大气环境质量现状评价结论</w:t>
      </w:r>
      <w:bookmarkEnd w:id="352"/>
    </w:p>
    <w:p>
      <w:pPr>
        <w:ind w:firstLine="480"/>
        <w:rPr>
          <w:rFonts w:ascii="Times New Roman" w:hAnsi="Times New Roman" w:eastAsia="宋体"/>
          <w:color w:val="auto"/>
          <w:highlight w:val="none"/>
        </w:rPr>
      </w:pPr>
      <w:r>
        <w:rPr>
          <w:rFonts w:ascii="Times New Roman" w:hAnsi="Times New Roman" w:eastAsia="宋体"/>
          <w:color w:val="auto"/>
          <w:highlight w:val="none"/>
        </w:rPr>
        <w:t>根据项目所在区域环境空气统计数据，环境空气</w:t>
      </w:r>
      <w:r>
        <w:rPr>
          <w:rFonts w:hint="eastAsia" w:ascii="Times New Roman" w:hAnsi="Times New Roman" w:eastAsia="宋体"/>
          <w:color w:val="auto"/>
          <w:highlight w:val="none"/>
        </w:rPr>
        <w:t>基本污染物</w:t>
      </w:r>
      <w:r>
        <w:rPr>
          <w:rFonts w:ascii="Times New Roman" w:hAnsi="Times New Roman" w:eastAsia="宋体"/>
          <w:color w:val="auto"/>
          <w:highlight w:val="none"/>
        </w:rPr>
        <w:t>指标中SO</w:t>
      </w:r>
      <w:r>
        <w:rPr>
          <w:rFonts w:ascii="Times New Roman" w:hAnsi="Times New Roman" w:eastAsia="宋体"/>
          <w:color w:val="auto"/>
          <w:highlight w:val="none"/>
          <w:vertAlign w:val="subscript"/>
        </w:rPr>
        <w:t>2</w:t>
      </w:r>
      <w:r>
        <w:rPr>
          <w:rFonts w:ascii="Times New Roman" w:hAnsi="Times New Roman" w:eastAsia="宋体"/>
          <w:color w:val="auto"/>
          <w:highlight w:val="none"/>
        </w:rPr>
        <w:t>、NO</w:t>
      </w:r>
      <w:r>
        <w:rPr>
          <w:rFonts w:ascii="Times New Roman" w:hAnsi="Times New Roman" w:eastAsia="宋体"/>
          <w:color w:val="auto"/>
          <w:highlight w:val="none"/>
          <w:vertAlign w:val="subscript"/>
        </w:rPr>
        <w:t>2</w:t>
      </w:r>
      <w:r>
        <w:rPr>
          <w:rFonts w:ascii="Times New Roman" w:hAnsi="Times New Roman" w:eastAsia="宋体"/>
          <w:color w:val="auto"/>
          <w:highlight w:val="none"/>
        </w:rPr>
        <w:t>、CO和O</w:t>
      </w:r>
      <w:r>
        <w:rPr>
          <w:rFonts w:ascii="Times New Roman" w:hAnsi="Times New Roman" w:eastAsia="宋体"/>
          <w:color w:val="auto"/>
          <w:highlight w:val="none"/>
          <w:vertAlign w:val="subscript"/>
        </w:rPr>
        <w:t>3</w:t>
      </w:r>
      <w:r>
        <w:rPr>
          <w:rFonts w:ascii="Times New Roman" w:hAnsi="Times New Roman" w:eastAsia="宋体"/>
          <w:color w:val="auto"/>
          <w:highlight w:val="none"/>
        </w:rPr>
        <w:t>达到国家二级标准，PM</w:t>
      </w:r>
      <w:r>
        <w:rPr>
          <w:rFonts w:ascii="Times New Roman" w:hAnsi="Times New Roman" w:eastAsia="宋体"/>
          <w:color w:val="auto"/>
          <w:highlight w:val="none"/>
          <w:vertAlign w:val="subscript"/>
        </w:rPr>
        <w:t>10</w:t>
      </w:r>
      <w:r>
        <w:rPr>
          <w:rFonts w:hint="eastAsia" w:ascii="Times New Roman" w:hAnsi="Times New Roman" w:eastAsia="宋体"/>
          <w:color w:val="auto"/>
          <w:highlight w:val="none"/>
        </w:rPr>
        <w:t>、</w:t>
      </w:r>
      <w:r>
        <w:rPr>
          <w:rFonts w:ascii="Times New Roman" w:hAnsi="Times New Roman" w:eastAsia="宋体"/>
          <w:color w:val="auto"/>
          <w:highlight w:val="none"/>
        </w:rPr>
        <w:t>PM</w:t>
      </w:r>
      <w:r>
        <w:rPr>
          <w:rFonts w:ascii="Times New Roman" w:hAnsi="Times New Roman" w:eastAsia="宋体"/>
          <w:color w:val="auto"/>
          <w:highlight w:val="none"/>
          <w:vertAlign w:val="subscript"/>
        </w:rPr>
        <w:t>2.5</w:t>
      </w:r>
      <w:r>
        <w:rPr>
          <w:rFonts w:hint="eastAsia" w:ascii="Times New Roman" w:hAnsi="Times New Roman" w:eastAsia="宋体"/>
          <w:color w:val="auto"/>
          <w:highlight w:val="none"/>
        </w:rPr>
        <w:t>不符合</w:t>
      </w:r>
      <w:r>
        <w:rPr>
          <w:rFonts w:ascii="Times New Roman" w:hAnsi="Times New Roman" w:eastAsia="宋体"/>
          <w:color w:val="auto"/>
          <w:highlight w:val="none"/>
        </w:rPr>
        <w:t>国家二级标准，本项目所在区域为</w:t>
      </w:r>
      <w:r>
        <w:rPr>
          <w:rFonts w:hint="eastAsia" w:ascii="Times New Roman" w:hAnsi="Times New Roman" w:eastAsia="宋体"/>
          <w:color w:val="auto"/>
          <w:highlight w:val="none"/>
        </w:rPr>
        <w:t>不</w:t>
      </w:r>
      <w:r>
        <w:rPr>
          <w:rFonts w:ascii="Times New Roman" w:hAnsi="Times New Roman" w:eastAsia="宋体"/>
          <w:color w:val="auto"/>
          <w:highlight w:val="none"/>
        </w:rPr>
        <w:t>达标区。</w:t>
      </w:r>
    </w:p>
    <w:p>
      <w:pPr>
        <w:ind w:firstLine="480"/>
        <w:rPr>
          <w:rFonts w:ascii="Times New Roman" w:hAnsi="Times New Roman" w:eastAsia="宋体"/>
          <w:color w:val="auto"/>
          <w:highlight w:val="none"/>
        </w:rPr>
      </w:pPr>
      <w:r>
        <w:rPr>
          <w:rFonts w:ascii="Times New Roman" w:hAnsi="Times New Roman" w:eastAsia="宋体"/>
          <w:color w:val="auto"/>
          <w:highlight w:val="none"/>
        </w:rPr>
        <w:t>其他污染物各监测点环境空气中氨、硫化氢小时值</w:t>
      </w:r>
      <w:r>
        <w:rPr>
          <w:rFonts w:hint="eastAsia" w:ascii="Times New Roman" w:hAnsi="Times New Roman" w:eastAsia="宋体"/>
          <w:color w:val="auto"/>
          <w:highlight w:val="none"/>
        </w:rPr>
        <w:t>日均值</w:t>
      </w:r>
      <w:r>
        <w:rPr>
          <w:rFonts w:ascii="Times New Roman" w:hAnsi="Times New Roman" w:eastAsia="宋体"/>
          <w:color w:val="auto"/>
          <w:highlight w:val="none"/>
        </w:rPr>
        <w:t>满足《环境影响评价技术导则大气环境》（HJ2.2-2018）附录D中相应的标准限值要求。</w:t>
      </w:r>
    </w:p>
    <w:p>
      <w:pPr>
        <w:pStyle w:val="5"/>
        <w:rPr>
          <w:rFonts w:ascii="Times New Roman" w:hAnsi="Times New Roman" w:eastAsia="宋体"/>
          <w:color w:val="auto"/>
          <w:highlight w:val="none"/>
        </w:rPr>
      </w:pPr>
      <w:bookmarkStart w:id="353" w:name="_Toc106663563"/>
      <w:r>
        <w:rPr>
          <w:rFonts w:hint="eastAsia" w:ascii="Times New Roman" w:hAnsi="Times New Roman" w:eastAsia="宋体"/>
          <w:color w:val="auto"/>
          <w:highlight w:val="none"/>
        </w:rPr>
        <w:t>9.3.2地下水环境质量现状评价结论</w:t>
      </w:r>
      <w:bookmarkEnd w:id="35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由监测结果可知，地下水监测点中水质指标均符合《地下水质量标准》（GB/T14848-2017）Ⅲ类标准，项目所在区域周边地下水质量现状一般。</w:t>
      </w:r>
    </w:p>
    <w:p>
      <w:pPr>
        <w:pStyle w:val="5"/>
        <w:rPr>
          <w:rFonts w:ascii="Times New Roman" w:hAnsi="Times New Roman" w:eastAsia="宋体"/>
          <w:color w:val="auto"/>
          <w:highlight w:val="none"/>
        </w:rPr>
      </w:pPr>
      <w:bookmarkStart w:id="354" w:name="_Toc106663564"/>
      <w:r>
        <w:rPr>
          <w:rFonts w:hint="eastAsia" w:ascii="Times New Roman" w:hAnsi="Times New Roman" w:eastAsia="宋体"/>
          <w:color w:val="auto"/>
          <w:highlight w:val="none"/>
        </w:rPr>
        <w:t>9.3.3声环境质量现状评价结论</w:t>
      </w:r>
      <w:bookmarkEnd w:id="354"/>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项目建设地点声环境质量良好，各监测点昼夜间噪声均符合《声环境质量标准》（GB3096-2008）</w:t>
      </w:r>
      <w:r>
        <w:rPr>
          <w:rFonts w:hint="eastAsia"/>
          <w:color w:val="auto"/>
          <w:highlight w:val="none"/>
          <w:lang w:eastAsia="zh-CN"/>
        </w:rPr>
        <w:t>”</w:t>
      </w:r>
      <w:r>
        <w:rPr>
          <w:rFonts w:hint="eastAsia" w:ascii="Times New Roman" w:hAnsi="Times New Roman" w:eastAsia="宋体"/>
          <w:color w:val="auto"/>
          <w:highlight w:val="none"/>
        </w:rPr>
        <w:t>2类声环境功能区噪声限值</w:t>
      </w:r>
      <w:r>
        <w:rPr>
          <w:rFonts w:hint="eastAsia"/>
          <w:color w:val="auto"/>
          <w:highlight w:val="none"/>
          <w:lang w:eastAsia="zh-CN"/>
        </w:rPr>
        <w:t>”</w:t>
      </w:r>
      <w:r>
        <w:rPr>
          <w:rFonts w:hint="eastAsia" w:ascii="Times New Roman" w:hAnsi="Times New Roman" w:eastAsia="宋体"/>
          <w:color w:val="auto"/>
          <w:highlight w:val="none"/>
        </w:rPr>
        <w:t>要求。</w:t>
      </w:r>
    </w:p>
    <w:p>
      <w:pPr>
        <w:pStyle w:val="5"/>
        <w:rPr>
          <w:rFonts w:ascii="Times New Roman" w:hAnsi="Times New Roman" w:eastAsia="宋体"/>
          <w:color w:val="auto"/>
          <w:highlight w:val="none"/>
        </w:rPr>
      </w:pPr>
      <w:bookmarkStart w:id="355" w:name="_Toc106663565"/>
      <w:r>
        <w:rPr>
          <w:rFonts w:hint="eastAsia" w:ascii="Times New Roman" w:hAnsi="Times New Roman" w:eastAsia="宋体"/>
          <w:color w:val="auto"/>
          <w:highlight w:val="none"/>
        </w:rPr>
        <w:t>9.3.4土壤环境质量现状评价结论</w:t>
      </w:r>
      <w:bookmarkEnd w:id="35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监测结果显示，本项目监测区内土壤环境质量满足《畜禽养殖产地评价规范》（HJ568-2010）中表4养殖场土壤环境质量评价指标和限值。</w:t>
      </w:r>
    </w:p>
    <w:p>
      <w:pPr>
        <w:pStyle w:val="4"/>
        <w:rPr>
          <w:rFonts w:ascii="Times New Roman" w:hAnsi="Times New Roman" w:eastAsia="宋体"/>
          <w:color w:val="auto"/>
          <w:highlight w:val="none"/>
        </w:rPr>
      </w:pPr>
      <w:bookmarkStart w:id="356" w:name="_Toc106663566"/>
      <w:bookmarkStart w:id="357" w:name="_Toc89619365"/>
      <w:r>
        <w:rPr>
          <w:rFonts w:hint="eastAsia" w:ascii="Times New Roman" w:hAnsi="Times New Roman" w:eastAsia="宋体"/>
          <w:color w:val="auto"/>
          <w:highlight w:val="none"/>
        </w:rPr>
        <w:t>9.4环境影响评价结论</w:t>
      </w:r>
      <w:bookmarkEnd w:id="356"/>
      <w:bookmarkEnd w:id="357"/>
    </w:p>
    <w:p>
      <w:pPr>
        <w:pStyle w:val="5"/>
        <w:rPr>
          <w:rFonts w:ascii="Times New Roman" w:hAnsi="Times New Roman" w:eastAsia="宋体"/>
          <w:color w:val="auto"/>
          <w:highlight w:val="none"/>
        </w:rPr>
      </w:pPr>
      <w:bookmarkStart w:id="358" w:name="_Toc106663567"/>
      <w:r>
        <w:rPr>
          <w:rFonts w:hint="eastAsia" w:ascii="Times New Roman" w:hAnsi="Times New Roman" w:eastAsia="宋体"/>
          <w:color w:val="auto"/>
          <w:highlight w:val="none"/>
        </w:rPr>
        <w:t>9.4.1大气环境影响评价结论</w:t>
      </w:r>
      <w:bookmarkEnd w:id="358"/>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本项目运行期采取了积极有效的污染治理措施，各大气污染物对环境空气的贡献值均不大，并且可以达标排放。本项目防护距离为500m，周边500m范围内无敏感目标，所以项目运营过程中对周围环境空气影响不大。</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因此，从环境空气的角度来看，本项目是可行的。</w:t>
      </w:r>
    </w:p>
    <w:p>
      <w:pPr>
        <w:pStyle w:val="5"/>
        <w:rPr>
          <w:rFonts w:ascii="Times New Roman" w:hAnsi="Times New Roman" w:eastAsia="宋体"/>
          <w:color w:val="auto"/>
          <w:highlight w:val="none"/>
        </w:rPr>
      </w:pPr>
      <w:bookmarkStart w:id="359" w:name="_Toc106663568"/>
      <w:r>
        <w:rPr>
          <w:rFonts w:hint="eastAsia" w:ascii="Times New Roman" w:hAnsi="Times New Roman" w:eastAsia="宋体"/>
          <w:color w:val="auto"/>
          <w:highlight w:val="none"/>
        </w:rPr>
        <w:t>9.4.2水环境影响评价结论</w:t>
      </w:r>
      <w:bookmarkEnd w:id="359"/>
    </w:p>
    <w:p>
      <w:pPr>
        <w:ind w:firstLine="480"/>
        <w:rPr>
          <w:rFonts w:ascii="Times New Roman" w:hAnsi="Times New Roman" w:eastAsia="宋体"/>
          <w:color w:val="auto"/>
          <w:highlight w:val="none"/>
        </w:rPr>
      </w:pPr>
      <w:r>
        <w:rPr>
          <w:rFonts w:ascii="Times New Roman" w:hAnsi="Times New Roman" w:eastAsia="宋体"/>
          <w:color w:val="auto"/>
          <w:highlight w:val="none"/>
        </w:rPr>
        <w:t>本项目养殖产生的废水属于有机废水，主要污染物是CODcr、BOD</w:t>
      </w:r>
      <w:r>
        <w:rPr>
          <w:rFonts w:ascii="Times New Roman" w:hAnsi="Times New Roman" w:eastAsia="宋体"/>
          <w:color w:val="auto"/>
          <w:highlight w:val="none"/>
          <w:vertAlign w:val="subscript"/>
        </w:rPr>
        <w:t>5</w:t>
      </w:r>
      <w:r>
        <w:rPr>
          <w:rFonts w:ascii="Times New Roman" w:hAnsi="Times New Roman" w:eastAsia="宋体"/>
          <w:color w:val="auto"/>
          <w:highlight w:val="none"/>
        </w:rPr>
        <w:t>和SS，不含其它有毒有害物质。生活污水直接排入下水管网，最终进入玛纳斯县城污水处理厂；鸡舍冲洗废水排入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本项目废水不会进入地表水体，与地表水也不发生水力联系，对地表水环境影响不大。</w:t>
      </w:r>
    </w:p>
    <w:p>
      <w:pPr>
        <w:pStyle w:val="5"/>
        <w:rPr>
          <w:rFonts w:ascii="Times New Roman" w:hAnsi="Times New Roman" w:eastAsia="宋体"/>
          <w:color w:val="auto"/>
          <w:highlight w:val="none"/>
        </w:rPr>
      </w:pPr>
      <w:bookmarkStart w:id="360" w:name="_Toc106663569"/>
      <w:r>
        <w:rPr>
          <w:rFonts w:hint="eastAsia" w:ascii="Times New Roman" w:hAnsi="Times New Roman" w:eastAsia="宋体"/>
          <w:color w:val="auto"/>
          <w:highlight w:val="none"/>
        </w:rPr>
        <w:t>9.4.3声环境影响评价结论</w:t>
      </w:r>
      <w:bookmarkEnd w:id="360"/>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在落实本报告提出的各项噪声污染控制措施后，本项目运行期可满足《工业企业厂界环境噪声排放标准》（GB12348-2008）中的声环境2类功能区标准，对区域声环境的影响较小。</w:t>
      </w:r>
    </w:p>
    <w:p>
      <w:pPr>
        <w:pStyle w:val="5"/>
        <w:rPr>
          <w:rFonts w:ascii="Times New Roman" w:hAnsi="Times New Roman" w:eastAsia="宋体"/>
          <w:color w:val="auto"/>
          <w:highlight w:val="none"/>
        </w:rPr>
      </w:pPr>
      <w:bookmarkStart w:id="361" w:name="_Toc106663570"/>
      <w:r>
        <w:rPr>
          <w:rFonts w:hint="eastAsia" w:ascii="Times New Roman" w:hAnsi="Times New Roman" w:eastAsia="宋体"/>
          <w:color w:val="auto"/>
          <w:highlight w:val="none"/>
        </w:rPr>
        <w:t>9.4.4固体废物环境影响分析结论</w:t>
      </w:r>
      <w:bookmarkEnd w:id="36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建设项目产生的固体废物均得到了妥善处置和利用，符合《畜禽养殖业污染防治技术规范》，所以本工程固体废物对环境的影响可以接受。</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综上所述，项目在建设过程中加强管理，定期监测，无事故发生的前提下，从环境角度分析是可行的。</w:t>
      </w:r>
    </w:p>
    <w:p>
      <w:pPr>
        <w:pStyle w:val="4"/>
        <w:rPr>
          <w:rFonts w:ascii="Times New Roman" w:hAnsi="Times New Roman" w:eastAsia="宋体"/>
          <w:color w:val="auto"/>
          <w:highlight w:val="none"/>
        </w:rPr>
      </w:pPr>
      <w:bookmarkStart w:id="362" w:name="_Toc89619366"/>
      <w:bookmarkStart w:id="363" w:name="_Toc106663571"/>
      <w:r>
        <w:rPr>
          <w:rFonts w:hint="eastAsia" w:ascii="Times New Roman" w:hAnsi="Times New Roman" w:eastAsia="宋体"/>
          <w:color w:val="auto"/>
          <w:highlight w:val="none"/>
        </w:rPr>
        <w:t>9.5污染防治措施</w:t>
      </w:r>
      <w:bookmarkEnd w:id="362"/>
      <w:bookmarkEnd w:id="363"/>
    </w:p>
    <w:p>
      <w:pPr>
        <w:pStyle w:val="5"/>
        <w:rPr>
          <w:rFonts w:ascii="Times New Roman" w:hAnsi="Times New Roman" w:eastAsia="宋体"/>
          <w:color w:val="auto"/>
          <w:highlight w:val="none"/>
        </w:rPr>
      </w:pPr>
      <w:bookmarkStart w:id="364" w:name="_Toc106663572"/>
      <w:r>
        <w:rPr>
          <w:rFonts w:hint="eastAsia" w:ascii="Times New Roman" w:hAnsi="Times New Roman" w:eastAsia="宋体"/>
          <w:color w:val="auto"/>
          <w:highlight w:val="none"/>
        </w:rPr>
        <w:t>9.5.1大气环境保护措施</w:t>
      </w:r>
      <w:bookmarkEnd w:id="364"/>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施工期环境影响评价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施工期间主要是噪声和扬尘对环境的影响，而这样的影响是短暂和间歇的，且周围环境简单，在采取一定的措施后，其对环境的影响会降至最小程度。</w:t>
      </w:r>
    </w:p>
    <w:p>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运营期环境影响评价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①大气环境影响评价</w:t>
      </w:r>
    </w:p>
    <w:p>
      <w:pPr>
        <w:ind w:firstLine="480"/>
        <w:rPr>
          <w:rFonts w:ascii="Times New Roman" w:hAnsi="Times New Roman" w:eastAsia="宋体"/>
          <w:color w:val="auto"/>
          <w:highlight w:val="none"/>
        </w:rPr>
      </w:pPr>
      <w:r>
        <w:rPr>
          <w:rFonts w:ascii="Times New Roman" w:hAnsi="Times New Roman" w:eastAsia="宋体"/>
          <w:color w:val="auto"/>
          <w:highlight w:val="none"/>
        </w:rPr>
        <w:t>根据预测结果，NH</w:t>
      </w:r>
      <w:r>
        <w:rPr>
          <w:rFonts w:ascii="Times New Roman" w:hAnsi="Times New Roman" w:eastAsia="宋体"/>
          <w:color w:val="auto"/>
          <w:highlight w:val="none"/>
          <w:vertAlign w:val="subscript"/>
        </w:rPr>
        <w:t>3</w:t>
      </w:r>
      <w:r>
        <w:rPr>
          <w:rFonts w:ascii="Times New Roman" w:hAnsi="Times New Roman" w:eastAsia="宋体"/>
          <w:color w:val="auto"/>
          <w:highlight w:val="none"/>
        </w:rPr>
        <w:t>和H</w:t>
      </w:r>
      <w:r>
        <w:rPr>
          <w:rFonts w:ascii="Times New Roman" w:hAnsi="Times New Roman" w:eastAsia="宋体"/>
          <w:color w:val="auto"/>
          <w:highlight w:val="none"/>
          <w:vertAlign w:val="subscript"/>
        </w:rPr>
        <w:t>2</w:t>
      </w:r>
      <w:r>
        <w:rPr>
          <w:rFonts w:ascii="Times New Roman" w:hAnsi="Times New Roman" w:eastAsia="宋体"/>
          <w:color w:val="auto"/>
          <w:highlight w:val="none"/>
        </w:rPr>
        <w:t>S最大地面空气质量浓度不大，占标率不高，为降低臭气对周围环境的影响，可采取以下措施：鸡粪便日产日清、定期对易产生恶臭区域进行除臭液喷洒；</w:t>
      </w:r>
      <w:r>
        <w:rPr>
          <w:rFonts w:hint="eastAsia"/>
          <w:color w:val="auto"/>
          <w:highlight w:val="none"/>
          <w:lang w:eastAsia="zh-CN"/>
        </w:rPr>
        <w:t>废水收集池</w:t>
      </w:r>
      <w:r>
        <w:rPr>
          <w:rFonts w:ascii="Times New Roman" w:hAnsi="Times New Roman" w:eastAsia="宋体"/>
          <w:color w:val="auto"/>
          <w:highlight w:val="none"/>
        </w:rPr>
        <w:t>采取加盖密闭方式，减少污染物排放量。在厂区周围设置绿化，吸收阻隔气味。通过采取以上措施，本项目恶臭污染物最大地面空气质量浓度均满足《环境影响评价技术导则大气环境》</w:t>
      </w:r>
      <w:r>
        <w:rPr>
          <w:rFonts w:hint="eastAsia"/>
          <w:color w:val="auto"/>
          <w:highlight w:val="none"/>
          <w:lang w:eastAsia="zh-CN"/>
        </w:rPr>
        <w:t>（</w:t>
      </w:r>
      <w:r>
        <w:rPr>
          <w:rFonts w:ascii="Times New Roman" w:hAnsi="Times New Roman" w:eastAsia="宋体"/>
          <w:color w:val="auto"/>
          <w:highlight w:val="none"/>
        </w:rPr>
        <w:t>HJ2.2-2018</w:t>
      </w:r>
      <w:r>
        <w:rPr>
          <w:rFonts w:hint="eastAsia"/>
          <w:color w:val="auto"/>
          <w:highlight w:val="none"/>
          <w:lang w:eastAsia="zh-CN"/>
        </w:rPr>
        <w:t>）</w:t>
      </w:r>
      <w:r>
        <w:rPr>
          <w:rFonts w:ascii="Times New Roman" w:hAnsi="Times New Roman" w:eastAsia="宋体"/>
          <w:color w:val="auto"/>
          <w:highlight w:val="none"/>
        </w:rPr>
        <w:t>附录D其他污染物空气质量浓度参考限值。因此，本项目运行期间恶臭气体对环境空气影响不大。</w:t>
      </w:r>
    </w:p>
    <w:p>
      <w:pPr>
        <w:pStyle w:val="5"/>
        <w:rPr>
          <w:rFonts w:ascii="Times New Roman" w:hAnsi="Times New Roman" w:eastAsia="宋体"/>
          <w:color w:val="auto"/>
          <w:highlight w:val="none"/>
        </w:rPr>
      </w:pPr>
      <w:bookmarkStart w:id="365" w:name="_Toc106663573"/>
      <w:r>
        <w:rPr>
          <w:rFonts w:hint="eastAsia" w:ascii="Times New Roman" w:hAnsi="Times New Roman" w:eastAsia="宋体"/>
          <w:color w:val="auto"/>
          <w:highlight w:val="none"/>
        </w:rPr>
        <w:t>9.5.2水环境保护措施</w:t>
      </w:r>
      <w:bookmarkEnd w:id="365"/>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9.5.2.1污水防治措施</w:t>
      </w:r>
    </w:p>
    <w:p>
      <w:pPr>
        <w:ind w:firstLine="480"/>
        <w:rPr>
          <w:rFonts w:ascii="Times New Roman" w:hAnsi="Times New Roman" w:eastAsia="宋体"/>
          <w:color w:val="auto"/>
          <w:highlight w:val="none"/>
        </w:rPr>
      </w:pPr>
      <w:r>
        <w:rPr>
          <w:rFonts w:ascii="Times New Roman" w:hAnsi="Times New Roman" w:eastAsia="宋体"/>
          <w:color w:val="auto"/>
          <w:highlight w:val="none"/>
        </w:rPr>
        <w:t>本项目养殖产生的废水属于有机废水，主要污染物是CODcr、BOD</w:t>
      </w:r>
      <w:r>
        <w:rPr>
          <w:rFonts w:ascii="Times New Roman" w:hAnsi="Times New Roman" w:eastAsia="宋体"/>
          <w:color w:val="auto"/>
          <w:highlight w:val="none"/>
          <w:vertAlign w:val="subscript"/>
        </w:rPr>
        <w:t>5</w:t>
      </w:r>
      <w:r>
        <w:rPr>
          <w:rFonts w:ascii="Times New Roman" w:hAnsi="Times New Roman" w:eastAsia="宋体"/>
          <w:color w:val="auto"/>
          <w:highlight w:val="none"/>
        </w:rPr>
        <w:t>和SS，不含其它有毒有害物质。生活污水直接排入下水管网，最终进入玛纳斯县城污水处理厂；鸡舍冲洗废水排入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本项目废水不会进入地表水体，与地表水也不发生水力联系，对地表水环境影响不大。</w:t>
      </w:r>
    </w:p>
    <w:p>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9.5.2.2地下水污染防治措施</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防止对地下水造成污染，对厂区各区域分别采用不同的防渗措施。项目场地分为重点防渗区、一般防渗区和简单防渗区。一般工业固废临时贮存场所防渗效果应满足《一般工业固体废物贮存和填埋污染控制标准》（GB18599-2020）中的相关要求。危险废物储存场所防渗效果应满足《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）及修改单中的有关要求。运营期厂区安排专人定期进行巡查，杜绝</w:t>
      </w:r>
      <w:r>
        <w:rPr>
          <w:rFonts w:hint="eastAsia"/>
          <w:color w:val="auto"/>
          <w:highlight w:val="none"/>
          <w:lang w:eastAsia="zh-CN"/>
        </w:rPr>
        <w:t>”</w:t>
      </w:r>
      <w:r>
        <w:rPr>
          <w:rFonts w:hint="eastAsia" w:ascii="Times New Roman" w:hAnsi="Times New Roman" w:eastAsia="宋体"/>
          <w:color w:val="auto"/>
          <w:highlight w:val="none"/>
        </w:rPr>
        <w:t>跑、冒、滴、漏</w:t>
      </w:r>
      <w:r>
        <w:rPr>
          <w:rFonts w:hint="eastAsia"/>
          <w:color w:val="auto"/>
          <w:highlight w:val="none"/>
          <w:lang w:eastAsia="zh-CN"/>
        </w:rPr>
        <w:t>”</w:t>
      </w:r>
      <w:r>
        <w:rPr>
          <w:rFonts w:hint="eastAsia" w:ascii="Times New Roman" w:hAnsi="Times New Roman" w:eastAsia="宋体"/>
          <w:color w:val="auto"/>
          <w:highlight w:val="none"/>
        </w:rPr>
        <w:t>等事故的发生，进行严格的防渗处理，从源头上防止污水进入地下水含水层之间。</w:t>
      </w:r>
    </w:p>
    <w:p>
      <w:pPr>
        <w:pStyle w:val="5"/>
        <w:rPr>
          <w:rFonts w:ascii="Times New Roman" w:hAnsi="Times New Roman" w:eastAsia="宋体"/>
          <w:color w:val="auto"/>
          <w:highlight w:val="none"/>
        </w:rPr>
      </w:pPr>
      <w:bookmarkStart w:id="366" w:name="_Toc106663574"/>
      <w:r>
        <w:rPr>
          <w:rFonts w:hint="eastAsia" w:ascii="Times New Roman" w:hAnsi="Times New Roman" w:eastAsia="宋体"/>
          <w:color w:val="auto"/>
          <w:highlight w:val="none"/>
        </w:rPr>
        <w:t>9.5.3噪声</w:t>
      </w:r>
      <w:bookmarkEnd w:id="366"/>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建筑上采取隔声、吸声措施，在场区内外种植树木，以降低噪声向外辐射；通过合理布局生产车间，达到阻隔、衰减噪声的目的。降噪后厂界噪声值可达到《工业企业厂界环境噪声排放标准》（GB12348-2008）中的</w:t>
      </w:r>
      <w:r>
        <w:rPr>
          <w:rFonts w:hint="eastAsia"/>
          <w:color w:val="auto"/>
          <w:highlight w:val="none"/>
          <w:lang w:val="en-US" w:eastAsia="zh-CN"/>
        </w:rPr>
        <w:t>2</w:t>
      </w:r>
      <w:r>
        <w:rPr>
          <w:rFonts w:hint="eastAsia" w:ascii="Times New Roman" w:hAnsi="Times New Roman" w:eastAsia="宋体"/>
          <w:color w:val="auto"/>
          <w:highlight w:val="none"/>
        </w:rPr>
        <w:t>类标准。</w:t>
      </w:r>
    </w:p>
    <w:p>
      <w:pPr>
        <w:pStyle w:val="5"/>
        <w:rPr>
          <w:rFonts w:ascii="Times New Roman" w:hAnsi="Times New Roman" w:eastAsia="宋体"/>
          <w:color w:val="auto"/>
          <w:highlight w:val="none"/>
        </w:rPr>
      </w:pPr>
      <w:bookmarkStart w:id="367" w:name="_Toc106663575"/>
      <w:r>
        <w:rPr>
          <w:rFonts w:hint="eastAsia" w:ascii="Times New Roman" w:hAnsi="Times New Roman" w:eastAsia="宋体"/>
          <w:color w:val="auto"/>
          <w:highlight w:val="none"/>
        </w:rPr>
        <w:t>9.5.4固体废弃物</w:t>
      </w:r>
      <w:bookmarkEnd w:id="367"/>
    </w:p>
    <w:p>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本项目产生的固体废物主要为鸡粪及散落羽毛、病死鸡只、废弃包装物、生活垃圾、医疗废物。本项目区产生的</w:t>
      </w:r>
      <w:r>
        <w:rPr>
          <w:rFonts w:hint="eastAsia"/>
          <w:color w:val="auto"/>
          <w:highlight w:val="none"/>
          <w:lang w:eastAsia="zh-CN"/>
        </w:rPr>
        <w:t>鸡粪及散落羽毛采用自动清粪系统清理与废水收集池污泥</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由其负责定期清运工作。病死鸡只根据具体死因，见疾病病死鸡采用填埋井对其进行无害化处理，若因为鸡瘟、新城疫等传染性疾病死亡的鸡只，交由防疫部门处置。本项目饲料包装袋最终返回原包装袋购置厂家回收，废弃包装物得到了合理利用。本项目生活垃圾集中收集由当地环卫部门处置。本项目对蛋鸡进行防疫、治疗过程中产生少量废弃药品、废针管等，医疗废物属于HW01类危险废物，储存于危废暂存间，交由有资质的单位进行处置。</w:t>
      </w:r>
    </w:p>
    <w:p>
      <w:pPr>
        <w:ind w:firstLine="480"/>
        <w:rPr>
          <w:rFonts w:ascii="Times New Roman" w:hAnsi="Times New Roman" w:eastAsia="宋体"/>
          <w:color w:val="auto"/>
          <w:highlight w:val="none"/>
        </w:rPr>
      </w:pPr>
      <w:r>
        <w:rPr>
          <w:rFonts w:ascii="Times New Roman" w:hAnsi="Times New Roman" w:eastAsia="宋体"/>
          <w:color w:val="auto"/>
          <w:highlight w:val="none"/>
        </w:rPr>
        <w:t>综上分析，对固体废物采取相应治理措施后，固废可以得到合理处置，产生的固体废物对周围环境影响不大。</w:t>
      </w:r>
    </w:p>
    <w:p>
      <w:pPr>
        <w:pStyle w:val="4"/>
        <w:rPr>
          <w:rFonts w:ascii="Times New Roman" w:hAnsi="Times New Roman" w:eastAsia="宋体"/>
          <w:color w:val="auto"/>
          <w:highlight w:val="none"/>
        </w:rPr>
      </w:pPr>
      <w:bookmarkStart w:id="368" w:name="_Toc89619367"/>
      <w:bookmarkStart w:id="369" w:name="_Toc106663576"/>
      <w:r>
        <w:rPr>
          <w:rFonts w:hint="eastAsia" w:ascii="Times New Roman" w:hAnsi="Times New Roman" w:eastAsia="宋体"/>
          <w:color w:val="auto"/>
          <w:highlight w:val="none"/>
        </w:rPr>
        <w:t>9.6公众意见采纳情况</w:t>
      </w:r>
      <w:bookmarkEnd w:id="368"/>
      <w:bookmarkEnd w:id="36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建设单位严格按照《环境影响评价公众参与办法》（部令第4号）的规定，进行了的公众参与工作。首先在确定环评单位后，在环评互联网网站进行了第一次网上公示，并给出了公众意见表链接。报告初稿完成后在环评互联网进行了第二次网上公示，第二次网上公示给出了环评报告链接，并在项目所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园户村镇公示栏内进行了公示张贴，同时在当地报纸上进行了两次公示。建设方拟报批前，在环评互联网进行了第三次信息公示。本项目在公示期间未收到公众通过网络、电话及书信等方式提出的意见。</w:t>
      </w:r>
    </w:p>
    <w:p>
      <w:pPr>
        <w:pStyle w:val="4"/>
        <w:rPr>
          <w:rFonts w:ascii="Times New Roman" w:hAnsi="Times New Roman" w:eastAsia="宋体"/>
          <w:color w:val="auto"/>
          <w:highlight w:val="none"/>
        </w:rPr>
      </w:pPr>
      <w:bookmarkStart w:id="370" w:name="_Toc106663577"/>
      <w:bookmarkStart w:id="371" w:name="_Toc89619368"/>
      <w:r>
        <w:rPr>
          <w:rFonts w:hint="eastAsia" w:ascii="Times New Roman" w:hAnsi="Times New Roman" w:eastAsia="宋体"/>
          <w:color w:val="auto"/>
          <w:highlight w:val="none"/>
        </w:rPr>
        <w:t>9.7环境经济损益分析结论</w:t>
      </w:r>
      <w:bookmarkEnd w:id="370"/>
      <w:bookmarkEnd w:id="371"/>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建设可提高养殖生产水平，提高经济效益，同时增加了就业机会，促进农村社会稳定。本项目建设达产后，经济效益较显著，环保投资合理，获得的环境效益显著。因此本项目的建设从环境经济损益的角度分析是可行的。</w:t>
      </w:r>
    </w:p>
    <w:p>
      <w:pPr>
        <w:pStyle w:val="4"/>
        <w:rPr>
          <w:rFonts w:ascii="Times New Roman" w:hAnsi="Times New Roman" w:eastAsia="宋体"/>
          <w:color w:val="auto"/>
          <w:highlight w:val="none"/>
        </w:rPr>
      </w:pPr>
      <w:bookmarkStart w:id="372" w:name="_Toc89619369"/>
      <w:bookmarkStart w:id="373" w:name="_Toc106663578"/>
      <w:r>
        <w:rPr>
          <w:rFonts w:hint="eastAsia" w:ascii="Times New Roman" w:hAnsi="Times New Roman" w:eastAsia="宋体"/>
          <w:color w:val="auto"/>
          <w:highlight w:val="none"/>
        </w:rPr>
        <w:t>9.8环境管理与监测结论</w:t>
      </w:r>
      <w:bookmarkEnd w:id="372"/>
      <w:bookmarkEnd w:id="373"/>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行期通过加强建设和试运行期间的环境管理与监控，建立健全安全生产管理制度，制订科学严谨的操作规程，通过职工操作技能培训，提高危险识辨、防护和保护能力，落实责任到人。同时加强厂内各类设备包括污染治理设施的日常运行管理和维护，对生产设备进行定期检测，对关键设备进行不定期测试。增强岗位职责和环保、安全意识，保证生产设施和环保治理设施运行的可靠性、稳定性。</w:t>
      </w:r>
    </w:p>
    <w:p>
      <w:pPr>
        <w:pStyle w:val="4"/>
        <w:rPr>
          <w:rFonts w:ascii="Times New Roman" w:hAnsi="Times New Roman" w:eastAsia="宋体"/>
          <w:color w:val="auto"/>
          <w:highlight w:val="none"/>
        </w:rPr>
      </w:pPr>
      <w:bookmarkStart w:id="374" w:name="_Toc89619370"/>
      <w:bookmarkStart w:id="375" w:name="_Toc106663579"/>
      <w:r>
        <w:rPr>
          <w:rFonts w:hint="eastAsia" w:ascii="Times New Roman" w:hAnsi="Times New Roman" w:eastAsia="宋体"/>
          <w:color w:val="auto"/>
          <w:highlight w:val="none"/>
        </w:rPr>
        <w:t>9.9总量控制</w:t>
      </w:r>
      <w:bookmarkEnd w:id="374"/>
      <w:bookmarkEnd w:id="375"/>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本项目无需申请总量控制指标。</w:t>
      </w:r>
    </w:p>
    <w:p>
      <w:pPr>
        <w:pStyle w:val="4"/>
        <w:rPr>
          <w:rFonts w:ascii="Times New Roman" w:hAnsi="Times New Roman" w:eastAsia="宋体"/>
          <w:color w:val="auto"/>
          <w:highlight w:val="none"/>
        </w:rPr>
      </w:pPr>
      <w:bookmarkStart w:id="376" w:name="_Toc106663580"/>
      <w:bookmarkStart w:id="377" w:name="_Toc89619371"/>
      <w:r>
        <w:rPr>
          <w:rFonts w:hint="eastAsia" w:ascii="Times New Roman" w:hAnsi="Times New Roman" w:eastAsia="宋体"/>
          <w:color w:val="auto"/>
          <w:highlight w:val="none"/>
        </w:rPr>
        <w:t>9.10综合结论</w:t>
      </w:r>
      <w:bookmarkEnd w:id="376"/>
      <w:bookmarkEnd w:id="377"/>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符合国家产业政策和相关规划，选址合理，在认真贯彻执行国家环保法律、法规，严格落实环评规定的各项环保措施，加强环境管理情况下，污染物的排放可以满足达标排放的要求。本项目具有良好的经济效益、社会效益和环境效益。公众参与调查工作中，未收到公众对该项目的相关意见。本项目符合环保部发布《关于以改善环境质量为核心加强环评管理的通知》关于</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的要求以及新疆和昌吉州的</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管控要求。</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因此，从环保角度考虑，本项目的建设是可行的。</w:t>
      </w:r>
    </w:p>
    <w:p>
      <w:pPr>
        <w:pStyle w:val="4"/>
        <w:rPr>
          <w:rFonts w:ascii="Times New Roman" w:hAnsi="Times New Roman" w:eastAsia="宋体"/>
          <w:color w:val="auto"/>
          <w:highlight w:val="none"/>
        </w:rPr>
      </w:pPr>
      <w:bookmarkStart w:id="378" w:name="_Toc89619372"/>
      <w:bookmarkStart w:id="379" w:name="_Toc106663581"/>
      <w:r>
        <w:rPr>
          <w:rFonts w:hint="eastAsia" w:ascii="Times New Roman" w:hAnsi="Times New Roman" w:eastAsia="宋体"/>
          <w:color w:val="auto"/>
          <w:highlight w:val="none"/>
        </w:rPr>
        <w:t>9.11要求</w:t>
      </w:r>
      <w:bookmarkEnd w:id="378"/>
      <w:bookmarkEnd w:id="379"/>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（1）建设单位在本项目实施过程中，应认真落实本项目提到的各项治理措施，加强对环保设施的运行管理，制定有效的管理规章制度，建立环保管理机制，防止出现事故性和非正常污染排放。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（2）建设单位在项目实施过程中应严格执行原国家环保总局颁布的《畜禽养殖业污染防治技术规范》（HJ/T81-2001）。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（3）严格执行</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制度，落实各项环保措施，平时注意各项环保设施的维护，及时发现处理设备的隐患，确保处理系统正常运行；开、停、检修要有预案，有严密周全的计划，确保不发生非正常排放。</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（4）饲养人员每年应至少进行一次身体检查，如发现患有危害人、畜禽的传染病者，应及时调离，以防传染。</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（5）落实环境监测计划。</w:t>
      </w:r>
    </w:p>
    <w:p>
      <w:pPr>
        <w:ind w:firstLine="480"/>
        <w:rPr>
          <w:rFonts w:ascii="Times New Roman" w:hAnsi="Times New Roman" w:eastAsia="宋体"/>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roman"/>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hicago">
    <w:altName w:val="Arial"/>
    <w:panose1 w:val="00000000000000000000"/>
    <w:charset w:val="00"/>
    <w:family w:val="swiss"/>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MS Gothic">
    <w:panose1 w:val="020B06090702050802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auto"/>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jc w:val="right"/>
      <w:rPr>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posOffset>2223135</wp:posOffset>
              </wp:positionH>
              <wp:positionV relativeFrom="paragraph">
                <wp:posOffset>191770</wp:posOffset>
              </wp:positionV>
              <wp:extent cx="415925" cy="1828800"/>
              <wp:effectExtent l="0" t="0" r="3810" b="10160"/>
              <wp:wrapNone/>
              <wp:docPr id="106" name="文本框 106"/>
              <wp:cNvGraphicFramePr/>
              <a:graphic xmlns:a="http://schemas.openxmlformats.org/drawingml/2006/main">
                <a:graphicData uri="http://schemas.microsoft.com/office/word/2010/wordprocessingShape">
                  <wps:wsp>
                    <wps:cNvSpPr txBox="1"/>
                    <wps:spPr>
                      <a:xfrm>
                        <a:off x="0" y="0"/>
                        <a:ext cx="41563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878568"/>
                          </w:sdtPr>
                          <w:sdtEndPr>
                            <w:rPr>
                              <w:sz w:val="21"/>
                              <w:szCs w:val="21"/>
                            </w:rPr>
                          </w:sdtEndPr>
                          <w:sdtContent>
                            <w:p>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pPr>
                            <w:ind w:firstLine="420"/>
                            <w:rPr>
                              <w:sz w:val="21"/>
                              <w:szCs w:val="21"/>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5.05pt;margin-top:15.1pt;height:144pt;width:32.75pt;mso-position-horizontal-relative:margin;z-index:251696128;mso-width-relative:page;mso-height-relative:page;" filled="f" stroked="f" coordsize="21600,21600" o:gfxdata="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74HyZ2AAAAAoBAAAPAAAAAAAAAAEAIAAAACIAAABkcnMvZG93bnJldi54&#10;bWxQSwECFAAUAAAACACHTuJAcFNWLDMCAABaBAAADgAAAAAAAAABACAAAAAnAQAAZHJzL2Uyb0Rv&#10;Yy54bWxQSwUGAAAAAAYABgBZAQAAzAUAAAAA&#10;">
              <v:fill on="f" focussize="0,0"/>
              <v:stroke on="f" weight="0.5pt"/>
              <v:imagedata o:title=""/>
              <o:lock v:ext="edit" aspectratio="f"/>
              <v:textbox inset="0mm,0mm,0mm,0mm" style="mso-fit-shape-to-text:t;">
                <w:txbxContent>
                  <w:sdt>
                    <w:sdtPr>
                      <w:id w:val="511878568"/>
                    </w:sdtPr>
                    <w:sdtEndPr>
                      <w:rPr>
                        <w:sz w:val="21"/>
                        <w:szCs w:val="21"/>
                      </w:rPr>
                    </w:sdtEndPr>
                    <w:sdtContent>
                      <w:p>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pPr>
                      <w:ind w:firstLine="420"/>
                      <w:rPr>
                        <w:sz w:val="21"/>
                        <w:szCs w:val="21"/>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4856"/>
      <w:rPr>
        <w:rFonts w:hint="eastAsia" w:ascii="等线" w:hAnsi="等线" w:eastAsia="宋体" w:cs="等线"/>
        <w:sz w:val="18"/>
        <w:szCs w:val="18"/>
        <w:lang w:eastAsia="zh-CN"/>
      </w:rPr>
    </w:pPr>
    <w:r>
      <w:rPr>
        <w:rFonts w:ascii="Times New Roman" w:hAnsi="Times New Roman" w:eastAsia="Times New Roman" w:cs="Times New Roman"/>
        <w:spacing w:val="-1"/>
        <w:sz w:val="18"/>
        <w:szCs w:val="18"/>
      </w:rPr>
      <w:t>92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ind w:firstLine="360"/>
                            <w:jc w:val="center"/>
                          </w:pPr>
                          <w:r>
                            <w:fldChar w:fldCharType="begin"/>
                          </w:r>
                          <w:r>
                            <w:instrText xml:space="preserve">PAGE   \* MERGEFORMAT</w:instrText>
                          </w:r>
                          <w:r>
                            <w:fldChar w:fldCharType="separate"/>
                          </w:r>
                          <w:r>
                            <w:rPr>
                              <w:lang w:val="zh-CN"/>
                            </w:rP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1"/>
                      <w:ind w:firstLine="360"/>
                      <w:jc w:val="center"/>
                    </w:pPr>
                    <w:r>
                      <w:fldChar w:fldCharType="begin"/>
                    </w:r>
                    <w:r>
                      <w:instrText xml:space="preserve">PAGE   \* MERGEFORMAT</w:instrText>
                    </w:r>
                    <w:r>
                      <w:fldChar w:fldCharType="separate"/>
                    </w:r>
                    <w:r>
                      <w:rPr>
                        <w:lang w:val="zh-CN"/>
                      </w:rPr>
                      <w:t>225</w:t>
                    </w:r>
                    <w:r>
                      <w:fldChar w:fldCharType="end"/>
                    </w:r>
                  </w:p>
                </w:txbxContent>
              </v:textbox>
            </v:shape>
          </w:pict>
        </mc:Fallback>
      </mc:AlternateContent>
    </w:r>
  </w:p>
  <w:p>
    <w:pPr>
      <w:pStyle w:val="12"/>
      <w:kinsoku w:val="0"/>
      <w:overflowPunct w:val="0"/>
      <w:spacing w:line="14" w:lineRule="auto"/>
      <w:rPr>
        <w:rFonts w:eastAsia="等线"/>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480"/>
    </w:pPr>
    <w:r>
      <mc:AlternateContent>
        <mc:Choice Requires="wps">
          <w:drawing>
            <wp:anchor distT="0" distB="0" distL="0" distR="0" simplePos="0" relativeHeight="251700224" behindDoc="0" locked="0" layoutInCell="1" allowOverlap="1">
              <wp:simplePos x="0" y="0"/>
              <wp:positionH relativeFrom="margin">
                <wp:align>center</wp:align>
              </wp:positionH>
              <wp:positionV relativeFrom="paragraph">
                <wp:posOffset>0</wp:posOffset>
              </wp:positionV>
              <wp:extent cx="298450" cy="82550"/>
              <wp:effectExtent l="0" t="0" r="0" b="0"/>
              <wp:wrapNone/>
              <wp:docPr id="282" name="Shape 282"/>
              <wp:cNvGraphicFramePr/>
              <a:graphic xmlns:a="http://schemas.openxmlformats.org/drawingml/2006/main">
                <a:graphicData uri="http://schemas.microsoft.com/office/word/2010/wordprocessingShape">
                  <wps:wsp>
                    <wps:cNvSpPr txBox="1"/>
                    <wps:spPr>
                      <a:xfrm>
                        <a:off x="0" y="0"/>
                        <a:ext cx="298450" cy="82550"/>
                      </a:xfrm>
                      <a:prstGeom prst="rect">
                        <a:avLst/>
                      </a:prstGeom>
                      <a:noFill/>
                    </wps:spPr>
                    <wps:txbx>
                      <w:txbxContent>
                        <w:p>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wps:txbx>
                    <wps:bodyPr wrap="none" lIns="0" tIns="0" rIns="0" bIns="0">
                      <a:spAutoFit/>
                    </wps:bodyPr>
                  </wps:wsp>
                </a:graphicData>
              </a:graphic>
            </wp:anchor>
          </w:drawing>
        </mc:Choice>
        <mc:Fallback>
          <w:pict>
            <v:shape id="Shape 282" o:spid="_x0000_s1026" o:spt="202" type="#_x0000_t202" style="position:absolute;left:0pt;margin-top:0pt;height:6.5pt;width:23.5pt;mso-position-horizontal:center;mso-position-horizontal-relative:margin;mso-wrap-style:none;z-index:251700224;mso-width-relative:page;mso-height-relative:page;" filled="f" stroked="f" coordsize="21600,21600" o:gfxdata="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4atITQAAAAAwEAAA8A&#10;AAAAAAAAAQAgAAAAIgAAAGRycy9kb3ducmV2LnhtbFBLAQIUABQAAAAIAIdO4kBlEnSrrQEAAHID&#10;AAAOAAAAAAAAAAEAIAAAAB8BAABkcnMvZTJvRG9jLnhtbFBLBQYAAAAABgAGAFkBAAA+BQAAAAA=&#10;">
              <v:fill on="f" focussize="0,0"/>
              <v:stroke on="f"/>
              <v:imagedata o:title=""/>
              <o:lock v:ext="edit" aspectratio="f"/>
              <v:textbox inset="0mm,0mm,0mm,0mm" style="mso-fit-shape-to-text:t;">
                <w:txbxContent>
                  <w:p>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480"/>
    </w:pPr>
    <w:r>
      <mc:AlternateContent>
        <mc:Choice Requires="wps">
          <w:drawing>
            <wp:anchor distT="0" distB="0" distL="0" distR="0" simplePos="0" relativeHeight="251702272" behindDoc="0" locked="0" layoutInCell="1" allowOverlap="1">
              <wp:simplePos x="0" y="0"/>
              <wp:positionH relativeFrom="margin">
                <wp:align>center</wp:align>
              </wp:positionH>
              <wp:positionV relativeFrom="paragraph">
                <wp:posOffset>0</wp:posOffset>
              </wp:positionV>
              <wp:extent cx="298450" cy="82550"/>
              <wp:effectExtent l="0" t="0" r="0" b="0"/>
              <wp:wrapNone/>
              <wp:docPr id="286" name="Shape 286"/>
              <wp:cNvGraphicFramePr/>
              <a:graphic xmlns:a="http://schemas.openxmlformats.org/drawingml/2006/main">
                <a:graphicData uri="http://schemas.microsoft.com/office/word/2010/wordprocessingShape">
                  <wps:wsp>
                    <wps:cNvSpPr txBox="1"/>
                    <wps:spPr>
                      <a:xfrm>
                        <a:off x="0" y="0"/>
                        <a:ext cx="298450" cy="82550"/>
                      </a:xfrm>
                      <a:prstGeom prst="rect">
                        <a:avLst/>
                      </a:prstGeom>
                      <a:noFill/>
                    </wps:spPr>
                    <wps:txbx>
                      <w:txbxContent>
                        <w:p>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wps:txbx>
                    <wps:bodyPr wrap="none" lIns="0" tIns="0" rIns="0" bIns="0">
                      <a:spAutoFit/>
                    </wps:bodyPr>
                  </wps:wsp>
                </a:graphicData>
              </a:graphic>
            </wp:anchor>
          </w:drawing>
        </mc:Choice>
        <mc:Fallback>
          <w:pict>
            <v:shape id="Shape 286" o:spid="_x0000_s1026" o:spt="202" type="#_x0000_t202" style="position:absolute;left:0pt;margin-top:0pt;height:6.5pt;width:23.5pt;mso-position-horizontal:center;mso-position-horizontal-relative:margin;mso-wrap-style:none;z-index:251702272;mso-width-relative:page;mso-height-relative:page;" filled="f" stroked="f" coordsize="21600,21600" o:gfxdata="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4atITQAAAAAwEAAA8A&#10;AAAAAAAAAQAgAAAAIgAAAGRycy9kb3ducmV2LnhtbFBLAQIUABQAAAAIAIdO4kAF4GDorQEAAHID&#10;AAAOAAAAAAAAAAEAIAAAAB8BAABkcnMvZTJvRG9jLnhtbFBLBQYAAAAABgAGAFkBAAA+BQAAAAA=&#10;">
              <v:fill on="f" focussize="0,0"/>
              <v:stroke on="f"/>
              <v:imagedata o:title=""/>
              <o:lock v:ext="edit" aspectratio="f"/>
              <v:textbox inset="0mm,0mm,0mm,0mm" style="mso-fit-shape-to-text:t;">
                <w:txbxContent>
                  <w:p>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4546"/>
      <w:rPr>
        <w:rFonts w:hint="eastAsia" w:ascii="等线" w:hAnsi="等线" w:eastAsia="宋体" w:cs="等线"/>
        <w:sz w:val="18"/>
        <w:szCs w:val="18"/>
        <w:lang w:eastAsia="zh-CN"/>
      </w:rPr>
    </w:pPr>
    <w:r>
      <w:rPr>
        <w:rFonts w:ascii="Times New Roman" w:hAnsi="Times New Roman" w:eastAsia="Times New Roman" w:cs="Times New Roman"/>
        <w:spacing w:val="-1"/>
        <w:sz w:val="18"/>
        <w:szCs w:val="18"/>
      </w:rPr>
      <w:t>134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rPr>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posOffset>2442845</wp:posOffset>
              </wp:positionH>
              <wp:positionV relativeFrom="paragraph">
                <wp:posOffset>0</wp:posOffset>
              </wp:positionV>
              <wp:extent cx="861060" cy="3740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60961" cy="37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3707872"/>
                          </w:sdtPr>
                          <w:sdtEndPr>
                            <w:rPr>
                              <w:sz w:val="21"/>
                              <w:szCs w:val="21"/>
                            </w:rPr>
                          </w:sdtEndPr>
                          <w:sdtContent>
                            <w:p>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5pt;margin-top:0pt;height:29.45pt;width:67.8pt;mso-position-horizontal-relative:margin;z-index:251749376;mso-width-relative:page;mso-height-relative:page;" filled="f" stroked="f" coordsize="21600,21600" o:gfxdata="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Gjl0tcAAAAHAQAADwAAAAAAAAABACAAAAAiAAAAZHJzL2Rvd25yZXYueG1s&#10;UEsBAhQAFAAAAAgAh07iQIpT4kYyAgAAVQQAAA4AAAAAAAAAAQAgAAAAJgEAAGRycy9lMm9Eb2Mu&#10;eG1sUEsFBgAAAAAGAAYAWQEAAMoFAAAAAA==&#10;">
              <v:fill on="f" focussize="0,0"/>
              <v:stroke on="f" weight="0.5pt"/>
              <v:imagedata o:title=""/>
              <o:lock v:ext="edit" aspectratio="f"/>
              <v:textbox inset="0mm,0mm,0mm,0mm">
                <w:txbxContent>
                  <w:sdt>
                    <w:sdtPr>
                      <w:id w:val="1113707872"/>
                    </w:sdtPr>
                    <w:sdtEndPr>
                      <w:rPr>
                        <w:sz w:val="21"/>
                        <w:szCs w:val="21"/>
                      </w:rPr>
                    </w:sdtEndPr>
                    <w:sdtContent>
                      <w:p>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jc w:val="center"/>
      <w:rPr>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99578713"/>
                          </w:sdtPr>
                          <w:sdtEndPr>
                            <w:rPr>
                              <w:sz w:val="21"/>
                              <w:szCs w:val="21"/>
                            </w:rPr>
                          </w:sdtEndPr>
                          <w:sdtContent>
                            <w:p>
                              <w:pPr>
                                <w:pStyle w:val="21"/>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pPr>
                            <w:ind w:firstLine="420"/>
                            <w:rPr>
                              <w:sz w:val="21"/>
                              <w:szCs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sdt>
                    <w:sdtPr>
                      <w:id w:val="-499578713"/>
                    </w:sdtPr>
                    <w:sdtEndPr>
                      <w:rPr>
                        <w:sz w:val="21"/>
                        <w:szCs w:val="21"/>
                      </w:rPr>
                    </w:sdtEndPr>
                    <w:sdtContent>
                      <w:p>
                        <w:pPr>
                          <w:pStyle w:val="21"/>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pPr>
                      <w:ind w:firstLine="420"/>
                      <w:rPr>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jc w:val="right"/>
      <w:rPr>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415925"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1563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878568"/>
                          </w:sdtPr>
                          <w:sdtEndPr>
                            <w:rPr>
                              <w:sz w:val="21"/>
                              <w:szCs w:val="21"/>
                            </w:rPr>
                          </w:sdtEndPr>
                          <w:sdtContent>
                            <w:p>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pPr>
                            <w:ind w:firstLine="420"/>
                            <w:rPr>
                              <w:sz w:val="21"/>
                              <w:szCs w:val="21"/>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2.75pt;mso-position-horizontal:center;mso-position-horizontal-relative:margin;z-index:251750400;mso-width-relative:page;mso-height-relative:page;" filled="f" stroked="f" coordsize="21600,21600" o:gfxdata="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f63E/UAAAABAEAAA8AAAAAAAAAAQAgAAAAIgAAAGRycy9kb3ducmV2LnhtbFBL&#10;AQIUABQAAAAIAIdO4kCtadK5MwIAAFgEAAAOAAAAAAAAAAEAIAAAACMBAABkcnMvZTJvRG9jLnht&#10;bFBLBQYAAAAABgAGAFkBAADIBQAAAAA=&#10;">
              <v:fill on="f" focussize="0,0"/>
              <v:stroke on="f" weight="0.5pt"/>
              <v:imagedata o:title=""/>
              <o:lock v:ext="edit" aspectratio="f"/>
              <v:textbox inset="0mm,0mm,0mm,0mm" style="mso-fit-shape-to-text:t;">
                <w:txbxContent>
                  <w:sdt>
                    <w:sdtPr>
                      <w:id w:val="511878568"/>
                    </w:sdtPr>
                    <w:sdtEndPr>
                      <w:rPr>
                        <w:sz w:val="21"/>
                        <w:szCs w:val="21"/>
                      </w:rPr>
                    </w:sdtEndPr>
                    <w:sdtContent>
                      <w:p>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pPr>
                      <w:ind w:firstLine="420"/>
                      <w:rPr>
                        <w:sz w:val="21"/>
                        <w:szCs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rPr>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861060" cy="37401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60961" cy="37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3707872"/>
                          </w:sdtPr>
                          <w:sdtEndPr>
                            <w:rPr>
                              <w:sz w:val="21"/>
                              <w:szCs w:val="21"/>
                            </w:rPr>
                          </w:sdtEndPr>
                          <w:sdtContent>
                            <w:p>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9.45pt;width:67.8pt;mso-position-horizontal:center;mso-position-horizontal-relative:margin;z-index:251751424;mso-width-relative:page;mso-height-relative:page;" filled="f" stroked="f" coordsize="21600,21600" o:gfxdata="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MSeK1QAAAAQBAAAPAAAAAAAAAAEAIAAAACIAAABkcnMvZG93bnJldi54bWxQ&#10;SwECFAAUAAAACACHTuJAcQg4AzMCAABXBAAADgAAAAAAAAABACAAAAAkAQAAZHJzL2Uyb0RvYy54&#10;bWxQSwUGAAAAAAYABgBZAQAAyQUAAAAA&#10;">
              <v:fill on="f" focussize="0,0"/>
              <v:stroke on="f" weight="0.5pt"/>
              <v:imagedata o:title=""/>
              <o:lock v:ext="edit" aspectratio="f"/>
              <v:textbox inset="0mm,0mm,0mm,0mm">
                <w:txbxContent>
                  <w:sdt>
                    <w:sdtPr>
                      <w:id w:val="1113707872"/>
                    </w:sdtPr>
                    <w:sdtEndPr>
                      <w:rPr>
                        <w:sz w:val="21"/>
                        <w:szCs w:val="21"/>
                      </w:rPr>
                    </w:sdtEndPr>
                    <w:sdtContent>
                      <w:p>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39819403"/>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sdt>
                    <w:sdtPr>
                      <w:id w:val="839819403"/>
                      <w:docPartObj>
                        <w:docPartGallery w:val="autotext"/>
                      </w:docPartObj>
                    </w:sdtPr>
                    <w:sdtContent>
                      <w:p>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21"/>
      <w:ind w:firstLine="420"/>
      <w:jc w:val="right"/>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right="361"/>
      <w:jc w:val="center"/>
      <w:rPr>
        <w:rFonts w:ascii="等线" w:hAnsi="等线" w:eastAsia="等线" w:cs="等线"/>
        <w:sz w:val="18"/>
        <w:szCs w:val="18"/>
      </w:rPr>
    </w:pPr>
    <w:r>
      <w:rPr>
        <w:rFonts w:ascii="Times New Roman" w:hAnsi="Times New Roman" w:eastAsia="Times New Roman" w:cs="Times New Roman"/>
        <w:spacing w:val="-1"/>
        <w:sz w:val="18"/>
        <w:szCs w:val="18"/>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24" w:lineRule="auto"/>
      <w:ind w:right="0" w:firstLine="0" w:firstLineChars="0"/>
      <w:jc w:val="center"/>
      <w:textAlignment w:val="auto"/>
      <w:rPr>
        <w:rFonts w:ascii="等线" w:hAnsi="等线" w:eastAsia="等线" w:cs="等线"/>
        <w:sz w:val="18"/>
        <w:szCs w:val="18"/>
      </w:rPr>
    </w:pPr>
    <w:r>
      <w:rPr>
        <w:rFonts w:ascii="Times New Roman" w:hAnsi="Times New Roman" w:eastAsia="Times New Roman" w:cs="Times New Roman"/>
        <w:spacing w:val="-1"/>
        <w:sz w:val="18"/>
        <w:szCs w:val="18"/>
      </w:rPr>
      <w:t>30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4" w:lineRule="auto"/>
      <w:ind w:left="4281"/>
      <w:rPr>
        <w:rFonts w:ascii="等线" w:hAnsi="等线" w:eastAsia="等线" w:cs="等线"/>
        <w:sz w:val="18"/>
        <w:szCs w:val="18"/>
      </w:rPr>
    </w:pPr>
    <w:r>
      <w:rPr>
        <w:rFonts w:ascii="Times New Roman" w:hAnsi="Times New Roman" w:eastAsia="Times New Roman" w:cs="Times New Roman"/>
        <w:spacing w:val="-1"/>
        <w:sz w:val="18"/>
        <w:szCs w:val="18"/>
      </w:rP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p>
    <w:pPr>
      <w:pStyle w:val="2"/>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98"/>
      <w:rPr>
        <w:rFonts w:hint="eastAsia" w:ascii="宋体" w:hAnsi="宋体" w:eastAsia="宋体" w:cs="宋体"/>
        <w:sz w:val="18"/>
        <w:szCs w:val="18"/>
        <w:lang w:eastAsia="zh-CN"/>
      </w:rPr>
    </w:pPr>
    <w:r>
      <mc:AlternateContent>
        <mc:Choice Requires="wps">
          <w:drawing>
            <wp:anchor distT="0" distB="0" distL="114300" distR="114300" simplePos="0" relativeHeight="251748352" behindDoc="0" locked="0" layoutInCell="0" allowOverlap="1">
              <wp:simplePos x="0" y="0"/>
              <wp:positionH relativeFrom="page">
                <wp:posOffset>988695</wp:posOffset>
              </wp:positionH>
              <wp:positionV relativeFrom="page">
                <wp:posOffset>701675</wp:posOffset>
              </wp:positionV>
              <wp:extent cx="5690870" cy="9525"/>
              <wp:effectExtent l="0" t="0" r="0" b="0"/>
              <wp:wrapNone/>
              <wp:docPr id="107" name="任意多边形 107"/>
              <wp:cNvGraphicFramePr/>
              <a:graphic xmlns:a="http://schemas.openxmlformats.org/drawingml/2006/main">
                <a:graphicData uri="http://schemas.microsoft.com/office/word/2010/wordprocessingShape">
                  <wps:wsp>
                    <wps:cNvSpPr/>
                    <wps:spPr>
                      <a:xfrm>
                        <a:off x="0" y="0"/>
                        <a:ext cx="5690870" cy="9525"/>
                      </a:xfrm>
                      <a:custGeom>
                        <a:avLst/>
                        <a:gdLst/>
                        <a:ahLst/>
                        <a:cxnLst/>
                        <a:pathLst>
                          <a:path w="8962" h="15">
                            <a:moveTo>
                              <a:pt x="0" y="14"/>
                            </a:moveTo>
                            <a:lnTo>
                              <a:pt x="8961" y="14"/>
                            </a:lnTo>
                            <a:lnTo>
                              <a:pt x="8961"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7.85pt;margin-top:55.25pt;height:0.75pt;width:448.1pt;mso-position-horizontal-relative:page;mso-position-vertical-relative:page;z-index:251748352;mso-width-relative:page;mso-height-relative:page;" fillcolor="#000000" filled="t" stroked="f" coordsize="8962,15" o:allowincell="f" o:gfxdata="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l/x2QAAAAwBAAAP&#10;AAAAAAAAAAEAIAAAACIAAABkcnMvZG93bnJldi54bWxQSwECFAAUAAAACACHTuJAX4W9jBcCAACA&#10;BAAADgAAAAAAAAABACAAAAAoAQAAZHJzL2Uyb0RvYy54bWxQSwUGAAAAAAYABgBZAQAAsQUAAAAA&#10;" path="m0,14l8961,14,8961,0,0,0,0,14xe">
              <v:fill on="t" focussize="0,0"/>
              <v:stroke on="f"/>
              <v:imagedata o:title=""/>
              <o:lock v:ext="edit" aspectratio="f"/>
            </v:shape>
          </w:pict>
        </mc:Fallback>
      </mc:AlternateContent>
    </w:r>
    <w:r>
      <w:rPr>
        <w:rFonts w:hint="eastAsia" w:ascii="宋体" w:hAnsi="宋体" w:cs="宋体"/>
        <w:spacing w:val="-1"/>
        <w:sz w:val="18"/>
        <w:szCs w:val="18"/>
        <w:lang w:eastAsia="zh-CN"/>
      </w:rPr>
      <w:t>玛纳斯县蛋鸡育成鸡圈舍建设及设备采购项目环境影响报告书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0" w:firstLineChars="0"/>
    </w:pPr>
  </w:p>
  <w:p>
    <w:pPr>
      <w:pStyle w:val="2"/>
      <w:pBdr>
        <w:bottom w:val="thinThickSmallGap" w:color="auto" w:sz="24" w:space="1"/>
      </w:pBdr>
      <w:ind w:firstLine="0" w:firstLineChars="0"/>
    </w:pPr>
    <w:r>
      <w:rPr>
        <w:rFonts w:hint="eastAsia"/>
        <w:lang w:eastAsia="zh-CN"/>
      </w:rPr>
      <w:t>玛纳斯县蛋鸡育成鸡圈舍建设及设备采购项目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auto" w:sz="8" w:space="1"/>
      </w:pBdr>
      <w:ind w:firstLine="0" w:firstLineChars="0"/>
    </w:pPr>
    <w:r>
      <w:rPr>
        <w:rFonts w:hint="eastAsia"/>
        <w:lang w:eastAsia="zh-CN"/>
      </w:rPr>
      <w:t>玛纳斯县蛋鸡育成鸡圈舍建设及设备采购项目</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0" w:firstLineChars="0"/>
    </w:pPr>
    <w:r>
      <w:rPr>
        <w:rFonts w:hint="eastAsia"/>
        <w:lang w:eastAsia="zh-CN"/>
      </w:rPr>
      <w:t>玛纳斯县蛋鸡育成鸡圈舍建设及设备采购项目</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5" w:lineRule="auto"/>
      <w:ind w:left="2123"/>
      <w:rPr>
        <w:rFonts w:ascii="等线" w:hAnsi="等线" w:eastAsia="等线" w:cs="等线"/>
        <w:sz w:val="18"/>
        <w:szCs w:val="18"/>
      </w:rPr>
    </w:pPr>
    <w:r>
      <mc:AlternateContent>
        <mc:Choice Requires="wps">
          <w:drawing>
            <wp:anchor distT="0" distB="0" distL="114300" distR="114300" simplePos="0" relativeHeight="251745280" behindDoc="0" locked="0" layoutInCell="0" allowOverlap="1">
              <wp:simplePos x="0" y="0"/>
              <wp:positionH relativeFrom="page">
                <wp:posOffset>1122045</wp:posOffset>
              </wp:positionH>
              <wp:positionV relativeFrom="page">
                <wp:posOffset>708660</wp:posOffset>
              </wp:positionV>
              <wp:extent cx="5317490" cy="9525"/>
              <wp:effectExtent l="0" t="0" r="0" b="0"/>
              <wp:wrapNone/>
              <wp:docPr id="40" name="任意多边形 40"/>
              <wp:cNvGraphicFramePr/>
              <a:graphic xmlns:a="http://schemas.openxmlformats.org/drawingml/2006/main">
                <a:graphicData uri="http://schemas.microsoft.com/office/word/2010/wordprocessingShape">
                  <wps:wsp>
                    <wps:cNvSpPr/>
                    <wps:spPr>
                      <a:xfrm>
                        <a:off x="0" y="0"/>
                        <a:ext cx="5317490" cy="9525"/>
                      </a:xfrm>
                      <a:custGeom>
                        <a:avLst/>
                        <a:gdLst/>
                        <a:ahLst/>
                        <a:cxnLst/>
                        <a:pathLst>
                          <a:path w="8374" h="15">
                            <a:moveTo>
                              <a:pt x="0" y="14"/>
                            </a:moveTo>
                            <a:lnTo>
                              <a:pt x="8373" y="14"/>
                            </a:lnTo>
                            <a:lnTo>
                              <a:pt x="837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35pt;margin-top:55.8pt;height:0.75pt;width:418.7pt;mso-position-horizontal-relative:page;mso-position-vertical-relative:page;z-index:251745280;mso-width-relative:page;mso-height-relative:page;" fillcolor="#000000" filled="t" stroked="f" coordsize="8374,15" o:allowincell="f" o:gfxdata="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5k3WAAAADAEAAA8AAAAA&#10;AAAAAQAgAAAAIgAAAGRycy9kb3ducmV2LnhtbFBLAQIUABQAAAAIAIdO4kAPebfxFgIAAH4EAAAO&#10;AAAAAAAAAAEAIAAAACUBAABkcnMvZTJvRG9jLnhtbFBLBQYAAAAABgAGAFkBAACtBQAAAAA=&#10;" path="m0,14l8373,14,8373,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w:t>
    </w:r>
    <w:r>
      <w:rPr>
        <w:rFonts w:ascii="等线" w:hAnsi="等线" w:eastAsia="等线" w:cs="等线"/>
        <w:sz w:val="18"/>
        <w:szCs w:val="18"/>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26" w:lineRule="auto"/>
      <w:ind w:firstLine="0" w:firstLineChars="0"/>
      <w:jc w:val="center"/>
      <w:textAlignment w:val="auto"/>
      <w:rPr>
        <w:rFonts w:ascii="等线" w:hAnsi="等线" w:eastAsia="等线" w:cs="等线"/>
        <w:sz w:val="18"/>
        <w:szCs w:val="18"/>
      </w:rPr>
    </w:pPr>
    <w:r>
      <mc:AlternateContent>
        <mc:Choice Requires="wps">
          <w:drawing>
            <wp:anchor distT="0" distB="0" distL="114300" distR="114300" simplePos="0" relativeHeight="251746304"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3" name="任意多边形 43"/>
              <wp:cNvGraphicFramePr/>
              <a:graphic xmlns:a="http://schemas.openxmlformats.org/drawingml/2006/main">
                <a:graphicData uri="http://schemas.microsoft.com/office/word/2010/wordprocessingShape">
                  <wps:wsp>
                    <wps:cNvSpPr/>
                    <wps:spPr>
                      <a:xfrm>
                        <a:off x="0" y="0"/>
                        <a:ext cx="5313680" cy="9525"/>
                      </a:xfrm>
                      <a:custGeom>
                        <a:avLst/>
                        <a:gdLst/>
                        <a:ahLst/>
                        <a:cxnLst/>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6304;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YXn82AAAAAwBAAAPAAAA&#10;AAAAAAEAIAAAACIAAABkcnMvZG93bnJldi54bWxQSwECFAAUAAAACACHTuJAEHBlVhUCAAB+BAAA&#10;DgAAAAAAAAABACAAAAAnAQAAZHJzL2Uyb0RvYy54bWxQSwUGAAAAAAYABgBZAQAArgUA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w:t>
    </w:r>
    <w:r>
      <w:rPr>
        <w:rFonts w:ascii="等线" w:hAnsi="等线" w:eastAsia="等线" w:cs="等线"/>
        <w:sz w:val="18"/>
        <w:szCs w:val="18"/>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26" w:lineRule="auto"/>
      <w:ind w:firstLine="0" w:firstLineChars="0"/>
      <w:jc w:val="center"/>
      <w:textAlignment w:val="auto"/>
      <w:rPr>
        <w:rFonts w:hint="eastAsia" w:ascii="等线" w:hAnsi="等线" w:eastAsia="宋体" w:cs="等线"/>
        <w:sz w:val="18"/>
        <w:szCs w:val="18"/>
        <w:lang w:eastAsia="zh-CN"/>
      </w:rPr>
    </w:pPr>
    <w:r>
      <mc:AlternateContent>
        <mc:Choice Requires="wps">
          <w:drawing>
            <wp:anchor distT="0" distB="0" distL="114300" distR="114300" simplePos="0" relativeHeight="251747328"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5" name="任意多边形 45"/>
              <wp:cNvGraphicFramePr/>
              <a:graphic xmlns:a="http://schemas.openxmlformats.org/drawingml/2006/main">
                <a:graphicData uri="http://schemas.microsoft.com/office/word/2010/wordprocessingShape">
                  <wps:wsp>
                    <wps:cNvSpPr/>
                    <wps:spPr>
                      <a:xfrm>
                        <a:off x="0" y="0"/>
                        <a:ext cx="5313680" cy="9525"/>
                      </a:xfrm>
                      <a:custGeom>
                        <a:avLst/>
                        <a:gdLst/>
                        <a:ahLst/>
                        <a:cxnLst/>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7328;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mF5/NgAAAAMAQAADwAA&#10;AAAAAAABACAAAAAiAAAAZHJzL2Rvd25yZXYueG1sUEsBAhQAFAAAAAgAh07iQNRXPqQWAgAAfgQA&#10;AA4AAAAAAAAAAQAgAAAAJwEAAGRycy9lMm9Eb2MueG1sUEsFBgAAAAAGAAYAWQEAAK8FAA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120"/>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42C5C27D"/>
    <w:multiLevelType w:val="singleLevel"/>
    <w:tmpl w:val="42C5C27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JiOGYwNDU3MTQxNTI2N2U2NjcwOGRlYThlYTJlNDgifQ=="/>
  </w:docVars>
  <w:rsids>
    <w:rsidRoot w:val="00332B32"/>
    <w:rsid w:val="0000036F"/>
    <w:rsid w:val="0000037F"/>
    <w:rsid w:val="00000BC6"/>
    <w:rsid w:val="00002AB7"/>
    <w:rsid w:val="00002DBA"/>
    <w:rsid w:val="00003628"/>
    <w:rsid w:val="000045A9"/>
    <w:rsid w:val="00004C6C"/>
    <w:rsid w:val="0000552F"/>
    <w:rsid w:val="0000567F"/>
    <w:rsid w:val="00005CE5"/>
    <w:rsid w:val="00005DD8"/>
    <w:rsid w:val="0000629E"/>
    <w:rsid w:val="00006DE7"/>
    <w:rsid w:val="000118E0"/>
    <w:rsid w:val="00012856"/>
    <w:rsid w:val="00012D55"/>
    <w:rsid w:val="000135F4"/>
    <w:rsid w:val="00014425"/>
    <w:rsid w:val="0001451E"/>
    <w:rsid w:val="00014686"/>
    <w:rsid w:val="000148DD"/>
    <w:rsid w:val="00015472"/>
    <w:rsid w:val="00015A3F"/>
    <w:rsid w:val="00015B32"/>
    <w:rsid w:val="00015CD7"/>
    <w:rsid w:val="000167E7"/>
    <w:rsid w:val="00016AF7"/>
    <w:rsid w:val="00020334"/>
    <w:rsid w:val="000205C1"/>
    <w:rsid w:val="00022429"/>
    <w:rsid w:val="0002263F"/>
    <w:rsid w:val="0002277B"/>
    <w:rsid w:val="000227D5"/>
    <w:rsid w:val="00022A97"/>
    <w:rsid w:val="00022C0C"/>
    <w:rsid w:val="00022EB1"/>
    <w:rsid w:val="00022F32"/>
    <w:rsid w:val="0002306F"/>
    <w:rsid w:val="0002373E"/>
    <w:rsid w:val="00024B3C"/>
    <w:rsid w:val="000262BF"/>
    <w:rsid w:val="00026728"/>
    <w:rsid w:val="000268F6"/>
    <w:rsid w:val="000269AD"/>
    <w:rsid w:val="00027773"/>
    <w:rsid w:val="00027CB9"/>
    <w:rsid w:val="000307AA"/>
    <w:rsid w:val="00031AEF"/>
    <w:rsid w:val="00031B94"/>
    <w:rsid w:val="0003204A"/>
    <w:rsid w:val="000323C5"/>
    <w:rsid w:val="00032AAC"/>
    <w:rsid w:val="00033215"/>
    <w:rsid w:val="00033D71"/>
    <w:rsid w:val="000345AD"/>
    <w:rsid w:val="00034814"/>
    <w:rsid w:val="000355D6"/>
    <w:rsid w:val="00035709"/>
    <w:rsid w:val="0003675A"/>
    <w:rsid w:val="00036AE2"/>
    <w:rsid w:val="00036B69"/>
    <w:rsid w:val="00036F82"/>
    <w:rsid w:val="000379D2"/>
    <w:rsid w:val="000406A3"/>
    <w:rsid w:val="0004157A"/>
    <w:rsid w:val="000415FF"/>
    <w:rsid w:val="00042376"/>
    <w:rsid w:val="00042615"/>
    <w:rsid w:val="00042FC1"/>
    <w:rsid w:val="0004532C"/>
    <w:rsid w:val="000457CE"/>
    <w:rsid w:val="000458F0"/>
    <w:rsid w:val="00046F68"/>
    <w:rsid w:val="00047895"/>
    <w:rsid w:val="00047C5F"/>
    <w:rsid w:val="00047C92"/>
    <w:rsid w:val="000503B1"/>
    <w:rsid w:val="00050431"/>
    <w:rsid w:val="00050B4A"/>
    <w:rsid w:val="00051656"/>
    <w:rsid w:val="00051B3B"/>
    <w:rsid w:val="00051C73"/>
    <w:rsid w:val="00052059"/>
    <w:rsid w:val="00052731"/>
    <w:rsid w:val="00053C50"/>
    <w:rsid w:val="000565A6"/>
    <w:rsid w:val="0005749F"/>
    <w:rsid w:val="00057516"/>
    <w:rsid w:val="0005784C"/>
    <w:rsid w:val="00057E0B"/>
    <w:rsid w:val="00057E4F"/>
    <w:rsid w:val="0006078A"/>
    <w:rsid w:val="00061177"/>
    <w:rsid w:val="00061966"/>
    <w:rsid w:val="000622D7"/>
    <w:rsid w:val="00063177"/>
    <w:rsid w:val="00063AFB"/>
    <w:rsid w:val="00064D12"/>
    <w:rsid w:val="00064DA7"/>
    <w:rsid w:val="00064F5C"/>
    <w:rsid w:val="00066278"/>
    <w:rsid w:val="000677AA"/>
    <w:rsid w:val="00070115"/>
    <w:rsid w:val="000701EF"/>
    <w:rsid w:val="000702AA"/>
    <w:rsid w:val="0007034D"/>
    <w:rsid w:val="000705E5"/>
    <w:rsid w:val="00071002"/>
    <w:rsid w:val="0007161B"/>
    <w:rsid w:val="00071657"/>
    <w:rsid w:val="000721D4"/>
    <w:rsid w:val="00072AB7"/>
    <w:rsid w:val="00072BF2"/>
    <w:rsid w:val="00072EEB"/>
    <w:rsid w:val="00073342"/>
    <w:rsid w:val="00073A7D"/>
    <w:rsid w:val="00073B3D"/>
    <w:rsid w:val="000740CD"/>
    <w:rsid w:val="00074FE8"/>
    <w:rsid w:val="000754FE"/>
    <w:rsid w:val="0007766A"/>
    <w:rsid w:val="0008086A"/>
    <w:rsid w:val="00080ADA"/>
    <w:rsid w:val="00081127"/>
    <w:rsid w:val="0008154E"/>
    <w:rsid w:val="00081CE9"/>
    <w:rsid w:val="00082C42"/>
    <w:rsid w:val="00083122"/>
    <w:rsid w:val="0008387B"/>
    <w:rsid w:val="00083B4F"/>
    <w:rsid w:val="00083C4B"/>
    <w:rsid w:val="0008494F"/>
    <w:rsid w:val="00085732"/>
    <w:rsid w:val="00085A2E"/>
    <w:rsid w:val="00086550"/>
    <w:rsid w:val="000867C3"/>
    <w:rsid w:val="000868C8"/>
    <w:rsid w:val="00086E17"/>
    <w:rsid w:val="00086E55"/>
    <w:rsid w:val="00091719"/>
    <w:rsid w:val="000924ED"/>
    <w:rsid w:val="000927BC"/>
    <w:rsid w:val="00092D94"/>
    <w:rsid w:val="000938DC"/>
    <w:rsid w:val="00094119"/>
    <w:rsid w:val="00094A1C"/>
    <w:rsid w:val="00095D49"/>
    <w:rsid w:val="00096093"/>
    <w:rsid w:val="0009676A"/>
    <w:rsid w:val="00097356"/>
    <w:rsid w:val="000A14EF"/>
    <w:rsid w:val="000A1E30"/>
    <w:rsid w:val="000A2064"/>
    <w:rsid w:val="000A2133"/>
    <w:rsid w:val="000A2E76"/>
    <w:rsid w:val="000A38DD"/>
    <w:rsid w:val="000A4D52"/>
    <w:rsid w:val="000A7786"/>
    <w:rsid w:val="000B05CA"/>
    <w:rsid w:val="000B1C7E"/>
    <w:rsid w:val="000B1EC6"/>
    <w:rsid w:val="000B285C"/>
    <w:rsid w:val="000B2EAD"/>
    <w:rsid w:val="000B3B39"/>
    <w:rsid w:val="000B3F5A"/>
    <w:rsid w:val="000B44E9"/>
    <w:rsid w:val="000B4A2E"/>
    <w:rsid w:val="000B4A8D"/>
    <w:rsid w:val="000B5AB1"/>
    <w:rsid w:val="000B61F3"/>
    <w:rsid w:val="000C098F"/>
    <w:rsid w:val="000C09AE"/>
    <w:rsid w:val="000C16E5"/>
    <w:rsid w:val="000C1AC2"/>
    <w:rsid w:val="000C1AFB"/>
    <w:rsid w:val="000C26AA"/>
    <w:rsid w:val="000C26F3"/>
    <w:rsid w:val="000C298B"/>
    <w:rsid w:val="000C3641"/>
    <w:rsid w:val="000C3B28"/>
    <w:rsid w:val="000C3E87"/>
    <w:rsid w:val="000C5BD4"/>
    <w:rsid w:val="000C5D64"/>
    <w:rsid w:val="000C68B8"/>
    <w:rsid w:val="000C77F9"/>
    <w:rsid w:val="000D0166"/>
    <w:rsid w:val="000D1667"/>
    <w:rsid w:val="000D25E4"/>
    <w:rsid w:val="000D290A"/>
    <w:rsid w:val="000D3B84"/>
    <w:rsid w:val="000D47EF"/>
    <w:rsid w:val="000D498B"/>
    <w:rsid w:val="000D4A00"/>
    <w:rsid w:val="000D4C7D"/>
    <w:rsid w:val="000D6018"/>
    <w:rsid w:val="000D6298"/>
    <w:rsid w:val="000D6C73"/>
    <w:rsid w:val="000D7552"/>
    <w:rsid w:val="000E02AE"/>
    <w:rsid w:val="000E04CD"/>
    <w:rsid w:val="000E1E74"/>
    <w:rsid w:val="000E20D0"/>
    <w:rsid w:val="000E65F0"/>
    <w:rsid w:val="000E67AE"/>
    <w:rsid w:val="000E6CE4"/>
    <w:rsid w:val="000E7179"/>
    <w:rsid w:val="000E78F5"/>
    <w:rsid w:val="000E7EE1"/>
    <w:rsid w:val="000F0C55"/>
    <w:rsid w:val="000F1B9E"/>
    <w:rsid w:val="000F20A1"/>
    <w:rsid w:val="000F2796"/>
    <w:rsid w:val="000F2AC4"/>
    <w:rsid w:val="000F3528"/>
    <w:rsid w:val="000F35A4"/>
    <w:rsid w:val="000F380F"/>
    <w:rsid w:val="000F3B17"/>
    <w:rsid w:val="000F415E"/>
    <w:rsid w:val="00101698"/>
    <w:rsid w:val="00101B19"/>
    <w:rsid w:val="00101F9C"/>
    <w:rsid w:val="00102374"/>
    <w:rsid w:val="00102397"/>
    <w:rsid w:val="00103E56"/>
    <w:rsid w:val="00104382"/>
    <w:rsid w:val="00104865"/>
    <w:rsid w:val="00104B3D"/>
    <w:rsid w:val="0010508F"/>
    <w:rsid w:val="001054C9"/>
    <w:rsid w:val="001059F0"/>
    <w:rsid w:val="00105EE8"/>
    <w:rsid w:val="00106311"/>
    <w:rsid w:val="00106572"/>
    <w:rsid w:val="00106B47"/>
    <w:rsid w:val="00107468"/>
    <w:rsid w:val="00110052"/>
    <w:rsid w:val="00110E17"/>
    <w:rsid w:val="00111E6C"/>
    <w:rsid w:val="00112157"/>
    <w:rsid w:val="00112D67"/>
    <w:rsid w:val="0011375F"/>
    <w:rsid w:val="00113DF4"/>
    <w:rsid w:val="00114342"/>
    <w:rsid w:val="00114A7B"/>
    <w:rsid w:val="00114B94"/>
    <w:rsid w:val="00114BA5"/>
    <w:rsid w:val="00114F91"/>
    <w:rsid w:val="00115AB4"/>
    <w:rsid w:val="001160DF"/>
    <w:rsid w:val="001163D9"/>
    <w:rsid w:val="00116B61"/>
    <w:rsid w:val="00116D4A"/>
    <w:rsid w:val="001174A4"/>
    <w:rsid w:val="001175D8"/>
    <w:rsid w:val="001178D7"/>
    <w:rsid w:val="00117D9C"/>
    <w:rsid w:val="001202FF"/>
    <w:rsid w:val="00120CC6"/>
    <w:rsid w:val="0012104C"/>
    <w:rsid w:val="00122666"/>
    <w:rsid w:val="00122BF7"/>
    <w:rsid w:val="0012314A"/>
    <w:rsid w:val="001236CF"/>
    <w:rsid w:val="001236DE"/>
    <w:rsid w:val="0012392F"/>
    <w:rsid w:val="00123B07"/>
    <w:rsid w:val="00124621"/>
    <w:rsid w:val="00125617"/>
    <w:rsid w:val="00125736"/>
    <w:rsid w:val="0012576E"/>
    <w:rsid w:val="001261F6"/>
    <w:rsid w:val="0012678C"/>
    <w:rsid w:val="00126DB8"/>
    <w:rsid w:val="0012719E"/>
    <w:rsid w:val="0012743C"/>
    <w:rsid w:val="00127646"/>
    <w:rsid w:val="00127B6E"/>
    <w:rsid w:val="00127E24"/>
    <w:rsid w:val="001307DB"/>
    <w:rsid w:val="00131D37"/>
    <w:rsid w:val="00132921"/>
    <w:rsid w:val="00132B62"/>
    <w:rsid w:val="00132D61"/>
    <w:rsid w:val="00134AB5"/>
    <w:rsid w:val="001352DA"/>
    <w:rsid w:val="00135551"/>
    <w:rsid w:val="0013671C"/>
    <w:rsid w:val="00136C01"/>
    <w:rsid w:val="00136C97"/>
    <w:rsid w:val="00137894"/>
    <w:rsid w:val="00137D24"/>
    <w:rsid w:val="00140B69"/>
    <w:rsid w:val="00141759"/>
    <w:rsid w:val="00141B99"/>
    <w:rsid w:val="0014203D"/>
    <w:rsid w:val="0014247C"/>
    <w:rsid w:val="0014280F"/>
    <w:rsid w:val="001428C9"/>
    <w:rsid w:val="00142973"/>
    <w:rsid w:val="00143B5A"/>
    <w:rsid w:val="00144AF7"/>
    <w:rsid w:val="0014552C"/>
    <w:rsid w:val="00145836"/>
    <w:rsid w:val="00145BA7"/>
    <w:rsid w:val="001467F4"/>
    <w:rsid w:val="00146B15"/>
    <w:rsid w:val="00150EC4"/>
    <w:rsid w:val="0015125B"/>
    <w:rsid w:val="001515E2"/>
    <w:rsid w:val="001518F4"/>
    <w:rsid w:val="00151EEB"/>
    <w:rsid w:val="00153344"/>
    <w:rsid w:val="0015441F"/>
    <w:rsid w:val="001549B9"/>
    <w:rsid w:val="00155DE2"/>
    <w:rsid w:val="0015660C"/>
    <w:rsid w:val="00156B5B"/>
    <w:rsid w:val="0015706B"/>
    <w:rsid w:val="00160068"/>
    <w:rsid w:val="00160D6E"/>
    <w:rsid w:val="00162604"/>
    <w:rsid w:val="00162FDC"/>
    <w:rsid w:val="00163718"/>
    <w:rsid w:val="00163B22"/>
    <w:rsid w:val="00163C8F"/>
    <w:rsid w:val="001642C1"/>
    <w:rsid w:val="00164772"/>
    <w:rsid w:val="00164789"/>
    <w:rsid w:val="00164B19"/>
    <w:rsid w:val="00166A76"/>
    <w:rsid w:val="00166C28"/>
    <w:rsid w:val="00167FB0"/>
    <w:rsid w:val="00171481"/>
    <w:rsid w:val="00173329"/>
    <w:rsid w:val="00174234"/>
    <w:rsid w:val="00174BC9"/>
    <w:rsid w:val="0017558D"/>
    <w:rsid w:val="001760BC"/>
    <w:rsid w:val="0017615A"/>
    <w:rsid w:val="001766FF"/>
    <w:rsid w:val="00177506"/>
    <w:rsid w:val="001777A4"/>
    <w:rsid w:val="001800EE"/>
    <w:rsid w:val="00180610"/>
    <w:rsid w:val="00180B85"/>
    <w:rsid w:val="001810EF"/>
    <w:rsid w:val="001812ED"/>
    <w:rsid w:val="00181ED3"/>
    <w:rsid w:val="001821C9"/>
    <w:rsid w:val="001826C0"/>
    <w:rsid w:val="00183CCC"/>
    <w:rsid w:val="00183E14"/>
    <w:rsid w:val="00184887"/>
    <w:rsid w:val="00184A1F"/>
    <w:rsid w:val="00184C13"/>
    <w:rsid w:val="00184E7C"/>
    <w:rsid w:val="00185195"/>
    <w:rsid w:val="00186AF7"/>
    <w:rsid w:val="00186E14"/>
    <w:rsid w:val="00187F78"/>
    <w:rsid w:val="00190C61"/>
    <w:rsid w:val="00190FFD"/>
    <w:rsid w:val="0019360C"/>
    <w:rsid w:val="00193E87"/>
    <w:rsid w:val="00194041"/>
    <w:rsid w:val="00194197"/>
    <w:rsid w:val="00194555"/>
    <w:rsid w:val="001947B4"/>
    <w:rsid w:val="001957C1"/>
    <w:rsid w:val="0019623E"/>
    <w:rsid w:val="001964AF"/>
    <w:rsid w:val="00196A36"/>
    <w:rsid w:val="00196B23"/>
    <w:rsid w:val="001A00BE"/>
    <w:rsid w:val="001A218A"/>
    <w:rsid w:val="001A2F37"/>
    <w:rsid w:val="001A39F3"/>
    <w:rsid w:val="001A605B"/>
    <w:rsid w:val="001A669A"/>
    <w:rsid w:val="001B04E1"/>
    <w:rsid w:val="001B058A"/>
    <w:rsid w:val="001B16AD"/>
    <w:rsid w:val="001B1BBB"/>
    <w:rsid w:val="001B1C74"/>
    <w:rsid w:val="001B248A"/>
    <w:rsid w:val="001B2AD7"/>
    <w:rsid w:val="001B2EDC"/>
    <w:rsid w:val="001B36B7"/>
    <w:rsid w:val="001B389E"/>
    <w:rsid w:val="001B54A7"/>
    <w:rsid w:val="001B622B"/>
    <w:rsid w:val="001B639C"/>
    <w:rsid w:val="001B65AC"/>
    <w:rsid w:val="001B6BF7"/>
    <w:rsid w:val="001B7837"/>
    <w:rsid w:val="001B7F4D"/>
    <w:rsid w:val="001C1AB4"/>
    <w:rsid w:val="001C31E9"/>
    <w:rsid w:val="001C3FC2"/>
    <w:rsid w:val="001C4584"/>
    <w:rsid w:val="001C4E99"/>
    <w:rsid w:val="001C5B98"/>
    <w:rsid w:val="001C6608"/>
    <w:rsid w:val="001C69A3"/>
    <w:rsid w:val="001C708F"/>
    <w:rsid w:val="001C71BD"/>
    <w:rsid w:val="001D0ECF"/>
    <w:rsid w:val="001D107F"/>
    <w:rsid w:val="001D3AF7"/>
    <w:rsid w:val="001D486F"/>
    <w:rsid w:val="001D4E23"/>
    <w:rsid w:val="001D5C78"/>
    <w:rsid w:val="001D5DA3"/>
    <w:rsid w:val="001D5E94"/>
    <w:rsid w:val="001D6E88"/>
    <w:rsid w:val="001D7125"/>
    <w:rsid w:val="001D75DF"/>
    <w:rsid w:val="001D76B5"/>
    <w:rsid w:val="001E17C0"/>
    <w:rsid w:val="001E279D"/>
    <w:rsid w:val="001E2823"/>
    <w:rsid w:val="001E2BBB"/>
    <w:rsid w:val="001E2C92"/>
    <w:rsid w:val="001E2D7B"/>
    <w:rsid w:val="001E33F4"/>
    <w:rsid w:val="001E39A9"/>
    <w:rsid w:val="001E4959"/>
    <w:rsid w:val="001E4F3D"/>
    <w:rsid w:val="001E6CF4"/>
    <w:rsid w:val="001E6FF2"/>
    <w:rsid w:val="001E7EA8"/>
    <w:rsid w:val="001F0DAF"/>
    <w:rsid w:val="001F0FCD"/>
    <w:rsid w:val="001F11B3"/>
    <w:rsid w:val="001F4534"/>
    <w:rsid w:val="001F60F0"/>
    <w:rsid w:val="001F7BB9"/>
    <w:rsid w:val="001F7F33"/>
    <w:rsid w:val="002008C5"/>
    <w:rsid w:val="002010FA"/>
    <w:rsid w:val="00201E5B"/>
    <w:rsid w:val="00202362"/>
    <w:rsid w:val="0020257C"/>
    <w:rsid w:val="0020323D"/>
    <w:rsid w:val="002032D1"/>
    <w:rsid w:val="00203795"/>
    <w:rsid w:val="00203F09"/>
    <w:rsid w:val="0020438E"/>
    <w:rsid w:val="00204BD5"/>
    <w:rsid w:val="00204D48"/>
    <w:rsid w:val="00204E1F"/>
    <w:rsid w:val="00205509"/>
    <w:rsid w:val="0020597C"/>
    <w:rsid w:val="002068E8"/>
    <w:rsid w:val="00206F28"/>
    <w:rsid w:val="002072D8"/>
    <w:rsid w:val="00207776"/>
    <w:rsid w:val="0021102E"/>
    <w:rsid w:val="00211160"/>
    <w:rsid w:val="00211549"/>
    <w:rsid w:val="002125F0"/>
    <w:rsid w:val="00212F2A"/>
    <w:rsid w:val="002144C9"/>
    <w:rsid w:val="00214C38"/>
    <w:rsid w:val="00215FC8"/>
    <w:rsid w:val="00216565"/>
    <w:rsid w:val="0021686A"/>
    <w:rsid w:val="002206C2"/>
    <w:rsid w:val="0022157B"/>
    <w:rsid w:val="00222CC4"/>
    <w:rsid w:val="00223210"/>
    <w:rsid w:val="00223ECE"/>
    <w:rsid w:val="00223EDD"/>
    <w:rsid w:val="00224032"/>
    <w:rsid w:val="00224437"/>
    <w:rsid w:val="00225149"/>
    <w:rsid w:val="00225165"/>
    <w:rsid w:val="00225C30"/>
    <w:rsid w:val="00226957"/>
    <w:rsid w:val="00227BB2"/>
    <w:rsid w:val="00227EC8"/>
    <w:rsid w:val="002302E5"/>
    <w:rsid w:val="00230E23"/>
    <w:rsid w:val="00231F92"/>
    <w:rsid w:val="00232811"/>
    <w:rsid w:val="00232E65"/>
    <w:rsid w:val="0023324D"/>
    <w:rsid w:val="0023393F"/>
    <w:rsid w:val="00233D6D"/>
    <w:rsid w:val="00235A8C"/>
    <w:rsid w:val="00235C9C"/>
    <w:rsid w:val="00235F42"/>
    <w:rsid w:val="00236CB3"/>
    <w:rsid w:val="00237437"/>
    <w:rsid w:val="00237871"/>
    <w:rsid w:val="00237C8D"/>
    <w:rsid w:val="0024021D"/>
    <w:rsid w:val="00240416"/>
    <w:rsid w:val="002416CA"/>
    <w:rsid w:val="00242BFD"/>
    <w:rsid w:val="0024416E"/>
    <w:rsid w:val="00244351"/>
    <w:rsid w:val="00244DB6"/>
    <w:rsid w:val="002458DD"/>
    <w:rsid w:val="00245BAD"/>
    <w:rsid w:val="002469E3"/>
    <w:rsid w:val="00246B79"/>
    <w:rsid w:val="00246F13"/>
    <w:rsid w:val="00247C96"/>
    <w:rsid w:val="00250116"/>
    <w:rsid w:val="002513A5"/>
    <w:rsid w:val="00251CF4"/>
    <w:rsid w:val="00251F58"/>
    <w:rsid w:val="00252E78"/>
    <w:rsid w:val="00252E9E"/>
    <w:rsid w:val="00253A2D"/>
    <w:rsid w:val="00253ACB"/>
    <w:rsid w:val="002542A2"/>
    <w:rsid w:val="00254449"/>
    <w:rsid w:val="00254A8A"/>
    <w:rsid w:val="0025502A"/>
    <w:rsid w:val="0025505D"/>
    <w:rsid w:val="00255794"/>
    <w:rsid w:val="00256F1F"/>
    <w:rsid w:val="0025749E"/>
    <w:rsid w:val="00257D5F"/>
    <w:rsid w:val="00260D21"/>
    <w:rsid w:val="00260F06"/>
    <w:rsid w:val="0026102C"/>
    <w:rsid w:val="00261E6C"/>
    <w:rsid w:val="00262510"/>
    <w:rsid w:val="0026456E"/>
    <w:rsid w:val="0026524D"/>
    <w:rsid w:val="00265EB7"/>
    <w:rsid w:val="00266E95"/>
    <w:rsid w:val="0026704A"/>
    <w:rsid w:val="0026738C"/>
    <w:rsid w:val="00267837"/>
    <w:rsid w:val="0026785B"/>
    <w:rsid w:val="00267DC0"/>
    <w:rsid w:val="0027141D"/>
    <w:rsid w:val="00271C1B"/>
    <w:rsid w:val="0027231C"/>
    <w:rsid w:val="00272B20"/>
    <w:rsid w:val="00273AF8"/>
    <w:rsid w:val="002741A6"/>
    <w:rsid w:val="00274C66"/>
    <w:rsid w:val="00275225"/>
    <w:rsid w:val="00276317"/>
    <w:rsid w:val="002770F1"/>
    <w:rsid w:val="002779EE"/>
    <w:rsid w:val="00280554"/>
    <w:rsid w:val="00280C0A"/>
    <w:rsid w:val="00280DE0"/>
    <w:rsid w:val="00281685"/>
    <w:rsid w:val="00281DEB"/>
    <w:rsid w:val="002835EB"/>
    <w:rsid w:val="00283D8A"/>
    <w:rsid w:val="00283ED2"/>
    <w:rsid w:val="00283F21"/>
    <w:rsid w:val="002846C1"/>
    <w:rsid w:val="00285B12"/>
    <w:rsid w:val="00286323"/>
    <w:rsid w:val="002864A6"/>
    <w:rsid w:val="00286628"/>
    <w:rsid w:val="00286BED"/>
    <w:rsid w:val="0029077E"/>
    <w:rsid w:val="0029125B"/>
    <w:rsid w:val="002921C8"/>
    <w:rsid w:val="00292E8C"/>
    <w:rsid w:val="00293FC3"/>
    <w:rsid w:val="00294D50"/>
    <w:rsid w:val="00295838"/>
    <w:rsid w:val="00295912"/>
    <w:rsid w:val="00295A4A"/>
    <w:rsid w:val="00295CC2"/>
    <w:rsid w:val="00296D73"/>
    <w:rsid w:val="00297128"/>
    <w:rsid w:val="00297BC4"/>
    <w:rsid w:val="002A017E"/>
    <w:rsid w:val="002A0415"/>
    <w:rsid w:val="002A0C5C"/>
    <w:rsid w:val="002A17B7"/>
    <w:rsid w:val="002A3A62"/>
    <w:rsid w:val="002A425A"/>
    <w:rsid w:val="002A5398"/>
    <w:rsid w:val="002A54C7"/>
    <w:rsid w:val="002A5C3E"/>
    <w:rsid w:val="002A5C4E"/>
    <w:rsid w:val="002A7347"/>
    <w:rsid w:val="002A74A7"/>
    <w:rsid w:val="002A79F3"/>
    <w:rsid w:val="002B0449"/>
    <w:rsid w:val="002B0851"/>
    <w:rsid w:val="002B0B61"/>
    <w:rsid w:val="002B0DF6"/>
    <w:rsid w:val="002B0E33"/>
    <w:rsid w:val="002B2A0D"/>
    <w:rsid w:val="002B43A0"/>
    <w:rsid w:val="002B524D"/>
    <w:rsid w:val="002B5628"/>
    <w:rsid w:val="002B6296"/>
    <w:rsid w:val="002B64E1"/>
    <w:rsid w:val="002B6542"/>
    <w:rsid w:val="002B6954"/>
    <w:rsid w:val="002B6A57"/>
    <w:rsid w:val="002B7AD0"/>
    <w:rsid w:val="002C052A"/>
    <w:rsid w:val="002C087A"/>
    <w:rsid w:val="002C0F13"/>
    <w:rsid w:val="002C17AC"/>
    <w:rsid w:val="002C1C13"/>
    <w:rsid w:val="002C254A"/>
    <w:rsid w:val="002C266C"/>
    <w:rsid w:val="002C3198"/>
    <w:rsid w:val="002C4AD4"/>
    <w:rsid w:val="002C534F"/>
    <w:rsid w:val="002C5C01"/>
    <w:rsid w:val="002C6701"/>
    <w:rsid w:val="002C6EA4"/>
    <w:rsid w:val="002C72AE"/>
    <w:rsid w:val="002C7770"/>
    <w:rsid w:val="002C7F45"/>
    <w:rsid w:val="002D220E"/>
    <w:rsid w:val="002D2D51"/>
    <w:rsid w:val="002D3CB1"/>
    <w:rsid w:val="002D4AE3"/>
    <w:rsid w:val="002D5873"/>
    <w:rsid w:val="002E093D"/>
    <w:rsid w:val="002E094B"/>
    <w:rsid w:val="002E0A00"/>
    <w:rsid w:val="002E0E45"/>
    <w:rsid w:val="002E0F5C"/>
    <w:rsid w:val="002E1084"/>
    <w:rsid w:val="002E10EC"/>
    <w:rsid w:val="002E1246"/>
    <w:rsid w:val="002E1481"/>
    <w:rsid w:val="002E1D18"/>
    <w:rsid w:val="002E2264"/>
    <w:rsid w:val="002E3981"/>
    <w:rsid w:val="002E3B4E"/>
    <w:rsid w:val="002E4363"/>
    <w:rsid w:val="002E58EB"/>
    <w:rsid w:val="002E5948"/>
    <w:rsid w:val="002E6700"/>
    <w:rsid w:val="002E6975"/>
    <w:rsid w:val="002E71FF"/>
    <w:rsid w:val="002F10EE"/>
    <w:rsid w:val="002F2529"/>
    <w:rsid w:val="002F28D9"/>
    <w:rsid w:val="002F3C5E"/>
    <w:rsid w:val="002F5544"/>
    <w:rsid w:val="002F647F"/>
    <w:rsid w:val="002F6771"/>
    <w:rsid w:val="002F682E"/>
    <w:rsid w:val="002F6994"/>
    <w:rsid w:val="002F6C4B"/>
    <w:rsid w:val="002F6ECE"/>
    <w:rsid w:val="002F7155"/>
    <w:rsid w:val="002F71A1"/>
    <w:rsid w:val="00301246"/>
    <w:rsid w:val="00302812"/>
    <w:rsid w:val="00302D9C"/>
    <w:rsid w:val="00302E2B"/>
    <w:rsid w:val="003036AA"/>
    <w:rsid w:val="003039FC"/>
    <w:rsid w:val="00303FC0"/>
    <w:rsid w:val="003041C0"/>
    <w:rsid w:val="00304AFE"/>
    <w:rsid w:val="00304C2D"/>
    <w:rsid w:val="00304F03"/>
    <w:rsid w:val="003065CB"/>
    <w:rsid w:val="00311A79"/>
    <w:rsid w:val="0031343F"/>
    <w:rsid w:val="0031364C"/>
    <w:rsid w:val="003148BF"/>
    <w:rsid w:val="00314B65"/>
    <w:rsid w:val="00316612"/>
    <w:rsid w:val="0031669D"/>
    <w:rsid w:val="0031781A"/>
    <w:rsid w:val="0032064A"/>
    <w:rsid w:val="0032123F"/>
    <w:rsid w:val="00321436"/>
    <w:rsid w:val="003214A7"/>
    <w:rsid w:val="00322967"/>
    <w:rsid w:val="00322A1E"/>
    <w:rsid w:val="00322EBD"/>
    <w:rsid w:val="003230DD"/>
    <w:rsid w:val="003237C5"/>
    <w:rsid w:val="0032386A"/>
    <w:rsid w:val="00323914"/>
    <w:rsid w:val="00323E37"/>
    <w:rsid w:val="003246A1"/>
    <w:rsid w:val="0032536B"/>
    <w:rsid w:val="003262E5"/>
    <w:rsid w:val="00327A16"/>
    <w:rsid w:val="00330377"/>
    <w:rsid w:val="00331224"/>
    <w:rsid w:val="00331F39"/>
    <w:rsid w:val="003321D9"/>
    <w:rsid w:val="00332B32"/>
    <w:rsid w:val="00332F3A"/>
    <w:rsid w:val="00333AF9"/>
    <w:rsid w:val="00335363"/>
    <w:rsid w:val="00335D0D"/>
    <w:rsid w:val="00335D30"/>
    <w:rsid w:val="00336C74"/>
    <w:rsid w:val="00336DEC"/>
    <w:rsid w:val="003370A3"/>
    <w:rsid w:val="00337774"/>
    <w:rsid w:val="00337EB3"/>
    <w:rsid w:val="0034018B"/>
    <w:rsid w:val="00341E87"/>
    <w:rsid w:val="00341E89"/>
    <w:rsid w:val="0034288E"/>
    <w:rsid w:val="0034348B"/>
    <w:rsid w:val="0034489E"/>
    <w:rsid w:val="00345A44"/>
    <w:rsid w:val="003466E4"/>
    <w:rsid w:val="003470E0"/>
    <w:rsid w:val="003470E4"/>
    <w:rsid w:val="003474BB"/>
    <w:rsid w:val="00350FED"/>
    <w:rsid w:val="00351720"/>
    <w:rsid w:val="00351C89"/>
    <w:rsid w:val="00351F1D"/>
    <w:rsid w:val="00351F93"/>
    <w:rsid w:val="0035201F"/>
    <w:rsid w:val="003528BC"/>
    <w:rsid w:val="003532B6"/>
    <w:rsid w:val="00353B4A"/>
    <w:rsid w:val="0035424F"/>
    <w:rsid w:val="00354D31"/>
    <w:rsid w:val="00355550"/>
    <w:rsid w:val="00355874"/>
    <w:rsid w:val="0035603C"/>
    <w:rsid w:val="00356295"/>
    <w:rsid w:val="003567E9"/>
    <w:rsid w:val="0035686C"/>
    <w:rsid w:val="00360FB8"/>
    <w:rsid w:val="003614CB"/>
    <w:rsid w:val="00361E25"/>
    <w:rsid w:val="00362725"/>
    <w:rsid w:val="003629A1"/>
    <w:rsid w:val="0036576A"/>
    <w:rsid w:val="003664D0"/>
    <w:rsid w:val="00366B76"/>
    <w:rsid w:val="00366F1C"/>
    <w:rsid w:val="003678BC"/>
    <w:rsid w:val="00370A6B"/>
    <w:rsid w:val="00370F15"/>
    <w:rsid w:val="003723D9"/>
    <w:rsid w:val="00373209"/>
    <w:rsid w:val="003736D0"/>
    <w:rsid w:val="00374BE8"/>
    <w:rsid w:val="00375181"/>
    <w:rsid w:val="0037547A"/>
    <w:rsid w:val="00376890"/>
    <w:rsid w:val="0038175E"/>
    <w:rsid w:val="00385373"/>
    <w:rsid w:val="003866B5"/>
    <w:rsid w:val="00387418"/>
    <w:rsid w:val="00387FA9"/>
    <w:rsid w:val="00390AE9"/>
    <w:rsid w:val="003917D4"/>
    <w:rsid w:val="003921C7"/>
    <w:rsid w:val="0039267B"/>
    <w:rsid w:val="0039410E"/>
    <w:rsid w:val="00394588"/>
    <w:rsid w:val="0039482B"/>
    <w:rsid w:val="00394D2B"/>
    <w:rsid w:val="003950EE"/>
    <w:rsid w:val="00396B9D"/>
    <w:rsid w:val="00397310"/>
    <w:rsid w:val="00397606"/>
    <w:rsid w:val="003979A6"/>
    <w:rsid w:val="00397AB1"/>
    <w:rsid w:val="00397D15"/>
    <w:rsid w:val="003A06FB"/>
    <w:rsid w:val="003A0A07"/>
    <w:rsid w:val="003A1A19"/>
    <w:rsid w:val="003A298B"/>
    <w:rsid w:val="003A397E"/>
    <w:rsid w:val="003A4A52"/>
    <w:rsid w:val="003A532D"/>
    <w:rsid w:val="003A53B2"/>
    <w:rsid w:val="003A5DF8"/>
    <w:rsid w:val="003A6785"/>
    <w:rsid w:val="003A6D33"/>
    <w:rsid w:val="003A6FB3"/>
    <w:rsid w:val="003A7868"/>
    <w:rsid w:val="003A78E5"/>
    <w:rsid w:val="003A7948"/>
    <w:rsid w:val="003B17CA"/>
    <w:rsid w:val="003B1D0A"/>
    <w:rsid w:val="003B254E"/>
    <w:rsid w:val="003B2BE1"/>
    <w:rsid w:val="003B3A55"/>
    <w:rsid w:val="003B4009"/>
    <w:rsid w:val="003B40A1"/>
    <w:rsid w:val="003B4201"/>
    <w:rsid w:val="003B4AB1"/>
    <w:rsid w:val="003B4EB0"/>
    <w:rsid w:val="003B6683"/>
    <w:rsid w:val="003B7B46"/>
    <w:rsid w:val="003B7B8C"/>
    <w:rsid w:val="003C07AB"/>
    <w:rsid w:val="003C17B0"/>
    <w:rsid w:val="003C1EDA"/>
    <w:rsid w:val="003C22A4"/>
    <w:rsid w:val="003C465C"/>
    <w:rsid w:val="003C4CAE"/>
    <w:rsid w:val="003C4F1B"/>
    <w:rsid w:val="003C5537"/>
    <w:rsid w:val="003C5972"/>
    <w:rsid w:val="003C6167"/>
    <w:rsid w:val="003C6C48"/>
    <w:rsid w:val="003C70F4"/>
    <w:rsid w:val="003C7868"/>
    <w:rsid w:val="003D0140"/>
    <w:rsid w:val="003D0539"/>
    <w:rsid w:val="003D0E97"/>
    <w:rsid w:val="003D0EBB"/>
    <w:rsid w:val="003D2083"/>
    <w:rsid w:val="003D20E2"/>
    <w:rsid w:val="003D33CB"/>
    <w:rsid w:val="003D39C2"/>
    <w:rsid w:val="003D39D0"/>
    <w:rsid w:val="003D4D8F"/>
    <w:rsid w:val="003D4FF0"/>
    <w:rsid w:val="003D57D9"/>
    <w:rsid w:val="003D69FB"/>
    <w:rsid w:val="003D6B1C"/>
    <w:rsid w:val="003D73FF"/>
    <w:rsid w:val="003D79B8"/>
    <w:rsid w:val="003D7C12"/>
    <w:rsid w:val="003D7D9F"/>
    <w:rsid w:val="003E0771"/>
    <w:rsid w:val="003E13CF"/>
    <w:rsid w:val="003E23A9"/>
    <w:rsid w:val="003E29E4"/>
    <w:rsid w:val="003E2BC8"/>
    <w:rsid w:val="003E31E0"/>
    <w:rsid w:val="003E3F63"/>
    <w:rsid w:val="003E507B"/>
    <w:rsid w:val="003E5E9F"/>
    <w:rsid w:val="003E71BA"/>
    <w:rsid w:val="003E72EC"/>
    <w:rsid w:val="003E7D44"/>
    <w:rsid w:val="003E7E17"/>
    <w:rsid w:val="003F039C"/>
    <w:rsid w:val="003F0938"/>
    <w:rsid w:val="003F0D05"/>
    <w:rsid w:val="003F127B"/>
    <w:rsid w:val="003F1421"/>
    <w:rsid w:val="003F1502"/>
    <w:rsid w:val="003F15AA"/>
    <w:rsid w:val="003F2C8F"/>
    <w:rsid w:val="003F2CBC"/>
    <w:rsid w:val="003F369D"/>
    <w:rsid w:val="003F38C2"/>
    <w:rsid w:val="003F39ED"/>
    <w:rsid w:val="003F4E20"/>
    <w:rsid w:val="003F5D87"/>
    <w:rsid w:val="003F78EB"/>
    <w:rsid w:val="00400119"/>
    <w:rsid w:val="0040026B"/>
    <w:rsid w:val="0040125F"/>
    <w:rsid w:val="00401813"/>
    <w:rsid w:val="00401979"/>
    <w:rsid w:val="0040236E"/>
    <w:rsid w:val="00402854"/>
    <w:rsid w:val="00402B63"/>
    <w:rsid w:val="00402CB8"/>
    <w:rsid w:val="00403951"/>
    <w:rsid w:val="004039F3"/>
    <w:rsid w:val="00405499"/>
    <w:rsid w:val="004055A8"/>
    <w:rsid w:val="00405907"/>
    <w:rsid w:val="00406EF1"/>
    <w:rsid w:val="00406F45"/>
    <w:rsid w:val="00407031"/>
    <w:rsid w:val="00410527"/>
    <w:rsid w:val="00412B06"/>
    <w:rsid w:val="00413DE9"/>
    <w:rsid w:val="004143F4"/>
    <w:rsid w:val="00414D7D"/>
    <w:rsid w:val="00415637"/>
    <w:rsid w:val="004157BA"/>
    <w:rsid w:val="00415936"/>
    <w:rsid w:val="00415AA9"/>
    <w:rsid w:val="00416530"/>
    <w:rsid w:val="00416720"/>
    <w:rsid w:val="00416C79"/>
    <w:rsid w:val="004170F3"/>
    <w:rsid w:val="00417362"/>
    <w:rsid w:val="00417626"/>
    <w:rsid w:val="00417B4C"/>
    <w:rsid w:val="00420718"/>
    <w:rsid w:val="00421F21"/>
    <w:rsid w:val="0042339A"/>
    <w:rsid w:val="00423D91"/>
    <w:rsid w:val="00424E05"/>
    <w:rsid w:val="004263BA"/>
    <w:rsid w:val="00427026"/>
    <w:rsid w:val="0042726D"/>
    <w:rsid w:val="004274A8"/>
    <w:rsid w:val="004305AB"/>
    <w:rsid w:val="004305B3"/>
    <w:rsid w:val="0043064D"/>
    <w:rsid w:val="004311B9"/>
    <w:rsid w:val="00431549"/>
    <w:rsid w:val="00431DBA"/>
    <w:rsid w:val="004322EF"/>
    <w:rsid w:val="004324AA"/>
    <w:rsid w:val="004329D9"/>
    <w:rsid w:val="0043392C"/>
    <w:rsid w:val="004341B0"/>
    <w:rsid w:val="00434422"/>
    <w:rsid w:val="00434C47"/>
    <w:rsid w:val="00434F89"/>
    <w:rsid w:val="004429B8"/>
    <w:rsid w:val="0044379B"/>
    <w:rsid w:val="00444834"/>
    <w:rsid w:val="00444DED"/>
    <w:rsid w:val="00445175"/>
    <w:rsid w:val="00445BA5"/>
    <w:rsid w:val="00445BF1"/>
    <w:rsid w:val="00446193"/>
    <w:rsid w:val="00446298"/>
    <w:rsid w:val="00446B82"/>
    <w:rsid w:val="00450B1C"/>
    <w:rsid w:val="00452884"/>
    <w:rsid w:val="00452965"/>
    <w:rsid w:val="00452E69"/>
    <w:rsid w:val="0045300A"/>
    <w:rsid w:val="0045340F"/>
    <w:rsid w:val="0045389F"/>
    <w:rsid w:val="00454F74"/>
    <w:rsid w:val="00455D64"/>
    <w:rsid w:val="0045779D"/>
    <w:rsid w:val="004601DD"/>
    <w:rsid w:val="00460407"/>
    <w:rsid w:val="004610B1"/>
    <w:rsid w:val="00462884"/>
    <w:rsid w:val="004643AD"/>
    <w:rsid w:val="00464718"/>
    <w:rsid w:val="00464BE0"/>
    <w:rsid w:val="004651F9"/>
    <w:rsid w:val="00465ACD"/>
    <w:rsid w:val="00466A29"/>
    <w:rsid w:val="00466D47"/>
    <w:rsid w:val="004676E7"/>
    <w:rsid w:val="004677B3"/>
    <w:rsid w:val="00467DC5"/>
    <w:rsid w:val="004703E3"/>
    <w:rsid w:val="00470534"/>
    <w:rsid w:val="00470BA7"/>
    <w:rsid w:val="004711E1"/>
    <w:rsid w:val="004746F0"/>
    <w:rsid w:val="004757E1"/>
    <w:rsid w:val="00475DAE"/>
    <w:rsid w:val="00476A97"/>
    <w:rsid w:val="004772CE"/>
    <w:rsid w:val="00477513"/>
    <w:rsid w:val="0047794D"/>
    <w:rsid w:val="00477FD2"/>
    <w:rsid w:val="004801D6"/>
    <w:rsid w:val="0048022E"/>
    <w:rsid w:val="0048202B"/>
    <w:rsid w:val="00482192"/>
    <w:rsid w:val="004822DE"/>
    <w:rsid w:val="004823C3"/>
    <w:rsid w:val="004828E3"/>
    <w:rsid w:val="00482D8F"/>
    <w:rsid w:val="004831D3"/>
    <w:rsid w:val="00483502"/>
    <w:rsid w:val="00484A0B"/>
    <w:rsid w:val="00485905"/>
    <w:rsid w:val="004861B3"/>
    <w:rsid w:val="004901FF"/>
    <w:rsid w:val="0049051D"/>
    <w:rsid w:val="00491366"/>
    <w:rsid w:val="00491D7D"/>
    <w:rsid w:val="004922ED"/>
    <w:rsid w:val="004925A5"/>
    <w:rsid w:val="00492CBF"/>
    <w:rsid w:val="00493A6E"/>
    <w:rsid w:val="00493D15"/>
    <w:rsid w:val="004948DF"/>
    <w:rsid w:val="00495789"/>
    <w:rsid w:val="00496F8D"/>
    <w:rsid w:val="0049757F"/>
    <w:rsid w:val="004A02EB"/>
    <w:rsid w:val="004A0754"/>
    <w:rsid w:val="004A1940"/>
    <w:rsid w:val="004A1B09"/>
    <w:rsid w:val="004A1DAE"/>
    <w:rsid w:val="004A1FC7"/>
    <w:rsid w:val="004A2D44"/>
    <w:rsid w:val="004A3287"/>
    <w:rsid w:val="004A4F71"/>
    <w:rsid w:val="004A524F"/>
    <w:rsid w:val="004A53CE"/>
    <w:rsid w:val="004A54E6"/>
    <w:rsid w:val="004A56CE"/>
    <w:rsid w:val="004A5745"/>
    <w:rsid w:val="004A5C0B"/>
    <w:rsid w:val="004A6D96"/>
    <w:rsid w:val="004A75DA"/>
    <w:rsid w:val="004B1001"/>
    <w:rsid w:val="004B11A6"/>
    <w:rsid w:val="004B1233"/>
    <w:rsid w:val="004B12E4"/>
    <w:rsid w:val="004B17D1"/>
    <w:rsid w:val="004B351F"/>
    <w:rsid w:val="004B3B23"/>
    <w:rsid w:val="004B520E"/>
    <w:rsid w:val="004B53B2"/>
    <w:rsid w:val="004B6765"/>
    <w:rsid w:val="004B74E1"/>
    <w:rsid w:val="004B7B45"/>
    <w:rsid w:val="004B7C85"/>
    <w:rsid w:val="004C10C5"/>
    <w:rsid w:val="004C17EE"/>
    <w:rsid w:val="004C251D"/>
    <w:rsid w:val="004C2599"/>
    <w:rsid w:val="004C3953"/>
    <w:rsid w:val="004C39F8"/>
    <w:rsid w:val="004C3C86"/>
    <w:rsid w:val="004C4560"/>
    <w:rsid w:val="004C56BB"/>
    <w:rsid w:val="004C5786"/>
    <w:rsid w:val="004C7C63"/>
    <w:rsid w:val="004D0297"/>
    <w:rsid w:val="004D18B1"/>
    <w:rsid w:val="004D2E64"/>
    <w:rsid w:val="004D415A"/>
    <w:rsid w:val="004D43BE"/>
    <w:rsid w:val="004D44EC"/>
    <w:rsid w:val="004D5E5D"/>
    <w:rsid w:val="004D7921"/>
    <w:rsid w:val="004D7B7B"/>
    <w:rsid w:val="004E13F3"/>
    <w:rsid w:val="004E1C97"/>
    <w:rsid w:val="004E1CC8"/>
    <w:rsid w:val="004E1FDB"/>
    <w:rsid w:val="004E2718"/>
    <w:rsid w:val="004E2D68"/>
    <w:rsid w:val="004E2E14"/>
    <w:rsid w:val="004E38AC"/>
    <w:rsid w:val="004E42DA"/>
    <w:rsid w:val="004E5259"/>
    <w:rsid w:val="004E5EA9"/>
    <w:rsid w:val="004E6731"/>
    <w:rsid w:val="004F09DF"/>
    <w:rsid w:val="004F291C"/>
    <w:rsid w:val="004F450A"/>
    <w:rsid w:val="004F476C"/>
    <w:rsid w:val="004F4C20"/>
    <w:rsid w:val="004F4C26"/>
    <w:rsid w:val="004F4DFE"/>
    <w:rsid w:val="004F5323"/>
    <w:rsid w:val="004F5D3A"/>
    <w:rsid w:val="004F648E"/>
    <w:rsid w:val="004F6EC9"/>
    <w:rsid w:val="004F7D7D"/>
    <w:rsid w:val="0050104E"/>
    <w:rsid w:val="00504044"/>
    <w:rsid w:val="005041CB"/>
    <w:rsid w:val="00505381"/>
    <w:rsid w:val="00505824"/>
    <w:rsid w:val="00505A00"/>
    <w:rsid w:val="00505CA2"/>
    <w:rsid w:val="00506B0C"/>
    <w:rsid w:val="00506EB7"/>
    <w:rsid w:val="0050765B"/>
    <w:rsid w:val="00510552"/>
    <w:rsid w:val="005117D7"/>
    <w:rsid w:val="00511E90"/>
    <w:rsid w:val="0051397F"/>
    <w:rsid w:val="00513B74"/>
    <w:rsid w:val="0051601B"/>
    <w:rsid w:val="00516B7B"/>
    <w:rsid w:val="0051709D"/>
    <w:rsid w:val="0051738A"/>
    <w:rsid w:val="00517F32"/>
    <w:rsid w:val="0052084E"/>
    <w:rsid w:val="005218CB"/>
    <w:rsid w:val="0052281A"/>
    <w:rsid w:val="00522FB4"/>
    <w:rsid w:val="00523194"/>
    <w:rsid w:val="00524144"/>
    <w:rsid w:val="005251F6"/>
    <w:rsid w:val="005252FE"/>
    <w:rsid w:val="00525DD5"/>
    <w:rsid w:val="00525EB8"/>
    <w:rsid w:val="0052735A"/>
    <w:rsid w:val="00527585"/>
    <w:rsid w:val="00527850"/>
    <w:rsid w:val="005300F2"/>
    <w:rsid w:val="00530500"/>
    <w:rsid w:val="00530A30"/>
    <w:rsid w:val="005317E3"/>
    <w:rsid w:val="0053196C"/>
    <w:rsid w:val="00532514"/>
    <w:rsid w:val="00533309"/>
    <w:rsid w:val="00533B4E"/>
    <w:rsid w:val="00534128"/>
    <w:rsid w:val="00535525"/>
    <w:rsid w:val="00535FA2"/>
    <w:rsid w:val="005366E1"/>
    <w:rsid w:val="00536D1A"/>
    <w:rsid w:val="00540BBD"/>
    <w:rsid w:val="00541C24"/>
    <w:rsid w:val="00542D4C"/>
    <w:rsid w:val="0054487E"/>
    <w:rsid w:val="00544F56"/>
    <w:rsid w:val="00545954"/>
    <w:rsid w:val="00545C0A"/>
    <w:rsid w:val="00546B9C"/>
    <w:rsid w:val="00547101"/>
    <w:rsid w:val="00547C9C"/>
    <w:rsid w:val="00550D77"/>
    <w:rsid w:val="0055220C"/>
    <w:rsid w:val="0055273D"/>
    <w:rsid w:val="00553556"/>
    <w:rsid w:val="00553B4C"/>
    <w:rsid w:val="00554B03"/>
    <w:rsid w:val="0055546E"/>
    <w:rsid w:val="0055599B"/>
    <w:rsid w:val="00555D91"/>
    <w:rsid w:val="00555E0B"/>
    <w:rsid w:val="005568A8"/>
    <w:rsid w:val="00556D50"/>
    <w:rsid w:val="00557003"/>
    <w:rsid w:val="005571AB"/>
    <w:rsid w:val="00557262"/>
    <w:rsid w:val="00557842"/>
    <w:rsid w:val="005600AF"/>
    <w:rsid w:val="00561F5A"/>
    <w:rsid w:val="0056229E"/>
    <w:rsid w:val="005629FC"/>
    <w:rsid w:val="00562B3F"/>
    <w:rsid w:val="00562C6E"/>
    <w:rsid w:val="00563286"/>
    <w:rsid w:val="0056330D"/>
    <w:rsid w:val="005633AD"/>
    <w:rsid w:val="005645BC"/>
    <w:rsid w:val="00564B21"/>
    <w:rsid w:val="0056514C"/>
    <w:rsid w:val="0056564E"/>
    <w:rsid w:val="005658CE"/>
    <w:rsid w:val="005672A9"/>
    <w:rsid w:val="0056757D"/>
    <w:rsid w:val="00567B0E"/>
    <w:rsid w:val="00567DB8"/>
    <w:rsid w:val="00570D79"/>
    <w:rsid w:val="005713BA"/>
    <w:rsid w:val="00572DA4"/>
    <w:rsid w:val="00572E4D"/>
    <w:rsid w:val="00575E9D"/>
    <w:rsid w:val="005760A6"/>
    <w:rsid w:val="005764CC"/>
    <w:rsid w:val="00576DC0"/>
    <w:rsid w:val="00576FD8"/>
    <w:rsid w:val="00577A8F"/>
    <w:rsid w:val="00577C7B"/>
    <w:rsid w:val="00577EC4"/>
    <w:rsid w:val="00580193"/>
    <w:rsid w:val="0058075C"/>
    <w:rsid w:val="005816D8"/>
    <w:rsid w:val="005819BF"/>
    <w:rsid w:val="00581A94"/>
    <w:rsid w:val="00582C5E"/>
    <w:rsid w:val="005831F5"/>
    <w:rsid w:val="00583245"/>
    <w:rsid w:val="005832A6"/>
    <w:rsid w:val="00583965"/>
    <w:rsid w:val="00583D98"/>
    <w:rsid w:val="005842DB"/>
    <w:rsid w:val="00584CB5"/>
    <w:rsid w:val="005858DE"/>
    <w:rsid w:val="0058590F"/>
    <w:rsid w:val="005859BA"/>
    <w:rsid w:val="00586577"/>
    <w:rsid w:val="005866C1"/>
    <w:rsid w:val="005868DA"/>
    <w:rsid w:val="0058767A"/>
    <w:rsid w:val="00587BCC"/>
    <w:rsid w:val="005902AA"/>
    <w:rsid w:val="00591868"/>
    <w:rsid w:val="00591AC6"/>
    <w:rsid w:val="00592FA4"/>
    <w:rsid w:val="005933EF"/>
    <w:rsid w:val="00593ED2"/>
    <w:rsid w:val="0059469C"/>
    <w:rsid w:val="0059608F"/>
    <w:rsid w:val="005963D4"/>
    <w:rsid w:val="00596D67"/>
    <w:rsid w:val="0059714F"/>
    <w:rsid w:val="00597C2B"/>
    <w:rsid w:val="00597C71"/>
    <w:rsid w:val="00597E32"/>
    <w:rsid w:val="005A08EA"/>
    <w:rsid w:val="005A0E65"/>
    <w:rsid w:val="005A167E"/>
    <w:rsid w:val="005A233B"/>
    <w:rsid w:val="005A278D"/>
    <w:rsid w:val="005A2E8C"/>
    <w:rsid w:val="005A3D29"/>
    <w:rsid w:val="005A3FB0"/>
    <w:rsid w:val="005A4325"/>
    <w:rsid w:val="005A5608"/>
    <w:rsid w:val="005A65D6"/>
    <w:rsid w:val="005A68A5"/>
    <w:rsid w:val="005A69F1"/>
    <w:rsid w:val="005A6E80"/>
    <w:rsid w:val="005A727D"/>
    <w:rsid w:val="005A745C"/>
    <w:rsid w:val="005A7D7E"/>
    <w:rsid w:val="005B155B"/>
    <w:rsid w:val="005B1B71"/>
    <w:rsid w:val="005B1E08"/>
    <w:rsid w:val="005B31A9"/>
    <w:rsid w:val="005B34FB"/>
    <w:rsid w:val="005B3F70"/>
    <w:rsid w:val="005B3FF8"/>
    <w:rsid w:val="005B4825"/>
    <w:rsid w:val="005B4982"/>
    <w:rsid w:val="005B5166"/>
    <w:rsid w:val="005B53CD"/>
    <w:rsid w:val="005B5DF7"/>
    <w:rsid w:val="005B6A0F"/>
    <w:rsid w:val="005B6A83"/>
    <w:rsid w:val="005B6EE9"/>
    <w:rsid w:val="005B7EF0"/>
    <w:rsid w:val="005C0049"/>
    <w:rsid w:val="005C3752"/>
    <w:rsid w:val="005C4722"/>
    <w:rsid w:val="005C4FB5"/>
    <w:rsid w:val="005C553F"/>
    <w:rsid w:val="005C5706"/>
    <w:rsid w:val="005C7922"/>
    <w:rsid w:val="005C7EA1"/>
    <w:rsid w:val="005D3630"/>
    <w:rsid w:val="005D50C9"/>
    <w:rsid w:val="005D5594"/>
    <w:rsid w:val="005D5A14"/>
    <w:rsid w:val="005D5B7B"/>
    <w:rsid w:val="005D6110"/>
    <w:rsid w:val="005D6428"/>
    <w:rsid w:val="005D66D1"/>
    <w:rsid w:val="005D72C5"/>
    <w:rsid w:val="005D7AA6"/>
    <w:rsid w:val="005E03A9"/>
    <w:rsid w:val="005E0962"/>
    <w:rsid w:val="005E1209"/>
    <w:rsid w:val="005E18ED"/>
    <w:rsid w:val="005E2268"/>
    <w:rsid w:val="005E22E3"/>
    <w:rsid w:val="005E2660"/>
    <w:rsid w:val="005E27FB"/>
    <w:rsid w:val="005E32D3"/>
    <w:rsid w:val="005E3796"/>
    <w:rsid w:val="005E5008"/>
    <w:rsid w:val="005E5720"/>
    <w:rsid w:val="005E6896"/>
    <w:rsid w:val="005E6897"/>
    <w:rsid w:val="005E6DCE"/>
    <w:rsid w:val="005E71F2"/>
    <w:rsid w:val="005F074F"/>
    <w:rsid w:val="005F1291"/>
    <w:rsid w:val="005F13F8"/>
    <w:rsid w:val="005F229B"/>
    <w:rsid w:val="005F2D1F"/>
    <w:rsid w:val="005F4069"/>
    <w:rsid w:val="005F4281"/>
    <w:rsid w:val="005F42D1"/>
    <w:rsid w:val="005F4404"/>
    <w:rsid w:val="005F46A7"/>
    <w:rsid w:val="005F484E"/>
    <w:rsid w:val="005F4A38"/>
    <w:rsid w:val="005F5030"/>
    <w:rsid w:val="005F5AE5"/>
    <w:rsid w:val="005F6063"/>
    <w:rsid w:val="005F6B24"/>
    <w:rsid w:val="005F7063"/>
    <w:rsid w:val="005F7137"/>
    <w:rsid w:val="005F796B"/>
    <w:rsid w:val="006002E1"/>
    <w:rsid w:val="0060052E"/>
    <w:rsid w:val="00601116"/>
    <w:rsid w:val="0060132F"/>
    <w:rsid w:val="00601EB2"/>
    <w:rsid w:val="006020F3"/>
    <w:rsid w:val="00603F8B"/>
    <w:rsid w:val="00604488"/>
    <w:rsid w:val="006049A9"/>
    <w:rsid w:val="0060560D"/>
    <w:rsid w:val="00605941"/>
    <w:rsid w:val="00606759"/>
    <w:rsid w:val="00606AB9"/>
    <w:rsid w:val="00607104"/>
    <w:rsid w:val="0060715C"/>
    <w:rsid w:val="00610639"/>
    <w:rsid w:val="006106A4"/>
    <w:rsid w:val="006108D3"/>
    <w:rsid w:val="00610D43"/>
    <w:rsid w:val="0061141E"/>
    <w:rsid w:val="00611B39"/>
    <w:rsid w:val="00612A21"/>
    <w:rsid w:val="006140DA"/>
    <w:rsid w:val="00614AC7"/>
    <w:rsid w:val="00614E15"/>
    <w:rsid w:val="006158CE"/>
    <w:rsid w:val="006159BA"/>
    <w:rsid w:val="00616236"/>
    <w:rsid w:val="0061660C"/>
    <w:rsid w:val="00616623"/>
    <w:rsid w:val="00616774"/>
    <w:rsid w:val="006210D6"/>
    <w:rsid w:val="00621BC9"/>
    <w:rsid w:val="00621F1E"/>
    <w:rsid w:val="0062203D"/>
    <w:rsid w:val="00622BE9"/>
    <w:rsid w:val="0062302B"/>
    <w:rsid w:val="00623B6A"/>
    <w:rsid w:val="00623BB6"/>
    <w:rsid w:val="00624A44"/>
    <w:rsid w:val="00624ADF"/>
    <w:rsid w:val="006266DA"/>
    <w:rsid w:val="00627EC0"/>
    <w:rsid w:val="00630556"/>
    <w:rsid w:val="00630D06"/>
    <w:rsid w:val="006311AB"/>
    <w:rsid w:val="00631284"/>
    <w:rsid w:val="00631355"/>
    <w:rsid w:val="0063174C"/>
    <w:rsid w:val="00631868"/>
    <w:rsid w:val="00632072"/>
    <w:rsid w:val="00633429"/>
    <w:rsid w:val="00633546"/>
    <w:rsid w:val="00634157"/>
    <w:rsid w:val="0063557A"/>
    <w:rsid w:val="00636F19"/>
    <w:rsid w:val="006374B3"/>
    <w:rsid w:val="00637ED7"/>
    <w:rsid w:val="006409AD"/>
    <w:rsid w:val="006419FF"/>
    <w:rsid w:val="00641BAB"/>
    <w:rsid w:val="006420D6"/>
    <w:rsid w:val="00642350"/>
    <w:rsid w:val="006426BA"/>
    <w:rsid w:val="00644FB9"/>
    <w:rsid w:val="006450F9"/>
    <w:rsid w:val="00646CA6"/>
    <w:rsid w:val="00647382"/>
    <w:rsid w:val="00650244"/>
    <w:rsid w:val="00650444"/>
    <w:rsid w:val="00650B31"/>
    <w:rsid w:val="00650D82"/>
    <w:rsid w:val="00652A29"/>
    <w:rsid w:val="00653E54"/>
    <w:rsid w:val="00653FB5"/>
    <w:rsid w:val="006565DF"/>
    <w:rsid w:val="00657C25"/>
    <w:rsid w:val="006605E3"/>
    <w:rsid w:val="0066060B"/>
    <w:rsid w:val="0066103B"/>
    <w:rsid w:val="0066196E"/>
    <w:rsid w:val="006620BF"/>
    <w:rsid w:val="00662328"/>
    <w:rsid w:val="006633E6"/>
    <w:rsid w:val="00663CF0"/>
    <w:rsid w:val="00663D29"/>
    <w:rsid w:val="00664263"/>
    <w:rsid w:val="006645D0"/>
    <w:rsid w:val="0066466F"/>
    <w:rsid w:val="00664722"/>
    <w:rsid w:val="0066512B"/>
    <w:rsid w:val="00665D7F"/>
    <w:rsid w:val="0066603E"/>
    <w:rsid w:val="00666B86"/>
    <w:rsid w:val="00666C38"/>
    <w:rsid w:val="00666D61"/>
    <w:rsid w:val="00667DB6"/>
    <w:rsid w:val="006702CE"/>
    <w:rsid w:val="00670689"/>
    <w:rsid w:val="006706BC"/>
    <w:rsid w:val="00672EC9"/>
    <w:rsid w:val="00672FCB"/>
    <w:rsid w:val="006732E3"/>
    <w:rsid w:val="00673A87"/>
    <w:rsid w:val="006748A3"/>
    <w:rsid w:val="006762EB"/>
    <w:rsid w:val="006765A0"/>
    <w:rsid w:val="00677889"/>
    <w:rsid w:val="00677DC3"/>
    <w:rsid w:val="006801D7"/>
    <w:rsid w:val="00680569"/>
    <w:rsid w:val="00680860"/>
    <w:rsid w:val="00680B31"/>
    <w:rsid w:val="0068143C"/>
    <w:rsid w:val="0068243C"/>
    <w:rsid w:val="0068302D"/>
    <w:rsid w:val="006830A3"/>
    <w:rsid w:val="00683E9B"/>
    <w:rsid w:val="006845FD"/>
    <w:rsid w:val="006851B9"/>
    <w:rsid w:val="00685547"/>
    <w:rsid w:val="00686B39"/>
    <w:rsid w:val="0068734E"/>
    <w:rsid w:val="00690FD0"/>
    <w:rsid w:val="0069221C"/>
    <w:rsid w:val="00692FE9"/>
    <w:rsid w:val="006938B4"/>
    <w:rsid w:val="0069411D"/>
    <w:rsid w:val="006945F0"/>
    <w:rsid w:val="00696A99"/>
    <w:rsid w:val="00697BF0"/>
    <w:rsid w:val="006A059A"/>
    <w:rsid w:val="006A1398"/>
    <w:rsid w:val="006A14F5"/>
    <w:rsid w:val="006A1675"/>
    <w:rsid w:val="006A283E"/>
    <w:rsid w:val="006A3B1D"/>
    <w:rsid w:val="006A3DAC"/>
    <w:rsid w:val="006A47E0"/>
    <w:rsid w:val="006A5B05"/>
    <w:rsid w:val="006A5DDE"/>
    <w:rsid w:val="006A6993"/>
    <w:rsid w:val="006B0B38"/>
    <w:rsid w:val="006B1206"/>
    <w:rsid w:val="006B1816"/>
    <w:rsid w:val="006B1CAF"/>
    <w:rsid w:val="006B1FB9"/>
    <w:rsid w:val="006B41BD"/>
    <w:rsid w:val="006B4755"/>
    <w:rsid w:val="006B4974"/>
    <w:rsid w:val="006B4DD8"/>
    <w:rsid w:val="006B67FA"/>
    <w:rsid w:val="006B6820"/>
    <w:rsid w:val="006B6C69"/>
    <w:rsid w:val="006C015E"/>
    <w:rsid w:val="006C0923"/>
    <w:rsid w:val="006C1062"/>
    <w:rsid w:val="006C1538"/>
    <w:rsid w:val="006C24AC"/>
    <w:rsid w:val="006C2F5E"/>
    <w:rsid w:val="006C4AC6"/>
    <w:rsid w:val="006C5020"/>
    <w:rsid w:val="006C5B54"/>
    <w:rsid w:val="006C5D8B"/>
    <w:rsid w:val="006C5F94"/>
    <w:rsid w:val="006C61F4"/>
    <w:rsid w:val="006C6EC3"/>
    <w:rsid w:val="006C7407"/>
    <w:rsid w:val="006C7874"/>
    <w:rsid w:val="006C7D99"/>
    <w:rsid w:val="006C7FE6"/>
    <w:rsid w:val="006D02AC"/>
    <w:rsid w:val="006D0EAE"/>
    <w:rsid w:val="006D1221"/>
    <w:rsid w:val="006D1303"/>
    <w:rsid w:val="006D1EE6"/>
    <w:rsid w:val="006D26AC"/>
    <w:rsid w:val="006D4B86"/>
    <w:rsid w:val="006D548D"/>
    <w:rsid w:val="006D6D6A"/>
    <w:rsid w:val="006D777D"/>
    <w:rsid w:val="006E04EB"/>
    <w:rsid w:val="006E1A9B"/>
    <w:rsid w:val="006E38D1"/>
    <w:rsid w:val="006E4595"/>
    <w:rsid w:val="006E6020"/>
    <w:rsid w:val="006E78F5"/>
    <w:rsid w:val="006E7C09"/>
    <w:rsid w:val="006F061D"/>
    <w:rsid w:val="006F112B"/>
    <w:rsid w:val="006F13B7"/>
    <w:rsid w:val="006F216D"/>
    <w:rsid w:val="006F25D4"/>
    <w:rsid w:val="006F2F2B"/>
    <w:rsid w:val="006F371C"/>
    <w:rsid w:val="006F4051"/>
    <w:rsid w:val="006F4222"/>
    <w:rsid w:val="006F5551"/>
    <w:rsid w:val="006F5BB0"/>
    <w:rsid w:val="006F5C10"/>
    <w:rsid w:val="006F5DD6"/>
    <w:rsid w:val="006F5DF8"/>
    <w:rsid w:val="006F60E8"/>
    <w:rsid w:val="006F69A3"/>
    <w:rsid w:val="006F7755"/>
    <w:rsid w:val="006F7E52"/>
    <w:rsid w:val="00700707"/>
    <w:rsid w:val="007008C8"/>
    <w:rsid w:val="00700F3D"/>
    <w:rsid w:val="00701299"/>
    <w:rsid w:val="00701DCB"/>
    <w:rsid w:val="00703237"/>
    <w:rsid w:val="00703486"/>
    <w:rsid w:val="0070357F"/>
    <w:rsid w:val="00703824"/>
    <w:rsid w:val="00703955"/>
    <w:rsid w:val="00704402"/>
    <w:rsid w:val="00704538"/>
    <w:rsid w:val="00705468"/>
    <w:rsid w:val="00706B20"/>
    <w:rsid w:val="00706D1E"/>
    <w:rsid w:val="00707F24"/>
    <w:rsid w:val="00711ED9"/>
    <w:rsid w:val="007127E2"/>
    <w:rsid w:val="00712BC9"/>
    <w:rsid w:val="00713904"/>
    <w:rsid w:val="00713B67"/>
    <w:rsid w:val="007157E0"/>
    <w:rsid w:val="00715933"/>
    <w:rsid w:val="00715C9F"/>
    <w:rsid w:val="007161D7"/>
    <w:rsid w:val="007166BD"/>
    <w:rsid w:val="0071677A"/>
    <w:rsid w:val="00717A38"/>
    <w:rsid w:val="00717C8F"/>
    <w:rsid w:val="00717CEB"/>
    <w:rsid w:val="00720EE3"/>
    <w:rsid w:val="00721852"/>
    <w:rsid w:val="00721CFC"/>
    <w:rsid w:val="00721FBE"/>
    <w:rsid w:val="0072348E"/>
    <w:rsid w:val="007237E1"/>
    <w:rsid w:val="00723C35"/>
    <w:rsid w:val="00724532"/>
    <w:rsid w:val="0072529E"/>
    <w:rsid w:val="007258EC"/>
    <w:rsid w:val="00725AA1"/>
    <w:rsid w:val="007265BD"/>
    <w:rsid w:val="007266F8"/>
    <w:rsid w:val="00726BDF"/>
    <w:rsid w:val="00730773"/>
    <w:rsid w:val="00730A18"/>
    <w:rsid w:val="0073119F"/>
    <w:rsid w:val="0073128A"/>
    <w:rsid w:val="00731BBD"/>
    <w:rsid w:val="007327C5"/>
    <w:rsid w:val="00732A3F"/>
    <w:rsid w:val="007337F7"/>
    <w:rsid w:val="00733A6C"/>
    <w:rsid w:val="00733E00"/>
    <w:rsid w:val="007344B2"/>
    <w:rsid w:val="0073466E"/>
    <w:rsid w:val="00734AB8"/>
    <w:rsid w:val="00735033"/>
    <w:rsid w:val="00735600"/>
    <w:rsid w:val="00735715"/>
    <w:rsid w:val="00735A24"/>
    <w:rsid w:val="00735E1F"/>
    <w:rsid w:val="00736B5A"/>
    <w:rsid w:val="00736EDD"/>
    <w:rsid w:val="0073777B"/>
    <w:rsid w:val="00737FE5"/>
    <w:rsid w:val="00740190"/>
    <w:rsid w:val="0074052D"/>
    <w:rsid w:val="007405E9"/>
    <w:rsid w:val="0074077A"/>
    <w:rsid w:val="0074089C"/>
    <w:rsid w:val="00741718"/>
    <w:rsid w:val="007420D9"/>
    <w:rsid w:val="007433D2"/>
    <w:rsid w:val="007438F9"/>
    <w:rsid w:val="00743C21"/>
    <w:rsid w:val="00747650"/>
    <w:rsid w:val="00747B8D"/>
    <w:rsid w:val="00747F1D"/>
    <w:rsid w:val="00750541"/>
    <w:rsid w:val="00751007"/>
    <w:rsid w:val="00751698"/>
    <w:rsid w:val="007517C0"/>
    <w:rsid w:val="007519A8"/>
    <w:rsid w:val="007522FE"/>
    <w:rsid w:val="00752794"/>
    <w:rsid w:val="0075422C"/>
    <w:rsid w:val="00754553"/>
    <w:rsid w:val="0075614F"/>
    <w:rsid w:val="00756682"/>
    <w:rsid w:val="00757BBD"/>
    <w:rsid w:val="00757EFA"/>
    <w:rsid w:val="00760867"/>
    <w:rsid w:val="00760C65"/>
    <w:rsid w:val="00761484"/>
    <w:rsid w:val="0076197B"/>
    <w:rsid w:val="007625E4"/>
    <w:rsid w:val="007629AA"/>
    <w:rsid w:val="00762A0D"/>
    <w:rsid w:val="00763385"/>
    <w:rsid w:val="007633CF"/>
    <w:rsid w:val="007636AC"/>
    <w:rsid w:val="00763C1F"/>
    <w:rsid w:val="00764765"/>
    <w:rsid w:val="00764E24"/>
    <w:rsid w:val="007650A1"/>
    <w:rsid w:val="00765397"/>
    <w:rsid w:val="00765967"/>
    <w:rsid w:val="007663AD"/>
    <w:rsid w:val="007668FA"/>
    <w:rsid w:val="0076703E"/>
    <w:rsid w:val="007673AF"/>
    <w:rsid w:val="007674EE"/>
    <w:rsid w:val="007700DC"/>
    <w:rsid w:val="007713BE"/>
    <w:rsid w:val="0077331E"/>
    <w:rsid w:val="007737C6"/>
    <w:rsid w:val="00775E80"/>
    <w:rsid w:val="00776895"/>
    <w:rsid w:val="00776A4F"/>
    <w:rsid w:val="00777164"/>
    <w:rsid w:val="0078099A"/>
    <w:rsid w:val="00780F16"/>
    <w:rsid w:val="00781B5D"/>
    <w:rsid w:val="00781CD7"/>
    <w:rsid w:val="007827D0"/>
    <w:rsid w:val="0078336C"/>
    <w:rsid w:val="00783906"/>
    <w:rsid w:val="00783B23"/>
    <w:rsid w:val="00783B95"/>
    <w:rsid w:val="00784C69"/>
    <w:rsid w:val="0078513B"/>
    <w:rsid w:val="007856E2"/>
    <w:rsid w:val="00786152"/>
    <w:rsid w:val="0078622E"/>
    <w:rsid w:val="00787196"/>
    <w:rsid w:val="00787A20"/>
    <w:rsid w:val="00790700"/>
    <w:rsid w:val="0079173F"/>
    <w:rsid w:val="00791BB8"/>
    <w:rsid w:val="00791DC6"/>
    <w:rsid w:val="00791F2E"/>
    <w:rsid w:val="0079251C"/>
    <w:rsid w:val="007936D0"/>
    <w:rsid w:val="00793A5C"/>
    <w:rsid w:val="00793C51"/>
    <w:rsid w:val="00794D38"/>
    <w:rsid w:val="007958E5"/>
    <w:rsid w:val="007961F7"/>
    <w:rsid w:val="007965C4"/>
    <w:rsid w:val="00796F90"/>
    <w:rsid w:val="007A0DB2"/>
    <w:rsid w:val="007A0E6B"/>
    <w:rsid w:val="007A2382"/>
    <w:rsid w:val="007A27B0"/>
    <w:rsid w:val="007A2ED7"/>
    <w:rsid w:val="007A2FCB"/>
    <w:rsid w:val="007A30DC"/>
    <w:rsid w:val="007A31CE"/>
    <w:rsid w:val="007A3580"/>
    <w:rsid w:val="007A4A1C"/>
    <w:rsid w:val="007A5146"/>
    <w:rsid w:val="007A56CB"/>
    <w:rsid w:val="007A592B"/>
    <w:rsid w:val="007A5D11"/>
    <w:rsid w:val="007A5D3F"/>
    <w:rsid w:val="007A624D"/>
    <w:rsid w:val="007A6931"/>
    <w:rsid w:val="007B0808"/>
    <w:rsid w:val="007B0C8F"/>
    <w:rsid w:val="007B1643"/>
    <w:rsid w:val="007B1CB8"/>
    <w:rsid w:val="007B2975"/>
    <w:rsid w:val="007B2D20"/>
    <w:rsid w:val="007B3B9B"/>
    <w:rsid w:val="007B5121"/>
    <w:rsid w:val="007B549A"/>
    <w:rsid w:val="007B67A6"/>
    <w:rsid w:val="007B7B7D"/>
    <w:rsid w:val="007C1044"/>
    <w:rsid w:val="007C13E6"/>
    <w:rsid w:val="007C1BC0"/>
    <w:rsid w:val="007C5CEA"/>
    <w:rsid w:val="007C5F53"/>
    <w:rsid w:val="007C64A2"/>
    <w:rsid w:val="007C698B"/>
    <w:rsid w:val="007C72B6"/>
    <w:rsid w:val="007C7379"/>
    <w:rsid w:val="007C745E"/>
    <w:rsid w:val="007D0D9C"/>
    <w:rsid w:val="007D127A"/>
    <w:rsid w:val="007D1FA7"/>
    <w:rsid w:val="007D4701"/>
    <w:rsid w:val="007D55B4"/>
    <w:rsid w:val="007D5606"/>
    <w:rsid w:val="007D72B2"/>
    <w:rsid w:val="007D7C80"/>
    <w:rsid w:val="007E042F"/>
    <w:rsid w:val="007E0B79"/>
    <w:rsid w:val="007E1051"/>
    <w:rsid w:val="007E2231"/>
    <w:rsid w:val="007E23B9"/>
    <w:rsid w:val="007E2EF1"/>
    <w:rsid w:val="007E34A2"/>
    <w:rsid w:val="007E37F7"/>
    <w:rsid w:val="007E3A7E"/>
    <w:rsid w:val="007E3EB8"/>
    <w:rsid w:val="007E5595"/>
    <w:rsid w:val="007E62BF"/>
    <w:rsid w:val="007E684E"/>
    <w:rsid w:val="007E6D1B"/>
    <w:rsid w:val="007E76CC"/>
    <w:rsid w:val="007F104D"/>
    <w:rsid w:val="007F154F"/>
    <w:rsid w:val="007F265A"/>
    <w:rsid w:val="007F2C86"/>
    <w:rsid w:val="007F31CA"/>
    <w:rsid w:val="007F5102"/>
    <w:rsid w:val="007F5337"/>
    <w:rsid w:val="007F57CB"/>
    <w:rsid w:val="007F6A34"/>
    <w:rsid w:val="00800526"/>
    <w:rsid w:val="00800BF7"/>
    <w:rsid w:val="00800C3D"/>
    <w:rsid w:val="00800DCB"/>
    <w:rsid w:val="008021E8"/>
    <w:rsid w:val="00802386"/>
    <w:rsid w:val="00802E27"/>
    <w:rsid w:val="00803094"/>
    <w:rsid w:val="00803898"/>
    <w:rsid w:val="00803DD1"/>
    <w:rsid w:val="0080414E"/>
    <w:rsid w:val="00804565"/>
    <w:rsid w:val="008045CE"/>
    <w:rsid w:val="00804935"/>
    <w:rsid w:val="008056EC"/>
    <w:rsid w:val="00805BE2"/>
    <w:rsid w:val="00805E31"/>
    <w:rsid w:val="00805E70"/>
    <w:rsid w:val="00806338"/>
    <w:rsid w:val="008067DB"/>
    <w:rsid w:val="00810FE3"/>
    <w:rsid w:val="00811E08"/>
    <w:rsid w:val="00812DA5"/>
    <w:rsid w:val="008130A9"/>
    <w:rsid w:val="008148C2"/>
    <w:rsid w:val="00814EB8"/>
    <w:rsid w:val="00814F43"/>
    <w:rsid w:val="00814FA3"/>
    <w:rsid w:val="008151DA"/>
    <w:rsid w:val="00815397"/>
    <w:rsid w:val="00815CDB"/>
    <w:rsid w:val="008162D4"/>
    <w:rsid w:val="00816A7E"/>
    <w:rsid w:val="00816B94"/>
    <w:rsid w:val="00816D47"/>
    <w:rsid w:val="00817D4B"/>
    <w:rsid w:val="00820B86"/>
    <w:rsid w:val="00820E95"/>
    <w:rsid w:val="00821CB4"/>
    <w:rsid w:val="008224A6"/>
    <w:rsid w:val="00822559"/>
    <w:rsid w:val="00823D9F"/>
    <w:rsid w:val="0082627A"/>
    <w:rsid w:val="00826559"/>
    <w:rsid w:val="0082737C"/>
    <w:rsid w:val="008307C9"/>
    <w:rsid w:val="00831F40"/>
    <w:rsid w:val="008322EC"/>
    <w:rsid w:val="008327FF"/>
    <w:rsid w:val="00832F92"/>
    <w:rsid w:val="00834BF2"/>
    <w:rsid w:val="00834FAA"/>
    <w:rsid w:val="00835B10"/>
    <w:rsid w:val="00836346"/>
    <w:rsid w:val="00837AA0"/>
    <w:rsid w:val="00840098"/>
    <w:rsid w:val="00841B74"/>
    <w:rsid w:val="00842662"/>
    <w:rsid w:val="00843177"/>
    <w:rsid w:val="00844683"/>
    <w:rsid w:val="0084495F"/>
    <w:rsid w:val="00844B55"/>
    <w:rsid w:val="00846A59"/>
    <w:rsid w:val="00846AC3"/>
    <w:rsid w:val="00847EB6"/>
    <w:rsid w:val="00851445"/>
    <w:rsid w:val="00852026"/>
    <w:rsid w:val="00852395"/>
    <w:rsid w:val="008524B7"/>
    <w:rsid w:val="00852B85"/>
    <w:rsid w:val="0085312B"/>
    <w:rsid w:val="008533A9"/>
    <w:rsid w:val="00853794"/>
    <w:rsid w:val="00853D13"/>
    <w:rsid w:val="0085463B"/>
    <w:rsid w:val="00854A9C"/>
    <w:rsid w:val="00854B9E"/>
    <w:rsid w:val="008551F2"/>
    <w:rsid w:val="0085597F"/>
    <w:rsid w:val="00855FA8"/>
    <w:rsid w:val="00856A90"/>
    <w:rsid w:val="00856B05"/>
    <w:rsid w:val="00860402"/>
    <w:rsid w:val="0086074F"/>
    <w:rsid w:val="00861512"/>
    <w:rsid w:val="00863343"/>
    <w:rsid w:val="008636F2"/>
    <w:rsid w:val="0086396B"/>
    <w:rsid w:val="008653E3"/>
    <w:rsid w:val="008653EA"/>
    <w:rsid w:val="008668A6"/>
    <w:rsid w:val="00866F0F"/>
    <w:rsid w:val="00866F8D"/>
    <w:rsid w:val="00867B09"/>
    <w:rsid w:val="008702CE"/>
    <w:rsid w:val="00871A32"/>
    <w:rsid w:val="008720FA"/>
    <w:rsid w:val="00872AE3"/>
    <w:rsid w:val="00873498"/>
    <w:rsid w:val="00873583"/>
    <w:rsid w:val="0087404C"/>
    <w:rsid w:val="008742B3"/>
    <w:rsid w:val="00874A52"/>
    <w:rsid w:val="00874B31"/>
    <w:rsid w:val="0087586C"/>
    <w:rsid w:val="00876DE4"/>
    <w:rsid w:val="00877645"/>
    <w:rsid w:val="0087784F"/>
    <w:rsid w:val="00877CBA"/>
    <w:rsid w:val="00880CAA"/>
    <w:rsid w:val="00883200"/>
    <w:rsid w:val="00884761"/>
    <w:rsid w:val="00885B38"/>
    <w:rsid w:val="00886D67"/>
    <w:rsid w:val="008876CF"/>
    <w:rsid w:val="00887FA6"/>
    <w:rsid w:val="00890006"/>
    <w:rsid w:val="00890A56"/>
    <w:rsid w:val="00890C5E"/>
    <w:rsid w:val="00892395"/>
    <w:rsid w:val="008924EE"/>
    <w:rsid w:val="0089264C"/>
    <w:rsid w:val="00892850"/>
    <w:rsid w:val="008938CC"/>
    <w:rsid w:val="00894422"/>
    <w:rsid w:val="008947A6"/>
    <w:rsid w:val="0089605C"/>
    <w:rsid w:val="008967C7"/>
    <w:rsid w:val="00897436"/>
    <w:rsid w:val="00897586"/>
    <w:rsid w:val="00897BE1"/>
    <w:rsid w:val="008A01EB"/>
    <w:rsid w:val="008A0FE3"/>
    <w:rsid w:val="008A28C6"/>
    <w:rsid w:val="008A2C8F"/>
    <w:rsid w:val="008A3C62"/>
    <w:rsid w:val="008A3C77"/>
    <w:rsid w:val="008A423D"/>
    <w:rsid w:val="008A545E"/>
    <w:rsid w:val="008A5649"/>
    <w:rsid w:val="008A59A1"/>
    <w:rsid w:val="008A6096"/>
    <w:rsid w:val="008A6350"/>
    <w:rsid w:val="008A66E8"/>
    <w:rsid w:val="008A68C9"/>
    <w:rsid w:val="008A6F71"/>
    <w:rsid w:val="008B0921"/>
    <w:rsid w:val="008B09DF"/>
    <w:rsid w:val="008B0A69"/>
    <w:rsid w:val="008B0EE2"/>
    <w:rsid w:val="008B1302"/>
    <w:rsid w:val="008B1B35"/>
    <w:rsid w:val="008B1B39"/>
    <w:rsid w:val="008B1E7A"/>
    <w:rsid w:val="008B2AF0"/>
    <w:rsid w:val="008B482A"/>
    <w:rsid w:val="008B4DEB"/>
    <w:rsid w:val="008B5E77"/>
    <w:rsid w:val="008B7F16"/>
    <w:rsid w:val="008C12BC"/>
    <w:rsid w:val="008C1488"/>
    <w:rsid w:val="008C1514"/>
    <w:rsid w:val="008C1522"/>
    <w:rsid w:val="008C18FF"/>
    <w:rsid w:val="008C1C87"/>
    <w:rsid w:val="008C20B3"/>
    <w:rsid w:val="008C2779"/>
    <w:rsid w:val="008C38F5"/>
    <w:rsid w:val="008C39D0"/>
    <w:rsid w:val="008C3D55"/>
    <w:rsid w:val="008C442C"/>
    <w:rsid w:val="008C6A9D"/>
    <w:rsid w:val="008C7974"/>
    <w:rsid w:val="008D0D90"/>
    <w:rsid w:val="008D1C59"/>
    <w:rsid w:val="008D1EDB"/>
    <w:rsid w:val="008D2998"/>
    <w:rsid w:val="008D2C28"/>
    <w:rsid w:val="008D2D58"/>
    <w:rsid w:val="008D3260"/>
    <w:rsid w:val="008D38EB"/>
    <w:rsid w:val="008D3C06"/>
    <w:rsid w:val="008D42DB"/>
    <w:rsid w:val="008D4A54"/>
    <w:rsid w:val="008D5286"/>
    <w:rsid w:val="008D5402"/>
    <w:rsid w:val="008D5C78"/>
    <w:rsid w:val="008D6976"/>
    <w:rsid w:val="008D7060"/>
    <w:rsid w:val="008D7077"/>
    <w:rsid w:val="008D792F"/>
    <w:rsid w:val="008D7CD5"/>
    <w:rsid w:val="008D7F0A"/>
    <w:rsid w:val="008E125C"/>
    <w:rsid w:val="008E2CD3"/>
    <w:rsid w:val="008E2E50"/>
    <w:rsid w:val="008E313A"/>
    <w:rsid w:val="008E3596"/>
    <w:rsid w:val="008E39D8"/>
    <w:rsid w:val="008E48E4"/>
    <w:rsid w:val="008E4E30"/>
    <w:rsid w:val="008E4F30"/>
    <w:rsid w:val="008E5581"/>
    <w:rsid w:val="008E627E"/>
    <w:rsid w:val="008E6BE2"/>
    <w:rsid w:val="008E7243"/>
    <w:rsid w:val="008E7469"/>
    <w:rsid w:val="008F0C7A"/>
    <w:rsid w:val="008F12EF"/>
    <w:rsid w:val="008F21FC"/>
    <w:rsid w:val="008F2474"/>
    <w:rsid w:val="008F30BC"/>
    <w:rsid w:val="008F344D"/>
    <w:rsid w:val="008F4046"/>
    <w:rsid w:val="008F471C"/>
    <w:rsid w:val="008F4990"/>
    <w:rsid w:val="008F5B05"/>
    <w:rsid w:val="008F6C15"/>
    <w:rsid w:val="008F7451"/>
    <w:rsid w:val="008F7BE6"/>
    <w:rsid w:val="008F7C1A"/>
    <w:rsid w:val="0090014B"/>
    <w:rsid w:val="00900B62"/>
    <w:rsid w:val="00901627"/>
    <w:rsid w:val="00901F2F"/>
    <w:rsid w:val="00901FB1"/>
    <w:rsid w:val="009037FF"/>
    <w:rsid w:val="00904897"/>
    <w:rsid w:val="00904A4A"/>
    <w:rsid w:val="00905095"/>
    <w:rsid w:val="0090549C"/>
    <w:rsid w:val="00906165"/>
    <w:rsid w:val="00906D30"/>
    <w:rsid w:val="00910D27"/>
    <w:rsid w:val="00910D53"/>
    <w:rsid w:val="00910D7E"/>
    <w:rsid w:val="00911162"/>
    <w:rsid w:val="009123C1"/>
    <w:rsid w:val="00912A3C"/>
    <w:rsid w:val="00913286"/>
    <w:rsid w:val="00914339"/>
    <w:rsid w:val="00914755"/>
    <w:rsid w:val="00914A79"/>
    <w:rsid w:val="00914D68"/>
    <w:rsid w:val="009150B8"/>
    <w:rsid w:val="009154BC"/>
    <w:rsid w:val="009155BA"/>
    <w:rsid w:val="00916A5E"/>
    <w:rsid w:val="00916B13"/>
    <w:rsid w:val="00916ED5"/>
    <w:rsid w:val="00917495"/>
    <w:rsid w:val="009176E3"/>
    <w:rsid w:val="00920BF4"/>
    <w:rsid w:val="00922A13"/>
    <w:rsid w:val="00923909"/>
    <w:rsid w:val="00923921"/>
    <w:rsid w:val="00923A8A"/>
    <w:rsid w:val="00924AD4"/>
    <w:rsid w:val="00925234"/>
    <w:rsid w:val="00925C84"/>
    <w:rsid w:val="00926D3C"/>
    <w:rsid w:val="009275A6"/>
    <w:rsid w:val="00930B9D"/>
    <w:rsid w:val="00931467"/>
    <w:rsid w:val="00931B4A"/>
    <w:rsid w:val="00931E74"/>
    <w:rsid w:val="009325D7"/>
    <w:rsid w:val="009329F2"/>
    <w:rsid w:val="00932BAC"/>
    <w:rsid w:val="009334CD"/>
    <w:rsid w:val="009336F4"/>
    <w:rsid w:val="0093370A"/>
    <w:rsid w:val="009345C7"/>
    <w:rsid w:val="009347D3"/>
    <w:rsid w:val="00936908"/>
    <w:rsid w:val="00936DBB"/>
    <w:rsid w:val="00937351"/>
    <w:rsid w:val="00937CE9"/>
    <w:rsid w:val="009411EA"/>
    <w:rsid w:val="00941386"/>
    <w:rsid w:val="0094165A"/>
    <w:rsid w:val="00941E1B"/>
    <w:rsid w:val="00942B29"/>
    <w:rsid w:val="009434FE"/>
    <w:rsid w:val="0094351E"/>
    <w:rsid w:val="00943FA2"/>
    <w:rsid w:val="009440E1"/>
    <w:rsid w:val="009445AD"/>
    <w:rsid w:val="009445B3"/>
    <w:rsid w:val="00945831"/>
    <w:rsid w:val="00946407"/>
    <w:rsid w:val="00947230"/>
    <w:rsid w:val="00947652"/>
    <w:rsid w:val="00947974"/>
    <w:rsid w:val="00952961"/>
    <w:rsid w:val="009533A6"/>
    <w:rsid w:val="00953825"/>
    <w:rsid w:val="009541FE"/>
    <w:rsid w:val="009546FA"/>
    <w:rsid w:val="0095490E"/>
    <w:rsid w:val="00956F58"/>
    <w:rsid w:val="00960CE1"/>
    <w:rsid w:val="00960D31"/>
    <w:rsid w:val="00961C90"/>
    <w:rsid w:val="00961FCA"/>
    <w:rsid w:val="00962B85"/>
    <w:rsid w:val="00962E0B"/>
    <w:rsid w:val="00962E2E"/>
    <w:rsid w:val="009640A0"/>
    <w:rsid w:val="009642BE"/>
    <w:rsid w:val="0096502A"/>
    <w:rsid w:val="0096647B"/>
    <w:rsid w:val="00966A6E"/>
    <w:rsid w:val="00967382"/>
    <w:rsid w:val="00967AB6"/>
    <w:rsid w:val="0097015E"/>
    <w:rsid w:val="0097060F"/>
    <w:rsid w:val="0097062C"/>
    <w:rsid w:val="00970925"/>
    <w:rsid w:val="009714F2"/>
    <w:rsid w:val="009715B8"/>
    <w:rsid w:val="00972579"/>
    <w:rsid w:val="00972BD9"/>
    <w:rsid w:val="00973893"/>
    <w:rsid w:val="00973BBA"/>
    <w:rsid w:val="009747A1"/>
    <w:rsid w:val="0097618C"/>
    <w:rsid w:val="00976B7D"/>
    <w:rsid w:val="00977EF7"/>
    <w:rsid w:val="0098052E"/>
    <w:rsid w:val="009830D0"/>
    <w:rsid w:val="00983C7E"/>
    <w:rsid w:val="009843DB"/>
    <w:rsid w:val="0098580E"/>
    <w:rsid w:val="00986C55"/>
    <w:rsid w:val="00986F48"/>
    <w:rsid w:val="0098764B"/>
    <w:rsid w:val="00987E5E"/>
    <w:rsid w:val="00990155"/>
    <w:rsid w:val="00990EB0"/>
    <w:rsid w:val="009920D8"/>
    <w:rsid w:val="00992E1C"/>
    <w:rsid w:val="00994D8D"/>
    <w:rsid w:val="009953C9"/>
    <w:rsid w:val="00996A53"/>
    <w:rsid w:val="00996E55"/>
    <w:rsid w:val="00996FF8"/>
    <w:rsid w:val="00997D75"/>
    <w:rsid w:val="009A0036"/>
    <w:rsid w:val="009A019B"/>
    <w:rsid w:val="009A0D10"/>
    <w:rsid w:val="009A10A3"/>
    <w:rsid w:val="009A11AB"/>
    <w:rsid w:val="009A209C"/>
    <w:rsid w:val="009A21C3"/>
    <w:rsid w:val="009A2975"/>
    <w:rsid w:val="009A3ACA"/>
    <w:rsid w:val="009A4866"/>
    <w:rsid w:val="009A541A"/>
    <w:rsid w:val="009A5742"/>
    <w:rsid w:val="009A6E43"/>
    <w:rsid w:val="009A7B88"/>
    <w:rsid w:val="009B048C"/>
    <w:rsid w:val="009B1611"/>
    <w:rsid w:val="009B3DA0"/>
    <w:rsid w:val="009B45B7"/>
    <w:rsid w:val="009B63B9"/>
    <w:rsid w:val="009B6775"/>
    <w:rsid w:val="009B6E4D"/>
    <w:rsid w:val="009B6F70"/>
    <w:rsid w:val="009B7472"/>
    <w:rsid w:val="009B784B"/>
    <w:rsid w:val="009C0052"/>
    <w:rsid w:val="009C01D5"/>
    <w:rsid w:val="009C0200"/>
    <w:rsid w:val="009C0DFD"/>
    <w:rsid w:val="009C1AA4"/>
    <w:rsid w:val="009C1E0F"/>
    <w:rsid w:val="009C2CF2"/>
    <w:rsid w:val="009C301D"/>
    <w:rsid w:val="009C3257"/>
    <w:rsid w:val="009C3AA9"/>
    <w:rsid w:val="009C3C62"/>
    <w:rsid w:val="009C413F"/>
    <w:rsid w:val="009C42D1"/>
    <w:rsid w:val="009C7623"/>
    <w:rsid w:val="009D1D7F"/>
    <w:rsid w:val="009D38FA"/>
    <w:rsid w:val="009D3A86"/>
    <w:rsid w:val="009D3D72"/>
    <w:rsid w:val="009D4503"/>
    <w:rsid w:val="009D4D68"/>
    <w:rsid w:val="009D7186"/>
    <w:rsid w:val="009D7BE7"/>
    <w:rsid w:val="009E1317"/>
    <w:rsid w:val="009E1E79"/>
    <w:rsid w:val="009E244F"/>
    <w:rsid w:val="009E421D"/>
    <w:rsid w:val="009E4929"/>
    <w:rsid w:val="009E5178"/>
    <w:rsid w:val="009E59FB"/>
    <w:rsid w:val="009E5C9E"/>
    <w:rsid w:val="009E6BA6"/>
    <w:rsid w:val="009E7533"/>
    <w:rsid w:val="009F096D"/>
    <w:rsid w:val="009F0B4C"/>
    <w:rsid w:val="009F10E7"/>
    <w:rsid w:val="009F1396"/>
    <w:rsid w:val="009F1405"/>
    <w:rsid w:val="009F21F9"/>
    <w:rsid w:val="009F2977"/>
    <w:rsid w:val="009F2A0F"/>
    <w:rsid w:val="009F40C2"/>
    <w:rsid w:val="009F4311"/>
    <w:rsid w:val="009F4A89"/>
    <w:rsid w:val="009F556A"/>
    <w:rsid w:val="009F5E1C"/>
    <w:rsid w:val="00A0005C"/>
    <w:rsid w:val="00A00555"/>
    <w:rsid w:val="00A0097E"/>
    <w:rsid w:val="00A00E40"/>
    <w:rsid w:val="00A00F93"/>
    <w:rsid w:val="00A0128A"/>
    <w:rsid w:val="00A048B2"/>
    <w:rsid w:val="00A050B0"/>
    <w:rsid w:val="00A0528A"/>
    <w:rsid w:val="00A05B45"/>
    <w:rsid w:val="00A07425"/>
    <w:rsid w:val="00A07580"/>
    <w:rsid w:val="00A07B2E"/>
    <w:rsid w:val="00A07FA2"/>
    <w:rsid w:val="00A103ED"/>
    <w:rsid w:val="00A11095"/>
    <w:rsid w:val="00A118E0"/>
    <w:rsid w:val="00A11B03"/>
    <w:rsid w:val="00A12467"/>
    <w:rsid w:val="00A126E2"/>
    <w:rsid w:val="00A131FC"/>
    <w:rsid w:val="00A13732"/>
    <w:rsid w:val="00A1494D"/>
    <w:rsid w:val="00A15E71"/>
    <w:rsid w:val="00A175DF"/>
    <w:rsid w:val="00A179A9"/>
    <w:rsid w:val="00A17B37"/>
    <w:rsid w:val="00A17ED9"/>
    <w:rsid w:val="00A20E9B"/>
    <w:rsid w:val="00A21FF7"/>
    <w:rsid w:val="00A2396A"/>
    <w:rsid w:val="00A24323"/>
    <w:rsid w:val="00A248FC"/>
    <w:rsid w:val="00A25448"/>
    <w:rsid w:val="00A25595"/>
    <w:rsid w:val="00A266B3"/>
    <w:rsid w:val="00A269A7"/>
    <w:rsid w:val="00A3059A"/>
    <w:rsid w:val="00A31BD2"/>
    <w:rsid w:val="00A31D0C"/>
    <w:rsid w:val="00A321E5"/>
    <w:rsid w:val="00A322A6"/>
    <w:rsid w:val="00A326AE"/>
    <w:rsid w:val="00A3279E"/>
    <w:rsid w:val="00A32A91"/>
    <w:rsid w:val="00A33A3B"/>
    <w:rsid w:val="00A3409C"/>
    <w:rsid w:val="00A3510D"/>
    <w:rsid w:val="00A35288"/>
    <w:rsid w:val="00A352BC"/>
    <w:rsid w:val="00A36721"/>
    <w:rsid w:val="00A36A2B"/>
    <w:rsid w:val="00A37FAF"/>
    <w:rsid w:val="00A405EE"/>
    <w:rsid w:val="00A40FCE"/>
    <w:rsid w:val="00A414C5"/>
    <w:rsid w:val="00A41BA7"/>
    <w:rsid w:val="00A422E8"/>
    <w:rsid w:val="00A42B8A"/>
    <w:rsid w:val="00A4322B"/>
    <w:rsid w:val="00A43921"/>
    <w:rsid w:val="00A43BBC"/>
    <w:rsid w:val="00A44765"/>
    <w:rsid w:val="00A44C02"/>
    <w:rsid w:val="00A46782"/>
    <w:rsid w:val="00A468A3"/>
    <w:rsid w:val="00A47B71"/>
    <w:rsid w:val="00A5080D"/>
    <w:rsid w:val="00A51B0D"/>
    <w:rsid w:val="00A51C86"/>
    <w:rsid w:val="00A51EC8"/>
    <w:rsid w:val="00A54AD1"/>
    <w:rsid w:val="00A54F15"/>
    <w:rsid w:val="00A54F43"/>
    <w:rsid w:val="00A5517A"/>
    <w:rsid w:val="00A55646"/>
    <w:rsid w:val="00A55884"/>
    <w:rsid w:val="00A57BAE"/>
    <w:rsid w:val="00A604DA"/>
    <w:rsid w:val="00A60CD7"/>
    <w:rsid w:val="00A6153E"/>
    <w:rsid w:val="00A61A13"/>
    <w:rsid w:val="00A61E0C"/>
    <w:rsid w:val="00A61FF6"/>
    <w:rsid w:val="00A63B3E"/>
    <w:rsid w:val="00A64594"/>
    <w:rsid w:val="00A6538B"/>
    <w:rsid w:val="00A6559D"/>
    <w:rsid w:val="00A655B6"/>
    <w:rsid w:val="00A65997"/>
    <w:rsid w:val="00A65E79"/>
    <w:rsid w:val="00A675F0"/>
    <w:rsid w:val="00A70075"/>
    <w:rsid w:val="00A70B36"/>
    <w:rsid w:val="00A70C7F"/>
    <w:rsid w:val="00A70E97"/>
    <w:rsid w:val="00A710DD"/>
    <w:rsid w:val="00A7158B"/>
    <w:rsid w:val="00A71BF5"/>
    <w:rsid w:val="00A7279D"/>
    <w:rsid w:val="00A7360B"/>
    <w:rsid w:val="00A74791"/>
    <w:rsid w:val="00A75552"/>
    <w:rsid w:val="00A76608"/>
    <w:rsid w:val="00A77982"/>
    <w:rsid w:val="00A807B1"/>
    <w:rsid w:val="00A808F9"/>
    <w:rsid w:val="00A810B9"/>
    <w:rsid w:val="00A81670"/>
    <w:rsid w:val="00A820F6"/>
    <w:rsid w:val="00A8363C"/>
    <w:rsid w:val="00A8391B"/>
    <w:rsid w:val="00A847D0"/>
    <w:rsid w:val="00A847DE"/>
    <w:rsid w:val="00A84D3D"/>
    <w:rsid w:val="00A85A33"/>
    <w:rsid w:val="00A876E7"/>
    <w:rsid w:val="00A909D6"/>
    <w:rsid w:val="00A912EB"/>
    <w:rsid w:val="00A913C9"/>
    <w:rsid w:val="00A91AFA"/>
    <w:rsid w:val="00A92386"/>
    <w:rsid w:val="00A93E8C"/>
    <w:rsid w:val="00A94CC4"/>
    <w:rsid w:val="00A95C44"/>
    <w:rsid w:val="00A970BE"/>
    <w:rsid w:val="00AA02E1"/>
    <w:rsid w:val="00AA0709"/>
    <w:rsid w:val="00AA104E"/>
    <w:rsid w:val="00AA157B"/>
    <w:rsid w:val="00AA19A9"/>
    <w:rsid w:val="00AA2784"/>
    <w:rsid w:val="00AA2BB5"/>
    <w:rsid w:val="00AA3160"/>
    <w:rsid w:val="00AA3257"/>
    <w:rsid w:val="00AA4935"/>
    <w:rsid w:val="00AA4BD2"/>
    <w:rsid w:val="00AA4CC4"/>
    <w:rsid w:val="00AA5E7F"/>
    <w:rsid w:val="00AA626F"/>
    <w:rsid w:val="00AA6521"/>
    <w:rsid w:val="00AA686D"/>
    <w:rsid w:val="00AA6ECD"/>
    <w:rsid w:val="00AA7C3A"/>
    <w:rsid w:val="00AA7E07"/>
    <w:rsid w:val="00AB018C"/>
    <w:rsid w:val="00AB0EDE"/>
    <w:rsid w:val="00AB11BA"/>
    <w:rsid w:val="00AB13E9"/>
    <w:rsid w:val="00AB17E8"/>
    <w:rsid w:val="00AB2DB1"/>
    <w:rsid w:val="00AB30FE"/>
    <w:rsid w:val="00AB3461"/>
    <w:rsid w:val="00AB4543"/>
    <w:rsid w:val="00AB4950"/>
    <w:rsid w:val="00AB524A"/>
    <w:rsid w:val="00AB53B8"/>
    <w:rsid w:val="00AB56E8"/>
    <w:rsid w:val="00AB5EEA"/>
    <w:rsid w:val="00AB6063"/>
    <w:rsid w:val="00AB699E"/>
    <w:rsid w:val="00AB6F37"/>
    <w:rsid w:val="00AB7515"/>
    <w:rsid w:val="00AB78DD"/>
    <w:rsid w:val="00AC0263"/>
    <w:rsid w:val="00AC07E3"/>
    <w:rsid w:val="00AC13F2"/>
    <w:rsid w:val="00AC1486"/>
    <w:rsid w:val="00AC4269"/>
    <w:rsid w:val="00AC4EEB"/>
    <w:rsid w:val="00AC5F09"/>
    <w:rsid w:val="00AC6604"/>
    <w:rsid w:val="00AC6D61"/>
    <w:rsid w:val="00AC710E"/>
    <w:rsid w:val="00AD0398"/>
    <w:rsid w:val="00AD112A"/>
    <w:rsid w:val="00AD1A66"/>
    <w:rsid w:val="00AD3008"/>
    <w:rsid w:val="00AD30F9"/>
    <w:rsid w:val="00AD3303"/>
    <w:rsid w:val="00AD3839"/>
    <w:rsid w:val="00AD4597"/>
    <w:rsid w:val="00AD487E"/>
    <w:rsid w:val="00AD5CCA"/>
    <w:rsid w:val="00AD7590"/>
    <w:rsid w:val="00AE0715"/>
    <w:rsid w:val="00AE0C48"/>
    <w:rsid w:val="00AE176D"/>
    <w:rsid w:val="00AE1774"/>
    <w:rsid w:val="00AE2593"/>
    <w:rsid w:val="00AE3400"/>
    <w:rsid w:val="00AE3CCC"/>
    <w:rsid w:val="00AE4628"/>
    <w:rsid w:val="00AE6D0C"/>
    <w:rsid w:val="00AE7680"/>
    <w:rsid w:val="00AE7C1F"/>
    <w:rsid w:val="00AF035B"/>
    <w:rsid w:val="00AF0771"/>
    <w:rsid w:val="00AF1258"/>
    <w:rsid w:val="00AF27A3"/>
    <w:rsid w:val="00AF30D3"/>
    <w:rsid w:val="00AF3A3D"/>
    <w:rsid w:val="00AF4BCF"/>
    <w:rsid w:val="00AF66BD"/>
    <w:rsid w:val="00AF79EA"/>
    <w:rsid w:val="00B00483"/>
    <w:rsid w:val="00B0051D"/>
    <w:rsid w:val="00B0071F"/>
    <w:rsid w:val="00B00C57"/>
    <w:rsid w:val="00B00C8B"/>
    <w:rsid w:val="00B00C94"/>
    <w:rsid w:val="00B012E8"/>
    <w:rsid w:val="00B01811"/>
    <w:rsid w:val="00B01C50"/>
    <w:rsid w:val="00B02253"/>
    <w:rsid w:val="00B0261E"/>
    <w:rsid w:val="00B0277F"/>
    <w:rsid w:val="00B02A9B"/>
    <w:rsid w:val="00B03E52"/>
    <w:rsid w:val="00B04906"/>
    <w:rsid w:val="00B04A96"/>
    <w:rsid w:val="00B053B6"/>
    <w:rsid w:val="00B05890"/>
    <w:rsid w:val="00B06432"/>
    <w:rsid w:val="00B0693C"/>
    <w:rsid w:val="00B06A2C"/>
    <w:rsid w:val="00B07E6E"/>
    <w:rsid w:val="00B07EFE"/>
    <w:rsid w:val="00B10109"/>
    <w:rsid w:val="00B10354"/>
    <w:rsid w:val="00B1052F"/>
    <w:rsid w:val="00B11297"/>
    <w:rsid w:val="00B114F6"/>
    <w:rsid w:val="00B1154F"/>
    <w:rsid w:val="00B11D0D"/>
    <w:rsid w:val="00B11D7F"/>
    <w:rsid w:val="00B12626"/>
    <w:rsid w:val="00B128F4"/>
    <w:rsid w:val="00B1324A"/>
    <w:rsid w:val="00B13506"/>
    <w:rsid w:val="00B160FE"/>
    <w:rsid w:val="00B16813"/>
    <w:rsid w:val="00B16BB3"/>
    <w:rsid w:val="00B16F43"/>
    <w:rsid w:val="00B174AF"/>
    <w:rsid w:val="00B177EE"/>
    <w:rsid w:val="00B20A52"/>
    <w:rsid w:val="00B20C7B"/>
    <w:rsid w:val="00B217CC"/>
    <w:rsid w:val="00B21816"/>
    <w:rsid w:val="00B222F2"/>
    <w:rsid w:val="00B228F8"/>
    <w:rsid w:val="00B23A1D"/>
    <w:rsid w:val="00B242BE"/>
    <w:rsid w:val="00B24404"/>
    <w:rsid w:val="00B24C22"/>
    <w:rsid w:val="00B25546"/>
    <w:rsid w:val="00B2638A"/>
    <w:rsid w:val="00B27050"/>
    <w:rsid w:val="00B30804"/>
    <w:rsid w:val="00B30A7F"/>
    <w:rsid w:val="00B3105D"/>
    <w:rsid w:val="00B32959"/>
    <w:rsid w:val="00B342F1"/>
    <w:rsid w:val="00B35159"/>
    <w:rsid w:val="00B35428"/>
    <w:rsid w:val="00B37E06"/>
    <w:rsid w:val="00B401BB"/>
    <w:rsid w:val="00B40316"/>
    <w:rsid w:val="00B40962"/>
    <w:rsid w:val="00B40C9E"/>
    <w:rsid w:val="00B41B57"/>
    <w:rsid w:val="00B41CFC"/>
    <w:rsid w:val="00B4283B"/>
    <w:rsid w:val="00B43640"/>
    <w:rsid w:val="00B43FC5"/>
    <w:rsid w:val="00B4599C"/>
    <w:rsid w:val="00B45BFB"/>
    <w:rsid w:val="00B45C3B"/>
    <w:rsid w:val="00B4689E"/>
    <w:rsid w:val="00B46C88"/>
    <w:rsid w:val="00B47267"/>
    <w:rsid w:val="00B47732"/>
    <w:rsid w:val="00B47A05"/>
    <w:rsid w:val="00B503D5"/>
    <w:rsid w:val="00B504C0"/>
    <w:rsid w:val="00B50A6E"/>
    <w:rsid w:val="00B5123B"/>
    <w:rsid w:val="00B51441"/>
    <w:rsid w:val="00B52E5C"/>
    <w:rsid w:val="00B53DB3"/>
    <w:rsid w:val="00B5416E"/>
    <w:rsid w:val="00B543ED"/>
    <w:rsid w:val="00B5533C"/>
    <w:rsid w:val="00B567A5"/>
    <w:rsid w:val="00B57530"/>
    <w:rsid w:val="00B61391"/>
    <w:rsid w:val="00B61402"/>
    <w:rsid w:val="00B6169D"/>
    <w:rsid w:val="00B62A99"/>
    <w:rsid w:val="00B6328F"/>
    <w:rsid w:val="00B6354A"/>
    <w:rsid w:val="00B63D4B"/>
    <w:rsid w:val="00B63DD3"/>
    <w:rsid w:val="00B64A73"/>
    <w:rsid w:val="00B653B9"/>
    <w:rsid w:val="00B65862"/>
    <w:rsid w:val="00B65C65"/>
    <w:rsid w:val="00B661F0"/>
    <w:rsid w:val="00B67BFF"/>
    <w:rsid w:val="00B70A16"/>
    <w:rsid w:val="00B70D50"/>
    <w:rsid w:val="00B711CB"/>
    <w:rsid w:val="00B73842"/>
    <w:rsid w:val="00B73A76"/>
    <w:rsid w:val="00B7498F"/>
    <w:rsid w:val="00B7525F"/>
    <w:rsid w:val="00B7565B"/>
    <w:rsid w:val="00B7619B"/>
    <w:rsid w:val="00B766CC"/>
    <w:rsid w:val="00B76BD3"/>
    <w:rsid w:val="00B76BD9"/>
    <w:rsid w:val="00B76C48"/>
    <w:rsid w:val="00B770AF"/>
    <w:rsid w:val="00B805D8"/>
    <w:rsid w:val="00B81589"/>
    <w:rsid w:val="00B81B9E"/>
    <w:rsid w:val="00B823B2"/>
    <w:rsid w:val="00B8253A"/>
    <w:rsid w:val="00B83001"/>
    <w:rsid w:val="00B831AD"/>
    <w:rsid w:val="00B83223"/>
    <w:rsid w:val="00B84415"/>
    <w:rsid w:val="00B8471E"/>
    <w:rsid w:val="00B858BD"/>
    <w:rsid w:val="00B85A0E"/>
    <w:rsid w:val="00B86773"/>
    <w:rsid w:val="00B878EB"/>
    <w:rsid w:val="00B901F6"/>
    <w:rsid w:val="00B90328"/>
    <w:rsid w:val="00B90468"/>
    <w:rsid w:val="00B90546"/>
    <w:rsid w:val="00B91528"/>
    <w:rsid w:val="00B915DA"/>
    <w:rsid w:val="00B918C9"/>
    <w:rsid w:val="00B91F6F"/>
    <w:rsid w:val="00B926CE"/>
    <w:rsid w:val="00B93C7A"/>
    <w:rsid w:val="00B93DD1"/>
    <w:rsid w:val="00B9407E"/>
    <w:rsid w:val="00B94468"/>
    <w:rsid w:val="00B94EA4"/>
    <w:rsid w:val="00B94EF1"/>
    <w:rsid w:val="00B9563F"/>
    <w:rsid w:val="00B95D51"/>
    <w:rsid w:val="00BA017F"/>
    <w:rsid w:val="00BA0D8D"/>
    <w:rsid w:val="00BA16D7"/>
    <w:rsid w:val="00BA24FB"/>
    <w:rsid w:val="00BA29F4"/>
    <w:rsid w:val="00BA3BC7"/>
    <w:rsid w:val="00BA3EF7"/>
    <w:rsid w:val="00BA435A"/>
    <w:rsid w:val="00BA599F"/>
    <w:rsid w:val="00BA5A07"/>
    <w:rsid w:val="00BA5E18"/>
    <w:rsid w:val="00BA7503"/>
    <w:rsid w:val="00BA7522"/>
    <w:rsid w:val="00BA7EF9"/>
    <w:rsid w:val="00BB05D7"/>
    <w:rsid w:val="00BB0F34"/>
    <w:rsid w:val="00BB14A1"/>
    <w:rsid w:val="00BB3A5B"/>
    <w:rsid w:val="00BB3AC8"/>
    <w:rsid w:val="00BB4E36"/>
    <w:rsid w:val="00BB54F1"/>
    <w:rsid w:val="00BB5612"/>
    <w:rsid w:val="00BB6564"/>
    <w:rsid w:val="00BB69BA"/>
    <w:rsid w:val="00BB6F1D"/>
    <w:rsid w:val="00BB7B6C"/>
    <w:rsid w:val="00BB7BE1"/>
    <w:rsid w:val="00BB7DA9"/>
    <w:rsid w:val="00BC042D"/>
    <w:rsid w:val="00BC0A91"/>
    <w:rsid w:val="00BC0D22"/>
    <w:rsid w:val="00BC1206"/>
    <w:rsid w:val="00BC1787"/>
    <w:rsid w:val="00BC17FB"/>
    <w:rsid w:val="00BC2169"/>
    <w:rsid w:val="00BC2F82"/>
    <w:rsid w:val="00BC3162"/>
    <w:rsid w:val="00BC46F5"/>
    <w:rsid w:val="00BC48C1"/>
    <w:rsid w:val="00BC5713"/>
    <w:rsid w:val="00BC5EA8"/>
    <w:rsid w:val="00BC6A80"/>
    <w:rsid w:val="00BC7AA0"/>
    <w:rsid w:val="00BC7B0D"/>
    <w:rsid w:val="00BD05DF"/>
    <w:rsid w:val="00BD08C1"/>
    <w:rsid w:val="00BD0E3A"/>
    <w:rsid w:val="00BD0F24"/>
    <w:rsid w:val="00BD1275"/>
    <w:rsid w:val="00BD1E04"/>
    <w:rsid w:val="00BD365E"/>
    <w:rsid w:val="00BD3C3C"/>
    <w:rsid w:val="00BD492D"/>
    <w:rsid w:val="00BD5392"/>
    <w:rsid w:val="00BD591D"/>
    <w:rsid w:val="00BD5BCA"/>
    <w:rsid w:val="00BD6956"/>
    <w:rsid w:val="00BD76C5"/>
    <w:rsid w:val="00BD79E0"/>
    <w:rsid w:val="00BD7BA6"/>
    <w:rsid w:val="00BE13FE"/>
    <w:rsid w:val="00BE1464"/>
    <w:rsid w:val="00BE182A"/>
    <w:rsid w:val="00BE183D"/>
    <w:rsid w:val="00BE18BE"/>
    <w:rsid w:val="00BE360E"/>
    <w:rsid w:val="00BE3D02"/>
    <w:rsid w:val="00BE3D29"/>
    <w:rsid w:val="00BE433F"/>
    <w:rsid w:val="00BE4820"/>
    <w:rsid w:val="00BE4FA7"/>
    <w:rsid w:val="00BE50DD"/>
    <w:rsid w:val="00BE55D4"/>
    <w:rsid w:val="00BE5BEA"/>
    <w:rsid w:val="00BE5FDE"/>
    <w:rsid w:val="00BE7098"/>
    <w:rsid w:val="00BE775F"/>
    <w:rsid w:val="00BF01EB"/>
    <w:rsid w:val="00BF0218"/>
    <w:rsid w:val="00BF044E"/>
    <w:rsid w:val="00BF0BDE"/>
    <w:rsid w:val="00BF1618"/>
    <w:rsid w:val="00BF2040"/>
    <w:rsid w:val="00BF2F4D"/>
    <w:rsid w:val="00BF3DDD"/>
    <w:rsid w:val="00BF50C5"/>
    <w:rsid w:val="00BF5316"/>
    <w:rsid w:val="00BF615B"/>
    <w:rsid w:val="00BF7A06"/>
    <w:rsid w:val="00BF7F8D"/>
    <w:rsid w:val="00C00487"/>
    <w:rsid w:val="00C01A68"/>
    <w:rsid w:val="00C01AC6"/>
    <w:rsid w:val="00C020A2"/>
    <w:rsid w:val="00C03E7E"/>
    <w:rsid w:val="00C04BD4"/>
    <w:rsid w:val="00C05B01"/>
    <w:rsid w:val="00C06C9A"/>
    <w:rsid w:val="00C104BE"/>
    <w:rsid w:val="00C109FF"/>
    <w:rsid w:val="00C10F66"/>
    <w:rsid w:val="00C1172D"/>
    <w:rsid w:val="00C119A6"/>
    <w:rsid w:val="00C11A6B"/>
    <w:rsid w:val="00C12894"/>
    <w:rsid w:val="00C12961"/>
    <w:rsid w:val="00C12ACE"/>
    <w:rsid w:val="00C13291"/>
    <w:rsid w:val="00C139D3"/>
    <w:rsid w:val="00C15A14"/>
    <w:rsid w:val="00C16707"/>
    <w:rsid w:val="00C171FD"/>
    <w:rsid w:val="00C20A67"/>
    <w:rsid w:val="00C21F02"/>
    <w:rsid w:val="00C22747"/>
    <w:rsid w:val="00C238A0"/>
    <w:rsid w:val="00C23928"/>
    <w:rsid w:val="00C250A6"/>
    <w:rsid w:val="00C26598"/>
    <w:rsid w:val="00C2671D"/>
    <w:rsid w:val="00C26F32"/>
    <w:rsid w:val="00C277BB"/>
    <w:rsid w:val="00C30B90"/>
    <w:rsid w:val="00C30FEC"/>
    <w:rsid w:val="00C31C8F"/>
    <w:rsid w:val="00C337E2"/>
    <w:rsid w:val="00C3428E"/>
    <w:rsid w:val="00C342A5"/>
    <w:rsid w:val="00C345A2"/>
    <w:rsid w:val="00C34AD1"/>
    <w:rsid w:val="00C34C9C"/>
    <w:rsid w:val="00C35C7B"/>
    <w:rsid w:val="00C35D42"/>
    <w:rsid w:val="00C36306"/>
    <w:rsid w:val="00C367DC"/>
    <w:rsid w:val="00C36A62"/>
    <w:rsid w:val="00C37223"/>
    <w:rsid w:val="00C37344"/>
    <w:rsid w:val="00C40FAC"/>
    <w:rsid w:val="00C41707"/>
    <w:rsid w:val="00C41B25"/>
    <w:rsid w:val="00C42020"/>
    <w:rsid w:val="00C4232F"/>
    <w:rsid w:val="00C42F2B"/>
    <w:rsid w:val="00C43744"/>
    <w:rsid w:val="00C438FE"/>
    <w:rsid w:val="00C43C2F"/>
    <w:rsid w:val="00C44164"/>
    <w:rsid w:val="00C444E4"/>
    <w:rsid w:val="00C452F5"/>
    <w:rsid w:val="00C45EDF"/>
    <w:rsid w:val="00C47D29"/>
    <w:rsid w:val="00C502BE"/>
    <w:rsid w:val="00C51CC6"/>
    <w:rsid w:val="00C51D0A"/>
    <w:rsid w:val="00C53A12"/>
    <w:rsid w:val="00C53F70"/>
    <w:rsid w:val="00C558E1"/>
    <w:rsid w:val="00C55FCD"/>
    <w:rsid w:val="00C56507"/>
    <w:rsid w:val="00C56B3D"/>
    <w:rsid w:val="00C56E8F"/>
    <w:rsid w:val="00C574D2"/>
    <w:rsid w:val="00C601AE"/>
    <w:rsid w:val="00C61C51"/>
    <w:rsid w:val="00C62135"/>
    <w:rsid w:val="00C62232"/>
    <w:rsid w:val="00C627CE"/>
    <w:rsid w:val="00C631E1"/>
    <w:rsid w:val="00C632C7"/>
    <w:rsid w:val="00C634AE"/>
    <w:rsid w:val="00C63EFE"/>
    <w:rsid w:val="00C63FA7"/>
    <w:rsid w:val="00C642DD"/>
    <w:rsid w:val="00C64DFF"/>
    <w:rsid w:val="00C64F9C"/>
    <w:rsid w:val="00C652B7"/>
    <w:rsid w:val="00C652E2"/>
    <w:rsid w:val="00C66646"/>
    <w:rsid w:val="00C67AF8"/>
    <w:rsid w:val="00C70134"/>
    <w:rsid w:val="00C7021E"/>
    <w:rsid w:val="00C7103C"/>
    <w:rsid w:val="00C72037"/>
    <w:rsid w:val="00C726AB"/>
    <w:rsid w:val="00C732AF"/>
    <w:rsid w:val="00C7442D"/>
    <w:rsid w:val="00C747E0"/>
    <w:rsid w:val="00C74F97"/>
    <w:rsid w:val="00C75BD1"/>
    <w:rsid w:val="00C75E3E"/>
    <w:rsid w:val="00C7667C"/>
    <w:rsid w:val="00C76702"/>
    <w:rsid w:val="00C76711"/>
    <w:rsid w:val="00C76ABB"/>
    <w:rsid w:val="00C775E2"/>
    <w:rsid w:val="00C80B18"/>
    <w:rsid w:val="00C80B23"/>
    <w:rsid w:val="00C816FC"/>
    <w:rsid w:val="00C81BCF"/>
    <w:rsid w:val="00C81BF4"/>
    <w:rsid w:val="00C81E87"/>
    <w:rsid w:val="00C82E24"/>
    <w:rsid w:val="00C83AE3"/>
    <w:rsid w:val="00C83E16"/>
    <w:rsid w:val="00C84255"/>
    <w:rsid w:val="00C842C6"/>
    <w:rsid w:val="00C84AA7"/>
    <w:rsid w:val="00C8562D"/>
    <w:rsid w:val="00C85C24"/>
    <w:rsid w:val="00C86515"/>
    <w:rsid w:val="00C8705A"/>
    <w:rsid w:val="00C87733"/>
    <w:rsid w:val="00C87891"/>
    <w:rsid w:val="00C87EDF"/>
    <w:rsid w:val="00C905D0"/>
    <w:rsid w:val="00C907E0"/>
    <w:rsid w:val="00C9157A"/>
    <w:rsid w:val="00C9258F"/>
    <w:rsid w:val="00C92802"/>
    <w:rsid w:val="00C9294B"/>
    <w:rsid w:val="00C93658"/>
    <w:rsid w:val="00C93CC0"/>
    <w:rsid w:val="00C93E59"/>
    <w:rsid w:val="00C955B2"/>
    <w:rsid w:val="00C95F71"/>
    <w:rsid w:val="00C9619C"/>
    <w:rsid w:val="00C96751"/>
    <w:rsid w:val="00C97DEB"/>
    <w:rsid w:val="00CA06EF"/>
    <w:rsid w:val="00CA1047"/>
    <w:rsid w:val="00CA1247"/>
    <w:rsid w:val="00CA3056"/>
    <w:rsid w:val="00CA3D81"/>
    <w:rsid w:val="00CA4A1F"/>
    <w:rsid w:val="00CA5043"/>
    <w:rsid w:val="00CA5697"/>
    <w:rsid w:val="00CA56C1"/>
    <w:rsid w:val="00CA5BE3"/>
    <w:rsid w:val="00CA68FD"/>
    <w:rsid w:val="00CA7ECD"/>
    <w:rsid w:val="00CB01DA"/>
    <w:rsid w:val="00CB0690"/>
    <w:rsid w:val="00CB06F4"/>
    <w:rsid w:val="00CB1281"/>
    <w:rsid w:val="00CB13B4"/>
    <w:rsid w:val="00CB16A3"/>
    <w:rsid w:val="00CB2277"/>
    <w:rsid w:val="00CB22B3"/>
    <w:rsid w:val="00CB2832"/>
    <w:rsid w:val="00CB2891"/>
    <w:rsid w:val="00CB2A4F"/>
    <w:rsid w:val="00CB36EB"/>
    <w:rsid w:val="00CB38E7"/>
    <w:rsid w:val="00CB3CA2"/>
    <w:rsid w:val="00CB41FB"/>
    <w:rsid w:val="00CB4363"/>
    <w:rsid w:val="00CB462C"/>
    <w:rsid w:val="00CB4E51"/>
    <w:rsid w:val="00CB627F"/>
    <w:rsid w:val="00CB66A2"/>
    <w:rsid w:val="00CB6FBB"/>
    <w:rsid w:val="00CB7119"/>
    <w:rsid w:val="00CB7166"/>
    <w:rsid w:val="00CB7CD9"/>
    <w:rsid w:val="00CC01D6"/>
    <w:rsid w:val="00CC0B97"/>
    <w:rsid w:val="00CC175E"/>
    <w:rsid w:val="00CC1C95"/>
    <w:rsid w:val="00CC265C"/>
    <w:rsid w:val="00CC528E"/>
    <w:rsid w:val="00CC66C4"/>
    <w:rsid w:val="00CC6D6E"/>
    <w:rsid w:val="00CC7A1D"/>
    <w:rsid w:val="00CD0BDB"/>
    <w:rsid w:val="00CD12C6"/>
    <w:rsid w:val="00CD13AA"/>
    <w:rsid w:val="00CD156A"/>
    <w:rsid w:val="00CD2537"/>
    <w:rsid w:val="00CD3332"/>
    <w:rsid w:val="00CD33A2"/>
    <w:rsid w:val="00CD33FE"/>
    <w:rsid w:val="00CD3754"/>
    <w:rsid w:val="00CD3B01"/>
    <w:rsid w:val="00CD3B10"/>
    <w:rsid w:val="00CD4098"/>
    <w:rsid w:val="00CD4157"/>
    <w:rsid w:val="00CD4302"/>
    <w:rsid w:val="00CD4438"/>
    <w:rsid w:val="00CD57D1"/>
    <w:rsid w:val="00CD5875"/>
    <w:rsid w:val="00CD5F40"/>
    <w:rsid w:val="00CD654D"/>
    <w:rsid w:val="00CD708E"/>
    <w:rsid w:val="00CD73A2"/>
    <w:rsid w:val="00CD73EB"/>
    <w:rsid w:val="00CD769C"/>
    <w:rsid w:val="00CD793D"/>
    <w:rsid w:val="00CE07AE"/>
    <w:rsid w:val="00CE116E"/>
    <w:rsid w:val="00CE15F4"/>
    <w:rsid w:val="00CE16B1"/>
    <w:rsid w:val="00CE20DD"/>
    <w:rsid w:val="00CE2569"/>
    <w:rsid w:val="00CE2C10"/>
    <w:rsid w:val="00CE3401"/>
    <w:rsid w:val="00CE3566"/>
    <w:rsid w:val="00CE391C"/>
    <w:rsid w:val="00CE427F"/>
    <w:rsid w:val="00CE4DA4"/>
    <w:rsid w:val="00CE5293"/>
    <w:rsid w:val="00CE5303"/>
    <w:rsid w:val="00CE6C76"/>
    <w:rsid w:val="00CE716F"/>
    <w:rsid w:val="00CE7B6A"/>
    <w:rsid w:val="00CF029E"/>
    <w:rsid w:val="00CF093F"/>
    <w:rsid w:val="00CF0D54"/>
    <w:rsid w:val="00CF0F12"/>
    <w:rsid w:val="00CF3345"/>
    <w:rsid w:val="00CF3518"/>
    <w:rsid w:val="00CF353E"/>
    <w:rsid w:val="00CF39CB"/>
    <w:rsid w:val="00CF40C9"/>
    <w:rsid w:val="00CF4728"/>
    <w:rsid w:val="00CF4A5D"/>
    <w:rsid w:val="00CF540F"/>
    <w:rsid w:val="00CF61D4"/>
    <w:rsid w:val="00CF715A"/>
    <w:rsid w:val="00D00565"/>
    <w:rsid w:val="00D01235"/>
    <w:rsid w:val="00D01412"/>
    <w:rsid w:val="00D018AF"/>
    <w:rsid w:val="00D019DE"/>
    <w:rsid w:val="00D03B5C"/>
    <w:rsid w:val="00D04153"/>
    <w:rsid w:val="00D04691"/>
    <w:rsid w:val="00D04F4B"/>
    <w:rsid w:val="00D050E4"/>
    <w:rsid w:val="00D071ED"/>
    <w:rsid w:val="00D07CC9"/>
    <w:rsid w:val="00D07D7A"/>
    <w:rsid w:val="00D1258C"/>
    <w:rsid w:val="00D12A1A"/>
    <w:rsid w:val="00D1303F"/>
    <w:rsid w:val="00D130A0"/>
    <w:rsid w:val="00D13DFD"/>
    <w:rsid w:val="00D144C7"/>
    <w:rsid w:val="00D145EA"/>
    <w:rsid w:val="00D150A4"/>
    <w:rsid w:val="00D1547E"/>
    <w:rsid w:val="00D15514"/>
    <w:rsid w:val="00D15F21"/>
    <w:rsid w:val="00D162B6"/>
    <w:rsid w:val="00D164C1"/>
    <w:rsid w:val="00D16585"/>
    <w:rsid w:val="00D16856"/>
    <w:rsid w:val="00D16DF7"/>
    <w:rsid w:val="00D172F6"/>
    <w:rsid w:val="00D20CD0"/>
    <w:rsid w:val="00D22FD4"/>
    <w:rsid w:val="00D23609"/>
    <w:rsid w:val="00D24622"/>
    <w:rsid w:val="00D3011B"/>
    <w:rsid w:val="00D30206"/>
    <w:rsid w:val="00D3047E"/>
    <w:rsid w:val="00D30D61"/>
    <w:rsid w:val="00D30D8D"/>
    <w:rsid w:val="00D32347"/>
    <w:rsid w:val="00D32629"/>
    <w:rsid w:val="00D32D7C"/>
    <w:rsid w:val="00D352CB"/>
    <w:rsid w:val="00D35BD6"/>
    <w:rsid w:val="00D363D6"/>
    <w:rsid w:val="00D40C25"/>
    <w:rsid w:val="00D41D12"/>
    <w:rsid w:val="00D43F77"/>
    <w:rsid w:val="00D4412A"/>
    <w:rsid w:val="00D45240"/>
    <w:rsid w:val="00D459DF"/>
    <w:rsid w:val="00D466D7"/>
    <w:rsid w:val="00D47106"/>
    <w:rsid w:val="00D4783F"/>
    <w:rsid w:val="00D502D8"/>
    <w:rsid w:val="00D529EE"/>
    <w:rsid w:val="00D53696"/>
    <w:rsid w:val="00D53C0D"/>
    <w:rsid w:val="00D54877"/>
    <w:rsid w:val="00D55E04"/>
    <w:rsid w:val="00D57356"/>
    <w:rsid w:val="00D57D4E"/>
    <w:rsid w:val="00D60806"/>
    <w:rsid w:val="00D610A0"/>
    <w:rsid w:val="00D610CC"/>
    <w:rsid w:val="00D6141D"/>
    <w:rsid w:val="00D61606"/>
    <w:rsid w:val="00D618DA"/>
    <w:rsid w:val="00D61F64"/>
    <w:rsid w:val="00D62F27"/>
    <w:rsid w:val="00D637A7"/>
    <w:rsid w:val="00D63D49"/>
    <w:rsid w:val="00D63F4E"/>
    <w:rsid w:val="00D66551"/>
    <w:rsid w:val="00D669DE"/>
    <w:rsid w:val="00D67518"/>
    <w:rsid w:val="00D676B7"/>
    <w:rsid w:val="00D731B0"/>
    <w:rsid w:val="00D7329C"/>
    <w:rsid w:val="00D73A1F"/>
    <w:rsid w:val="00D743FD"/>
    <w:rsid w:val="00D74509"/>
    <w:rsid w:val="00D74CF1"/>
    <w:rsid w:val="00D75136"/>
    <w:rsid w:val="00D75E87"/>
    <w:rsid w:val="00D760FE"/>
    <w:rsid w:val="00D761F6"/>
    <w:rsid w:val="00D76695"/>
    <w:rsid w:val="00D76AFB"/>
    <w:rsid w:val="00D77F35"/>
    <w:rsid w:val="00D81640"/>
    <w:rsid w:val="00D830B3"/>
    <w:rsid w:val="00D83EFF"/>
    <w:rsid w:val="00D85831"/>
    <w:rsid w:val="00D85975"/>
    <w:rsid w:val="00D864A3"/>
    <w:rsid w:val="00D86CC3"/>
    <w:rsid w:val="00D86D4B"/>
    <w:rsid w:val="00D86F98"/>
    <w:rsid w:val="00D87022"/>
    <w:rsid w:val="00D8747D"/>
    <w:rsid w:val="00D87646"/>
    <w:rsid w:val="00D87833"/>
    <w:rsid w:val="00D90192"/>
    <w:rsid w:val="00D90418"/>
    <w:rsid w:val="00D90491"/>
    <w:rsid w:val="00D91591"/>
    <w:rsid w:val="00D91C44"/>
    <w:rsid w:val="00D92364"/>
    <w:rsid w:val="00D92F40"/>
    <w:rsid w:val="00D932CC"/>
    <w:rsid w:val="00D94951"/>
    <w:rsid w:val="00D9506D"/>
    <w:rsid w:val="00D95B31"/>
    <w:rsid w:val="00D96513"/>
    <w:rsid w:val="00D96764"/>
    <w:rsid w:val="00D97B03"/>
    <w:rsid w:val="00DA069D"/>
    <w:rsid w:val="00DA2AD9"/>
    <w:rsid w:val="00DA2C48"/>
    <w:rsid w:val="00DA2DE8"/>
    <w:rsid w:val="00DA2F2A"/>
    <w:rsid w:val="00DA3474"/>
    <w:rsid w:val="00DA4918"/>
    <w:rsid w:val="00DA54CE"/>
    <w:rsid w:val="00DA5868"/>
    <w:rsid w:val="00DA5D2A"/>
    <w:rsid w:val="00DA6D71"/>
    <w:rsid w:val="00DA6FC1"/>
    <w:rsid w:val="00DA772C"/>
    <w:rsid w:val="00DA7DE9"/>
    <w:rsid w:val="00DB013B"/>
    <w:rsid w:val="00DB023C"/>
    <w:rsid w:val="00DB1552"/>
    <w:rsid w:val="00DB1FF0"/>
    <w:rsid w:val="00DB274D"/>
    <w:rsid w:val="00DB3597"/>
    <w:rsid w:val="00DB3C67"/>
    <w:rsid w:val="00DB5108"/>
    <w:rsid w:val="00DB5F49"/>
    <w:rsid w:val="00DB677B"/>
    <w:rsid w:val="00DC0C12"/>
    <w:rsid w:val="00DC1F17"/>
    <w:rsid w:val="00DC448D"/>
    <w:rsid w:val="00DC5084"/>
    <w:rsid w:val="00DC5465"/>
    <w:rsid w:val="00DC614C"/>
    <w:rsid w:val="00DC6D92"/>
    <w:rsid w:val="00DC71A5"/>
    <w:rsid w:val="00DD0800"/>
    <w:rsid w:val="00DD0EE3"/>
    <w:rsid w:val="00DD1542"/>
    <w:rsid w:val="00DD1C69"/>
    <w:rsid w:val="00DD2ABA"/>
    <w:rsid w:val="00DD3209"/>
    <w:rsid w:val="00DD3526"/>
    <w:rsid w:val="00DD4AED"/>
    <w:rsid w:val="00DD5740"/>
    <w:rsid w:val="00DD68C9"/>
    <w:rsid w:val="00DD6D8B"/>
    <w:rsid w:val="00DD7388"/>
    <w:rsid w:val="00DD7CB9"/>
    <w:rsid w:val="00DE03FE"/>
    <w:rsid w:val="00DE0ED7"/>
    <w:rsid w:val="00DE1FAA"/>
    <w:rsid w:val="00DE2072"/>
    <w:rsid w:val="00DE3436"/>
    <w:rsid w:val="00DE48B0"/>
    <w:rsid w:val="00DE4C53"/>
    <w:rsid w:val="00DE4DF4"/>
    <w:rsid w:val="00DE4E26"/>
    <w:rsid w:val="00DE6C48"/>
    <w:rsid w:val="00DE794A"/>
    <w:rsid w:val="00DF097B"/>
    <w:rsid w:val="00DF1DCB"/>
    <w:rsid w:val="00DF1E0E"/>
    <w:rsid w:val="00DF27C5"/>
    <w:rsid w:val="00DF32BE"/>
    <w:rsid w:val="00DF4E44"/>
    <w:rsid w:val="00DF64AB"/>
    <w:rsid w:val="00E01D44"/>
    <w:rsid w:val="00E041F8"/>
    <w:rsid w:val="00E04AA0"/>
    <w:rsid w:val="00E055A6"/>
    <w:rsid w:val="00E05B81"/>
    <w:rsid w:val="00E0657D"/>
    <w:rsid w:val="00E06DC1"/>
    <w:rsid w:val="00E06FD5"/>
    <w:rsid w:val="00E079B1"/>
    <w:rsid w:val="00E07E20"/>
    <w:rsid w:val="00E07E97"/>
    <w:rsid w:val="00E1140A"/>
    <w:rsid w:val="00E114D7"/>
    <w:rsid w:val="00E11FF1"/>
    <w:rsid w:val="00E12CDB"/>
    <w:rsid w:val="00E138E1"/>
    <w:rsid w:val="00E13D80"/>
    <w:rsid w:val="00E1420A"/>
    <w:rsid w:val="00E15345"/>
    <w:rsid w:val="00E159C6"/>
    <w:rsid w:val="00E15A67"/>
    <w:rsid w:val="00E169AA"/>
    <w:rsid w:val="00E172C3"/>
    <w:rsid w:val="00E17AA4"/>
    <w:rsid w:val="00E17BB8"/>
    <w:rsid w:val="00E22BED"/>
    <w:rsid w:val="00E22D40"/>
    <w:rsid w:val="00E23C6F"/>
    <w:rsid w:val="00E24766"/>
    <w:rsid w:val="00E24E4A"/>
    <w:rsid w:val="00E25327"/>
    <w:rsid w:val="00E25917"/>
    <w:rsid w:val="00E26596"/>
    <w:rsid w:val="00E266A5"/>
    <w:rsid w:val="00E279C0"/>
    <w:rsid w:val="00E27FD3"/>
    <w:rsid w:val="00E31715"/>
    <w:rsid w:val="00E3340D"/>
    <w:rsid w:val="00E33999"/>
    <w:rsid w:val="00E33B39"/>
    <w:rsid w:val="00E340DB"/>
    <w:rsid w:val="00E343A6"/>
    <w:rsid w:val="00E35514"/>
    <w:rsid w:val="00E359F1"/>
    <w:rsid w:val="00E35CD0"/>
    <w:rsid w:val="00E3658D"/>
    <w:rsid w:val="00E3664C"/>
    <w:rsid w:val="00E3695F"/>
    <w:rsid w:val="00E407D1"/>
    <w:rsid w:val="00E409C9"/>
    <w:rsid w:val="00E40CC7"/>
    <w:rsid w:val="00E42F0A"/>
    <w:rsid w:val="00E43507"/>
    <w:rsid w:val="00E4414E"/>
    <w:rsid w:val="00E44B11"/>
    <w:rsid w:val="00E44B81"/>
    <w:rsid w:val="00E458B4"/>
    <w:rsid w:val="00E46FFA"/>
    <w:rsid w:val="00E47F0F"/>
    <w:rsid w:val="00E5024A"/>
    <w:rsid w:val="00E50AC0"/>
    <w:rsid w:val="00E51846"/>
    <w:rsid w:val="00E51F5A"/>
    <w:rsid w:val="00E52609"/>
    <w:rsid w:val="00E53427"/>
    <w:rsid w:val="00E53F26"/>
    <w:rsid w:val="00E54AB8"/>
    <w:rsid w:val="00E55B0A"/>
    <w:rsid w:val="00E55CA5"/>
    <w:rsid w:val="00E56D04"/>
    <w:rsid w:val="00E5709D"/>
    <w:rsid w:val="00E5789A"/>
    <w:rsid w:val="00E6016F"/>
    <w:rsid w:val="00E6022E"/>
    <w:rsid w:val="00E6043A"/>
    <w:rsid w:val="00E62021"/>
    <w:rsid w:val="00E628AA"/>
    <w:rsid w:val="00E629D4"/>
    <w:rsid w:val="00E62B2C"/>
    <w:rsid w:val="00E63909"/>
    <w:rsid w:val="00E63A2C"/>
    <w:rsid w:val="00E64B03"/>
    <w:rsid w:val="00E64BAE"/>
    <w:rsid w:val="00E65375"/>
    <w:rsid w:val="00E6602B"/>
    <w:rsid w:val="00E660DE"/>
    <w:rsid w:val="00E66404"/>
    <w:rsid w:val="00E669F1"/>
    <w:rsid w:val="00E66D49"/>
    <w:rsid w:val="00E675E7"/>
    <w:rsid w:val="00E67AB2"/>
    <w:rsid w:val="00E67C43"/>
    <w:rsid w:val="00E700DA"/>
    <w:rsid w:val="00E700F4"/>
    <w:rsid w:val="00E7158A"/>
    <w:rsid w:val="00E72ABF"/>
    <w:rsid w:val="00E7357D"/>
    <w:rsid w:val="00E736C5"/>
    <w:rsid w:val="00E74E9B"/>
    <w:rsid w:val="00E756AB"/>
    <w:rsid w:val="00E756ED"/>
    <w:rsid w:val="00E760D9"/>
    <w:rsid w:val="00E76A06"/>
    <w:rsid w:val="00E76F09"/>
    <w:rsid w:val="00E77332"/>
    <w:rsid w:val="00E81373"/>
    <w:rsid w:val="00E81525"/>
    <w:rsid w:val="00E81FCF"/>
    <w:rsid w:val="00E82338"/>
    <w:rsid w:val="00E828E2"/>
    <w:rsid w:val="00E83016"/>
    <w:rsid w:val="00E830FA"/>
    <w:rsid w:val="00E837AC"/>
    <w:rsid w:val="00E83D2A"/>
    <w:rsid w:val="00E847A5"/>
    <w:rsid w:val="00E849CB"/>
    <w:rsid w:val="00E84CA6"/>
    <w:rsid w:val="00E85AAF"/>
    <w:rsid w:val="00E86212"/>
    <w:rsid w:val="00E8632B"/>
    <w:rsid w:val="00E91DFA"/>
    <w:rsid w:val="00E91FB0"/>
    <w:rsid w:val="00E92CDF"/>
    <w:rsid w:val="00E930F6"/>
    <w:rsid w:val="00E94524"/>
    <w:rsid w:val="00E94AB8"/>
    <w:rsid w:val="00E94D09"/>
    <w:rsid w:val="00E94F25"/>
    <w:rsid w:val="00E95425"/>
    <w:rsid w:val="00E9672F"/>
    <w:rsid w:val="00E96FCB"/>
    <w:rsid w:val="00E9739A"/>
    <w:rsid w:val="00E973AB"/>
    <w:rsid w:val="00E97D50"/>
    <w:rsid w:val="00E97EA8"/>
    <w:rsid w:val="00EA2DA9"/>
    <w:rsid w:val="00EA2DFC"/>
    <w:rsid w:val="00EA2E14"/>
    <w:rsid w:val="00EA2F5D"/>
    <w:rsid w:val="00EA2FF0"/>
    <w:rsid w:val="00EA3919"/>
    <w:rsid w:val="00EA3F14"/>
    <w:rsid w:val="00EA3FEA"/>
    <w:rsid w:val="00EA4373"/>
    <w:rsid w:val="00EA4A6C"/>
    <w:rsid w:val="00EA56DA"/>
    <w:rsid w:val="00EA5A8E"/>
    <w:rsid w:val="00EA680C"/>
    <w:rsid w:val="00EA727E"/>
    <w:rsid w:val="00EA78DC"/>
    <w:rsid w:val="00EB0C96"/>
    <w:rsid w:val="00EB197F"/>
    <w:rsid w:val="00EB21C5"/>
    <w:rsid w:val="00EB2725"/>
    <w:rsid w:val="00EB2927"/>
    <w:rsid w:val="00EB2B8B"/>
    <w:rsid w:val="00EB2E3B"/>
    <w:rsid w:val="00EB2F6C"/>
    <w:rsid w:val="00EB3890"/>
    <w:rsid w:val="00EB4965"/>
    <w:rsid w:val="00EB5545"/>
    <w:rsid w:val="00EB5A76"/>
    <w:rsid w:val="00EB5C8A"/>
    <w:rsid w:val="00EB646E"/>
    <w:rsid w:val="00EB6A7F"/>
    <w:rsid w:val="00EB6C23"/>
    <w:rsid w:val="00EB6CF6"/>
    <w:rsid w:val="00EB6E46"/>
    <w:rsid w:val="00EC09C1"/>
    <w:rsid w:val="00EC1E23"/>
    <w:rsid w:val="00EC222F"/>
    <w:rsid w:val="00EC2A39"/>
    <w:rsid w:val="00EC2C92"/>
    <w:rsid w:val="00EC3F0D"/>
    <w:rsid w:val="00EC435F"/>
    <w:rsid w:val="00EC4DE1"/>
    <w:rsid w:val="00EC59DD"/>
    <w:rsid w:val="00EC6136"/>
    <w:rsid w:val="00EC6698"/>
    <w:rsid w:val="00EC66E5"/>
    <w:rsid w:val="00EC687E"/>
    <w:rsid w:val="00EC6A98"/>
    <w:rsid w:val="00EC6AE3"/>
    <w:rsid w:val="00EC7EEF"/>
    <w:rsid w:val="00ED0ABC"/>
    <w:rsid w:val="00ED1733"/>
    <w:rsid w:val="00ED24D4"/>
    <w:rsid w:val="00ED2DA7"/>
    <w:rsid w:val="00ED2F83"/>
    <w:rsid w:val="00ED3AE4"/>
    <w:rsid w:val="00ED4052"/>
    <w:rsid w:val="00ED4087"/>
    <w:rsid w:val="00ED508F"/>
    <w:rsid w:val="00ED63D5"/>
    <w:rsid w:val="00ED6885"/>
    <w:rsid w:val="00ED70A4"/>
    <w:rsid w:val="00ED70DE"/>
    <w:rsid w:val="00ED7C4B"/>
    <w:rsid w:val="00EE02B4"/>
    <w:rsid w:val="00EE042F"/>
    <w:rsid w:val="00EE0453"/>
    <w:rsid w:val="00EE0E13"/>
    <w:rsid w:val="00EE1014"/>
    <w:rsid w:val="00EE10A1"/>
    <w:rsid w:val="00EE139D"/>
    <w:rsid w:val="00EE1F59"/>
    <w:rsid w:val="00EE2716"/>
    <w:rsid w:val="00EE359B"/>
    <w:rsid w:val="00EE3694"/>
    <w:rsid w:val="00EE38C0"/>
    <w:rsid w:val="00EE3CBF"/>
    <w:rsid w:val="00EE414C"/>
    <w:rsid w:val="00EE4965"/>
    <w:rsid w:val="00EE4A65"/>
    <w:rsid w:val="00EE4D80"/>
    <w:rsid w:val="00EE5625"/>
    <w:rsid w:val="00EE5D73"/>
    <w:rsid w:val="00EE6D0B"/>
    <w:rsid w:val="00EE6F35"/>
    <w:rsid w:val="00EE72A4"/>
    <w:rsid w:val="00EE7422"/>
    <w:rsid w:val="00EE75BD"/>
    <w:rsid w:val="00EE77B8"/>
    <w:rsid w:val="00EE7948"/>
    <w:rsid w:val="00EE7B69"/>
    <w:rsid w:val="00EE7E46"/>
    <w:rsid w:val="00EF0A56"/>
    <w:rsid w:val="00EF0A6A"/>
    <w:rsid w:val="00EF0ECD"/>
    <w:rsid w:val="00EF1F14"/>
    <w:rsid w:val="00EF2FD7"/>
    <w:rsid w:val="00EF33E5"/>
    <w:rsid w:val="00EF37E8"/>
    <w:rsid w:val="00EF3837"/>
    <w:rsid w:val="00EF5090"/>
    <w:rsid w:val="00EF5B9D"/>
    <w:rsid w:val="00EF5D46"/>
    <w:rsid w:val="00EF62FD"/>
    <w:rsid w:val="00EF6430"/>
    <w:rsid w:val="00EF68E6"/>
    <w:rsid w:val="00EF7045"/>
    <w:rsid w:val="00EF7086"/>
    <w:rsid w:val="00EF798F"/>
    <w:rsid w:val="00F00FD5"/>
    <w:rsid w:val="00F023F5"/>
    <w:rsid w:val="00F026DA"/>
    <w:rsid w:val="00F02C4A"/>
    <w:rsid w:val="00F04DDE"/>
    <w:rsid w:val="00F04F2D"/>
    <w:rsid w:val="00F0526E"/>
    <w:rsid w:val="00F064E6"/>
    <w:rsid w:val="00F077E4"/>
    <w:rsid w:val="00F07D54"/>
    <w:rsid w:val="00F1130B"/>
    <w:rsid w:val="00F130AC"/>
    <w:rsid w:val="00F1350C"/>
    <w:rsid w:val="00F13663"/>
    <w:rsid w:val="00F13CCE"/>
    <w:rsid w:val="00F13EE6"/>
    <w:rsid w:val="00F14453"/>
    <w:rsid w:val="00F14914"/>
    <w:rsid w:val="00F14E26"/>
    <w:rsid w:val="00F14E68"/>
    <w:rsid w:val="00F15809"/>
    <w:rsid w:val="00F15AA5"/>
    <w:rsid w:val="00F16044"/>
    <w:rsid w:val="00F16E51"/>
    <w:rsid w:val="00F201E2"/>
    <w:rsid w:val="00F202EF"/>
    <w:rsid w:val="00F20323"/>
    <w:rsid w:val="00F217A9"/>
    <w:rsid w:val="00F224A2"/>
    <w:rsid w:val="00F23B10"/>
    <w:rsid w:val="00F23BE5"/>
    <w:rsid w:val="00F23C71"/>
    <w:rsid w:val="00F23D8E"/>
    <w:rsid w:val="00F2402A"/>
    <w:rsid w:val="00F24AFE"/>
    <w:rsid w:val="00F24D4D"/>
    <w:rsid w:val="00F25986"/>
    <w:rsid w:val="00F2691E"/>
    <w:rsid w:val="00F26BDE"/>
    <w:rsid w:val="00F277DC"/>
    <w:rsid w:val="00F27BE1"/>
    <w:rsid w:val="00F301A2"/>
    <w:rsid w:val="00F31527"/>
    <w:rsid w:val="00F31D54"/>
    <w:rsid w:val="00F31EED"/>
    <w:rsid w:val="00F32688"/>
    <w:rsid w:val="00F32E01"/>
    <w:rsid w:val="00F33091"/>
    <w:rsid w:val="00F352C9"/>
    <w:rsid w:val="00F35EB0"/>
    <w:rsid w:val="00F35F75"/>
    <w:rsid w:val="00F36585"/>
    <w:rsid w:val="00F366D2"/>
    <w:rsid w:val="00F367AE"/>
    <w:rsid w:val="00F36B87"/>
    <w:rsid w:val="00F404E8"/>
    <w:rsid w:val="00F4052B"/>
    <w:rsid w:val="00F4069E"/>
    <w:rsid w:val="00F40A53"/>
    <w:rsid w:val="00F41762"/>
    <w:rsid w:val="00F418F3"/>
    <w:rsid w:val="00F4192B"/>
    <w:rsid w:val="00F41AF4"/>
    <w:rsid w:val="00F42B3F"/>
    <w:rsid w:val="00F42E1D"/>
    <w:rsid w:val="00F4303F"/>
    <w:rsid w:val="00F44EB3"/>
    <w:rsid w:val="00F44FDC"/>
    <w:rsid w:val="00F45EC1"/>
    <w:rsid w:val="00F460B0"/>
    <w:rsid w:val="00F460D6"/>
    <w:rsid w:val="00F46182"/>
    <w:rsid w:val="00F500CE"/>
    <w:rsid w:val="00F50CE5"/>
    <w:rsid w:val="00F50F4E"/>
    <w:rsid w:val="00F52029"/>
    <w:rsid w:val="00F52E48"/>
    <w:rsid w:val="00F53691"/>
    <w:rsid w:val="00F536E0"/>
    <w:rsid w:val="00F545DA"/>
    <w:rsid w:val="00F54A7D"/>
    <w:rsid w:val="00F54E6B"/>
    <w:rsid w:val="00F54ECF"/>
    <w:rsid w:val="00F5624C"/>
    <w:rsid w:val="00F568FA"/>
    <w:rsid w:val="00F57F61"/>
    <w:rsid w:val="00F60653"/>
    <w:rsid w:val="00F60A7E"/>
    <w:rsid w:val="00F60DB8"/>
    <w:rsid w:val="00F61751"/>
    <w:rsid w:val="00F62AC1"/>
    <w:rsid w:val="00F63930"/>
    <w:rsid w:val="00F63C38"/>
    <w:rsid w:val="00F63F43"/>
    <w:rsid w:val="00F64BEC"/>
    <w:rsid w:val="00F64E02"/>
    <w:rsid w:val="00F65206"/>
    <w:rsid w:val="00F65F33"/>
    <w:rsid w:val="00F662BA"/>
    <w:rsid w:val="00F6645C"/>
    <w:rsid w:val="00F67195"/>
    <w:rsid w:val="00F70012"/>
    <w:rsid w:val="00F70155"/>
    <w:rsid w:val="00F711AD"/>
    <w:rsid w:val="00F71740"/>
    <w:rsid w:val="00F735E2"/>
    <w:rsid w:val="00F74563"/>
    <w:rsid w:val="00F7484D"/>
    <w:rsid w:val="00F75427"/>
    <w:rsid w:val="00F757DB"/>
    <w:rsid w:val="00F75D5D"/>
    <w:rsid w:val="00F75F79"/>
    <w:rsid w:val="00F76ADC"/>
    <w:rsid w:val="00F77021"/>
    <w:rsid w:val="00F77212"/>
    <w:rsid w:val="00F77AB8"/>
    <w:rsid w:val="00F8045F"/>
    <w:rsid w:val="00F804D4"/>
    <w:rsid w:val="00F809A4"/>
    <w:rsid w:val="00F80EB0"/>
    <w:rsid w:val="00F814A5"/>
    <w:rsid w:val="00F82645"/>
    <w:rsid w:val="00F82853"/>
    <w:rsid w:val="00F8289C"/>
    <w:rsid w:val="00F82E00"/>
    <w:rsid w:val="00F836DC"/>
    <w:rsid w:val="00F843D8"/>
    <w:rsid w:val="00F845EC"/>
    <w:rsid w:val="00F858B2"/>
    <w:rsid w:val="00F871A5"/>
    <w:rsid w:val="00F875CB"/>
    <w:rsid w:val="00F876A3"/>
    <w:rsid w:val="00F877DC"/>
    <w:rsid w:val="00F905BB"/>
    <w:rsid w:val="00F9171A"/>
    <w:rsid w:val="00F91A1E"/>
    <w:rsid w:val="00F91B64"/>
    <w:rsid w:val="00F92690"/>
    <w:rsid w:val="00F927C0"/>
    <w:rsid w:val="00F93EDB"/>
    <w:rsid w:val="00F94DC0"/>
    <w:rsid w:val="00F96063"/>
    <w:rsid w:val="00F9737D"/>
    <w:rsid w:val="00F97A08"/>
    <w:rsid w:val="00F97F89"/>
    <w:rsid w:val="00FA01B1"/>
    <w:rsid w:val="00FA2F5A"/>
    <w:rsid w:val="00FA2F9B"/>
    <w:rsid w:val="00FA3000"/>
    <w:rsid w:val="00FA3692"/>
    <w:rsid w:val="00FA4435"/>
    <w:rsid w:val="00FA63CD"/>
    <w:rsid w:val="00FA66BF"/>
    <w:rsid w:val="00FA6A23"/>
    <w:rsid w:val="00FA6F45"/>
    <w:rsid w:val="00FA72FC"/>
    <w:rsid w:val="00FB074B"/>
    <w:rsid w:val="00FB0FB0"/>
    <w:rsid w:val="00FB1B66"/>
    <w:rsid w:val="00FB1EE2"/>
    <w:rsid w:val="00FB24EA"/>
    <w:rsid w:val="00FB3F53"/>
    <w:rsid w:val="00FB4144"/>
    <w:rsid w:val="00FB432D"/>
    <w:rsid w:val="00FB4423"/>
    <w:rsid w:val="00FB4447"/>
    <w:rsid w:val="00FB57BE"/>
    <w:rsid w:val="00FB705D"/>
    <w:rsid w:val="00FB76FF"/>
    <w:rsid w:val="00FB7FF2"/>
    <w:rsid w:val="00FC0FE3"/>
    <w:rsid w:val="00FC1466"/>
    <w:rsid w:val="00FC265B"/>
    <w:rsid w:val="00FC2CDC"/>
    <w:rsid w:val="00FC2DED"/>
    <w:rsid w:val="00FC3028"/>
    <w:rsid w:val="00FC318B"/>
    <w:rsid w:val="00FC321D"/>
    <w:rsid w:val="00FC3826"/>
    <w:rsid w:val="00FC3A4D"/>
    <w:rsid w:val="00FC4752"/>
    <w:rsid w:val="00FC48C7"/>
    <w:rsid w:val="00FC5A2B"/>
    <w:rsid w:val="00FC5A51"/>
    <w:rsid w:val="00FC5D67"/>
    <w:rsid w:val="00FC6086"/>
    <w:rsid w:val="00FC6469"/>
    <w:rsid w:val="00FC7467"/>
    <w:rsid w:val="00FC76E5"/>
    <w:rsid w:val="00FC7E86"/>
    <w:rsid w:val="00FD1F26"/>
    <w:rsid w:val="00FD1FBB"/>
    <w:rsid w:val="00FD2117"/>
    <w:rsid w:val="00FD25BA"/>
    <w:rsid w:val="00FD2F19"/>
    <w:rsid w:val="00FD3042"/>
    <w:rsid w:val="00FD315C"/>
    <w:rsid w:val="00FD44D6"/>
    <w:rsid w:val="00FD45A7"/>
    <w:rsid w:val="00FD4C85"/>
    <w:rsid w:val="00FD5931"/>
    <w:rsid w:val="00FD5D0B"/>
    <w:rsid w:val="00FD5E6A"/>
    <w:rsid w:val="00FD5FB3"/>
    <w:rsid w:val="00FD6B05"/>
    <w:rsid w:val="00FD7A63"/>
    <w:rsid w:val="00FE0310"/>
    <w:rsid w:val="00FE0313"/>
    <w:rsid w:val="00FE0480"/>
    <w:rsid w:val="00FE099E"/>
    <w:rsid w:val="00FE2545"/>
    <w:rsid w:val="00FE255C"/>
    <w:rsid w:val="00FE2628"/>
    <w:rsid w:val="00FE2873"/>
    <w:rsid w:val="00FE2AE6"/>
    <w:rsid w:val="00FE2CC5"/>
    <w:rsid w:val="00FE367E"/>
    <w:rsid w:val="00FE3E05"/>
    <w:rsid w:val="00FE442F"/>
    <w:rsid w:val="00FE4669"/>
    <w:rsid w:val="00FE48AD"/>
    <w:rsid w:val="00FE48B5"/>
    <w:rsid w:val="00FE4945"/>
    <w:rsid w:val="00FE4B59"/>
    <w:rsid w:val="00FE4CCD"/>
    <w:rsid w:val="00FE5548"/>
    <w:rsid w:val="00FE5967"/>
    <w:rsid w:val="00FF18D8"/>
    <w:rsid w:val="00FF18FC"/>
    <w:rsid w:val="00FF251A"/>
    <w:rsid w:val="00FF277B"/>
    <w:rsid w:val="00FF306B"/>
    <w:rsid w:val="00FF345F"/>
    <w:rsid w:val="00FF366F"/>
    <w:rsid w:val="00FF5FA1"/>
    <w:rsid w:val="00FF602C"/>
    <w:rsid w:val="00FF604A"/>
    <w:rsid w:val="00FF6DA3"/>
    <w:rsid w:val="00FF73FD"/>
    <w:rsid w:val="00FF7515"/>
    <w:rsid w:val="00FF7585"/>
    <w:rsid w:val="00FF7C58"/>
    <w:rsid w:val="00FF7F46"/>
    <w:rsid w:val="0759798C"/>
    <w:rsid w:val="08703B1D"/>
    <w:rsid w:val="10171C53"/>
    <w:rsid w:val="16AE6412"/>
    <w:rsid w:val="1AFF547D"/>
    <w:rsid w:val="242E3B34"/>
    <w:rsid w:val="27CD5619"/>
    <w:rsid w:val="2C0252FF"/>
    <w:rsid w:val="2D724C29"/>
    <w:rsid w:val="31647E94"/>
    <w:rsid w:val="31BC6543"/>
    <w:rsid w:val="3A7F1A7E"/>
    <w:rsid w:val="3C4E4BE5"/>
    <w:rsid w:val="451E1594"/>
    <w:rsid w:val="46150282"/>
    <w:rsid w:val="46D12463"/>
    <w:rsid w:val="52D70926"/>
    <w:rsid w:val="61EF28C6"/>
    <w:rsid w:val="62CE3110"/>
    <w:rsid w:val="69CD0EEA"/>
    <w:rsid w:val="781B17CE"/>
    <w:rsid w:val="7D873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styleId="3">
    <w:name w:val="heading 1"/>
    <w:basedOn w:val="1"/>
    <w:next w:val="1"/>
    <w:link w:val="42"/>
    <w:qFormat/>
    <w:uiPriority w:val="0"/>
    <w:pPr>
      <w:keepNext/>
      <w:keepLines/>
      <w:spacing w:before="120" w:after="120"/>
      <w:ind w:firstLine="0" w:firstLineChars="0"/>
      <w:jc w:val="left"/>
      <w:outlineLvl w:val="0"/>
    </w:pPr>
    <w:rPr>
      <w:b/>
      <w:bCs/>
      <w:kern w:val="44"/>
      <w:sz w:val="32"/>
      <w:szCs w:val="44"/>
    </w:rPr>
  </w:style>
  <w:style w:type="paragraph" w:styleId="4">
    <w:name w:val="heading 2"/>
    <w:basedOn w:val="1"/>
    <w:next w:val="1"/>
    <w:link w:val="43"/>
    <w:unhideWhenUsed/>
    <w:qFormat/>
    <w:uiPriority w:val="0"/>
    <w:pPr>
      <w:keepNext/>
      <w:keepLines/>
      <w:spacing w:before="120" w:after="120"/>
      <w:ind w:firstLine="0" w:firstLineChars="0"/>
      <w:jc w:val="left"/>
      <w:outlineLvl w:val="1"/>
    </w:pPr>
    <w:rPr>
      <w:rFonts w:cstheme="majorBidi"/>
      <w:b/>
      <w:bCs/>
      <w:sz w:val="30"/>
      <w:szCs w:val="32"/>
    </w:rPr>
  </w:style>
  <w:style w:type="paragraph" w:styleId="5">
    <w:name w:val="heading 3"/>
    <w:basedOn w:val="1"/>
    <w:next w:val="1"/>
    <w:link w:val="44"/>
    <w:unhideWhenUsed/>
    <w:qFormat/>
    <w:uiPriority w:val="0"/>
    <w:pPr>
      <w:keepNext/>
      <w:keepLines/>
      <w:spacing w:before="120" w:after="120"/>
      <w:ind w:firstLine="0" w:firstLineChars="0"/>
      <w:outlineLvl w:val="2"/>
    </w:pPr>
    <w:rPr>
      <w:b/>
      <w:bCs/>
      <w:sz w:val="28"/>
      <w:szCs w:val="32"/>
    </w:rPr>
  </w:style>
  <w:style w:type="paragraph" w:styleId="6">
    <w:name w:val="heading 4"/>
    <w:basedOn w:val="1"/>
    <w:next w:val="1"/>
    <w:link w:val="47"/>
    <w:unhideWhenUsed/>
    <w:qFormat/>
    <w:uiPriority w:val="0"/>
    <w:pPr>
      <w:keepNext/>
      <w:keepLines/>
      <w:spacing w:before="120" w:after="120"/>
      <w:outlineLvl w:val="3"/>
    </w:pPr>
    <w:rPr>
      <w:rFonts w:cstheme="majorBidi"/>
      <w:b/>
      <w:bCs/>
      <w:szCs w:val="28"/>
    </w:rPr>
  </w:style>
  <w:style w:type="paragraph" w:styleId="7">
    <w:name w:val="heading 5"/>
    <w:basedOn w:val="1"/>
    <w:next w:val="1"/>
    <w:link w:val="48"/>
    <w:unhideWhenUsed/>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 w:val="21"/>
      <w:szCs w:val="22"/>
    </w:rPr>
  </w:style>
  <w:style w:type="paragraph" w:styleId="9">
    <w:name w:val="Normal Indent"/>
    <w:basedOn w:val="1"/>
    <w:next w:val="1"/>
    <w:qFormat/>
    <w:uiPriority w:val="0"/>
    <w:pPr>
      <w:adjustRightInd w:val="0"/>
      <w:snapToGrid w:val="0"/>
      <w:spacing w:line="300" w:lineRule="auto"/>
      <w:ind w:firstLine="420" w:firstLineChars="0"/>
    </w:pPr>
    <w:rPr>
      <w:rFonts w:ascii="宋体" w:hAnsi="PMingLiU"/>
      <w:kern w:val="2"/>
      <w:sz w:val="21"/>
      <w:szCs w:val="24"/>
    </w:rPr>
  </w:style>
  <w:style w:type="paragraph" w:styleId="10">
    <w:name w:val="caption"/>
    <w:basedOn w:val="1"/>
    <w:next w:val="1"/>
    <w:link w:val="156"/>
    <w:qFormat/>
    <w:uiPriority w:val="35"/>
    <w:pPr>
      <w:spacing w:before="120" w:after="120"/>
      <w:ind w:firstLine="0" w:firstLineChars="0"/>
      <w:jc w:val="center"/>
    </w:pPr>
    <w:rPr>
      <w:rFonts w:cstheme="majorBidi"/>
      <w:b/>
      <w:sz w:val="21"/>
    </w:rPr>
  </w:style>
  <w:style w:type="paragraph" w:styleId="11">
    <w:name w:val="annotation text"/>
    <w:basedOn w:val="1"/>
    <w:link w:val="84"/>
    <w:qFormat/>
    <w:uiPriority w:val="0"/>
    <w:pPr>
      <w:spacing w:line="320" w:lineRule="exact"/>
      <w:ind w:firstLine="0" w:firstLineChars="0"/>
      <w:jc w:val="left"/>
    </w:pPr>
    <w:rPr>
      <w:kern w:val="2"/>
      <w:sz w:val="21"/>
      <w:szCs w:val="22"/>
    </w:rPr>
  </w:style>
  <w:style w:type="paragraph" w:styleId="12">
    <w:name w:val="Body Text"/>
    <w:basedOn w:val="1"/>
    <w:next w:val="1"/>
    <w:link w:val="82"/>
    <w:qFormat/>
    <w:uiPriority w:val="0"/>
    <w:pPr>
      <w:widowControl/>
      <w:spacing w:after="200" w:line="240" w:lineRule="auto"/>
      <w:ind w:firstLine="0" w:firstLineChars="0"/>
      <w:jc w:val="center"/>
    </w:pPr>
    <w:rPr>
      <w:sz w:val="21"/>
      <w:szCs w:val="22"/>
      <w:lang w:eastAsia="en-US" w:bidi="en-US"/>
    </w:rPr>
  </w:style>
  <w:style w:type="paragraph" w:styleId="13">
    <w:name w:val="Body Text Indent"/>
    <w:basedOn w:val="1"/>
    <w:next w:val="1"/>
    <w:link w:val="85"/>
    <w:qFormat/>
    <w:uiPriority w:val="0"/>
    <w:pPr>
      <w:spacing w:line="480" w:lineRule="auto"/>
      <w:ind w:firstLine="480"/>
    </w:pPr>
    <w:rPr>
      <w:rFonts w:ascii="宋体"/>
      <w:kern w:val="2"/>
      <w:szCs w:val="22"/>
    </w:rPr>
  </w:style>
  <w:style w:type="paragraph" w:styleId="14">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 w:val="21"/>
      <w:szCs w:val="22"/>
    </w:rPr>
  </w:style>
  <w:style w:type="paragraph" w:styleId="15">
    <w:name w:val="toc 3"/>
    <w:basedOn w:val="1"/>
    <w:next w:val="1"/>
    <w:unhideWhenUsed/>
    <w:qFormat/>
    <w:uiPriority w:val="39"/>
    <w:pPr>
      <w:ind w:left="840" w:leftChars="400"/>
    </w:pPr>
  </w:style>
  <w:style w:type="paragraph" w:styleId="16">
    <w:name w:val="Plain Text"/>
    <w:basedOn w:val="1"/>
    <w:next w:val="17"/>
    <w:link w:val="86"/>
    <w:qFormat/>
    <w:uiPriority w:val="0"/>
    <w:pPr>
      <w:widowControl/>
      <w:spacing w:after="200" w:line="240" w:lineRule="auto"/>
      <w:ind w:firstLine="0" w:firstLineChars="0"/>
      <w:jc w:val="left"/>
    </w:pPr>
    <w:rPr>
      <w:rFonts w:ascii="宋体" w:hAnsi="Courier New"/>
      <w:sz w:val="28"/>
      <w:lang w:eastAsia="en-US" w:bidi="en-US"/>
    </w:rPr>
  </w:style>
  <w:style w:type="paragraph" w:customStyle="1" w:styleId="17">
    <w:name w:val="表内文字"/>
    <w:basedOn w:val="1"/>
    <w:qFormat/>
    <w:uiPriority w:val="0"/>
    <w:pPr>
      <w:spacing w:line="360" w:lineRule="atLeast"/>
      <w:ind w:firstLine="0" w:firstLineChars="0"/>
      <w:jc w:val="center"/>
    </w:pPr>
    <w:rPr>
      <w:kern w:val="2"/>
      <w:sz w:val="21"/>
      <w:szCs w:val="22"/>
    </w:r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 w:val="21"/>
      <w:szCs w:val="22"/>
    </w:rPr>
  </w:style>
  <w:style w:type="paragraph" w:styleId="19">
    <w:name w:val="Body Text Indent 2"/>
    <w:basedOn w:val="1"/>
    <w:link w:val="87"/>
    <w:qFormat/>
    <w:uiPriority w:val="0"/>
    <w:pPr>
      <w:spacing w:line="540" w:lineRule="exact"/>
      <w:ind w:firstLine="480"/>
    </w:pPr>
    <w:rPr>
      <w:kern w:val="2"/>
      <w:sz w:val="21"/>
      <w:szCs w:val="22"/>
    </w:rPr>
  </w:style>
  <w:style w:type="paragraph" w:styleId="20">
    <w:name w:val="Balloon Text"/>
    <w:basedOn w:val="1"/>
    <w:link w:val="46"/>
    <w:semiHidden/>
    <w:unhideWhenUsed/>
    <w:qFormat/>
    <w:uiPriority w:val="0"/>
    <w:pPr>
      <w:spacing w:line="240" w:lineRule="auto"/>
    </w:pPr>
    <w:rPr>
      <w:sz w:val="18"/>
      <w:szCs w:val="18"/>
    </w:rPr>
  </w:style>
  <w:style w:type="paragraph" w:styleId="21">
    <w:name w:val="footer"/>
    <w:basedOn w:val="1"/>
    <w:link w:val="41"/>
    <w:unhideWhenUsed/>
    <w:qFormat/>
    <w:uiPriority w:val="99"/>
    <w:pPr>
      <w:tabs>
        <w:tab w:val="center" w:pos="4153"/>
        <w:tab w:val="right" w:pos="8306"/>
      </w:tabs>
      <w:snapToGrid w:val="0"/>
      <w:jc w:val="left"/>
    </w:pPr>
    <w:rPr>
      <w:sz w:val="18"/>
      <w:szCs w:val="18"/>
    </w:rPr>
  </w:style>
  <w:style w:type="paragraph" w:styleId="22">
    <w:name w:val="toc 1"/>
    <w:basedOn w:val="3"/>
    <w:next w:val="1"/>
    <w:unhideWhenUsed/>
    <w:qFormat/>
    <w:uiPriority w:val="39"/>
    <w:pPr>
      <w:tabs>
        <w:tab w:val="right" w:leader="dot" w:pos="8296"/>
      </w:tabs>
      <w:adjustRightInd w:val="0"/>
      <w:spacing w:before="0" w:after="0"/>
      <w:ind w:firstLine="480"/>
      <w:jc w:val="center"/>
    </w:pPr>
    <w:rPr>
      <w:b w:val="0"/>
      <w:sz w:val="28"/>
    </w:rPr>
  </w:style>
  <w:style w:type="paragraph" w:styleId="23">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 w:val="21"/>
      <w:szCs w:val="22"/>
    </w:rPr>
  </w:style>
  <w:style w:type="paragraph" w:styleId="24">
    <w:name w:val="List"/>
    <w:basedOn w:val="1"/>
    <w:qFormat/>
    <w:uiPriority w:val="0"/>
    <w:pPr>
      <w:spacing w:line="320" w:lineRule="exact"/>
      <w:ind w:left="200" w:hanging="200" w:hangingChars="200"/>
    </w:pPr>
    <w:rPr>
      <w:kern w:val="2"/>
      <w:sz w:val="21"/>
      <w:szCs w:val="24"/>
    </w:rPr>
  </w:style>
  <w:style w:type="paragraph" w:styleId="25">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 w:val="21"/>
      <w:szCs w:val="22"/>
    </w:rPr>
  </w:style>
  <w:style w:type="paragraph" w:styleId="26">
    <w:name w:val="Body Text Indent 3"/>
    <w:basedOn w:val="1"/>
    <w:link w:val="88"/>
    <w:qFormat/>
    <w:uiPriority w:val="99"/>
    <w:pPr>
      <w:widowControl/>
      <w:spacing w:after="120" w:line="240" w:lineRule="auto"/>
      <w:ind w:left="420" w:leftChars="200" w:firstLine="0" w:firstLineChars="0"/>
      <w:jc w:val="left"/>
    </w:pPr>
    <w:rPr>
      <w:sz w:val="16"/>
      <w:szCs w:val="16"/>
      <w:lang w:eastAsia="en-US" w:bidi="en-US"/>
    </w:rPr>
  </w:style>
  <w:style w:type="paragraph" w:styleId="27">
    <w:name w:val="toc 2"/>
    <w:basedOn w:val="4"/>
    <w:next w:val="1"/>
    <w:unhideWhenUsed/>
    <w:qFormat/>
    <w:uiPriority w:val="39"/>
    <w:pPr>
      <w:spacing w:before="0" w:after="0"/>
      <w:ind w:firstLine="200" w:firstLineChars="200"/>
      <w:jc w:val="both"/>
    </w:pPr>
    <w:rPr>
      <w:b w:val="0"/>
      <w:sz w:val="24"/>
    </w:r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 w:val="21"/>
      <w:szCs w:val="22"/>
    </w:rPr>
  </w:style>
  <w:style w:type="paragraph" w:styleId="29">
    <w:name w:val="Body Text 2"/>
    <w:basedOn w:val="1"/>
    <w:link w:val="83"/>
    <w:unhideWhenUsed/>
    <w:qFormat/>
    <w:uiPriority w:val="99"/>
    <w:pPr>
      <w:spacing w:after="120" w:line="480" w:lineRule="auto"/>
      <w:ind w:firstLine="0" w:firstLineChars="0"/>
    </w:pPr>
    <w:rPr>
      <w:kern w:val="2"/>
      <w:sz w:val="21"/>
      <w:szCs w:val="22"/>
    </w:rPr>
  </w:style>
  <w:style w:type="paragraph" w:styleId="30">
    <w:name w:val="HTML Preformatted"/>
    <w:basedOn w:val="1"/>
    <w:link w:val="1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31">
    <w:name w:val="Normal (Web)"/>
    <w:basedOn w:val="1"/>
    <w:qFormat/>
    <w:uiPriority w:val="0"/>
    <w:pPr>
      <w:widowControl/>
      <w:spacing w:before="100" w:beforeAutospacing="1" w:after="100" w:afterAutospacing="1" w:line="240" w:lineRule="auto"/>
      <w:ind w:firstLine="480" w:firstLineChars="0"/>
      <w:jc w:val="left"/>
    </w:pPr>
    <w:rPr>
      <w:rFonts w:ascii="宋体" w:hAnsi="宋体" w:cs="宋体"/>
      <w:sz w:val="22"/>
      <w:szCs w:val="22"/>
      <w:lang w:eastAsia="en-US" w:bidi="en-US"/>
    </w:rPr>
  </w:style>
  <w:style w:type="paragraph" w:styleId="32">
    <w:name w:val="Body Text First Indent"/>
    <w:basedOn w:val="12"/>
    <w:link w:val="89"/>
    <w:qFormat/>
    <w:uiPriority w:val="0"/>
    <w:pPr>
      <w:widowControl w:val="0"/>
      <w:spacing w:after="120"/>
      <w:ind w:firstLine="420" w:firstLineChars="100"/>
      <w:jc w:val="both"/>
    </w:pPr>
    <w:rPr>
      <w:kern w:val="2"/>
      <w:szCs w:val="24"/>
      <w:lang w:eastAsia="zh-CN" w:bidi="ar-SA"/>
    </w:rPr>
  </w:style>
  <w:style w:type="paragraph" w:styleId="33">
    <w:name w:val="Body Text First Indent 2"/>
    <w:basedOn w:val="1"/>
    <w:link w:val="90"/>
    <w:qFormat/>
    <w:uiPriority w:val="0"/>
    <w:pPr>
      <w:spacing w:after="120" w:line="240" w:lineRule="auto"/>
      <w:ind w:left="420" w:leftChars="200" w:firstLine="420" w:firstLineChars="0"/>
    </w:pPr>
    <w:rPr>
      <w:kern w:val="2"/>
      <w:sz w:val="21"/>
      <w:szCs w:val="24"/>
    </w:r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qFormat/>
    <w:uiPriority w:val="0"/>
  </w:style>
  <w:style w:type="character" w:styleId="38">
    <w:name w:val="Hyperlink"/>
    <w:basedOn w:val="36"/>
    <w:unhideWhenUsed/>
    <w:qFormat/>
    <w:uiPriority w:val="99"/>
    <w:rPr>
      <w:color w:val="0000FF" w:themeColor="hyperlink"/>
      <w:u w:val="single"/>
      <w14:textFill>
        <w14:solidFill>
          <w14:schemeClr w14:val="hlink"/>
        </w14:solidFill>
      </w14:textFill>
    </w:rPr>
  </w:style>
  <w:style w:type="character" w:styleId="39">
    <w:name w:val="annotation reference"/>
    <w:qFormat/>
    <w:uiPriority w:val="0"/>
    <w:rPr>
      <w:sz w:val="21"/>
      <w:szCs w:val="21"/>
    </w:rPr>
  </w:style>
  <w:style w:type="character" w:customStyle="1" w:styleId="40">
    <w:name w:val="页眉 字符"/>
    <w:basedOn w:val="36"/>
    <w:link w:val="2"/>
    <w:qFormat/>
    <w:uiPriority w:val="99"/>
    <w:rPr>
      <w:kern w:val="0"/>
      <w:sz w:val="18"/>
      <w:szCs w:val="18"/>
    </w:rPr>
  </w:style>
  <w:style w:type="character" w:customStyle="1" w:styleId="41">
    <w:name w:val="页脚 字符"/>
    <w:basedOn w:val="36"/>
    <w:link w:val="21"/>
    <w:qFormat/>
    <w:uiPriority w:val="99"/>
    <w:rPr>
      <w:kern w:val="0"/>
      <w:sz w:val="18"/>
      <w:szCs w:val="18"/>
    </w:rPr>
  </w:style>
  <w:style w:type="character" w:customStyle="1" w:styleId="42">
    <w:name w:val="标题 1 字符"/>
    <w:basedOn w:val="36"/>
    <w:link w:val="3"/>
    <w:qFormat/>
    <w:uiPriority w:val="9"/>
    <w:rPr>
      <w:b/>
      <w:bCs/>
      <w:kern w:val="44"/>
      <w:sz w:val="32"/>
      <w:szCs w:val="44"/>
    </w:rPr>
  </w:style>
  <w:style w:type="character" w:customStyle="1" w:styleId="43">
    <w:name w:val="标题 2 字符"/>
    <w:basedOn w:val="36"/>
    <w:link w:val="4"/>
    <w:qFormat/>
    <w:uiPriority w:val="9"/>
    <w:rPr>
      <w:rFonts w:cstheme="majorBidi"/>
      <w:b/>
      <w:bCs/>
      <w:kern w:val="0"/>
      <w:sz w:val="30"/>
      <w:szCs w:val="32"/>
    </w:rPr>
  </w:style>
  <w:style w:type="character" w:customStyle="1" w:styleId="44">
    <w:name w:val="标题 3 字符"/>
    <w:basedOn w:val="36"/>
    <w:link w:val="5"/>
    <w:qFormat/>
    <w:uiPriority w:val="9"/>
    <w:rPr>
      <w:b/>
      <w:bCs/>
      <w:kern w:val="0"/>
      <w:sz w:val="28"/>
      <w:szCs w:val="32"/>
    </w:rPr>
  </w:style>
  <w:style w:type="paragraph" w:customStyle="1" w:styleId="45">
    <w:name w:val="TOC 标题1"/>
    <w:basedOn w:val="3"/>
    <w:next w:val="1"/>
    <w:semiHidden/>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46">
    <w:name w:val="批注框文本 字符"/>
    <w:basedOn w:val="36"/>
    <w:link w:val="20"/>
    <w:semiHidden/>
    <w:qFormat/>
    <w:uiPriority w:val="99"/>
    <w:rPr>
      <w:kern w:val="0"/>
      <w:sz w:val="18"/>
      <w:szCs w:val="18"/>
    </w:rPr>
  </w:style>
  <w:style w:type="character" w:customStyle="1" w:styleId="47">
    <w:name w:val="标题 4 字符"/>
    <w:basedOn w:val="36"/>
    <w:link w:val="6"/>
    <w:qFormat/>
    <w:uiPriority w:val="9"/>
    <w:rPr>
      <w:rFonts w:cstheme="majorBidi"/>
      <w:b/>
      <w:bCs/>
      <w:kern w:val="0"/>
      <w:sz w:val="24"/>
      <w:szCs w:val="28"/>
    </w:rPr>
  </w:style>
  <w:style w:type="character" w:customStyle="1" w:styleId="48">
    <w:name w:val="标题 5 字符"/>
    <w:basedOn w:val="36"/>
    <w:link w:val="7"/>
    <w:qFormat/>
    <w:uiPriority w:val="9"/>
    <w:rPr>
      <w:b/>
      <w:bCs/>
      <w:kern w:val="0"/>
      <w:sz w:val="28"/>
      <w:szCs w:val="28"/>
    </w:rPr>
  </w:style>
  <w:style w:type="paragraph" w:customStyle="1" w:styleId="49">
    <w:name w:val="正文A"/>
    <w:basedOn w:val="1"/>
    <w:link w:val="172"/>
    <w:qFormat/>
    <w:uiPriority w:val="0"/>
    <w:pPr>
      <w:spacing w:line="500" w:lineRule="exact"/>
      <w:ind w:firstLine="480"/>
    </w:pPr>
    <w:rPr>
      <w:rFonts w:ascii="华文仿宋" w:hAnsi="华文仿宋" w:eastAsia="华文仿宋" w:cs="华文仿宋"/>
      <w:kern w:val="2"/>
      <w:szCs w:val="24"/>
    </w:rPr>
  </w:style>
  <w:style w:type="table" w:customStyle="1" w:styleId="50">
    <w:name w:val="三线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Char"/>
    <w:basedOn w:val="1"/>
    <w:qFormat/>
    <w:uiPriority w:val="0"/>
    <w:pPr>
      <w:spacing w:line="320" w:lineRule="exact"/>
      <w:ind w:firstLine="0" w:firstLineChars="0"/>
    </w:pPr>
    <w:rPr>
      <w:kern w:val="2"/>
      <w:sz w:val="21"/>
      <w:szCs w:val="22"/>
    </w:rPr>
  </w:style>
  <w:style w:type="table" w:customStyle="1" w:styleId="52">
    <w:name w:val="网格型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3">
    <w:name w:val="网格型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4">
    <w:name w:val="网格型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
    <w:name w:val="网格型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6">
    <w:name w:val="网格型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7">
    <w:name w:val="网格型6"/>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8">
    <w:name w:val="网格型7"/>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9">
    <w:name w:val="网格型8"/>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0">
    <w:name w:val="网格型9"/>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1">
    <w:name w:val="网格型10"/>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2">
    <w:name w:val="网格型1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3">
    <w:name w:val="网格型1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
    <w:name w:val="网格型1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网格型1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6">
    <w:name w:val="网格型1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7">
    <w:name w:val="网格型16"/>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8">
    <w:name w:val="网格型17"/>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9">
    <w:name w:val="网格型18"/>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19"/>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0"/>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2">
    <w:name w:val="Char1"/>
    <w:basedOn w:val="1"/>
    <w:qFormat/>
    <w:uiPriority w:val="0"/>
    <w:pPr>
      <w:spacing w:line="320" w:lineRule="exact"/>
      <w:ind w:firstLine="0" w:firstLineChars="0"/>
    </w:pPr>
    <w:rPr>
      <w:kern w:val="2"/>
      <w:sz w:val="21"/>
      <w:szCs w:val="22"/>
    </w:rPr>
  </w:style>
  <w:style w:type="table" w:customStyle="1" w:styleId="73">
    <w:name w:val="网格型2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4">
    <w:name w:val="网格型2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网格型2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网格型2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
    <w:name w:val="网格型2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8">
    <w:name w:val="网格型26"/>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三线2"/>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Char2"/>
    <w:basedOn w:val="1"/>
    <w:qFormat/>
    <w:uiPriority w:val="0"/>
    <w:pPr>
      <w:spacing w:line="320" w:lineRule="exact"/>
      <w:ind w:firstLine="0" w:firstLineChars="0"/>
    </w:pPr>
    <w:rPr>
      <w:kern w:val="2"/>
      <w:sz w:val="21"/>
      <w:szCs w:val="22"/>
    </w:rPr>
  </w:style>
  <w:style w:type="paragraph" w:customStyle="1" w:styleId="81">
    <w:name w:val="Char3"/>
    <w:basedOn w:val="1"/>
    <w:qFormat/>
    <w:uiPriority w:val="0"/>
    <w:pPr>
      <w:spacing w:line="320" w:lineRule="exact"/>
      <w:ind w:firstLine="0" w:firstLineChars="0"/>
    </w:pPr>
    <w:rPr>
      <w:kern w:val="2"/>
      <w:sz w:val="21"/>
      <w:szCs w:val="22"/>
    </w:rPr>
  </w:style>
  <w:style w:type="character" w:customStyle="1" w:styleId="82">
    <w:name w:val="正文文本 字符"/>
    <w:basedOn w:val="36"/>
    <w:link w:val="12"/>
    <w:qFormat/>
    <w:uiPriority w:val="0"/>
    <w:rPr>
      <w:kern w:val="0"/>
      <w:szCs w:val="22"/>
      <w:lang w:eastAsia="en-US" w:bidi="en-US"/>
    </w:rPr>
  </w:style>
  <w:style w:type="character" w:customStyle="1" w:styleId="83">
    <w:name w:val="正文文本 2 字符"/>
    <w:basedOn w:val="36"/>
    <w:link w:val="29"/>
    <w:qFormat/>
    <w:uiPriority w:val="99"/>
    <w:rPr>
      <w:szCs w:val="22"/>
    </w:rPr>
  </w:style>
  <w:style w:type="character" w:customStyle="1" w:styleId="84">
    <w:name w:val="批注文字 字符"/>
    <w:basedOn w:val="36"/>
    <w:link w:val="11"/>
    <w:qFormat/>
    <w:uiPriority w:val="0"/>
    <w:rPr>
      <w:szCs w:val="22"/>
    </w:rPr>
  </w:style>
  <w:style w:type="character" w:customStyle="1" w:styleId="85">
    <w:name w:val="正文文本缩进 字符"/>
    <w:basedOn w:val="36"/>
    <w:link w:val="13"/>
    <w:qFormat/>
    <w:uiPriority w:val="0"/>
    <w:rPr>
      <w:rFonts w:ascii="宋体"/>
      <w:sz w:val="24"/>
      <w:szCs w:val="22"/>
    </w:rPr>
  </w:style>
  <w:style w:type="character" w:customStyle="1" w:styleId="86">
    <w:name w:val="纯文本 字符"/>
    <w:basedOn w:val="36"/>
    <w:link w:val="16"/>
    <w:qFormat/>
    <w:uiPriority w:val="0"/>
    <w:rPr>
      <w:rFonts w:ascii="宋体" w:hAnsi="Courier New"/>
      <w:kern w:val="0"/>
      <w:sz w:val="28"/>
      <w:szCs w:val="20"/>
      <w:lang w:eastAsia="en-US" w:bidi="en-US"/>
    </w:rPr>
  </w:style>
  <w:style w:type="character" w:customStyle="1" w:styleId="87">
    <w:name w:val="正文文本缩进 2 字符"/>
    <w:basedOn w:val="36"/>
    <w:link w:val="19"/>
    <w:qFormat/>
    <w:uiPriority w:val="0"/>
    <w:rPr>
      <w:szCs w:val="22"/>
    </w:rPr>
  </w:style>
  <w:style w:type="character" w:customStyle="1" w:styleId="88">
    <w:name w:val="正文文本缩进 3 字符"/>
    <w:basedOn w:val="36"/>
    <w:link w:val="26"/>
    <w:qFormat/>
    <w:uiPriority w:val="99"/>
    <w:rPr>
      <w:kern w:val="0"/>
      <w:sz w:val="16"/>
      <w:szCs w:val="16"/>
      <w:lang w:eastAsia="en-US" w:bidi="en-US"/>
    </w:rPr>
  </w:style>
  <w:style w:type="character" w:customStyle="1" w:styleId="89">
    <w:name w:val="正文文本首行缩进 字符"/>
    <w:basedOn w:val="82"/>
    <w:link w:val="32"/>
    <w:qFormat/>
    <w:uiPriority w:val="0"/>
    <w:rPr>
      <w:kern w:val="0"/>
      <w:szCs w:val="24"/>
      <w:lang w:eastAsia="en-US" w:bidi="en-US"/>
    </w:rPr>
  </w:style>
  <w:style w:type="character" w:customStyle="1" w:styleId="90">
    <w:name w:val="正文文本首行缩进 2 字符"/>
    <w:basedOn w:val="85"/>
    <w:link w:val="33"/>
    <w:qFormat/>
    <w:uiPriority w:val="0"/>
    <w:rPr>
      <w:rFonts w:ascii="宋体"/>
      <w:sz w:val="24"/>
      <w:szCs w:val="24"/>
    </w:rPr>
  </w:style>
  <w:style w:type="paragraph" w:customStyle="1" w:styleId="91">
    <w:name w:val="Default"/>
    <w:basedOn w:val="92"/>
    <w:next w:val="1"/>
    <w:qFormat/>
    <w:uiPriority w:val="0"/>
    <w:pPr>
      <w:autoSpaceDE w:val="0"/>
      <w:autoSpaceDN w:val="0"/>
    </w:pPr>
    <w:rPr>
      <w:rFonts w:ascii="黑体" w:eastAsia="黑体" w:cs="黑体"/>
      <w:sz w:val="24"/>
      <w:szCs w:val="24"/>
    </w:rPr>
  </w:style>
  <w:style w:type="paragraph" w:customStyle="1" w:styleId="92">
    <w:name w:val="1 表头"/>
    <w:basedOn w:val="1"/>
    <w:qFormat/>
    <w:uiPriority w:val="0"/>
    <w:pPr>
      <w:adjustRightInd w:val="0"/>
      <w:snapToGrid w:val="0"/>
      <w:spacing w:line="240" w:lineRule="auto"/>
      <w:ind w:firstLine="0" w:firstLineChars="0"/>
      <w:jc w:val="center"/>
    </w:pPr>
    <w:rPr>
      <w:b/>
      <w:color w:val="000000"/>
      <w:kern w:val="2"/>
      <w:sz w:val="21"/>
      <w:szCs w:val="21"/>
    </w:rPr>
  </w:style>
  <w:style w:type="paragraph" w:customStyle="1" w:styleId="93">
    <w:name w:val="表格内"/>
    <w:basedOn w:val="1"/>
    <w:qFormat/>
    <w:uiPriority w:val="0"/>
    <w:pPr>
      <w:adjustRightInd w:val="0"/>
      <w:spacing w:line="240" w:lineRule="atLeast"/>
      <w:ind w:firstLine="0" w:firstLineChars="0"/>
      <w:jc w:val="center"/>
      <w:textAlignment w:val="baseline"/>
    </w:pPr>
    <w:rPr>
      <w:rFonts w:ascii="宋体"/>
      <w:sz w:val="28"/>
    </w:rPr>
  </w:style>
  <w:style w:type="character" w:customStyle="1" w:styleId="94">
    <w:name w:val="Body text + Spacing 0 pt"/>
    <w:qFormat/>
    <w:uiPriority w:val="0"/>
    <w:rPr>
      <w:rFonts w:ascii="MingLiU" w:hAnsi="MingLiU" w:eastAsia="MingLiU" w:cs="MingLiU"/>
      <w:color w:val="000000"/>
      <w:spacing w:val="-10"/>
      <w:w w:val="100"/>
      <w:position w:val="0"/>
      <w:sz w:val="22"/>
      <w:szCs w:val="22"/>
      <w:u w:val="none"/>
      <w:lang w:val="en-US"/>
    </w:rPr>
  </w:style>
  <w:style w:type="paragraph" w:customStyle="1" w:styleId="95">
    <w:name w:val="正文格式"/>
    <w:basedOn w:val="32"/>
    <w:qFormat/>
    <w:uiPriority w:val="0"/>
    <w:pPr>
      <w:spacing w:after="0" w:line="360" w:lineRule="auto"/>
      <w:ind w:firstLine="200" w:firstLineChars="200"/>
    </w:pPr>
    <w:rPr>
      <w:rFonts w:ascii="宋体"/>
      <w:sz w:val="24"/>
    </w:rPr>
  </w:style>
  <w:style w:type="paragraph" w:customStyle="1" w:styleId="96">
    <w:name w:val="报告正文"/>
    <w:basedOn w:val="97"/>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97">
    <w:name w:val="p17"/>
    <w:basedOn w:val="1"/>
    <w:qFormat/>
    <w:uiPriority w:val="0"/>
    <w:pPr>
      <w:widowControl/>
      <w:spacing w:line="320" w:lineRule="exact"/>
      <w:ind w:firstLine="0" w:firstLineChars="0"/>
    </w:pPr>
    <w:rPr>
      <w:rFonts w:ascii="宋体" w:hAnsi="宋体" w:cs="宋体"/>
      <w:sz w:val="21"/>
      <w:szCs w:val="21"/>
    </w:rPr>
  </w:style>
  <w:style w:type="paragraph" w:customStyle="1" w:styleId="98">
    <w:name w:val="标题三A"/>
    <w:basedOn w:val="5"/>
    <w:qFormat/>
    <w:uiPriority w:val="0"/>
    <w:pPr>
      <w:keepNext w:val="0"/>
      <w:keepLines w:val="0"/>
      <w:spacing w:before="0" w:after="0" w:line="500" w:lineRule="exact"/>
    </w:pPr>
    <w:rPr>
      <w:kern w:val="2"/>
      <w:szCs w:val="28"/>
    </w:rPr>
  </w:style>
  <w:style w:type="paragraph" w:customStyle="1" w:styleId="99">
    <w:name w:val="正文!!!!!!!!!!!"/>
    <w:basedOn w:val="100"/>
    <w:qFormat/>
    <w:uiPriority w:val="0"/>
    <w:pPr>
      <w:ind w:firstLine="480"/>
    </w:pPr>
    <w:rPr>
      <w:rFonts w:ascii="华文仿宋" w:hAnsi="华文仿宋" w:eastAsia="华文仿宋" w:cs="华文仿宋"/>
    </w:rPr>
  </w:style>
  <w:style w:type="paragraph" w:customStyle="1" w:styleId="100">
    <w:name w:val="正文 楷体"/>
    <w:basedOn w:val="1"/>
    <w:qFormat/>
    <w:uiPriority w:val="0"/>
    <w:pPr>
      <w:spacing w:line="500" w:lineRule="exact"/>
    </w:pPr>
    <w:rPr>
      <w:rFonts w:ascii="楷体_GB2312" w:hAnsi="楷体_GB2312" w:eastAsia="楷体_GB2312" w:cs="宋体"/>
      <w:kern w:val="2"/>
      <w:szCs w:val="24"/>
    </w:rPr>
  </w:style>
  <w:style w:type="paragraph" w:customStyle="1" w:styleId="101">
    <w:name w:val="表中文字"/>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 w:type="paragraph" w:customStyle="1" w:styleId="102">
    <w:name w:val="三级标题"/>
    <w:basedOn w:val="16"/>
    <w:next w:val="96"/>
    <w:qFormat/>
    <w:uiPriority w:val="0"/>
    <w:pPr>
      <w:spacing w:line="360" w:lineRule="auto"/>
      <w:outlineLvl w:val="2"/>
    </w:pPr>
    <w:rPr>
      <w:b/>
      <w:snapToGrid w:val="0"/>
      <w:sz w:val="24"/>
      <w:szCs w:val="28"/>
    </w:rPr>
  </w:style>
  <w:style w:type="paragraph" w:customStyle="1" w:styleId="103">
    <w:name w:val="Body text|1"/>
    <w:basedOn w:val="1"/>
    <w:qFormat/>
    <w:uiPriority w:val="0"/>
    <w:pPr>
      <w:spacing w:line="408" w:lineRule="auto"/>
      <w:ind w:firstLine="400" w:firstLineChars="0"/>
    </w:pPr>
    <w:rPr>
      <w:rFonts w:ascii="MingLiU" w:hAnsi="MingLiU" w:eastAsia="MingLiU" w:cs="MingLiU"/>
      <w:kern w:val="2"/>
      <w:sz w:val="19"/>
      <w:szCs w:val="19"/>
      <w:lang w:val="zh-TW" w:eastAsia="zh-TW" w:bidi="zh-TW"/>
    </w:rPr>
  </w:style>
  <w:style w:type="paragraph" w:customStyle="1" w:styleId="104">
    <w:name w:val="Table Paragraph"/>
    <w:basedOn w:val="1"/>
    <w:qFormat/>
    <w:uiPriority w:val="1"/>
    <w:pPr>
      <w:autoSpaceDE w:val="0"/>
      <w:autoSpaceDN w:val="0"/>
      <w:spacing w:line="240" w:lineRule="auto"/>
      <w:ind w:firstLine="0" w:firstLineChars="0"/>
      <w:jc w:val="center"/>
    </w:pPr>
    <w:rPr>
      <w:rFonts w:ascii="宋体" w:hAnsi="宋体" w:cs="宋体"/>
      <w:sz w:val="22"/>
      <w:szCs w:val="22"/>
      <w:lang w:val="zh-CN" w:bidi="zh-CN"/>
    </w:rPr>
  </w:style>
  <w:style w:type="paragraph" w:customStyle="1" w:styleId="105">
    <w:name w:val="表格表题"/>
    <w:basedOn w:val="1"/>
    <w:qFormat/>
    <w:uiPriority w:val="0"/>
    <w:pPr>
      <w:autoSpaceDE w:val="0"/>
      <w:autoSpaceDN w:val="0"/>
      <w:adjustRightInd w:val="0"/>
      <w:spacing w:line="480" w:lineRule="atLeast"/>
      <w:ind w:firstLine="0" w:firstLineChars="0"/>
      <w:jc w:val="center"/>
      <w:textAlignment w:val="baseline"/>
    </w:pPr>
    <w:rPr>
      <w:rFonts w:ascii="黑体" w:eastAsia="黑体"/>
      <w:kern w:val="16"/>
      <w:sz w:val="21"/>
      <w:szCs w:val="22"/>
    </w:rPr>
  </w:style>
  <w:style w:type="paragraph" w:customStyle="1" w:styleId="106">
    <w:name w:val="标题四A"/>
    <w:basedOn w:val="1"/>
    <w:qFormat/>
    <w:uiPriority w:val="0"/>
    <w:pPr>
      <w:spacing w:line="500" w:lineRule="exact"/>
      <w:ind w:firstLine="0" w:firstLineChars="0"/>
      <w:outlineLvl w:val="3"/>
    </w:pPr>
    <w:rPr>
      <w:b/>
      <w:szCs w:val="24"/>
    </w:rPr>
  </w:style>
  <w:style w:type="paragraph" w:customStyle="1" w:styleId="107">
    <w:name w:val="标题二A"/>
    <w:basedOn w:val="1"/>
    <w:qFormat/>
    <w:uiPriority w:val="0"/>
    <w:pPr>
      <w:spacing w:before="120" w:after="120" w:line="500" w:lineRule="exact"/>
      <w:ind w:firstLine="0" w:firstLineChars="0"/>
      <w:outlineLvl w:val="1"/>
    </w:pPr>
    <w:rPr>
      <w:rFonts w:cs="楷体_GB2312"/>
      <w:b/>
      <w:bCs/>
      <w:kern w:val="2"/>
      <w:sz w:val="30"/>
      <w:szCs w:val="30"/>
    </w:rPr>
  </w:style>
  <w:style w:type="paragraph" w:customStyle="1" w:styleId="108">
    <w:name w:val="表格"/>
    <w:basedOn w:val="24"/>
    <w:next w:val="1"/>
    <w:link w:val="171"/>
    <w:qFormat/>
    <w:uiPriority w:val="0"/>
    <w:pPr>
      <w:spacing w:beforeLines="50" w:afterLines="50" w:line="360" w:lineRule="auto"/>
      <w:ind w:firstLine="480" w:firstLineChars="200"/>
      <w:jc w:val="center"/>
    </w:pPr>
    <w:rPr>
      <w:rFonts w:ascii="Arial" w:hAnsi="Arial" w:cs="Arial"/>
      <w:szCs w:val="21"/>
    </w:rPr>
  </w:style>
  <w:style w:type="paragraph" w:customStyle="1" w:styleId="109">
    <w:name w:val="表格标题"/>
    <w:basedOn w:val="1"/>
    <w:next w:val="12"/>
    <w:link w:val="173"/>
    <w:qFormat/>
    <w:uiPriority w:val="0"/>
    <w:pPr>
      <w:autoSpaceDE w:val="0"/>
      <w:autoSpaceDN w:val="0"/>
      <w:adjustRightInd w:val="0"/>
      <w:snapToGrid w:val="0"/>
      <w:spacing w:line="320" w:lineRule="exact"/>
      <w:ind w:firstLine="0" w:firstLineChars="0"/>
      <w:jc w:val="center"/>
      <w:textAlignment w:val="baseline"/>
    </w:pPr>
    <w:rPr>
      <w:sz w:val="21"/>
      <w:szCs w:val="22"/>
    </w:rPr>
  </w:style>
  <w:style w:type="paragraph" w:customStyle="1" w:styleId="110">
    <w:name w:val="表后空格"/>
    <w:basedOn w:val="100"/>
    <w:qFormat/>
    <w:uiPriority w:val="0"/>
    <w:pPr>
      <w:spacing w:line="240" w:lineRule="exact"/>
      <w:ind w:firstLine="480"/>
    </w:pPr>
  </w:style>
  <w:style w:type="paragraph" w:customStyle="1" w:styleId="111">
    <w:name w:val="！正文"/>
    <w:basedOn w:val="1"/>
    <w:qFormat/>
    <w:uiPriority w:val="0"/>
    <w:pPr>
      <w:spacing w:line="500" w:lineRule="exact"/>
      <w:ind w:firstLine="0" w:firstLineChars="0"/>
    </w:pPr>
    <w:rPr>
      <w:rFonts w:eastAsia="Times New Roman"/>
      <w:kern w:val="2"/>
      <w:sz w:val="21"/>
      <w:szCs w:val="24"/>
    </w:rPr>
  </w:style>
  <w:style w:type="paragraph" w:customStyle="1" w:styleId="112">
    <w:name w:val="表头"/>
    <w:basedOn w:val="9"/>
    <w:next w:val="1"/>
    <w:qFormat/>
    <w:uiPriority w:val="0"/>
    <w:pPr>
      <w:spacing w:line="500" w:lineRule="exact"/>
      <w:jc w:val="center"/>
    </w:pPr>
    <w:rPr>
      <w:rFonts w:ascii="楷体_GB2312" w:hAnsi="楷体_GB2312" w:eastAsia="楷体_GB2312" w:cs="楷体_GB2312"/>
      <w:b/>
      <w:sz w:val="24"/>
    </w:rPr>
  </w:style>
  <w:style w:type="paragraph" w:customStyle="1" w:styleId="113">
    <w:name w:val="兴化美联正文样式"/>
    <w:basedOn w:val="1"/>
    <w:qFormat/>
    <w:uiPriority w:val="0"/>
    <w:pPr>
      <w:widowControl/>
      <w:spacing w:line="560" w:lineRule="exact"/>
      <w:ind w:firstLine="480"/>
      <w:jc w:val="left"/>
    </w:pPr>
    <w:rPr>
      <w:rFonts w:ascii="宋体" w:hAnsi="宋体" w:cs="宋体"/>
      <w:color w:val="000000"/>
      <w:szCs w:val="24"/>
    </w:rPr>
  </w:style>
  <w:style w:type="paragraph" w:customStyle="1" w:styleId="114">
    <w:name w:val="表格文字样式14"/>
    <w:basedOn w:val="109"/>
    <w:qFormat/>
    <w:uiPriority w:val="0"/>
    <w:pPr>
      <w:overflowPunct w:val="0"/>
      <w:autoSpaceDE/>
      <w:autoSpaceDN/>
      <w:spacing w:line="240" w:lineRule="auto"/>
      <w:textAlignment w:val="auto"/>
    </w:pPr>
    <w:rPr>
      <w:rFonts w:ascii="宋体" w:hAnsi="宋体"/>
      <w:bCs/>
      <w:snapToGrid w:val="0"/>
      <w:szCs w:val="21"/>
    </w:rPr>
  </w:style>
  <w:style w:type="paragraph" w:customStyle="1" w:styleId="115">
    <w:name w:val="正文1"/>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16">
    <w:name w:val="正文-ls"/>
    <w:basedOn w:val="1"/>
    <w:qFormat/>
    <w:uiPriority w:val="0"/>
    <w:rPr>
      <w:rFonts w:hAnsi="宋体" w:cs="宋体"/>
      <w:kern w:val="2"/>
    </w:rPr>
  </w:style>
  <w:style w:type="paragraph" w:customStyle="1" w:styleId="117">
    <w:name w:val="缩进"/>
    <w:basedOn w:val="1"/>
    <w:qFormat/>
    <w:uiPriority w:val="0"/>
    <w:rPr>
      <w:kern w:val="2"/>
      <w:szCs w:val="24"/>
    </w:rPr>
  </w:style>
  <w:style w:type="paragraph" w:customStyle="1" w:styleId="118">
    <w:name w:val="表内字"/>
    <w:basedOn w:val="1"/>
    <w:qFormat/>
    <w:uiPriority w:val="0"/>
    <w:pPr>
      <w:spacing w:line="320" w:lineRule="exact"/>
      <w:ind w:firstLine="0" w:firstLineChars="0"/>
      <w:jc w:val="center"/>
    </w:pPr>
    <w:rPr>
      <w:sz w:val="21"/>
      <w:szCs w:val="24"/>
    </w:rPr>
  </w:style>
  <w:style w:type="paragraph" w:customStyle="1" w:styleId="119">
    <w:name w:val="Body text|2"/>
    <w:basedOn w:val="1"/>
    <w:qFormat/>
    <w:uiPriority w:val="0"/>
    <w:pPr>
      <w:spacing w:after="80" w:line="394" w:lineRule="exact"/>
      <w:ind w:firstLine="480" w:firstLineChars="0"/>
    </w:pPr>
    <w:rPr>
      <w:rFonts w:eastAsia="Times New Roman"/>
      <w:b/>
      <w:bCs/>
      <w:color w:val="000000"/>
      <w:kern w:val="2"/>
      <w:sz w:val="19"/>
      <w:szCs w:val="19"/>
    </w:rPr>
  </w:style>
  <w:style w:type="paragraph" w:customStyle="1" w:styleId="120">
    <w:name w:val="标题四"/>
    <w:next w:val="111"/>
    <w:qFormat/>
    <w:uiPriority w:val="0"/>
    <w:pPr>
      <w:numPr>
        <w:ilvl w:val="3"/>
        <w:numId w:val="1"/>
      </w:numPr>
      <w:spacing w:line="360" w:lineRule="auto"/>
      <w:jc w:val="both"/>
      <w:outlineLvl w:val="3"/>
    </w:pPr>
    <w:rPr>
      <w:rFonts w:ascii="宋体" w:hAnsi="Calibri" w:eastAsia="宋体" w:cs="宋体"/>
      <w:b/>
      <w:kern w:val="2"/>
      <w:sz w:val="24"/>
      <w:szCs w:val="24"/>
      <w:lang w:val="en-US" w:eastAsia="zh-CN" w:bidi="ar-SA"/>
    </w:rPr>
  </w:style>
  <w:style w:type="paragraph" w:customStyle="1" w:styleId="121">
    <w:name w:val="样式 正文首行缩进 + 首行缩进:  2 字符1"/>
    <w:basedOn w:val="32"/>
    <w:qFormat/>
    <w:uiPriority w:val="0"/>
    <w:pPr>
      <w:spacing w:after="0" w:line="360" w:lineRule="auto"/>
      <w:ind w:firstLine="480" w:firstLineChars="200"/>
    </w:pPr>
    <w:rPr>
      <w:sz w:val="24"/>
    </w:rPr>
  </w:style>
  <w:style w:type="paragraph" w:customStyle="1" w:styleId="122">
    <w:name w:val="农贸市场表格表头"/>
    <w:basedOn w:val="1"/>
    <w:qFormat/>
    <w:uiPriority w:val="0"/>
    <w:pPr>
      <w:spacing w:line="240" w:lineRule="auto"/>
      <w:ind w:firstLine="0" w:firstLineChars="0"/>
      <w:jc w:val="center"/>
    </w:pPr>
    <w:rPr>
      <w:rFonts w:ascii="宋体" w:hAnsi="宋体" w:cs="仿宋_GB2312"/>
      <w:b/>
      <w:sz w:val="21"/>
      <w:szCs w:val="21"/>
    </w:rPr>
  </w:style>
  <w:style w:type="paragraph" w:customStyle="1" w:styleId="123">
    <w:name w:val="表格文字"/>
    <w:basedOn w:val="12"/>
    <w:next w:val="1"/>
    <w:qFormat/>
    <w:uiPriority w:val="0"/>
    <w:pPr>
      <w:widowControl w:val="0"/>
      <w:tabs>
        <w:tab w:val="left" w:pos="1119"/>
      </w:tabs>
      <w:spacing w:after="0"/>
      <w:ind w:left="-90" w:leftChars="-43"/>
    </w:pPr>
    <w:rPr>
      <w:snapToGrid w:val="0"/>
      <w:color w:val="000000"/>
      <w:sz w:val="18"/>
      <w:szCs w:val="18"/>
      <w:lang w:eastAsia="zh-CN" w:bidi="ar-SA"/>
    </w:rPr>
  </w:style>
  <w:style w:type="paragraph" w:customStyle="1" w:styleId="124">
    <w:name w:val="表头标题格式"/>
    <w:basedOn w:val="1"/>
    <w:qFormat/>
    <w:uiPriority w:val="0"/>
    <w:pPr>
      <w:tabs>
        <w:tab w:val="left" w:pos="360"/>
        <w:tab w:val="left" w:pos="1620"/>
      </w:tabs>
      <w:ind w:firstLine="0" w:firstLineChars="0"/>
      <w:jc w:val="center"/>
    </w:pPr>
    <w:rPr>
      <w:rFonts w:ascii="黑体" w:hAnsi="宋体" w:eastAsia="黑体" w:cs="宋体"/>
      <w:b/>
      <w:bCs/>
      <w:kern w:val="2"/>
    </w:rPr>
  </w:style>
  <w:style w:type="paragraph" w:customStyle="1" w:styleId="125">
    <w:name w:val="样式 表格标题 + 段前: 0.5 行2"/>
    <w:basedOn w:val="1"/>
    <w:qFormat/>
    <w:uiPriority w:val="0"/>
    <w:pPr>
      <w:autoSpaceDE w:val="0"/>
      <w:autoSpaceDN w:val="0"/>
      <w:adjustRightInd w:val="0"/>
      <w:spacing w:beforeLines="50" w:line="400" w:lineRule="exact"/>
      <w:ind w:firstLine="0" w:firstLineChars="0"/>
      <w:jc w:val="center"/>
    </w:pPr>
    <w:rPr>
      <w:rFonts w:ascii="宋体" w:eastAsia="黑体" w:cs="宋体"/>
      <w:kern w:val="2"/>
      <w:lang w:val="zh-CN"/>
    </w:rPr>
  </w:style>
  <w:style w:type="paragraph" w:customStyle="1" w:styleId="126">
    <w:name w:val="样式 正文缩进正文缩进2正文缩进 Char Char正文缩进 Char Char Char Char正文缩进 Char ..."/>
    <w:basedOn w:val="9"/>
    <w:qFormat/>
    <w:uiPriority w:val="0"/>
    <w:pPr>
      <w:spacing w:line="360" w:lineRule="auto"/>
      <w:ind w:firstLine="200"/>
    </w:pPr>
    <w:rPr>
      <w:rFonts w:cs="宋体"/>
      <w:sz w:val="24"/>
    </w:rPr>
  </w:style>
  <w:style w:type="paragraph" w:styleId="127">
    <w:name w:val="List Paragraph"/>
    <w:basedOn w:val="1"/>
    <w:next w:val="16"/>
    <w:qFormat/>
    <w:uiPriority w:val="99"/>
    <w:pPr>
      <w:spacing w:line="320" w:lineRule="exact"/>
      <w:ind w:firstLine="0" w:firstLineChars="0"/>
    </w:pPr>
    <w:rPr>
      <w:kern w:val="2"/>
      <w:sz w:val="21"/>
    </w:rPr>
  </w:style>
  <w:style w:type="paragraph" w:customStyle="1" w:styleId="128">
    <w:name w:val="表文字"/>
    <w:basedOn w:val="1"/>
    <w:qFormat/>
    <w:uiPriority w:val="0"/>
    <w:pPr>
      <w:overflowPunct w:val="0"/>
      <w:autoSpaceDE w:val="0"/>
      <w:autoSpaceDN w:val="0"/>
      <w:adjustRightInd w:val="0"/>
      <w:spacing w:line="240" w:lineRule="atLeast"/>
      <w:ind w:firstLine="0" w:firstLineChars="0"/>
      <w:jc w:val="center"/>
      <w:textAlignment w:val="baseline"/>
    </w:pPr>
    <w:rPr>
      <w:szCs w:val="22"/>
    </w:rPr>
  </w:style>
  <w:style w:type="paragraph" w:customStyle="1" w:styleId="129">
    <w:name w:val="正文部分"/>
    <w:semiHidden/>
    <w:qFormat/>
    <w:uiPriority w:val="0"/>
    <w:pPr>
      <w:widowControl w:val="0"/>
      <w:ind w:firstLine="200" w:firstLineChars="200"/>
      <w:jc w:val="both"/>
    </w:pPr>
    <w:rPr>
      <w:rFonts w:ascii="宋体" w:hAnsi="宋体" w:eastAsia="宋体" w:cs="Times New Roman"/>
      <w:sz w:val="24"/>
      <w:szCs w:val="24"/>
      <w:lang w:val="en-US" w:eastAsia="zh-CN" w:bidi="ar-SA"/>
    </w:rPr>
  </w:style>
  <w:style w:type="paragraph" w:customStyle="1" w:styleId="130">
    <w:name w:val="标题一A"/>
    <w:basedOn w:val="1"/>
    <w:qFormat/>
    <w:uiPriority w:val="0"/>
    <w:pPr>
      <w:widowControl/>
      <w:spacing w:line="480" w:lineRule="auto"/>
      <w:ind w:firstLine="0" w:firstLineChars="0"/>
      <w:jc w:val="center"/>
      <w:outlineLvl w:val="0"/>
    </w:pPr>
    <w:rPr>
      <w:b/>
      <w:kern w:val="2"/>
      <w:sz w:val="32"/>
      <w:szCs w:val="32"/>
    </w:rPr>
  </w:style>
  <w:style w:type="paragraph" w:customStyle="1" w:styleId="131">
    <w:name w:val="表头A"/>
    <w:basedOn w:val="112"/>
    <w:qFormat/>
    <w:uiPriority w:val="0"/>
    <w:pPr>
      <w:spacing w:line="400" w:lineRule="exact"/>
    </w:pPr>
    <w:rPr>
      <w:rFonts w:ascii="Times New Roman" w:hAnsi="Times New Roman" w:eastAsia="宋体" w:cs="Times New Roman"/>
    </w:rPr>
  </w:style>
  <w:style w:type="paragraph" w:customStyle="1" w:styleId="132">
    <w:name w:val="二级标题"/>
    <w:basedOn w:val="16"/>
    <w:qFormat/>
    <w:uiPriority w:val="0"/>
    <w:pPr>
      <w:spacing w:before="100" w:beforeAutospacing="1" w:after="100" w:afterAutospacing="1"/>
      <w:outlineLvl w:val="1"/>
    </w:pPr>
    <w:rPr>
      <w:b/>
      <w:snapToGrid w:val="0"/>
      <w:szCs w:val="28"/>
    </w:rPr>
  </w:style>
  <w:style w:type="paragraph" w:customStyle="1" w:styleId="133">
    <w:name w:val="6-表中文字"/>
    <w:basedOn w:val="1"/>
    <w:qFormat/>
    <w:uiPriority w:val="0"/>
    <w:pPr>
      <w:adjustRightInd w:val="0"/>
      <w:snapToGrid w:val="0"/>
      <w:spacing w:line="240" w:lineRule="auto"/>
      <w:ind w:firstLine="0" w:firstLineChars="0"/>
      <w:jc w:val="center"/>
      <w:textAlignment w:val="center"/>
    </w:pPr>
    <w:rPr>
      <w:rFonts w:eastAsia="华文中宋"/>
      <w:sz w:val="21"/>
      <w:szCs w:val="21"/>
    </w:rPr>
  </w:style>
  <w:style w:type="paragraph" w:customStyle="1" w:styleId="134">
    <w:name w:val="表格标题 五号"/>
    <w:basedOn w:val="125"/>
    <w:qFormat/>
    <w:uiPriority w:val="0"/>
    <w:pPr>
      <w:spacing w:beforeLines="0" w:after="120"/>
    </w:pPr>
    <w:rPr>
      <w:rFonts w:eastAsia="宋体"/>
      <w:b/>
      <w:snapToGrid w:val="0"/>
      <w:sz w:val="21"/>
    </w:rPr>
  </w:style>
  <w:style w:type="paragraph" w:customStyle="1" w:styleId="135">
    <w:name w:val="Body text|221"/>
    <w:basedOn w:val="1"/>
    <w:qFormat/>
    <w:uiPriority w:val="0"/>
    <w:pPr>
      <w:shd w:val="clear" w:color="auto" w:fill="FFFFFF"/>
      <w:spacing w:before="240" w:line="451" w:lineRule="exact"/>
      <w:ind w:hanging="620" w:firstLineChars="0"/>
      <w:jc w:val="distribute"/>
    </w:pPr>
    <w:rPr>
      <w:rFonts w:ascii="PMingLiU" w:hAnsi="PMingLiU" w:eastAsia="PMingLiU" w:cs="PMingLiU"/>
      <w:spacing w:val="10"/>
      <w:kern w:val="2"/>
      <w:sz w:val="22"/>
      <w:szCs w:val="22"/>
    </w:rPr>
  </w:style>
  <w:style w:type="paragraph" w:customStyle="1" w:styleId="136">
    <w:name w:val="正文邓"/>
    <w:basedOn w:val="137"/>
    <w:qFormat/>
    <w:uiPriority w:val="0"/>
    <w:pPr>
      <w:adjustRightInd w:val="0"/>
      <w:ind w:firstLine="600" w:firstLineChars="250"/>
    </w:pPr>
    <w:rPr>
      <w:rFonts w:ascii="仿宋" w:hAnsi="仿宋" w:eastAsia="仿宋"/>
      <w:bCs/>
      <w:kern w:val="0"/>
    </w:rPr>
  </w:style>
  <w:style w:type="paragraph" w:customStyle="1" w:styleId="137">
    <w:name w:val="邓正文"/>
    <w:basedOn w:val="1"/>
    <w:qFormat/>
    <w:uiPriority w:val="0"/>
    <w:pPr>
      <w:snapToGrid w:val="0"/>
      <w:ind w:firstLine="360" w:firstLineChars="150"/>
      <w:jc w:val="left"/>
    </w:pPr>
    <w:rPr>
      <w:rFonts w:ascii="宋体" w:hAnsi="宋体" w:eastAsia="仿宋_GB2312"/>
      <w:color w:val="000000"/>
      <w:kern w:val="2"/>
      <w:szCs w:val="24"/>
    </w:rPr>
  </w:style>
  <w:style w:type="paragraph" w:customStyle="1" w:styleId="138">
    <w:name w:val="邓表格文字"/>
    <w:basedOn w:val="139"/>
    <w:qFormat/>
    <w:uiPriority w:val="0"/>
    <w:pPr>
      <w:spacing w:line="220" w:lineRule="exact"/>
    </w:pPr>
    <w:rPr>
      <w:rFonts w:eastAsia="宋体"/>
      <w:kern w:val="0"/>
      <w:sz w:val="15"/>
      <w:szCs w:val="15"/>
    </w:rPr>
  </w:style>
  <w:style w:type="paragraph" w:customStyle="1" w:styleId="139">
    <w:name w:val="表格文字邓"/>
    <w:basedOn w:val="1"/>
    <w:qFormat/>
    <w:uiPriority w:val="0"/>
    <w:pPr>
      <w:widowControl/>
      <w:snapToGrid w:val="0"/>
      <w:spacing w:line="200" w:lineRule="exact"/>
      <w:ind w:firstLine="0" w:firstLineChars="0"/>
      <w:jc w:val="center"/>
    </w:pPr>
    <w:rPr>
      <w:rFonts w:ascii="宋体" w:hAnsi="宋体" w:eastAsia="华文中宋"/>
      <w:color w:val="000000"/>
      <w:kern w:val="2"/>
      <w:sz w:val="18"/>
      <w:szCs w:val="18"/>
    </w:rPr>
  </w:style>
  <w:style w:type="paragraph" w:customStyle="1" w:styleId="140">
    <w:name w:val="付正文"/>
    <w:basedOn w:val="1"/>
    <w:semiHidden/>
    <w:qFormat/>
    <w:uiPriority w:val="0"/>
    <w:rPr>
      <w:rFonts w:ascii="宋体"/>
      <w:color w:val="000000"/>
      <w:kern w:val="2"/>
      <w:szCs w:val="21"/>
    </w:rPr>
  </w:style>
  <w:style w:type="paragraph" w:customStyle="1" w:styleId="141">
    <w:name w:val="我"/>
    <w:basedOn w:val="1"/>
    <w:qFormat/>
    <w:uiPriority w:val="0"/>
    <w:pPr>
      <w:spacing w:line="320" w:lineRule="exact"/>
      <w:ind w:firstLine="640" w:firstLineChars="0"/>
    </w:pPr>
    <w:rPr>
      <w:sz w:val="21"/>
    </w:rPr>
  </w:style>
  <w:style w:type="paragraph" w:customStyle="1" w:styleId="142">
    <w:name w:val="正文小四首缩1.3行距"/>
    <w:basedOn w:val="1"/>
    <w:qFormat/>
    <w:uiPriority w:val="0"/>
    <w:rPr>
      <w:rFonts w:ascii="宋体" w:hAnsi="宋体" w:cs="宋体"/>
      <w:kern w:val="2"/>
      <w:szCs w:val="22"/>
    </w:rPr>
  </w:style>
  <w:style w:type="paragraph" w:customStyle="1" w:styleId="143">
    <w:name w:val="表格内容"/>
    <w:basedOn w:val="9"/>
    <w:qFormat/>
    <w:uiPriority w:val="0"/>
    <w:pPr>
      <w:ind w:firstLine="0"/>
      <w:jc w:val="center"/>
    </w:pPr>
    <w:rPr>
      <w:sz w:val="18"/>
      <w:szCs w:val="20"/>
    </w:rPr>
  </w:style>
  <w:style w:type="paragraph" w:customStyle="1" w:styleId="144">
    <w:name w:val="样式 样式 报告正文 + 宋体 五号 黑色 + 五号"/>
    <w:basedOn w:val="1"/>
    <w:link w:val="149"/>
    <w:qFormat/>
    <w:uiPriority w:val="0"/>
    <w:pPr>
      <w:adjustRightInd w:val="0"/>
      <w:snapToGrid w:val="0"/>
      <w:spacing w:line="500" w:lineRule="exact"/>
    </w:pPr>
    <w:rPr>
      <w:b/>
      <w:bCs/>
      <w:color w:val="000000"/>
      <w:kern w:val="2"/>
      <w:sz w:val="21"/>
      <w:szCs w:val="22"/>
    </w:rPr>
  </w:style>
  <w:style w:type="paragraph" w:customStyle="1" w:styleId="145">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character" w:customStyle="1" w:styleId="146">
    <w:name w:val="纯文本 字符1"/>
    <w:qFormat/>
    <w:uiPriority w:val="0"/>
    <w:rPr>
      <w:rFonts w:hint="eastAsia" w:ascii="宋体" w:hAnsi="Courier New" w:eastAsia="宋体" w:cs="宋体"/>
      <w:sz w:val="28"/>
    </w:rPr>
  </w:style>
  <w:style w:type="paragraph" w:customStyle="1" w:styleId="147">
    <w:name w:val="样式 标题 1标题 1 Char标1 + 段前: 0.5 行 段后: 0.5 行1"/>
    <w:basedOn w:val="3"/>
    <w:semiHidden/>
    <w:qFormat/>
    <w:uiPriority w:val="0"/>
    <w:pPr>
      <w:keepLines w:val="0"/>
      <w:autoSpaceDE w:val="0"/>
      <w:autoSpaceDN w:val="0"/>
      <w:adjustRightInd w:val="0"/>
      <w:spacing w:beforeLines="50" w:afterLines="50" w:line="240" w:lineRule="auto"/>
      <w:ind w:left="153" w:leftChars="153" w:firstLine="50" w:firstLineChars="50"/>
      <w:textAlignment w:val="bottom"/>
    </w:pPr>
    <w:rPr>
      <w:rFonts w:ascii="黑体" w:hAnsi="Arial" w:eastAsia="黑体" w:cs="宋体"/>
      <w:b w:val="0"/>
      <w:bCs w:val="0"/>
      <w:kern w:val="0"/>
      <w:sz w:val="28"/>
      <w:szCs w:val="20"/>
      <w:lang w:val="zh-CN"/>
    </w:rPr>
  </w:style>
  <w:style w:type="paragraph" w:customStyle="1" w:styleId="148">
    <w:name w:val="xl63"/>
    <w:basedOn w:val="1"/>
    <w:qFormat/>
    <w:uiPriority w:val="0"/>
    <w:pPr>
      <w:widowControl/>
      <w:pBdr>
        <w:top w:val="single" w:color="auto" w:sz="8" w:space="0"/>
      </w:pBdr>
      <w:spacing w:before="100" w:after="100" w:line="240" w:lineRule="auto"/>
      <w:ind w:firstLine="0" w:firstLineChars="0"/>
      <w:jc w:val="center"/>
      <w:textAlignment w:val="top"/>
    </w:pPr>
    <w:rPr>
      <w:rFonts w:ascii="宋体"/>
    </w:rPr>
  </w:style>
  <w:style w:type="character" w:customStyle="1" w:styleId="149">
    <w:name w:val="样式 样式 报告正文 + 宋体 五号 黑色 + 五号 Char"/>
    <w:link w:val="144"/>
    <w:qFormat/>
    <w:uiPriority w:val="0"/>
    <w:rPr>
      <w:b/>
      <w:bCs/>
      <w:color w:val="000000"/>
      <w:szCs w:val="22"/>
    </w:rPr>
  </w:style>
  <w:style w:type="paragraph" w:customStyle="1" w:styleId="150">
    <w:name w:val="样式 (西文) Times New Roman (中文) 黑体 居中 行距: 1.5 倍行距"/>
    <w:basedOn w:val="1"/>
    <w:qFormat/>
    <w:uiPriority w:val="0"/>
    <w:pPr>
      <w:ind w:firstLine="0" w:firstLineChars="0"/>
      <w:jc w:val="center"/>
    </w:pPr>
    <w:rPr>
      <w:rFonts w:eastAsia="黑体" w:cs="宋体"/>
    </w:rPr>
  </w:style>
  <w:style w:type="paragraph" w:customStyle="1" w:styleId="151">
    <w:name w:val="样式 标题 3 + 黑体 小四 行距: 多倍行距 3 字行"/>
    <w:basedOn w:val="5"/>
    <w:qFormat/>
    <w:uiPriority w:val="0"/>
    <w:pPr>
      <w:keepLines w:val="0"/>
      <w:tabs>
        <w:tab w:val="left" w:pos="3600"/>
      </w:tabs>
      <w:spacing w:before="0" w:after="0" w:line="720" w:lineRule="auto"/>
      <w:textAlignment w:val="center"/>
    </w:pPr>
    <w:rPr>
      <w:rFonts w:ascii="黑体" w:hAnsi="宋体" w:eastAsia="黑体" w:cs="宋体"/>
      <w:b w:val="0"/>
      <w:bCs w:val="0"/>
      <w:sz w:val="24"/>
      <w:szCs w:val="20"/>
    </w:rPr>
  </w:style>
  <w:style w:type="paragraph" w:customStyle="1" w:styleId="152">
    <w:name w:val="样式 标题 4 + (西文) Times New Roman 行距: 固定值 25 磅"/>
    <w:basedOn w:val="6"/>
    <w:qFormat/>
    <w:uiPriority w:val="0"/>
    <w:pPr>
      <w:keepNext w:val="0"/>
      <w:tabs>
        <w:tab w:val="left" w:pos="851"/>
      </w:tabs>
      <w:spacing w:before="0" w:after="0"/>
      <w:ind w:left="851" w:hanging="851" w:firstLineChars="0"/>
    </w:pPr>
    <w:rPr>
      <w:rFonts w:eastAsia="黑体" w:cs="宋体"/>
      <w:b w:val="0"/>
      <w:bCs w:val="0"/>
      <w:snapToGrid w:val="0"/>
      <w:szCs w:val="24"/>
    </w:rPr>
  </w:style>
  <w:style w:type="paragraph" w:customStyle="1" w:styleId="153">
    <w:name w:val="列出段落1"/>
    <w:basedOn w:val="1"/>
    <w:qFormat/>
    <w:uiPriority w:val="99"/>
    <w:pPr>
      <w:spacing w:line="240" w:lineRule="auto"/>
      <w:ind w:firstLine="420"/>
    </w:pPr>
    <w:rPr>
      <w:rFonts w:ascii="Calibri" w:hAnsi="Calibri"/>
      <w:sz w:val="28"/>
      <w:szCs w:val="22"/>
    </w:rPr>
  </w:style>
  <w:style w:type="character" w:customStyle="1" w:styleId="154">
    <w:name w:val="0-正文 Char"/>
    <w:link w:val="155"/>
    <w:qFormat/>
    <w:uiPriority w:val="0"/>
    <w:rPr>
      <w:sz w:val="24"/>
    </w:rPr>
  </w:style>
  <w:style w:type="paragraph" w:customStyle="1" w:styleId="155">
    <w:name w:val="0-正文"/>
    <w:link w:val="154"/>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character" w:customStyle="1" w:styleId="156">
    <w:name w:val="题注 字符"/>
    <w:link w:val="10"/>
    <w:qFormat/>
    <w:uiPriority w:val="35"/>
    <w:rPr>
      <w:rFonts w:cstheme="majorBidi"/>
      <w:b/>
      <w:sz w:val="21"/>
    </w:rPr>
  </w:style>
  <w:style w:type="character" w:customStyle="1" w:styleId="157">
    <w:name w:val="HTML 预设格式 字符1"/>
    <w:link w:val="30"/>
    <w:qFormat/>
    <w:uiPriority w:val="0"/>
    <w:rPr>
      <w:rFonts w:ascii="Arial" w:hAnsi="Arial" w:cs="Arial"/>
      <w:sz w:val="24"/>
      <w:szCs w:val="24"/>
    </w:rPr>
  </w:style>
  <w:style w:type="character" w:customStyle="1" w:styleId="158">
    <w:name w:val="HTML 预设格式 字符"/>
    <w:basedOn w:val="36"/>
    <w:semiHidden/>
    <w:qFormat/>
    <w:uiPriority w:val="99"/>
    <w:rPr>
      <w:rFonts w:ascii="Courier New" w:hAnsi="Courier New" w:cs="Courier New"/>
    </w:rPr>
  </w:style>
  <w:style w:type="character" w:customStyle="1" w:styleId="159">
    <w:name w:val="正文1 Char1"/>
    <w:link w:val="160"/>
    <w:qFormat/>
    <w:uiPriority w:val="0"/>
    <w:rPr>
      <w:rFonts w:ascii="宋体" w:eastAsia="Times New Roman"/>
      <w:sz w:val="24"/>
    </w:rPr>
  </w:style>
  <w:style w:type="paragraph" w:customStyle="1" w:styleId="160">
    <w:name w:val="正文11"/>
    <w:link w:val="159"/>
    <w:qFormat/>
    <w:uiPriority w:val="0"/>
    <w:pPr>
      <w:widowControl w:val="0"/>
      <w:tabs>
        <w:tab w:val="left" w:pos="567"/>
      </w:tabs>
      <w:adjustRightInd w:val="0"/>
      <w:spacing w:line="360" w:lineRule="atLeast"/>
      <w:ind w:left="567" w:hanging="567"/>
      <w:textAlignment w:val="baseline"/>
    </w:pPr>
    <w:rPr>
      <w:rFonts w:ascii="宋体" w:hAnsi="Times New Roman" w:eastAsia="Times New Roman" w:cs="Times New Roman"/>
      <w:sz w:val="24"/>
      <w:lang w:val="en-US" w:eastAsia="zh-CN" w:bidi="ar-SA"/>
    </w:rPr>
  </w:style>
  <w:style w:type="character" w:customStyle="1" w:styleId="161">
    <w:name w:val="⑤-图表标题 Char"/>
    <w:link w:val="162"/>
    <w:qFormat/>
    <w:uiPriority w:val="0"/>
    <w:rPr>
      <w:rFonts w:cs="Chicago"/>
      <w:b/>
      <w:sz w:val="24"/>
      <w:szCs w:val="21"/>
      <w:lang w:val="zh-CN"/>
    </w:rPr>
  </w:style>
  <w:style w:type="paragraph" w:customStyle="1" w:styleId="162">
    <w:name w:val="⑤-图表标题"/>
    <w:basedOn w:val="1"/>
    <w:link w:val="161"/>
    <w:qFormat/>
    <w:uiPriority w:val="0"/>
    <w:pPr>
      <w:widowControl/>
      <w:tabs>
        <w:tab w:val="left" w:pos="903"/>
      </w:tabs>
      <w:ind w:firstLine="0" w:firstLineChars="0"/>
      <w:jc w:val="center"/>
      <w:outlineLvl w:val="1"/>
    </w:pPr>
    <w:rPr>
      <w:rFonts w:cs="Chicago"/>
      <w:b/>
      <w:szCs w:val="21"/>
      <w:lang w:val="zh-CN"/>
    </w:rPr>
  </w:style>
  <w:style w:type="paragraph" w:customStyle="1" w:styleId="163">
    <w:name w:val="TOC Heading"/>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164">
    <w:name w:val="Unresolved Mention"/>
    <w:basedOn w:val="36"/>
    <w:semiHidden/>
    <w:unhideWhenUsed/>
    <w:qFormat/>
    <w:uiPriority w:val="99"/>
    <w:rPr>
      <w:color w:val="605E5C"/>
      <w:shd w:val="clear" w:color="auto" w:fill="E1DFDD"/>
    </w:rPr>
  </w:style>
  <w:style w:type="paragraph" w:customStyle="1" w:styleId="165">
    <w:name w:val="⑥-表文"/>
    <w:basedOn w:val="1"/>
    <w:link w:val="166"/>
    <w:qFormat/>
    <w:uiPriority w:val="0"/>
    <w:pPr>
      <w:spacing w:line="240" w:lineRule="auto"/>
      <w:ind w:firstLine="0" w:firstLineChars="0"/>
      <w:jc w:val="center"/>
    </w:pPr>
    <w:rPr>
      <w:kern w:val="2"/>
      <w:sz w:val="21"/>
      <w:lang w:val="zh-CN"/>
    </w:rPr>
  </w:style>
  <w:style w:type="character" w:customStyle="1" w:styleId="166">
    <w:name w:val="⑥-表文 Char"/>
    <w:link w:val="165"/>
    <w:qFormat/>
    <w:uiPriority w:val="0"/>
    <w:rPr>
      <w:kern w:val="2"/>
      <w:sz w:val="21"/>
      <w:lang w:val="zh-CN"/>
    </w:rPr>
  </w:style>
  <w:style w:type="character" w:customStyle="1" w:styleId="167">
    <w:name w:val="正文文本_"/>
    <w:basedOn w:val="36"/>
    <w:link w:val="168"/>
    <w:qFormat/>
    <w:uiPriority w:val="0"/>
    <w:rPr>
      <w:rFonts w:ascii="宋体" w:hAnsi="宋体" w:cs="宋体"/>
      <w:sz w:val="22"/>
      <w:szCs w:val="22"/>
    </w:rPr>
  </w:style>
  <w:style w:type="paragraph" w:customStyle="1" w:styleId="168">
    <w:name w:val="正文文本1"/>
    <w:basedOn w:val="1"/>
    <w:link w:val="167"/>
    <w:qFormat/>
    <w:uiPriority w:val="0"/>
    <w:pPr>
      <w:spacing w:line="427" w:lineRule="auto"/>
      <w:ind w:firstLine="400" w:firstLineChars="0"/>
      <w:jc w:val="left"/>
    </w:pPr>
    <w:rPr>
      <w:rFonts w:ascii="宋体" w:hAnsi="宋体" w:cs="宋体"/>
      <w:sz w:val="22"/>
      <w:szCs w:val="22"/>
    </w:rPr>
  </w:style>
  <w:style w:type="character" w:customStyle="1" w:styleId="169">
    <w:name w:val="页眉或页脚_"/>
    <w:basedOn w:val="36"/>
    <w:link w:val="170"/>
    <w:qFormat/>
    <w:uiPriority w:val="0"/>
    <w:rPr>
      <w:rFonts w:ascii="宋体" w:hAnsi="宋体" w:cs="宋体"/>
      <w:sz w:val="18"/>
      <w:szCs w:val="18"/>
    </w:rPr>
  </w:style>
  <w:style w:type="paragraph" w:customStyle="1" w:styleId="170">
    <w:name w:val="页眉或页脚"/>
    <w:basedOn w:val="1"/>
    <w:link w:val="169"/>
    <w:qFormat/>
    <w:uiPriority w:val="0"/>
    <w:pPr>
      <w:spacing w:line="240" w:lineRule="auto"/>
      <w:ind w:firstLine="0" w:firstLineChars="0"/>
      <w:jc w:val="left"/>
    </w:pPr>
    <w:rPr>
      <w:rFonts w:ascii="宋体" w:hAnsi="宋体" w:cs="宋体"/>
      <w:sz w:val="18"/>
      <w:szCs w:val="18"/>
    </w:rPr>
  </w:style>
  <w:style w:type="character" w:customStyle="1" w:styleId="171">
    <w:name w:val="表格 Char"/>
    <w:link w:val="108"/>
    <w:qFormat/>
    <w:uiPriority w:val="0"/>
    <w:rPr>
      <w:rFonts w:ascii="Arial" w:hAnsi="Arial" w:cs="Arial"/>
      <w:kern w:val="2"/>
      <w:sz w:val="21"/>
      <w:szCs w:val="21"/>
    </w:rPr>
  </w:style>
  <w:style w:type="character" w:customStyle="1" w:styleId="172">
    <w:name w:val="正文A Char"/>
    <w:link w:val="49"/>
    <w:qFormat/>
    <w:uiPriority w:val="0"/>
    <w:rPr>
      <w:rFonts w:ascii="华文仿宋" w:hAnsi="华文仿宋" w:eastAsia="华文仿宋" w:cs="华文仿宋"/>
      <w:kern w:val="2"/>
      <w:sz w:val="24"/>
      <w:szCs w:val="24"/>
    </w:rPr>
  </w:style>
  <w:style w:type="character" w:customStyle="1" w:styleId="173">
    <w:name w:val="表格标题_"/>
    <w:basedOn w:val="36"/>
    <w:link w:val="109"/>
    <w:qFormat/>
    <w:uiPriority w:val="0"/>
    <w:rPr>
      <w:sz w:val="21"/>
      <w:szCs w:val="22"/>
    </w:rPr>
  </w:style>
  <w:style w:type="character" w:customStyle="1" w:styleId="174">
    <w:name w:val="其他_"/>
    <w:basedOn w:val="36"/>
    <w:link w:val="175"/>
    <w:qFormat/>
    <w:uiPriority w:val="0"/>
    <w:rPr>
      <w:rFonts w:ascii="宋体" w:hAnsi="宋体" w:cs="宋体"/>
    </w:rPr>
  </w:style>
  <w:style w:type="paragraph" w:customStyle="1" w:styleId="175">
    <w:name w:val="其他"/>
    <w:basedOn w:val="1"/>
    <w:link w:val="174"/>
    <w:qFormat/>
    <w:uiPriority w:val="0"/>
    <w:pPr>
      <w:spacing w:line="269" w:lineRule="exact"/>
      <w:ind w:firstLine="0" w:firstLineChars="0"/>
      <w:jc w:val="left"/>
    </w:pPr>
    <w:rPr>
      <w:rFonts w:ascii="宋体" w:hAnsi="宋体" w:cs="宋体"/>
      <w:sz w:val="20"/>
    </w:rPr>
  </w:style>
  <w:style w:type="table" w:customStyle="1" w:styleId="17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2.xml"/><Relationship Id="rId89" Type="http://schemas.openxmlformats.org/officeDocument/2006/relationships/image" Target="media/image44.png"/><Relationship Id="rId88" Type="http://schemas.openxmlformats.org/officeDocument/2006/relationships/image" Target="media/image43.png"/><Relationship Id="rId87" Type="http://schemas.openxmlformats.org/officeDocument/2006/relationships/image" Target="media/image42.wmf"/><Relationship Id="rId86" Type="http://schemas.openxmlformats.org/officeDocument/2006/relationships/oleObject" Target="embeddings/oleObject15.bin"/><Relationship Id="rId85" Type="http://schemas.openxmlformats.org/officeDocument/2006/relationships/image" Target="media/image41.png"/><Relationship Id="rId84" Type="http://schemas.openxmlformats.org/officeDocument/2006/relationships/image" Target="media/image40.jpeg"/><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image" Target="media/image37.wmf"/><Relationship Id="rId80" Type="http://schemas.openxmlformats.org/officeDocument/2006/relationships/oleObject" Target="embeddings/oleObject14.bin"/><Relationship Id="rId8" Type="http://schemas.openxmlformats.org/officeDocument/2006/relationships/footer" Target="footer1.xml"/><Relationship Id="rId79" Type="http://schemas.openxmlformats.org/officeDocument/2006/relationships/image" Target="media/image36.wmf"/><Relationship Id="rId78" Type="http://schemas.openxmlformats.org/officeDocument/2006/relationships/image" Target="media/image35.wmf"/><Relationship Id="rId77" Type="http://schemas.openxmlformats.org/officeDocument/2006/relationships/image" Target="media/image34.wmf"/><Relationship Id="rId76" Type="http://schemas.openxmlformats.org/officeDocument/2006/relationships/image" Target="media/image33.wmf"/><Relationship Id="rId75" Type="http://schemas.openxmlformats.org/officeDocument/2006/relationships/image" Target="media/image32.wmf"/><Relationship Id="rId74" Type="http://schemas.openxmlformats.org/officeDocument/2006/relationships/image" Target="media/image31.wmf"/><Relationship Id="rId73" Type="http://schemas.openxmlformats.org/officeDocument/2006/relationships/image" Target="media/image30.wmf"/><Relationship Id="rId72" Type="http://schemas.openxmlformats.org/officeDocument/2006/relationships/image" Target="media/image29.wmf"/><Relationship Id="rId71" Type="http://schemas.openxmlformats.org/officeDocument/2006/relationships/image" Target="media/image28.wmf"/><Relationship Id="rId70" Type="http://schemas.openxmlformats.org/officeDocument/2006/relationships/image" Target="media/image27.wmf"/><Relationship Id="rId7" Type="http://schemas.openxmlformats.org/officeDocument/2006/relationships/header" Target="header3.xml"/><Relationship Id="rId69" Type="http://schemas.openxmlformats.org/officeDocument/2006/relationships/image" Target="media/image26.wmf"/><Relationship Id="rId68" Type="http://schemas.openxmlformats.org/officeDocument/2006/relationships/image" Target="media/image25.wmf"/><Relationship Id="rId67" Type="http://schemas.openxmlformats.org/officeDocument/2006/relationships/oleObject" Target="embeddings/oleObject13.bin"/><Relationship Id="rId66" Type="http://schemas.openxmlformats.org/officeDocument/2006/relationships/image" Target="media/image24.wmf"/><Relationship Id="rId65" Type="http://schemas.openxmlformats.org/officeDocument/2006/relationships/oleObject" Target="embeddings/oleObject12.bin"/><Relationship Id="rId64" Type="http://schemas.openxmlformats.org/officeDocument/2006/relationships/image" Target="media/image23.wmf"/><Relationship Id="rId63" Type="http://schemas.openxmlformats.org/officeDocument/2006/relationships/oleObject" Target="embeddings/oleObject11.bin"/><Relationship Id="rId62" Type="http://schemas.openxmlformats.org/officeDocument/2006/relationships/image" Target="media/image22.wmf"/><Relationship Id="rId61" Type="http://schemas.openxmlformats.org/officeDocument/2006/relationships/oleObject" Target="embeddings/oleObject10.bin"/><Relationship Id="rId60" Type="http://schemas.openxmlformats.org/officeDocument/2006/relationships/image" Target="media/image21.wmf"/><Relationship Id="rId6" Type="http://schemas.openxmlformats.org/officeDocument/2006/relationships/header" Target="header2.xml"/><Relationship Id="rId59" Type="http://schemas.openxmlformats.org/officeDocument/2006/relationships/oleObject" Target="embeddings/oleObject9.bin"/><Relationship Id="rId58" Type="http://schemas.openxmlformats.org/officeDocument/2006/relationships/image" Target="media/image20.wmf"/><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wmf"/><Relationship Id="rId46" Type="http://schemas.openxmlformats.org/officeDocument/2006/relationships/oleObject" Target="embeddings/oleObject8.bin"/><Relationship Id="rId45" Type="http://schemas.openxmlformats.org/officeDocument/2006/relationships/image" Target="media/image8.wmf"/><Relationship Id="rId44" Type="http://schemas.openxmlformats.org/officeDocument/2006/relationships/oleObject" Target="embeddings/oleObject7.bin"/><Relationship Id="rId43" Type="http://schemas.openxmlformats.org/officeDocument/2006/relationships/image" Target="media/image7.wmf"/><Relationship Id="rId42" Type="http://schemas.openxmlformats.org/officeDocument/2006/relationships/oleObject" Target="embeddings/oleObject6.bin"/><Relationship Id="rId41" Type="http://schemas.openxmlformats.org/officeDocument/2006/relationships/image" Target="media/image6.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5.wmf"/><Relationship Id="rId38" Type="http://schemas.openxmlformats.org/officeDocument/2006/relationships/oleObject" Target="embeddings/oleObject4.bin"/><Relationship Id="rId37" Type="http://schemas.openxmlformats.org/officeDocument/2006/relationships/oleObject" Target="embeddings/oleObject3.bin"/><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w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79"/>
    <customShpInfo spid="_x0000_s2081"/>
    <customShpInfo spid="_x0000_s2080"/>
    <customShpInfo spid="_x0000_s2074"/>
  </customShpExts>
  <extobjs>
    <extobj name="ECB019B1-382A-4266-B25C-5B523AA43C14-1">
      <extobjdata type="ECB019B1-382A-4266-B25C-5B523AA43C14" data="ewoJIkZpbGVJZCIgOiAiMjQ1NzY1MDg3MDI3IiwKCSJHcm91cElkIiA6ICI2ODAxOTg5ODkiLAoJIkltYWdlIiA6ICJpVkJPUncwS0dnb0FBQUFOU1VoRVVnQUFBd0FBQUFLdUNBWUFBQUFXNEh1a0FBQUFDWEJJV1hNQUFBc1RBQUFMRXdFQW1wd1lBQUFnQUVsRVFWUjRuT3pkZVhoVTVmMy8vOWM5U1VBaVJCWVhQbHFvVUJRa0Fwa1RGcWxSd3Fyc0NxNEZGUzJDb3VKR1ZmaGdCZnlLdUFBU2tJcm1wMzVFYXJXS2JDMGlpNmk0UVRNVEVzUkdFS2tzRWtDV2tBUVRNblAvL3NCTUU1TkFBcE5Na25rK3JpdlhsVG4zUGVlOFQ1STV1ZC9uWG80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0D45CB-1165-4CE0-A347-8264E62585E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186</Pages>
  <Words>107437</Words>
  <Characters>120768</Characters>
  <Lines>1335</Lines>
  <Paragraphs>376</Paragraphs>
  <TotalTime>24</TotalTime>
  <ScaleCrop>false</ScaleCrop>
  <LinksUpToDate>false</LinksUpToDate>
  <CharactersWithSpaces>120938</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2022-07-14T15:01:00Z</dcterms:created>
  <dc:creator>Zhengjun Guo</dc:creator>
  <cp:lastModifiedBy>Administrator</cp:lastModifiedBy>
  <cp:lastPrinted>2022-07-14T08:45:00Z</cp:lastPrinted>
  <dcterms:modified xsi:type="dcterms:W3CDTF">2024-05-29T09:36:32Z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KSOProductBuildVer">
    <vt:lpwstr>2052-11.8.2.12118</vt:lpwstr>
  </property>
  <property fmtid="{D5CDD505-2E9C-101B-9397-08002B2CF9AE}" pid="4" name="ICV">
    <vt:lpwstr>92F3B347C6BA411691FF8EDB5078FBE8</vt:lpwstr>
  </property>
</Properties>
</file>