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default" w:ascii="Times New Roman" w:hAnsi="Times New Roman" w:eastAsia="宋体" w:cs="Times New Roman"/>
          <w:b/>
          <w:bCs/>
          <w:color w:val="auto"/>
          <w:sz w:val="52"/>
          <w:szCs w:val="52"/>
          <w:lang w:val="en-US" w:eastAsia="zh-CN"/>
        </w:rPr>
      </w:pP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default" w:ascii="Times New Roman" w:hAnsi="Times New Roman" w:eastAsia="宋体" w:cs="Times New Roman"/>
          <w:b/>
          <w:bCs/>
          <w:color w:val="auto"/>
          <w:sz w:val="52"/>
          <w:szCs w:val="52"/>
          <w:lang w:val="en-US" w:eastAsia="zh-CN"/>
        </w:rPr>
      </w:pP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default" w:ascii="Times New Roman" w:hAnsi="Times New Roman" w:eastAsia="宋体" w:cs="Times New Roman"/>
          <w:b/>
          <w:bCs/>
          <w:color w:val="auto"/>
          <w:sz w:val="52"/>
          <w:szCs w:val="52"/>
          <w:lang w:val="en-US" w:eastAsia="zh-CN"/>
        </w:rPr>
      </w:pP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default" w:ascii="Times New Roman" w:hAnsi="Times New Roman" w:eastAsia="宋体" w:cs="Times New Roman"/>
          <w:b/>
          <w:bCs/>
          <w:color w:val="auto"/>
          <w:sz w:val="52"/>
          <w:szCs w:val="52"/>
          <w:lang w:val="en-US" w:eastAsia="zh-CN"/>
        </w:rPr>
      </w:pP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default" w:ascii="Times New Roman" w:hAnsi="Times New Roman" w:eastAsia="宋体" w:cs="Times New Roman"/>
          <w:b/>
          <w:bCs/>
          <w:color w:val="auto"/>
          <w:sz w:val="52"/>
          <w:szCs w:val="52"/>
          <w:lang w:val="en-US" w:eastAsia="zh-CN"/>
        </w:rPr>
      </w:pP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outlineLvl w:val="9"/>
        <w:rPr>
          <w:rFonts w:hint="default" w:ascii="Times New Roman" w:hAnsi="Times New Roman" w:eastAsia="宋体" w:cs="Times New Roman"/>
          <w:b/>
          <w:bCs/>
          <w:color w:val="auto"/>
          <w:sz w:val="72"/>
          <w:szCs w:val="72"/>
          <w:lang w:val="en-US" w:eastAsia="zh-CN"/>
        </w:rPr>
      </w:pPr>
      <w:r>
        <w:rPr>
          <w:rFonts w:hint="default" w:ascii="Times New Roman" w:hAnsi="Times New Roman" w:eastAsia="宋体" w:cs="Times New Roman"/>
          <w:b/>
          <w:bCs/>
          <w:color w:val="auto"/>
          <w:sz w:val="52"/>
          <w:szCs w:val="52"/>
          <w:lang w:val="en-US" w:eastAsia="zh-CN"/>
        </w:rPr>
        <w:t>新疆嘉宏生物科技有限公司废弃动植物油脂等资源循环再利用项目</w:t>
      </w: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outlineLvl w:val="9"/>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72"/>
          <w:szCs w:val="72"/>
          <w:lang w:val="en-US" w:eastAsia="zh-CN"/>
        </w:rPr>
        <w:t>环境影响报告书</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Times New Roman" w:hAnsi="Times New Roman" w:eastAsia="宋体"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Times New Roman" w:hAnsi="Times New Roman" w:eastAsia="宋体"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Times New Roman" w:hAnsi="Times New Roman" w:eastAsia="宋体"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outlineLvl w:val="9"/>
        <w:rPr>
          <w:rFonts w:hint="default" w:ascii="Times New Roman" w:hAnsi="Times New Roman" w:eastAsia="宋体" w:cs="Times New Roman"/>
          <w:b/>
          <w:bCs/>
          <w:color w:val="auto"/>
          <w:sz w:val="30"/>
          <w:szCs w:val="30"/>
          <w:lang w:val="en-US" w:eastAsia="zh-CN"/>
        </w:rPr>
      </w:pPr>
      <w:r>
        <w:rPr>
          <w:rFonts w:hint="eastAsia" w:ascii="Times New Roman" w:hAnsi="Times New Roman" w:eastAsia="宋体" w:cs="Times New Roman"/>
          <w:b/>
          <w:bCs/>
          <w:color w:val="auto"/>
          <w:sz w:val="30"/>
          <w:szCs w:val="30"/>
          <w:lang w:val="en-US" w:eastAsia="zh-CN"/>
        </w:rPr>
        <w:t>建设单位：新疆嘉宏生物科技有限公司</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outlineLvl w:val="9"/>
        <w:rPr>
          <w:rFonts w:hint="eastAsia" w:ascii="Times New Roman" w:hAnsi="Times New Roman" w:eastAsia="宋体" w:cs="Times New Roman"/>
          <w:b/>
          <w:bCs/>
          <w:color w:val="auto"/>
          <w:sz w:val="30"/>
          <w:szCs w:val="30"/>
          <w:lang w:val="en-US" w:eastAsia="zh-CN"/>
        </w:rPr>
      </w:pPr>
      <w:r>
        <w:rPr>
          <w:rFonts w:hint="eastAsia" w:ascii="Times New Roman" w:hAnsi="Times New Roman" w:eastAsia="宋体" w:cs="Times New Roman"/>
          <w:b/>
          <w:bCs/>
          <w:color w:val="auto"/>
          <w:sz w:val="30"/>
          <w:szCs w:val="30"/>
          <w:lang w:val="en-US" w:eastAsia="zh-CN"/>
        </w:rPr>
        <w:t>编制单位：昌吉市新瑞鑫诚环保咨询服务有限公司</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outlineLvl w:val="9"/>
        <w:rPr>
          <w:rFonts w:hint="eastAsia" w:ascii="Times New Roman" w:hAnsi="Times New Roman" w:eastAsia="宋体" w:cs="Times New Roman"/>
          <w:b/>
          <w:bCs/>
          <w:color w:val="auto"/>
          <w:sz w:val="30"/>
          <w:szCs w:val="30"/>
          <w:lang w:val="en-US" w:eastAsia="zh-CN"/>
        </w:rPr>
        <w:sectPr>
          <w:headerReference r:id="rId3"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Times New Roman" w:hAnsi="Times New Roman" w:eastAsia="宋体" w:cs="Times New Roman"/>
          <w:b/>
          <w:bCs/>
          <w:color w:val="auto"/>
          <w:sz w:val="30"/>
          <w:szCs w:val="30"/>
          <w:lang w:val="en-US" w:eastAsia="zh-CN"/>
        </w:rPr>
        <w:t>编制日期：二〇二四年一月</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outlineLvl w:val="9"/>
        <w:rPr>
          <w:rFonts w:hint="default" w:ascii="Times New Roman" w:hAnsi="Times New Roman" w:eastAsia="宋体" w:cs="Times New Roman"/>
          <w:b/>
          <w:bCs/>
          <w:color w:val="auto"/>
          <w:sz w:val="30"/>
          <w:szCs w:val="30"/>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sdt>
      <w:sdtPr>
        <w:rPr>
          <w:rFonts w:ascii="宋体" w:hAnsi="宋体" w:eastAsia="宋体" w:cstheme="minorBidi"/>
          <w:color w:val="auto"/>
          <w:kern w:val="2"/>
          <w:sz w:val="21"/>
          <w:szCs w:val="24"/>
          <w:lang w:val="en-US" w:eastAsia="zh-CN" w:bidi="ar-SA"/>
        </w:rPr>
        <w:id w:val="147452531"/>
        <w15:color w:val="DBDBDB"/>
        <w:docPartObj>
          <w:docPartGallery w:val="Table of Contents"/>
          <w:docPartUnique/>
        </w:docPartObj>
      </w:sdtPr>
      <w:sdtEndPr>
        <w:rPr>
          <w:rFonts w:hint="eastAsia" w:ascii="Times New Roman" w:hAnsi="Times New Roman" w:eastAsia="宋体" w:cs="Times New Roman"/>
          <w:b/>
          <w:color w:val="auto"/>
          <w:kern w:val="2"/>
          <w:sz w:val="21"/>
          <w:szCs w:val="24"/>
          <w:lang w:val="en-US" w:eastAsia="zh-CN" w:bidi="ar-SA"/>
        </w:rPr>
      </w:sdtEndPr>
      <w:sdtContent>
        <w:p>
          <w:pPr>
            <w:keepNext w:val="0"/>
            <w:keepLines w:val="0"/>
            <w:pageBreakBefore w:val="0"/>
            <w:widowControl w:val="0"/>
            <w:kinsoku/>
            <w:wordWrap/>
            <w:overflowPunct/>
            <w:topLinePunct w:val="0"/>
            <w:autoSpaceDE/>
            <w:autoSpaceDN/>
            <w:bidi w:val="0"/>
            <w:adjustRightInd/>
            <w:snapToGrid/>
            <w:spacing w:before="0" w:after="0" w:line="560" w:lineRule="exact"/>
            <w:ind w:left="0" w:leftChars="0" w:right="0" w:rightChars="0" w:firstLine="0" w:firstLineChars="0"/>
            <w:jc w:val="center"/>
            <w:textAlignment w:val="auto"/>
            <w:rPr>
              <w:rFonts w:hint="default" w:ascii="Times New Roman" w:hAnsi="Times New Roman" w:cs="Times New Roman"/>
              <w:color w:val="auto"/>
              <w:sz w:val="28"/>
              <w:szCs w:val="28"/>
            </w:rPr>
          </w:pPr>
          <w:r>
            <w:rPr>
              <w:rFonts w:hint="default" w:ascii="Times New Roman" w:hAnsi="Times New Roman" w:eastAsia="宋体" w:cs="Times New Roman"/>
              <w:b/>
              <w:bCs/>
              <w:color w:val="auto"/>
              <w:sz w:val="28"/>
              <w:szCs w:val="28"/>
            </w:rPr>
            <w:t>目</w:t>
          </w:r>
          <w:r>
            <w:rPr>
              <w:rFonts w:hint="default" w:ascii="Times New Roman" w:hAnsi="Times New Roman" w:eastAsia="宋体" w:cs="Times New Roman"/>
              <w:b/>
              <w:bCs/>
              <w:color w:val="auto"/>
              <w:sz w:val="28"/>
              <w:szCs w:val="28"/>
              <w:lang w:val="en-US" w:eastAsia="zh-CN"/>
            </w:rPr>
            <w:t xml:space="preserve"> </w:t>
          </w:r>
          <w:r>
            <w:rPr>
              <w:rFonts w:hint="default" w:ascii="Times New Roman" w:hAnsi="Times New Roman" w:eastAsia="宋体" w:cs="Times New Roman"/>
              <w:b/>
              <w:bCs/>
              <w:color w:val="auto"/>
              <w:sz w:val="28"/>
              <w:szCs w:val="28"/>
            </w:rPr>
            <w:t>录</w:t>
          </w:r>
        </w:p>
        <w:p>
          <w:pPr>
            <w:pStyle w:val="14"/>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TOC \o "1-2" \h \u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
              <w:bCs/>
              <w:color w:val="auto"/>
              <w:sz w:val="28"/>
              <w:szCs w:val="28"/>
              <w:lang w:val="en-US" w:eastAsia="zh-CN"/>
            </w:rPr>
            <w:fldChar w:fldCharType="begin"/>
          </w:r>
          <w:r>
            <w:rPr>
              <w:rFonts w:hint="default" w:ascii="Times New Roman" w:hAnsi="Times New Roman" w:eastAsia="宋体" w:cs="Times New Roman"/>
              <w:b/>
              <w:bCs/>
              <w:color w:val="auto"/>
              <w:sz w:val="28"/>
              <w:szCs w:val="28"/>
              <w:lang w:val="en-US" w:eastAsia="zh-CN"/>
            </w:rPr>
            <w:instrText xml:space="preserve"> HYPERLINK \l _Toc20447 </w:instrText>
          </w:r>
          <w:r>
            <w:rPr>
              <w:rFonts w:hint="default" w:ascii="Times New Roman" w:hAnsi="Times New Roman" w:eastAsia="宋体" w:cs="Times New Roman"/>
              <w:b/>
              <w:bCs/>
              <w:color w:val="auto"/>
              <w:sz w:val="28"/>
              <w:szCs w:val="28"/>
              <w:lang w:val="en-US" w:eastAsia="zh-CN"/>
            </w:rPr>
            <w:fldChar w:fldCharType="separate"/>
          </w:r>
          <w:r>
            <w:rPr>
              <w:rFonts w:hint="default" w:ascii="Times New Roman" w:hAnsi="Times New Roman" w:eastAsia="宋体" w:cs="Times New Roman"/>
              <w:b/>
              <w:bCs/>
              <w:color w:val="auto"/>
              <w:sz w:val="28"/>
              <w:szCs w:val="28"/>
              <w:lang w:val="en-US" w:eastAsia="zh-CN"/>
            </w:rPr>
            <w:t>1 概述</w:t>
          </w:r>
          <w:r>
            <w:rPr>
              <w:rFonts w:hint="default" w:ascii="Times New Roman" w:hAnsi="Times New Roman" w:cs="Times New Roman"/>
              <w:b/>
              <w:bCs/>
              <w:color w:val="auto"/>
              <w:sz w:val="28"/>
              <w:szCs w:val="28"/>
            </w:rPr>
            <w:tab/>
          </w:r>
          <w:r>
            <w:rPr>
              <w:rFonts w:hint="default" w:ascii="Times New Roman" w:hAnsi="Times New Roman" w:cs="Times New Roman"/>
              <w:b/>
              <w:bCs/>
              <w:color w:val="auto"/>
              <w:sz w:val="28"/>
              <w:szCs w:val="28"/>
            </w:rPr>
            <w:fldChar w:fldCharType="begin"/>
          </w:r>
          <w:r>
            <w:rPr>
              <w:rFonts w:hint="default" w:ascii="Times New Roman" w:hAnsi="Times New Roman" w:cs="Times New Roman"/>
              <w:b/>
              <w:bCs/>
              <w:color w:val="auto"/>
              <w:sz w:val="28"/>
              <w:szCs w:val="28"/>
            </w:rPr>
            <w:instrText xml:space="preserve"> PAGEREF _Toc20447 \h </w:instrText>
          </w:r>
          <w:r>
            <w:rPr>
              <w:rFonts w:hint="default" w:ascii="Times New Roman" w:hAnsi="Times New Roman" w:cs="Times New Roman"/>
              <w:b/>
              <w:bCs/>
              <w:color w:val="auto"/>
              <w:sz w:val="28"/>
              <w:szCs w:val="28"/>
            </w:rPr>
            <w:fldChar w:fldCharType="separate"/>
          </w:r>
          <w:r>
            <w:rPr>
              <w:rFonts w:hint="default" w:ascii="Times New Roman" w:hAnsi="Times New Roman" w:cs="Times New Roman"/>
              <w:b/>
              <w:bCs/>
              <w:color w:val="auto"/>
              <w:sz w:val="28"/>
              <w:szCs w:val="28"/>
            </w:rPr>
            <w:t>- 1 -</w:t>
          </w:r>
          <w:r>
            <w:rPr>
              <w:rFonts w:hint="default" w:ascii="Times New Roman" w:hAnsi="Times New Roman" w:cs="Times New Roman"/>
              <w:b/>
              <w:bCs/>
              <w:color w:val="auto"/>
              <w:sz w:val="28"/>
              <w:szCs w:val="28"/>
            </w:rPr>
            <w:fldChar w:fldCharType="end"/>
          </w:r>
          <w:r>
            <w:rPr>
              <w:rFonts w:hint="default" w:ascii="Times New Roman" w:hAnsi="Times New Roman" w:eastAsia="宋体" w:cs="Times New Roman"/>
              <w:b/>
              <w:bCs/>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_Toc6871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1.1 项目背景及特点</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_Toc6871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- 1 -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_Toc9060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1.2 环境影响评价工作过程</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_Toc9060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- 2 -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_Toc26255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1.3 分析判定相关情况</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_Toc26255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- 4 -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_Toc31494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1.4 关注的主要环境问题及环境影响</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_Toc31494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- 31 -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_Toc1640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1.5 环境影响评价主要结论</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_Toc1640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- 31 -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4"/>
            <w:tabs>
              <w:tab w:val="right" w:leader="dot" w:pos="8306"/>
            </w:tabs>
            <w:rPr>
              <w:rFonts w:hint="default" w:ascii="Times New Roman" w:hAnsi="Times New Roman" w:cs="Times New Roman"/>
              <w:b/>
              <w:bCs/>
              <w:color w:val="auto"/>
              <w:sz w:val="28"/>
              <w:szCs w:val="28"/>
            </w:rPr>
          </w:pPr>
          <w:r>
            <w:rPr>
              <w:rFonts w:hint="default" w:ascii="Times New Roman" w:hAnsi="Times New Roman" w:eastAsia="宋体" w:cs="Times New Roman"/>
              <w:b/>
              <w:bCs/>
              <w:color w:val="auto"/>
              <w:sz w:val="28"/>
              <w:szCs w:val="28"/>
              <w:lang w:val="en-US" w:eastAsia="zh-CN"/>
            </w:rPr>
            <w:fldChar w:fldCharType="begin"/>
          </w:r>
          <w:r>
            <w:rPr>
              <w:rFonts w:hint="default" w:ascii="Times New Roman" w:hAnsi="Times New Roman" w:eastAsia="宋体" w:cs="Times New Roman"/>
              <w:b/>
              <w:bCs/>
              <w:color w:val="auto"/>
              <w:sz w:val="28"/>
              <w:szCs w:val="28"/>
              <w:lang w:val="en-US" w:eastAsia="zh-CN"/>
            </w:rPr>
            <w:instrText xml:space="preserve"> HYPERLINK \l _Toc8675 </w:instrText>
          </w:r>
          <w:r>
            <w:rPr>
              <w:rFonts w:hint="default" w:ascii="Times New Roman" w:hAnsi="Times New Roman" w:eastAsia="宋体" w:cs="Times New Roman"/>
              <w:b/>
              <w:bCs/>
              <w:color w:val="auto"/>
              <w:sz w:val="28"/>
              <w:szCs w:val="28"/>
              <w:lang w:val="en-US" w:eastAsia="zh-CN"/>
            </w:rPr>
            <w:fldChar w:fldCharType="separate"/>
          </w:r>
          <w:r>
            <w:rPr>
              <w:rFonts w:hint="default" w:ascii="Times New Roman" w:hAnsi="Times New Roman" w:eastAsia="宋体" w:cs="Times New Roman"/>
              <w:b/>
              <w:bCs/>
              <w:color w:val="auto"/>
              <w:sz w:val="28"/>
              <w:szCs w:val="28"/>
              <w:lang w:val="en-US" w:eastAsia="zh-CN"/>
            </w:rPr>
            <w:t>2 总则</w:t>
          </w:r>
          <w:r>
            <w:rPr>
              <w:rFonts w:hint="default" w:ascii="Times New Roman" w:hAnsi="Times New Roman" w:cs="Times New Roman"/>
              <w:b/>
              <w:bCs/>
              <w:color w:val="auto"/>
              <w:sz w:val="28"/>
              <w:szCs w:val="28"/>
            </w:rPr>
            <w:tab/>
          </w:r>
          <w:r>
            <w:rPr>
              <w:rFonts w:hint="default" w:ascii="Times New Roman" w:hAnsi="Times New Roman" w:cs="Times New Roman"/>
              <w:b/>
              <w:bCs/>
              <w:color w:val="auto"/>
              <w:sz w:val="28"/>
              <w:szCs w:val="28"/>
            </w:rPr>
            <w:fldChar w:fldCharType="begin"/>
          </w:r>
          <w:r>
            <w:rPr>
              <w:rFonts w:hint="default" w:ascii="Times New Roman" w:hAnsi="Times New Roman" w:cs="Times New Roman"/>
              <w:b/>
              <w:bCs/>
              <w:color w:val="auto"/>
              <w:sz w:val="28"/>
              <w:szCs w:val="28"/>
            </w:rPr>
            <w:instrText xml:space="preserve"> PAGEREF _Toc8675 \h </w:instrText>
          </w:r>
          <w:r>
            <w:rPr>
              <w:rFonts w:hint="default" w:ascii="Times New Roman" w:hAnsi="Times New Roman" w:cs="Times New Roman"/>
              <w:b/>
              <w:bCs/>
              <w:color w:val="auto"/>
              <w:sz w:val="28"/>
              <w:szCs w:val="28"/>
            </w:rPr>
            <w:fldChar w:fldCharType="separate"/>
          </w:r>
          <w:r>
            <w:rPr>
              <w:rFonts w:hint="default" w:ascii="Times New Roman" w:hAnsi="Times New Roman" w:cs="Times New Roman"/>
              <w:b/>
              <w:bCs/>
              <w:color w:val="auto"/>
              <w:sz w:val="28"/>
              <w:szCs w:val="28"/>
            </w:rPr>
            <w:t>- 32 -</w:t>
          </w:r>
          <w:r>
            <w:rPr>
              <w:rFonts w:hint="default" w:ascii="Times New Roman" w:hAnsi="Times New Roman" w:cs="Times New Roman"/>
              <w:b/>
              <w:bCs/>
              <w:color w:val="auto"/>
              <w:sz w:val="28"/>
              <w:szCs w:val="28"/>
            </w:rPr>
            <w:fldChar w:fldCharType="end"/>
          </w:r>
          <w:r>
            <w:rPr>
              <w:rFonts w:hint="default" w:ascii="Times New Roman" w:hAnsi="Times New Roman" w:eastAsia="宋体" w:cs="Times New Roman"/>
              <w:b/>
              <w:bCs/>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_Toc3775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2.1 编制依据</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_Toc3775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- 32 -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_Toc25008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2.2 评价因子及评价标准</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_Toc25008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- 37 -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_Toc22021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2.3 评价等级及评价范围</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_Toc22021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- 45 -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_Toc17533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2.4 主要环境保护目标</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_Toc17533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- 53 -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4"/>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b/>
              <w:bCs/>
              <w:color w:val="auto"/>
              <w:sz w:val="28"/>
              <w:szCs w:val="28"/>
              <w:lang w:val="en-US" w:eastAsia="zh-CN"/>
            </w:rPr>
            <w:fldChar w:fldCharType="begin"/>
          </w:r>
          <w:r>
            <w:rPr>
              <w:rFonts w:hint="default" w:ascii="Times New Roman" w:hAnsi="Times New Roman" w:eastAsia="宋体" w:cs="Times New Roman"/>
              <w:b/>
              <w:bCs/>
              <w:color w:val="auto"/>
              <w:sz w:val="28"/>
              <w:szCs w:val="28"/>
              <w:lang w:val="en-US" w:eastAsia="zh-CN"/>
            </w:rPr>
            <w:instrText xml:space="preserve"> HYPERLINK \l _Toc7646 </w:instrText>
          </w:r>
          <w:r>
            <w:rPr>
              <w:rFonts w:hint="default" w:ascii="Times New Roman" w:hAnsi="Times New Roman" w:eastAsia="宋体" w:cs="Times New Roman"/>
              <w:b/>
              <w:bCs/>
              <w:color w:val="auto"/>
              <w:sz w:val="28"/>
              <w:szCs w:val="28"/>
              <w:lang w:val="en-US" w:eastAsia="zh-CN"/>
            </w:rPr>
            <w:fldChar w:fldCharType="separate"/>
          </w:r>
          <w:r>
            <w:rPr>
              <w:rFonts w:hint="default" w:ascii="Times New Roman" w:hAnsi="Times New Roman" w:eastAsia="宋体" w:cs="Times New Roman"/>
              <w:b/>
              <w:bCs/>
              <w:color w:val="auto"/>
              <w:sz w:val="28"/>
              <w:szCs w:val="28"/>
              <w:lang w:val="en-US" w:eastAsia="zh-CN"/>
            </w:rPr>
            <w:t>3 建设项目工程分析</w:t>
          </w:r>
          <w:r>
            <w:rPr>
              <w:rFonts w:hint="default" w:ascii="Times New Roman" w:hAnsi="Times New Roman" w:cs="Times New Roman"/>
              <w:b/>
              <w:bCs/>
              <w:color w:val="auto"/>
              <w:sz w:val="28"/>
              <w:szCs w:val="28"/>
            </w:rPr>
            <w:tab/>
          </w:r>
          <w:r>
            <w:rPr>
              <w:rFonts w:hint="default" w:ascii="Times New Roman" w:hAnsi="Times New Roman" w:cs="Times New Roman"/>
              <w:b/>
              <w:bCs/>
              <w:color w:val="auto"/>
              <w:sz w:val="28"/>
              <w:szCs w:val="28"/>
            </w:rPr>
            <w:fldChar w:fldCharType="begin"/>
          </w:r>
          <w:r>
            <w:rPr>
              <w:rFonts w:hint="default" w:ascii="Times New Roman" w:hAnsi="Times New Roman" w:cs="Times New Roman"/>
              <w:b/>
              <w:bCs/>
              <w:color w:val="auto"/>
              <w:sz w:val="28"/>
              <w:szCs w:val="28"/>
            </w:rPr>
            <w:instrText xml:space="preserve"> PAGEREF _Toc7646 \h </w:instrText>
          </w:r>
          <w:r>
            <w:rPr>
              <w:rFonts w:hint="default" w:ascii="Times New Roman" w:hAnsi="Times New Roman" w:cs="Times New Roman"/>
              <w:b/>
              <w:bCs/>
              <w:color w:val="auto"/>
              <w:sz w:val="28"/>
              <w:szCs w:val="28"/>
            </w:rPr>
            <w:fldChar w:fldCharType="separate"/>
          </w:r>
          <w:r>
            <w:rPr>
              <w:rFonts w:hint="default" w:ascii="Times New Roman" w:hAnsi="Times New Roman" w:cs="Times New Roman"/>
              <w:b/>
              <w:bCs/>
              <w:color w:val="auto"/>
              <w:sz w:val="28"/>
              <w:szCs w:val="28"/>
            </w:rPr>
            <w:t>- 55 -</w:t>
          </w:r>
          <w:r>
            <w:rPr>
              <w:rFonts w:hint="default" w:ascii="Times New Roman" w:hAnsi="Times New Roman" w:cs="Times New Roman"/>
              <w:b/>
              <w:bCs/>
              <w:color w:val="auto"/>
              <w:sz w:val="28"/>
              <w:szCs w:val="28"/>
            </w:rPr>
            <w:fldChar w:fldCharType="end"/>
          </w:r>
          <w:r>
            <w:rPr>
              <w:rFonts w:hint="default" w:ascii="Times New Roman" w:hAnsi="Times New Roman" w:eastAsia="宋体" w:cs="Times New Roman"/>
              <w:b/>
              <w:bCs/>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_Toc19922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3.1 现有工程回顾性调查</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_Toc19922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- 55 -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_Toc19037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3.2 本项目概况</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_Toc19037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- 58 -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_Toc11641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3.3 环境影响因素分析</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_Toc11641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- 70 -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_Toc16417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3.4 污染源源强分析</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_Toc16417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- 80 -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_Toc16803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3.5 总量控制及倍量替代要求</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_Toc16803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- 104 -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_Toc2141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3.6 清洁生产概述</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_Toc2141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- 104 -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4"/>
            <w:tabs>
              <w:tab w:val="right" w:leader="dot" w:pos="8306"/>
            </w:tabs>
            <w:rPr>
              <w:rFonts w:hint="default" w:ascii="Times New Roman" w:hAnsi="Times New Roman" w:cs="Times New Roman"/>
              <w:b/>
              <w:bCs/>
              <w:color w:val="auto"/>
              <w:sz w:val="28"/>
              <w:szCs w:val="28"/>
            </w:rPr>
          </w:pPr>
          <w:r>
            <w:rPr>
              <w:rFonts w:hint="default" w:ascii="Times New Roman" w:hAnsi="Times New Roman" w:eastAsia="宋体" w:cs="Times New Roman"/>
              <w:b/>
              <w:bCs/>
              <w:color w:val="auto"/>
              <w:sz w:val="28"/>
              <w:szCs w:val="28"/>
              <w:lang w:val="en-US" w:eastAsia="zh-CN"/>
            </w:rPr>
            <w:fldChar w:fldCharType="begin"/>
          </w:r>
          <w:r>
            <w:rPr>
              <w:rFonts w:hint="default" w:ascii="Times New Roman" w:hAnsi="Times New Roman" w:eastAsia="宋体" w:cs="Times New Roman"/>
              <w:b/>
              <w:bCs/>
              <w:color w:val="auto"/>
              <w:sz w:val="28"/>
              <w:szCs w:val="28"/>
              <w:lang w:val="en-US" w:eastAsia="zh-CN"/>
            </w:rPr>
            <w:instrText xml:space="preserve"> HYPERLINK \l _Toc11099 </w:instrText>
          </w:r>
          <w:r>
            <w:rPr>
              <w:rFonts w:hint="default" w:ascii="Times New Roman" w:hAnsi="Times New Roman" w:eastAsia="宋体" w:cs="Times New Roman"/>
              <w:b/>
              <w:bCs/>
              <w:color w:val="auto"/>
              <w:sz w:val="28"/>
              <w:szCs w:val="28"/>
              <w:lang w:val="en-US" w:eastAsia="zh-CN"/>
            </w:rPr>
            <w:fldChar w:fldCharType="separate"/>
          </w:r>
          <w:r>
            <w:rPr>
              <w:rFonts w:hint="default" w:ascii="Times New Roman" w:hAnsi="Times New Roman" w:eastAsia="宋体" w:cs="Times New Roman"/>
              <w:b/>
              <w:bCs/>
              <w:color w:val="auto"/>
              <w:sz w:val="28"/>
              <w:szCs w:val="28"/>
              <w:lang w:val="en-US" w:eastAsia="zh-CN"/>
            </w:rPr>
            <w:t>4 环境现状调查与评价</w:t>
          </w:r>
          <w:r>
            <w:rPr>
              <w:rFonts w:hint="default" w:ascii="Times New Roman" w:hAnsi="Times New Roman" w:cs="Times New Roman"/>
              <w:b/>
              <w:bCs/>
              <w:color w:val="auto"/>
              <w:sz w:val="28"/>
              <w:szCs w:val="28"/>
            </w:rPr>
            <w:tab/>
          </w:r>
          <w:r>
            <w:rPr>
              <w:rFonts w:hint="default" w:ascii="Times New Roman" w:hAnsi="Times New Roman" w:cs="Times New Roman"/>
              <w:b/>
              <w:bCs/>
              <w:color w:val="auto"/>
              <w:sz w:val="28"/>
              <w:szCs w:val="28"/>
            </w:rPr>
            <w:fldChar w:fldCharType="begin"/>
          </w:r>
          <w:r>
            <w:rPr>
              <w:rFonts w:hint="default" w:ascii="Times New Roman" w:hAnsi="Times New Roman" w:cs="Times New Roman"/>
              <w:b/>
              <w:bCs/>
              <w:color w:val="auto"/>
              <w:sz w:val="28"/>
              <w:szCs w:val="28"/>
            </w:rPr>
            <w:instrText xml:space="preserve"> PAGEREF _Toc11099 \h </w:instrText>
          </w:r>
          <w:r>
            <w:rPr>
              <w:rFonts w:hint="default" w:ascii="Times New Roman" w:hAnsi="Times New Roman" w:cs="Times New Roman"/>
              <w:b/>
              <w:bCs/>
              <w:color w:val="auto"/>
              <w:sz w:val="28"/>
              <w:szCs w:val="28"/>
            </w:rPr>
            <w:fldChar w:fldCharType="separate"/>
          </w:r>
          <w:r>
            <w:rPr>
              <w:rFonts w:hint="default" w:ascii="Times New Roman" w:hAnsi="Times New Roman" w:cs="Times New Roman"/>
              <w:b/>
              <w:bCs/>
              <w:color w:val="auto"/>
              <w:sz w:val="28"/>
              <w:szCs w:val="28"/>
            </w:rPr>
            <w:t>- 108 -</w:t>
          </w:r>
          <w:r>
            <w:rPr>
              <w:rFonts w:hint="default" w:ascii="Times New Roman" w:hAnsi="Times New Roman" w:cs="Times New Roman"/>
              <w:b/>
              <w:bCs/>
              <w:color w:val="auto"/>
              <w:sz w:val="28"/>
              <w:szCs w:val="28"/>
            </w:rPr>
            <w:fldChar w:fldCharType="end"/>
          </w:r>
          <w:r>
            <w:rPr>
              <w:rFonts w:hint="default" w:ascii="Times New Roman" w:hAnsi="Times New Roman" w:eastAsia="宋体" w:cs="Times New Roman"/>
              <w:b/>
              <w:bCs/>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_Toc4623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4.1 自然环境现状调查与评价</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_Toc4623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- 108 -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_Toc3932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4.2 呼图壁工业园区概况</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_Toc3932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- 115 -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_Toc25068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4.3 区域污染源调查</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_Toc25068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- 128 -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_Toc11971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4.4 环境质量现状调查与评价</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_Toc11971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- 130 -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4"/>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b/>
              <w:bCs/>
              <w:color w:val="auto"/>
              <w:sz w:val="28"/>
              <w:szCs w:val="28"/>
              <w:lang w:val="en-US" w:eastAsia="zh-CN"/>
            </w:rPr>
            <w:fldChar w:fldCharType="begin"/>
          </w:r>
          <w:r>
            <w:rPr>
              <w:rFonts w:hint="default" w:ascii="Times New Roman" w:hAnsi="Times New Roman" w:eastAsia="宋体" w:cs="Times New Roman"/>
              <w:b/>
              <w:bCs/>
              <w:color w:val="auto"/>
              <w:sz w:val="28"/>
              <w:szCs w:val="28"/>
              <w:lang w:val="en-US" w:eastAsia="zh-CN"/>
            </w:rPr>
            <w:instrText xml:space="preserve"> HYPERLINK \l _Toc20184 </w:instrText>
          </w:r>
          <w:r>
            <w:rPr>
              <w:rFonts w:hint="default" w:ascii="Times New Roman" w:hAnsi="Times New Roman" w:eastAsia="宋体" w:cs="Times New Roman"/>
              <w:b/>
              <w:bCs/>
              <w:color w:val="auto"/>
              <w:sz w:val="28"/>
              <w:szCs w:val="28"/>
              <w:lang w:val="en-US" w:eastAsia="zh-CN"/>
            </w:rPr>
            <w:fldChar w:fldCharType="separate"/>
          </w:r>
          <w:r>
            <w:rPr>
              <w:rFonts w:hint="default" w:ascii="Times New Roman" w:hAnsi="Times New Roman" w:eastAsia="宋体" w:cs="Times New Roman"/>
              <w:b/>
              <w:bCs/>
              <w:color w:val="auto"/>
              <w:sz w:val="28"/>
              <w:szCs w:val="28"/>
              <w:lang w:val="en-US" w:eastAsia="zh-CN"/>
            </w:rPr>
            <w:t>5 环境影响预测与评价</w:t>
          </w:r>
          <w:r>
            <w:rPr>
              <w:rFonts w:hint="default" w:ascii="Times New Roman" w:hAnsi="Times New Roman" w:cs="Times New Roman"/>
              <w:b/>
              <w:bCs/>
              <w:color w:val="auto"/>
              <w:sz w:val="28"/>
              <w:szCs w:val="28"/>
            </w:rPr>
            <w:tab/>
          </w:r>
          <w:r>
            <w:rPr>
              <w:rFonts w:hint="default" w:ascii="Times New Roman" w:hAnsi="Times New Roman" w:cs="Times New Roman"/>
              <w:b/>
              <w:bCs/>
              <w:color w:val="auto"/>
              <w:sz w:val="28"/>
              <w:szCs w:val="28"/>
            </w:rPr>
            <w:fldChar w:fldCharType="begin"/>
          </w:r>
          <w:r>
            <w:rPr>
              <w:rFonts w:hint="default" w:ascii="Times New Roman" w:hAnsi="Times New Roman" w:cs="Times New Roman"/>
              <w:b/>
              <w:bCs/>
              <w:color w:val="auto"/>
              <w:sz w:val="28"/>
              <w:szCs w:val="28"/>
            </w:rPr>
            <w:instrText xml:space="preserve"> PAGEREF _Toc20184 \h </w:instrText>
          </w:r>
          <w:r>
            <w:rPr>
              <w:rFonts w:hint="default" w:ascii="Times New Roman" w:hAnsi="Times New Roman" w:cs="Times New Roman"/>
              <w:b/>
              <w:bCs/>
              <w:color w:val="auto"/>
              <w:sz w:val="28"/>
              <w:szCs w:val="28"/>
            </w:rPr>
            <w:fldChar w:fldCharType="separate"/>
          </w:r>
          <w:r>
            <w:rPr>
              <w:rFonts w:hint="default" w:ascii="Times New Roman" w:hAnsi="Times New Roman" w:cs="Times New Roman"/>
              <w:b/>
              <w:bCs/>
              <w:color w:val="auto"/>
              <w:sz w:val="28"/>
              <w:szCs w:val="28"/>
            </w:rPr>
            <w:t>- 150 -</w:t>
          </w:r>
          <w:r>
            <w:rPr>
              <w:rFonts w:hint="default" w:ascii="Times New Roman" w:hAnsi="Times New Roman" w:cs="Times New Roman"/>
              <w:b/>
              <w:bCs/>
              <w:color w:val="auto"/>
              <w:sz w:val="28"/>
              <w:szCs w:val="28"/>
            </w:rPr>
            <w:fldChar w:fldCharType="end"/>
          </w:r>
          <w:r>
            <w:rPr>
              <w:rFonts w:hint="default" w:ascii="Times New Roman" w:hAnsi="Times New Roman" w:eastAsia="宋体" w:cs="Times New Roman"/>
              <w:b/>
              <w:bCs/>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_Toc7740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5.1 施工期环境影响分析</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_Toc7740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- 150 -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_Toc5849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5.2 运营期环境影响预测与评价</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_Toc5849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- 156 -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_Toc22419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5.3 环境风险评价</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_Toc22419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- 240 -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4"/>
            <w:tabs>
              <w:tab w:val="right" w:leader="dot" w:pos="8306"/>
            </w:tabs>
            <w:rPr>
              <w:rFonts w:hint="default" w:ascii="Times New Roman" w:hAnsi="Times New Roman" w:cs="Times New Roman"/>
              <w:b/>
              <w:bCs/>
              <w:color w:val="auto"/>
              <w:sz w:val="28"/>
              <w:szCs w:val="28"/>
            </w:rPr>
          </w:pPr>
          <w:r>
            <w:rPr>
              <w:rFonts w:hint="default" w:ascii="Times New Roman" w:hAnsi="Times New Roman" w:eastAsia="宋体" w:cs="Times New Roman"/>
              <w:b/>
              <w:bCs/>
              <w:color w:val="auto"/>
              <w:sz w:val="28"/>
              <w:szCs w:val="28"/>
              <w:lang w:val="en-US" w:eastAsia="zh-CN"/>
            </w:rPr>
            <w:fldChar w:fldCharType="begin"/>
          </w:r>
          <w:r>
            <w:rPr>
              <w:rFonts w:hint="default" w:ascii="Times New Roman" w:hAnsi="Times New Roman" w:eastAsia="宋体" w:cs="Times New Roman"/>
              <w:b/>
              <w:bCs/>
              <w:color w:val="auto"/>
              <w:sz w:val="28"/>
              <w:szCs w:val="28"/>
              <w:lang w:val="en-US" w:eastAsia="zh-CN"/>
            </w:rPr>
            <w:instrText xml:space="preserve"> HYPERLINK \l _Toc14568 </w:instrText>
          </w:r>
          <w:r>
            <w:rPr>
              <w:rFonts w:hint="default" w:ascii="Times New Roman" w:hAnsi="Times New Roman" w:eastAsia="宋体" w:cs="Times New Roman"/>
              <w:b/>
              <w:bCs/>
              <w:color w:val="auto"/>
              <w:sz w:val="28"/>
              <w:szCs w:val="28"/>
              <w:lang w:val="en-US" w:eastAsia="zh-CN"/>
            </w:rPr>
            <w:fldChar w:fldCharType="separate"/>
          </w:r>
          <w:r>
            <w:rPr>
              <w:rFonts w:hint="default" w:ascii="Times New Roman" w:hAnsi="Times New Roman" w:eastAsia="宋体" w:cs="Times New Roman"/>
              <w:b/>
              <w:bCs/>
              <w:color w:val="auto"/>
              <w:sz w:val="28"/>
              <w:szCs w:val="28"/>
              <w:lang w:val="en-US" w:eastAsia="zh-CN"/>
            </w:rPr>
            <w:t>6 环境保护措施及其可行性论证</w:t>
          </w:r>
          <w:r>
            <w:rPr>
              <w:rFonts w:hint="default" w:ascii="Times New Roman" w:hAnsi="Times New Roman" w:cs="Times New Roman"/>
              <w:b/>
              <w:bCs/>
              <w:color w:val="auto"/>
              <w:sz w:val="28"/>
              <w:szCs w:val="28"/>
            </w:rPr>
            <w:tab/>
          </w:r>
          <w:r>
            <w:rPr>
              <w:rFonts w:hint="default" w:ascii="Times New Roman" w:hAnsi="Times New Roman" w:cs="Times New Roman"/>
              <w:b/>
              <w:bCs/>
              <w:color w:val="auto"/>
              <w:sz w:val="28"/>
              <w:szCs w:val="28"/>
            </w:rPr>
            <w:fldChar w:fldCharType="begin"/>
          </w:r>
          <w:r>
            <w:rPr>
              <w:rFonts w:hint="default" w:ascii="Times New Roman" w:hAnsi="Times New Roman" w:cs="Times New Roman"/>
              <w:b/>
              <w:bCs/>
              <w:color w:val="auto"/>
              <w:sz w:val="28"/>
              <w:szCs w:val="28"/>
            </w:rPr>
            <w:instrText xml:space="preserve"> PAGEREF _Toc14568 \h </w:instrText>
          </w:r>
          <w:r>
            <w:rPr>
              <w:rFonts w:hint="default" w:ascii="Times New Roman" w:hAnsi="Times New Roman" w:cs="Times New Roman"/>
              <w:b/>
              <w:bCs/>
              <w:color w:val="auto"/>
              <w:sz w:val="28"/>
              <w:szCs w:val="28"/>
            </w:rPr>
            <w:fldChar w:fldCharType="separate"/>
          </w:r>
          <w:r>
            <w:rPr>
              <w:rFonts w:hint="default" w:ascii="Times New Roman" w:hAnsi="Times New Roman" w:cs="Times New Roman"/>
              <w:b/>
              <w:bCs/>
              <w:color w:val="auto"/>
              <w:sz w:val="28"/>
              <w:szCs w:val="28"/>
            </w:rPr>
            <w:t>- 265 -</w:t>
          </w:r>
          <w:r>
            <w:rPr>
              <w:rFonts w:hint="default" w:ascii="Times New Roman" w:hAnsi="Times New Roman" w:cs="Times New Roman"/>
              <w:b/>
              <w:bCs/>
              <w:color w:val="auto"/>
              <w:sz w:val="28"/>
              <w:szCs w:val="28"/>
            </w:rPr>
            <w:fldChar w:fldCharType="end"/>
          </w:r>
          <w:r>
            <w:rPr>
              <w:rFonts w:hint="default" w:ascii="Times New Roman" w:hAnsi="Times New Roman" w:eastAsia="宋体" w:cs="Times New Roman"/>
              <w:b/>
              <w:bCs/>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_Toc208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6.1 施工期环境影响减缓措施</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_Toc208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- 265 -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_Toc8721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6.2 运营期污染防治措施及可行性分析</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_Toc8721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- 268 -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4"/>
            <w:tabs>
              <w:tab w:val="right" w:leader="dot" w:pos="8306"/>
            </w:tabs>
            <w:rPr>
              <w:rFonts w:hint="default" w:ascii="Times New Roman" w:hAnsi="Times New Roman" w:cs="Times New Roman"/>
              <w:b/>
              <w:bCs/>
              <w:color w:val="auto"/>
              <w:sz w:val="28"/>
              <w:szCs w:val="28"/>
            </w:rPr>
          </w:pPr>
          <w:r>
            <w:rPr>
              <w:rFonts w:hint="default" w:ascii="Times New Roman" w:hAnsi="Times New Roman" w:eastAsia="宋体" w:cs="Times New Roman"/>
              <w:b/>
              <w:bCs/>
              <w:color w:val="auto"/>
              <w:sz w:val="28"/>
              <w:szCs w:val="28"/>
              <w:lang w:val="en-US" w:eastAsia="zh-CN"/>
            </w:rPr>
            <w:fldChar w:fldCharType="begin"/>
          </w:r>
          <w:r>
            <w:rPr>
              <w:rFonts w:hint="default" w:ascii="Times New Roman" w:hAnsi="Times New Roman" w:eastAsia="宋体" w:cs="Times New Roman"/>
              <w:b/>
              <w:bCs/>
              <w:color w:val="auto"/>
              <w:sz w:val="28"/>
              <w:szCs w:val="28"/>
              <w:lang w:val="en-US" w:eastAsia="zh-CN"/>
            </w:rPr>
            <w:instrText xml:space="preserve"> HYPERLINK \l _Toc23888 </w:instrText>
          </w:r>
          <w:r>
            <w:rPr>
              <w:rFonts w:hint="default" w:ascii="Times New Roman" w:hAnsi="Times New Roman" w:eastAsia="宋体" w:cs="Times New Roman"/>
              <w:b/>
              <w:bCs/>
              <w:color w:val="auto"/>
              <w:sz w:val="28"/>
              <w:szCs w:val="28"/>
              <w:lang w:val="en-US" w:eastAsia="zh-CN"/>
            </w:rPr>
            <w:fldChar w:fldCharType="separate"/>
          </w:r>
          <w:r>
            <w:rPr>
              <w:rFonts w:hint="default" w:ascii="Times New Roman" w:hAnsi="Times New Roman" w:eastAsia="宋体" w:cs="Times New Roman"/>
              <w:b/>
              <w:bCs/>
              <w:color w:val="auto"/>
              <w:sz w:val="28"/>
              <w:szCs w:val="28"/>
              <w:lang w:val="en-US" w:eastAsia="zh-CN"/>
            </w:rPr>
            <w:t>7 环境影响经济损益分析</w:t>
          </w:r>
          <w:r>
            <w:rPr>
              <w:rFonts w:hint="default" w:ascii="Times New Roman" w:hAnsi="Times New Roman" w:cs="Times New Roman"/>
              <w:b/>
              <w:bCs/>
              <w:color w:val="auto"/>
              <w:sz w:val="28"/>
              <w:szCs w:val="28"/>
            </w:rPr>
            <w:tab/>
          </w:r>
          <w:r>
            <w:rPr>
              <w:rFonts w:hint="default" w:ascii="Times New Roman" w:hAnsi="Times New Roman" w:cs="Times New Roman"/>
              <w:b/>
              <w:bCs/>
              <w:color w:val="auto"/>
              <w:sz w:val="28"/>
              <w:szCs w:val="28"/>
            </w:rPr>
            <w:fldChar w:fldCharType="begin"/>
          </w:r>
          <w:r>
            <w:rPr>
              <w:rFonts w:hint="default" w:ascii="Times New Roman" w:hAnsi="Times New Roman" w:cs="Times New Roman"/>
              <w:b/>
              <w:bCs/>
              <w:color w:val="auto"/>
              <w:sz w:val="28"/>
              <w:szCs w:val="28"/>
            </w:rPr>
            <w:instrText xml:space="preserve"> PAGEREF _Toc23888 \h </w:instrText>
          </w:r>
          <w:r>
            <w:rPr>
              <w:rFonts w:hint="default" w:ascii="Times New Roman" w:hAnsi="Times New Roman" w:cs="Times New Roman"/>
              <w:b/>
              <w:bCs/>
              <w:color w:val="auto"/>
              <w:sz w:val="28"/>
              <w:szCs w:val="28"/>
            </w:rPr>
            <w:fldChar w:fldCharType="separate"/>
          </w:r>
          <w:r>
            <w:rPr>
              <w:rFonts w:hint="default" w:ascii="Times New Roman" w:hAnsi="Times New Roman" w:cs="Times New Roman"/>
              <w:b/>
              <w:bCs/>
              <w:color w:val="auto"/>
              <w:sz w:val="28"/>
              <w:szCs w:val="28"/>
            </w:rPr>
            <w:t>- 305 -</w:t>
          </w:r>
          <w:r>
            <w:rPr>
              <w:rFonts w:hint="default" w:ascii="Times New Roman" w:hAnsi="Times New Roman" w:cs="Times New Roman"/>
              <w:b/>
              <w:bCs/>
              <w:color w:val="auto"/>
              <w:sz w:val="28"/>
              <w:szCs w:val="28"/>
            </w:rPr>
            <w:fldChar w:fldCharType="end"/>
          </w:r>
          <w:r>
            <w:rPr>
              <w:rFonts w:hint="default" w:ascii="Times New Roman" w:hAnsi="Times New Roman" w:eastAsia="宋体" w:cs="Times New Roman"/>
              <w:b/>
              <w:bCs/>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_Toc28860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7.1 项目经济和社会效益分析</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_Toc28860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- 305 -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_Toc16497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7.2 环境效益分析</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_Toc16497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- 306 -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_Toc26390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7.3 小结</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_Toc26390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- 308 -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4"/>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b/>
              <w:bCs/>
              <w:color w:val="auto"/>
              <w:sz w:val="28"/>
              <w:szCs w:val="28"/>
              <w:lang w:val="en-US" w:eastAsia="zh-CN"/>
            </w:rPr>
            <w:fldChar w:fldCharType="begin"/>
          </w:r>
          <w:r>
            <w:rPr>
              <w:rFonts w:hint="default" w:ascii="Times New Roman" w:hAnsi="Times New Roman" w:eastAsia="宋体" w:cs="Times New Roman"/>
              <w:b/>
              <w:bCs/>
              <w:color w:val="auto"/>
              <w:sz w:val="28"/>
              <w:szCs w:val="28"/>
              <w:lang w:val="en-US" w:eastAsia="zh-CN"/>
            </w:rPr>
            <w:instrText xml:space="preserve"> HYPERLINK \l _Toc22219 </w:instrText>
          </w:r>
          <w:r>
            <w:rPr>
              <w:rFonts w:hint="default" w:ascii="Times New Roman" w:hAnsi="Times New Roman" w:eastAsia="宋体" w:cs="Times New Roman"/>
              <w:b/>
              <w:bCs/>
              <w:color w:val="auto"/>
              <w:sz w:val="28"/>
              <w:szCs w:val="28"/>
              <w:lang w:val="en-US" w:eastAsia="zh-CN"/>
            </w:rPr>
            <w:fldChar w:fldCharType="separate"/>
          </w:r>
          <w:r>
            <w:rPr>
              <w:rFonts w:hint="default" w:ascii="Times New Roman" w:hAnsi="Times New Roman" w:eastAsia="宋体" w:cs="Times New Roman"/>
              <w:b/>
              <w:bCs/>
              <w:color w:val="auto"/>
              <w:sz w:val="28"/>
              <w:szCs w:val="28"/>
              <w:lang w:val="en-US" w:eastAsia="zh-CN"/>
            </w:rPr>
            <w:t>8 环境管理与监测计划</w:t>
          </w:r>
          <w:r>
            <w:rPr>
              <w:rFonts w:hint="default" w:ascii="Times New Roman" w:hAnsi="Times New Roman" w:cs="Times New Roman"/>
              <w:b/>
              <w:bCs/>
              <w:color w:val="auto"/>
              <w:sz w:val="28"/>
              <w:szCs w:val="28"/>
            </w:rPr>
            <w:tab/>
          </w:r>
          <w:r>
            <w:rPr>
              <w:rFonts w:hint="default" w:ascii="Times New Roman" w:hAnsi="Times New Roman" w:cs="Times New Roman"/>
              <w:b/>
              <w:bCs/>
              <w:color w:val="auto"/>
              <w:sz w:val="28"/>
              <w:szCs w:val="28"/>
            </w:rPr>
            <w:fldChar w:fldCharType="begin"/>
          </w:r>
          <w:r>
            <w:rPr>
              <w:rFonts w:hint="default" w:ascii="Times New Roman" w:hAnsi="Times New Roman" w:cs="Times New Roman"/>
              <w:b/>
              <w:bCs/>
              <w:color w:val="auto"/>
              <w:sz w:val="28"/>
              <w:szCs w:val="28"/>
            </w:rPr>
            <w:instrText xml:space="preserve"> PAGEREF _Toc22219 \h </w:instrText>
          </w:r>
          <w:r>
            <w:rPr>
              <w:rFonts w:hint="default" w:ascii="Times New Roman" w:hAnsi="Times New Roman" w:cs="Times New Roman"/>
              <w:b/>
              <w:bCs/>
              <w:color w:val="auto"/>
              <w:sz w:val="28"/>
              <w:szCs w:val="28"/>
            </w:rPr>
            <w:fldChar w:fldCharType="separate"/>
          </w:r>
          <w:r>
            <w:rPr>
              <w:rFonts w:hint="default" w:ascii="Times New Roman" w:hAnsi="Times New Roman" w:cs="Times New Roman"/>
              <w:b/>
              <w:bCs/>
              <w:color w:val="auto"/>
              <w:sz w:val="28"/>
              <w:szCs w:val="28"/>
            </w:rPr>
            <w:t>- 309 -</w:t>
          </w:r>
          <w:r>
            <w:rPr>
              <w:rFonts w:hint="default" w:ascii="Times New Roman" w:hAnsi="Times New Roman" w:cs="Times New Roman"/>
              <w:b/>
              <w:bCs/>
              <w:color w:val="auto"/>
              <w:sz w:val="28"/>
              <w:szCs w:val="28"/>
            </w:rPr>
            <w:fldChar w:fldCharType="end"/>
          </w:r>
          <w:r>
            <w:rPr>
              <w:rFonts w:hint="default" w:ascii="Times New Roman" w:hAnsi="Times New Roman" w:eastAsia="宋体" w:cs="Times New Roman"/>
              <w:b/>
              <w:bCs/>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_Toc11764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8.1 环境管理</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_Toc11764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- 309 -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_Toc526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8.2 环境监理</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_Toc526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- 315 -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_Toc21420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8.3 环境监测</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_Toc21420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- 316 -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_Toc9472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8.4 污染源排放管理</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_Toc9472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- 319 -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_Toc3754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8.5 竣工验收管理</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_Toc3754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- 327 -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_Toc26668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8.6 排污许可衔接</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_Toc26668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- 331 -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4"/>
            <w:tabs>
              <w:tab w:val="right" w:leader="dot" w:pos="8306"/>
            </w:tabs>
            <w:rPr>
              <w:rFonts w:hint="default" w:ascii="Times New Roman" w:hAnsi="Times New Roman" w:cs="Times New Roman"/>
              <w:b/>
              <w:bCs/>
              <w:color w:val="auto"/>
              <w:sz w:val="28"/>
              <w:szCs w:val="28"/>
            </w:rPr>
          </w:pPr>
          <w:r>
            <w:rPr>
              <w:rFonts w:hint="default" w:ascii="Times New Roman" w:hAnsi="Times New Roman" w:eastAsia="宋体" w:cs="Times New Roman"/>
              <w:b/>
              <w:bCs/>
              <w:color w:val="auto"/>
              <w:sz w:val="28"/>
              <w:szCs w:val="28"/>
              <w:lang w:val="en-US" w:eastAsia="zh-CN"/>
            </w:rPr>
            <w:fldChar w:fldCharType="begin"/>
          </w:r>
          <w:r>
            <w:rPr>
              <w:rFonts w:hint="default" w:ascii="Times New Roman" w:hAnsi="Times New Roman" w:eastAsia="宋体" w:cs="Times New Roman"/>
              <w:b/>
              <w:bCs/>
              <w:color w:val="auto"/>
              <w:sz w:val="28"/>
              <w:szCs w:val="28"/>
              <w:lang w:val="en-US" w:eastAsia="zh-CN"/>
            </w:rPr>
            <w:instrText xml:space="preserve"> HYPERLINK \l _Toc18902 </w:instrText>
          </w:r>
          <w:r>
            <w:rPr>
              <w:rFonts w:hint="default" w:ascii="Times New Roman" w:hAnsi="Times New Roman" w:eastAsia="宋体" w:cs="Times New Roman"/>
              <w:b/>
              <w:bCs/>
              <w:color w:val="auto"/>
              <w:sz w:val="28"/>
              <w:szCs w:val="28"/>
              <w:lang w:val="en-US" w:eastAsia="zh-CN"/>
            </w:rPr>
            <w:fldChar w:fldCharType="separate"/>
          </w:r>
          <w:r>
            <w:rPr>
              <w:rFonts w:hint="default" w:ascii="Times New Roman" w:hAnsi="Times New Roman" w:eastAsia="宋体" w:cs="Times New Roman"/>
              <w:b/>
              <w:bCs/>
              <w:color w:val="auto"/>
              <w:sz w:val="28"/>
              <w:szCs w:val="28"/>
              <w:lang w:val="en-US" w:eastAsia="zh-CN"/>
            </w:rPr>
            <w:t>9 环境影响评价结论</w:t>
          </w:r>
          <w:r>
            <w:rPr>
              <w:rFonts w:hint="default" w:ascii="Times New Roman" w:hAnsi="Times New Roman" w:cs="Times New Roman"/>
              <w:b/>
              <w:bCs/>
              <w:color w:val="auto"/>
              <w:sz w:val="28"/>
              <w:szCs w:val="28"/>
            </w:rPr>
            <w:tab/>
          </w:r>
          <w:r>
            <w:rPr>
              <w:rFonts w:hint="default" w:ascii="Times New Roman" w:hAnsi="Times New Roman" w:cs="Times New Roman"/>
              <w:b/>
              <w:bCs/>
              <w:color w:val="auto"/>
              <w:sz w:val="28"/>
              <w:szCs w:val="28"/>
            </w:rPr>
            <w:fldChar w:fldCharType="begin"/>
          </w:r>
          <w:r>
            <w:rPr>
              <w:rFonts w:hint="default" w:ascii="Times New Roman" w:hAnsi="Times New Roman" w:cs="Times New Roman"/>
              <w:b/>
              <w:bCs/>
              <w:color w:val="auto"/>
              <w:sz w:val="28"/>
              <w:szCs w:val="28"/>
            </w:rPr>
            <w:instrText xml:space="preserve"> PAGEREF _Toc18902 \h </w:instrText>
          </w:r>
          <w:r>
            <w:rPr>
              <w:rFonts w:hint="default" w:ascii="Times New Roman" w:hAnsi="Times New Roman" w:cs="Times New Roman"/>
              <w:b/>
              <w:bCs/>
              <w:color w:val="auto"/>
              <w:sz w:val="28"/>
              <w:szCs w:val="28"/>
            </w:rPr>
            <w:fldChar w:fldCharType="separate"/>
          </w:r>
          <w:r>
            <w:rPr>
              <w:rFonts w:hint="default" w:ascii="Times New Roman" w:hAnsi="Times New Roman" w:cs="Times New Roman"/>
              <w:b/>
              <w:bCs/>
              <w:color w:val="auto"/>
              <w:sz w:val="28"/>
              <w:szCs w:val="28"/>
            </w:rPr>
            <w:t>- 332 -</w:t>
          </w:r>
          <w:r>
            <w:rPr>
              <w:rFonts w:hint="default" w:ascii="Times New Roman" w:hAnsi="Times New Roman" w:cs="Times New Roman"/>
              <w:b/>
              <w:bCs/>
              <w:color w:val="auto"/>
              <w:sz w:val="28"/>
              <w:szCs w:val="28"/>
            </w:rPr>
            <w:fldChar w:fldCharType="end"/>
          </w:r>
          <w:r>
            <w:rPr>
              <w:rFonts w:hint="default" w:ascii="Times New Roman" w:hAnsi="Times New Roman" w:eastAsia="宋体" w:cs="Times New Roman"/>
              <w:b/>
              <w:bCs/>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_Toc1342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9.1 项目概况</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_Toc1342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- 332 -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_Toc28931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9.2 环境质量现状</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_Toc28931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- 332 -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_Toc22058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9.3 施工期环境影响评价结论</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_Toc22058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- 333 -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_Toc26112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9.4 环境影响及保护措施分析结论</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_Toc26112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- 334 -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_Toc3720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9.5 环境管理与经济损益结论</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_Toc3720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- 336 -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pStyle w:val="16"/>
            <w:tabs>
              <w:tab w:val="right" w:leader="dot" w:pos="8306"/>
            </w:tabs>
            <w:rPr>
              <w:rFonts w:hint="default" w:ascii="Times New Roman" w:hAnsi="Times New Roman" w:cs="Times New Roman"/>
              <w:color w:val="auto"/>
              <w:sz w:val="28"/>
              <w:szCs w:val="28"/>
            </w:rPr>
          </w:pPr>
          <w:r>
            <w:rPr>
              <w:rFonts w:hint="default" w:ascii="Times New Roman" w:hAnsi="Times New Roman" w:eastAsia="宋体" w:cs="Times New Roman"/>
              <w:color w:val="auto"/>
              <w:sz w:val="28"/>
              <w:szCs w:val="28"/>
              <w:lang w:val="en-US" w:eastAsia="zh-CN"/>
            </w:rPr>
            <w:fldChar w:fldCharType="begin"/>
          </w:r>
          <w:r>
            <w:rPr>
              <w:rFonts w:hint="default" w:ascii="Times New Roman" w:hAnsi="Times New Roman" w:eastAsia="宋体" w:cs="Times New Roman"/>
              <w:color w:val="auto"/>
              <w:sz w:val="28"/>
              <w:szCs w:val="28"/>
              <w:lang w:val="en-US" w:eastAsia="zh-CN"/>
            </w:rPr>
            <w:instrText xml:space="preserve"> HYPERLINK \l _Toc2819 </w:instrText>
          </w:r>
          <w:r>
            <w:rPr>
              <w:rFonts w:hint="default" w:ascii="Times New Roman" w:hAnsi="Times New Roman" w:eastAsia="宋体" w:cs="Times New Roman"/>
              <w:color w:val="auto"/>
              <w:sz w:val="28"/>
              <w:szCs w:val="28"/>
              <w:lang w:val="en-US" w:eastAsia="zh-CN"/>
            </w:rPr>
            <w:fldChar w:fldCharType="separate"/>
          </w:r>
          <w:r>
            <w:rPr>
              <w:rFonts w:hint="default" w:ascii="Times New Roman" w:hAnsi="Times New Roman" w:eastAsia="宋体" w:cs="Times New Roman"/>
              <w:bCs/>
              <w:color w:val="auto"/>
              <w:sz w:val="28"/>
              <w:szCs w:val="28"/>
              <w:lang w:val="en-US" w:eastAsia="zh-CN"/>
            </w:rPr>
            <w:t>9.6 结论与建议</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_Toc2819 \h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- 336 -</w:t>
          </w:r>
          <w:r>
            <w:rPr>
              <w:rFonts w:hint="default" w:ascii="Times New Roman" w:hAnsi="Times New Roman" w:cs="Times New Roman"/>
              <w:color w:val="auto"/>
              <w:sz w:val="28"/>
              <w:szCs w:val="28"/>
            </w:rPr>
            <w:fldChar w:fldCharType="end"/>
          </w:r>
          <w:r>
            <w:rPr>
              <w:rFonts w:hint="default" w:ascii="Times New Roman" w:hAnsi="Times New Roman" w:eastAsia="宋体" w:cs="Times New Roman"/>
              <w:color w:val="auto"/>
              <w:sz w:val="28"/>
              <w:szCs w:val="28"/>
              <w:lang w:val="en-US" w:eastAsia="zh-CN"/>
            </w:rPr>
            <w:fldChar w:fldCharType="end"/>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8"/>
              <w:szCs w:val="28"/>
              <w:lang w:val="en-US" w:eastAsia="zh-CN"/>
            </w:rPr>
            <w:fldChar w:fldCharType="end"/>
          </w:r>
        </w:p>
      </w:sdtContent>
    </w:sdt>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headerReference r:id="rId4" w:type="default"/>
          <w:footerReference r:id="rId5"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Times New Roman" w:hAnsi="Times New Roman" w:eastAsia="宋体" w:cs="Times New Roman"/>
          <w:color w:val="auto"/>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0"/>
        <w:rPr>
          <w:rFonts w:hint="default" w:ascii="Times New Roman" w:hAnsi="Times New Roman" w:eastAsia="宋体" w:cs="Times New Roman"/>
          <w:color w:val="auto"/>
          <w:sz w:val="24"/>
          <w:szCs w:val="24"/>
          <w:lang w:val="en-US" w:eastAsia="zh-CN"/>
        </w:rPr>
      </w:pPr>
      <w:bookmarkStart w:id="0" w:name="_Toc20447"/>
      <w:r>
        <w:rPr>
          <w:rFonts w:hint="eastAsia" w:ascii="Times New Roman" w:hAnsi="Times New Roman" w:eastAsia="宋体" w:cs="Times New Roman"/>
          <w:b/>
          <w:bCs/>
          <w:color w:val="auto"/>
          <w:sz w:val="32"/>
          <w:szCs w:val="32"/>
          <w:lang w:val="en-US" w:eastAsia="zh-CN"/>
        </w:rPr>
        <w:t>1 概述</w:t>
      </w:r>
      <w:bookmarkEnd w:id="0"/>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b/>
          <w:bCs/>
          <w:color w:val="auto"/>
          <w:sz w:val="28"/>
          <w:szCs w:val="28"/>
          <w:lang w:val="en-US" w:eastAsia="zh-CN"/>
        </w:rPr>
      </w:pPr>
      <w:bookmarkStart w:id="1" w:name="_Toc6871"/>
      <w:r>
        <w:rPr>
          <w:rFonts w:hint="eastAsia" w:ascii="Times New Roman" w:hAnsi="Times New Roman" w:eastAsia="宋体" w:cs="Times New Roman"/>
          <w:b/>
          <w:bCs/>
          <w:color w:val="auto"/>
          <w:sz w:val="30"/>
          <w:szCs w:val="30"/>
          <w:lang w:val="en-US" w:eastAsia="zh-CN"/>
        </w:rPr>
        <w:t>1.1 项目背景及特点</w:t>
      </w:r>
      <w:bookmarkEnd w:id="1"/>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植物油加工过程中会产生大量的副产品——油脚、皂脚、废白土和助滤剂。这些副产品因为含油率高，易酸败、发臭，许多企业选择将其直接填埋，或选择低价处理。处理的油脚、皂脚和废白土油要不被小作坊简单加工再流回餐桌，要不被作为加工肥皂的原料，不仅对于人们的餐饮安全造成了一定的威胁，同时资源利用率也极低。有些企业收到的废油后，经过简单处理（脱水、去杂）或是简单蒸馏之后将产品卖掉，残渣等未经处理直接掩埋焚烧，造成资源浪费和环境危害。</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新疆嘉宏生物科技有限公司原名呼图壁县宏安化工有限公司，位于呼图壁工业园区西区，原为煤焦油加工类企业，采用常压蒸馏工艺年加工15万吨煤焦油，生产产品为燃料油，于2018年建成投运，因不符合《呼图壁工业园区总体规划》，企业于2019年关停，并基本拆除了主要生产设备。</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在此背景下，新疆嘉宏生物科技有限公司考虑产业转型升级，看重了利用动植物油脂、皂脚、半成品有机肥（牛羊粪沤肥）、废白土及助滤剂为原料生产生有机肥、水溶肥、钻井石油助剂、饲料油、脂肪酸甲酯等产品。</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新疆嘉宏生物科技有限公司（以下简称“该公司”）是一家以生物技术推广服务；植物油脂加工产品生产、销售；有机肥料及微生物肥料的生产、销售；有机肥料及微生物肥料技术研发为主营业务的企业，可用动植物油脂、半成品有机肥（牛羊粪沤肥）、皂脚、废白土及助滤剂为原料生产生有机肥、水溶肥、钻井石油助剂、饲料油、脂肪酸甲酯等产品。企业周边每年产生大量的动植物油脂、皂脚、废白土和助滤剂，该公司可利用成熟的技术将其制成生物有机肥、有机无机复混肥、水溶肥、钻井石油助剂、脂肪酸甲酯、饲料油、磷脂油等产品。因此该公司决定建设新疆嘉宏生物科技有限公司废弃动植物油脂等资源循环再利用项目（以下简称“本项目”或“项目”），本项目的建设不仅可以给企业带来可观的经济收益，还可以避免废动植物油、皂脚和废白土处理不当造成资源浪费和环境危害。因此，本项目的建设是十分必要的。</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color w:val="auto"/>
          <w:sz w:val="30"/>
          <w:szCs w:val="30"/>
          <w:lang w:val="en-US" w:eastAsia="zh-CN"/>
        </w:rPr>
      </w:pPr>
      <w:bookmarkStart w:id="2" w:name="_Toc9060"/>
      <w:r>
        <w:rPr>
          <w:rFonts w:hint="eastAsia" w:ascii="Times New Roman" w:hAnsi="Times New Roman" w:eastAsia="宋体" w:cs="Times New Roman"/>
          <w:b/>
          <w:bCs/>
          <w:color w:val="auto"/>
          <w:sz w:val="30"/>
          <w:szCs w:val="30"/>
          <w:lang w:val="en-US" w:eastAsia="zh-CN"/>
        </w:rPr>
        <w:t>1.2 环境影响评价工作过程</w:t>
      </w:r>
      <w:bookmarkEnd w:id="2"/>
    </w:p>
    <w:p>
      <w:pPr>
        <w:keepNext w:val="0"/>
        <w:keepLines w:val="0"/>
        <w:pageBreakBefore w:val="0"/>
        <w:widowControl w:val="0"/>
        <w:kinsoku/>
        <w:wordWrap w:val="0"/>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本项目主要包含生物有机肥生产线、</w:t>
      </w:r>
      <w:r>
        <w:rPr>
          <w:rFonts w:hint="eastAsia" w:ascii="Times New Roman" w:hAnsi="Times New Roman" w:eastAsia="宋体" w:cs="Times New Roman"/>
          <w:color w:val="auto"/>
          <w:sz w:val="24"/>
          <w:szCs w:val="24"/>
          <w:highlight w:val="none"/>
          <w:lang w:val="en-US" w:eastAsia="zh-CN"/>
        </w:rPr>
        <w:t>生物燃料</w:t>
      </w:r>
      <w:r>
        <w:rPr>
          <w:rFonts w:hint="eastAsia" w:ascii="Times New Roman" w:hAnsi="Times New Roman" w:eastAsia="宋体" w:cs="Times New Roman"/>
          <w:color w:val="auto"/>
          <w:sz w:val="24"/>
          <w:szCs w:val="24"/>
          <w:lang w:val="en-US" w:eastAsia="zh-CN"/>
        </w:rPr>
        <w:t>生产线、水溶肥生产线、饲料油、磷脂油加工生产线，主要产品为生物有机肥、有机无机复混肥、水溶肥、钻井石油助剂、脂肪酸甲酯及油脂类加工产品。根据《建设项目环境影响评价分类管理名录》（2021 年版）等的有关规定，本项目所属生产线类别详见下表。</w:t>
      </w:r>
    </w:p>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1.2-1    拟建项目分类名录一览表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9"/>
        <w:gridCol w:w="982"/>
        <w:gridCol w:w="815"/>
        <w:gridCol w:w="907"/>
        <w:gridCol w:w="4638"/>
        <w:gridCol w:w="7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序号</w:t>
            </w:r>
          </w:p>
        </w:tc>
        <w:tc>
          <w:tcPr>
            <w:tcW w:w="576"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项目生产线</w:t>
            </w:r>
          </w:p>
        </w:tc>
        <w:tc>
          <w:tcPr>
            <w:tcW w:w="478"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项目产品</w:t>
            </w:r>
          </w:p>
        </w:tc>
        <w:tc>
          <w:tcPr>
            <w:tcW w:w="532"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产业代码</w:t>
            </w:r>
          </w:p>
        </w:tc>
        <w:tc>
          <w:tcPr>
            <w:tcW w:w="2720"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行业类别</w:t>
            </w:r>
          </w:p>
        </w:tc>
        <w:tc>
          <w:tcPr>
            <w:tcW w:w="423"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报告书/报告表/登记表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576"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生物有机肥生产线</w:t>
            </w:r>
          </w:p>
        </w:tc>
        <w:tc>
          <w:tcPr>
            <w:tcW w:w="478"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生物有机肥/有机无机复混肥</w:t>
            </w:r>
          </w:p>
        </w:tc>
        <w:tc>
          <w:tcPr>
            <w:tcW w:w="532"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C2625有机肥料及微生物肥料制造</w:t>
            </w:r>
          </w:p>
        </w:tc>
        <w:tc>
          <w:tcPr>
            <w:tcW w:w="2720"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二十三、化学原料和化学制品制造业26-45.肥料制造262-其他</w:t>
            </w:r>
          </w:p>
        </w:tc>
        <w:tc>
          <w:tcPr>
            <w:tcW w:w="423"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报告表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576"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水溶肥生产线</w:t>
            </w:r>
          </w:p>
        </w:tc>
        <w:tc>
          <w:tcPr>
            <w:tcW w:w="478"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水溶肥</w:t>
            </w:r>
          </w:p>
        </w:tc>
        <w:tc>
          <w:tcPr>
            <w:tcW w:w="532"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C2629其他肥料制造</w:t>
            </w:r>
          </w:p>
        </w:tc>
        <w:tc>
          <w:tcPr>
            <w:tcW w:w="2720"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二十三、化学原料和化学制品制造业26-45.肥料制造262-其他</w:t>
            </w:r>
          </w:p>
        </w:tc>
        <w:tc>
          <w:tcPr>
            <w:tcW w:w="423"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报告表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576"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生物燃料生产线</w:t>
            </w:r>
          </w:p>
        </w:tc>
        <w:tc>
          <w:tcPr>
            <w:tcW w:w="478"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脂肪酸甲酯/钻井石油助剂</w:t>
            </w:r>
          </w:p>
        </w:tc>
        <w:tc>
          <w:tcPr>
            <w:tcW w:w="532"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C2662专项化学用品制造</w:t>
            </w:r>
          </w:p>
        </w:tc>
        <w:tc>
          <w:tcPr>
            <w:tcW w:w="2720"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二十三、化学原料和化学制品制造业26-44.基础化学原理制造261；农药制造263；涂料、油墨、颜料及类似产品制造264；合成材料制造265；专用化学产品制造266；炸药、火工及焰火产品制造267-全部（含研发中试；不含单纯物理分离、物理提纯、混合、分装的）</w:t>
            </w:r>
          </w:p>
        </w:tc>
        <w:tc>
          <w:tcPr>
            <w:tcW w:w="423"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报告书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576"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饲料油、磷脂油加工生产线</w:t>
            </w:r>
          </w:p>
        </w:tc>
        <w:tc>
          <w:tcPr>
            <w:tcW w:w="478"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饲料油/磷脂油</w:t>
            </w:r>
          </w:p>
        </w:tc>
        <w:tc>
          <w:tcPr>
            <w:tcW w:w="532"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C1353肉制品及副产品加工</w:t>
            </w:r>
          </w:p>
        </w:tc>
        <w:tc>
          <w:tcPr>
            <w:tcW w:w="2720"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十、农副食品加工业13-18.屠宰及肉类加工135*-其他肉类加工</w:t>
            </w:r>
          </w:p>
        </w:tc>
        <w:tc>
          <w:tcPr>
            <w:tcW w:w="423"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登记表</w:t>
            </w:r>
          </w:p>
        </w:tc>
      </w:tr>
    </w:tbl>
    <w:p>
      <w:pPr>
        <w:keepNext w:val="0"/>
        <w:keepLines w:val="0"/>
        <w:pageBreakBefore w:val="0"/>
        <w:widowControl w:val="0"/>
        <w:kinsoku/>
        <w:wordWrap w:val="0"/>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根据《建设项目环境影响评价分类管理名录》（2021 年版）第四条：“建设内容涉及本名录两个及以上项目类别的建设项目，其环境影响评价类别按照其中单项等级最高的确定。”根据上表 1.2-1 本项目单项等级最高的生物燃料生产线，因此本项目属于“</w:t>
      </w:r>
      <w:r>
        <w:rPr>
          <w:rFonts w:hint="eastAsia" w:ascii="Times New Roman" w:hAnsi="Times New Roman" w:eastAsia="宋体" w:cs="Times New Roman"/>
          <w:color w:val="auto"/>
          <w:sz w:val="24"/>
          <w:szCs w:val="24"/>
          <w:vertAlign w:val="baseline"/>
          <w:lang w:val="en-US" w:eastAsia="zh-CN"/>
        </w:rPr>
        <w:t>二十三、化学原料和化学制品制造业26-44.基础化学原理制造261；农药制造263；涂料、油墨、颜料及类似产品制造264；合成材料制造265；专用化学产品制造266；炸药、火工及焰火产品制造267-全部（含研发中试；不含单纯物理分离、物理提纯、混合、分装的）”，应编制环境影响报告书。</w:t>
      </w:r>
    </w:p>
    <w:p>
      <w:pPr>
        <w:keepNext w:val="0"/>
        <w:keepLines w:val="0"/>
        <w:pageBreakBefore w:val="0"/>
        <w:widowControl w:val="0"/>
        <w:kinsoku/>
        <w:wordWrap w:val="0"/>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2023 年 8 月，受新疆嘉宏生物科技有限公司的委托，昌吉市新瑞鑫诚环保咨询服务有限公司承担该项目的环境影响评价工作。评价单位接受委托后，即进行了现场调查及资料收集，在此基础上，编制完成了本项目环境影响报告书，并提交生态环境主管部门进行审查。</w:t>
      </w:r>
    </w:p>
    <w:p>
      <w:pPr>
        <w:keepNext w:val="0"/>
        <w:keepLines w:val="0"/>
        <w:pageBreakBefore w:val="0"/>
        <w:widowControl w:val="0"/>
        <w:kinsoku/>
        <w:wordWrap w:val="0"/>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本次环境影响评价工作分三个阶段完成，即前期准备、调研和工作方案阶段，分析论证和预测评价阶段，环境影响文件编制阶段。</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建设项目环境影响评价工作程序见图1.2-1。</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4"/>
          <w:szCs w:val="24"/>
          <w:lang w:val="en-US" w:eastAsia="zh-CN"/>
        </w:rPr>
      </w:pPr>
      <w:r>
        <w:rPr>
          <w:color w:val="auto"/>
        </w:rPr>
        <w:drawing>
          <wp:inline distT="0" distB="0" distL="114300" distR="114300">
            <wp:extent cx="5266055" cy="6136640"/>
            <wp:effectExtent l="0" t="0" r="10795" b="1651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8"/>
                    <a:stretch>
                      <a:fillRect/>
                    </a:stretch>
                  </pic:blipFill>
                  <pic:spPr>
                    <a:xfrm>
                      <a:off x="0" y="0"/>
                      <a:ext cx="5266055" cy="61366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图1.2-1  建设项目环境影响评价工作程序图</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color w:val="auto"/>
          <w:sz w:val="24"/>
          <w:szCs w:val="24"/>
          <w:lang w:val="en-US" w:eastAsia="zh-CN"/>
        </w:rPr>
      </w:pPr>
      <w:bookmarkStart w:id="3" w:name="_Toc26255"/>
      <w:r>
        <w:rPr>
          <w:rFonts w:hint="default" w:ascii="Times New Roman" w:hAnsi="Times New Roman" w:eastAsia="宋体" w:cs="Times New Roman"/>
          <w:b/>
          <w:bCs/>
          <w:color w:val="auto"/>
          <w:sz w:val="30"/>
          <w:szCs w:val="30"/>
          <w:lang w:val="en-US" w:eastAsia="zh-CN"/>
        </w:rPr>
        <w:t>1.3 分析判定相关情况</w:t>
      </w:r>
      <w:bookmarkEnd w:id="3"/>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Times New Roman" w:hAnsi="Times New Roman" w:eastAsia="宋体" w:cs="Times New Roman"/>
          <w:color w:val="auto"/>
          <w:sz w:val="28"/>
          <w:szCs w:val="28"/>
          <w:lang w:val="en-US" w:eastAsia="zh-CN"/>
        </w:rPr>
      </w:pPr>
      <w:r>
        <w:rPr>
          <w:rFonts w:hint="default" w:ascii="Times New Roman" w:hAnsi="Times New Roman" w:eastAsia="宋体" w:cs="Times New Roman"/>
          <w:b/>
          <w:bCs/>
          <w:color w:val="auto"/>
          <w:sz w:val="28"/>
          <w:szCs w:val="28"/>
          <w:lang w:val="en-US" w:eastAsia="zh-CN"/>
        </w:rPr>
        <w:t xml:space="preserve">1.3.1 </w:t>
      </w:r>
      <w:r>
        <w:rPr>
          <w:rFonts w:hint="eastAsia" w:ascii="Times New Roman" w:hAnsi="Times New Roman" w:eastAsia="宋体" w:cs="Times New Roman"/>
          <w:b/>
          <w:bCs/>
          <w:color w:val="auto"/>
          <w:sz w:val="28"/>
          <w:szCs w:val="28"/>
          <w:lang w:val="en-US" w:eastAsia="zh-CN"/>
        </w:rPr>
        <w:t>与相关</w:t>
      </w:r>
      <w:r>
        <w:rPr>
          <w:rFonts w:hint="default" w:ascii="Times New Roman" w:hAnsi="Times New Roman" w:eastAsia="宋体" w:cs="Times New Roman"/>
          <w:b/>
          <w:bCs/>
          <w:color w:val="auto"/>
          <w:sz w:val="28"/>
          <w:szCs w:val="28"/>
          <w:lang w:val="en-US" w:eastAsia="zh-CN"/>
        </w:rPr>
        <w:t>产业政策</w:t>
      </w:r>
      <w:r>
        <w:rPr>
          <w:rFonts w:hint="eastAsia" w:ascii="Times New Roman" w:hAnsi="Times New Roman" w:eastAsia="宋体" w:cs="Times New Roman"/>
          <w:b/>
          <w:bCs/>
          <w:color w:val="auto"/>
          <w:sz w:val="28"/>
          <w:szCs w:val="28"/>
          <w:lang w:val="en-US" w:eastAsia="zh-CN"/>
        </w:rPr>
        <w:t>的符合性</w:t>
      </w:r>
      <w:r>
        <w:rPr>
          <w:rFonts w:hint="default" w:ascii="Times New Roman" w:hAnsi="Times New Roman" w:eastAsia="宋体" w:cs="Times New Roman"/>
          <w:b/>
          <w:bCs/>
          <w:color w:val="auto"/>
          <w:sz w:val="28"/>
          <w:szCs w:val="28"/>
          <w:lang w:val="en-US" w:eastAsia="zh-CN"/>
        </w:rPr>
        <w:t>分析</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1.3.1.1 与《产业结构调整指导目录（2024 年本）》的符合性分析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本项目以植物油厂生产过程中所产生的废料及屠宰场生产过程中产生的动物脂肪为原料，生产生物有机肥、有机无机复混肥、水溶肥、钻井石油助剂、脂肪酸甲酯、饲料油及磷脂油等产品。</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本项目与《产业结构调整指导目录（2024 年本）》符合性分析详见下表 1.3-1。</w:t>
      </w:r>
    </w:p>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1.3-1  项目与《产业结构调整指导目录（2024 年本）》符合性一览表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4"/>
        <w:gridCol w:w="924"/>
        <w:gridCol w:w="750"/>
        <w:gridCol w:w="827"/>
        <w:gridCol w:w="5082"/>
        <w:gridCol w:w="4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序号</w:t>
            </w:r>
          </w:p>
        </w:tc>
        <w:tc>
          <w:tcPr>
            <w:tcW w:w="542"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项目生产线</w:t>
            </w:r>
          </w:p>
        </w:tc>
        <w:tc>
          <w:tcPr>
            <w:tcW w:w="440"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项目产品</w:t>
            </w:r>
          </w:p>
        </w:tc>
        <w:tc>
          <w:tcPr>
            <w:tcW w:w="485"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产业代码</w:t>
            </w:r>
          </w:p>
        </w:tc>
        <w:tc>
          <w:tcPr>
            <w:tcW w:w="2980"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产业结构调整指导目录（2024 年本）</w:t>
            </w:r>
          </w:p>
        </w:tc>
        <w:tc>
          <w:tcPr>
            <w:tcW w:w="284"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542"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生物有机肥生产线</w:t>
            </w:r>
          </w:p>
        </w:tc>
        <w:tc>
          <w:tcPr>
            <w:tcW w:w="440"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生物有机肥/有机无机复混肥</w:t>
            </w:r>
          </w:p>
        </w:tc>
        <w:tc>
          <w:tcPr>
            <w:tcW w:w="485"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C2625有机肥料及微生物肥料制造</w:t>
            </w:r>
          </w:p>
        </w:tc>
        <w:tc>
          <w:tcPr>
            <w:tcW w:w="2980" w:type="pct"/>
            <w:vMerge w:val="restar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第一类、鼓励类-一、农林牧渔业-13.绿色农业：全生物降解地膜、高强度易回收地膜农田示范与应用，受污染耕地风险管控与修复，符合绿色低碳循环要求的饲料、饲料添加剂、肥料、农药、兽药等优质安全环保农业投入品及绿色食品生产允许使用的食品添加剂开发，农产品及其产地环境监测技术开发和应用，</w:t>
            </w:r>
            <w:r>
              <w:rPr>
                <w:rFonts w:hint="eastAsia" w:ascii="Times New Roman" w:hAnsi="Times New Roman" w:eastAsia="宋体" w:cs="Times New Roman"/>
                <w:b/>
                <w:bCs/>
                <w:color w:val="auto"/>
                <w:sz w:val="21"/>
                <w:szCs w:val="21"/>
                <w:vertAlign w:val="baseline"/>
                <w:lang w:val="en-US" w:eastAsia="zh-CN"/>
              </w:rPr>
              <w:t>有机废弃物无害化、价值化处理及有机肥料产业化技术开发与应用</w:t>
            </w:r>
          </w:p>
        </w:tc>
        <w:tc>
          <w:tcPr>
            <w:tcW w:w="284"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542"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水溶肥生产线</w:t>
            </w:r>
          </w:p>
        </w:tc>
        <w:tc>
          <w:tcPr>
            <w:tcW w:w="440"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水溶肥</w:t>
            </w:r>
          </w:p>
        </w:tc>
        <w:tc>
          <w:tcPr>
            <w:tcW w:w="485"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C2629其他肥料制造</w:t>
            </w:r>
          </w:p>
        </w:tc>
        <w:tc>
          <w:tcPr>
            <w:tcW w:w="2980" w:type="pct"/>
            <w:vMerge w:val="continue"/>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284"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542"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生物燃料生产线</w:t>
            </w:r>
          </w:p>
        </w:tc>
        <w:tc>
          <w:tcPr>
            <w:tcW w:w="440"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脂肪酸甲酯/钻井石油助剂</w:t>
            </w:r>
          </w:p>
        </w:tc>
        <w:tc>
          <w:tcPr>
            <w:tcW w:w="485"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C2662专项化学用品制造</w:t>
            </w:r>
          </w:p>
        </w:tc>
        <w:tc>
          <w:tcPr>
            <w:tcW w:w="2980"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第一类、鼓励类-五、新能源-3．生物质能发电技术与应用：生物质纤维素乙醇、</w:t>
            </w:r>
            <w:r>
              <w:rPr>
                <w:rFonts w:hint="eastAsia" w:ascii="Times New Roman" w:hAnsi="Times New Roman" w:eastAsia="宋体" w:cs="Times New Roman"/>
                <w:b/>
                <w:bCs/>
                <w:color w:val="auto"/>
                <w:sz w:val="21"/>
                <w:szCs w:val="21"/>
                <w:vertAlign w:val="baseline"/>
                <w:lang w:val="en-US" w:eastAsia="zh-CN"/>
              </w:rPr>
              <w:t>生物燃油（柴油、汽油、航空煤油）等非粮生物质燃料生产技术开发与应用</w:t>
            </w:r>
            <w:r>
              <w:rPr>
                <w:rFonts w:hint="eastAsia" w:ascii="Times New Roman" w:hAnsi="Times New Roman" w:eastAsia="宋体" w:cs="Times New Roman"/>
                <w:color w:val="auto"/>
                <w:sz w:val="21"/>
                <w:szCs w:val="21"/>
                <w:vertAlign w:val="baseline"/>
                <w:lang w:val="en-US" w:eastAsia="zh-CN"/>
              </w:rPr>
              <w:t>，生物质直燃、气化发电及热电联产技术开发与设备制造，农林生物质资源收集、运输、储存技术开发与设备制造，农林生物质成型燃料加工设备、气化设备、锅炉和炉具制造，以农作物秸秆、畜禽粪便、厨余垃圾、工业有机废弃物、有机污水污泥等各类城乡有机废弃物为原料的大型沼气和生物天然气生产成套设备，沼气发电机组、沼气净化设备、沼气管道供气、沼气提纯压缩液化制备生物天然气设备、装罐成套设备制造，秸秆热解气化相关设备制造，可持续航空燃料原料高效收储运技术与设备研发与应用，可持续航空燃料生产与应用</w:t>
            </w:r>
          </w:p>
        </w:tc>
        <w:tc>
          <w:tcPr>
            <w:tcW w:w="284"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542"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饲料油、磷脂油加工生产线</w:t>
            </w:r>
          </w:p>
        </w:tc>
        <w:tc>
          <w:tcPr>
            <w:tcW w:w="440"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饲料油/磷脂油</w:t>
            </w:r>
          </w:p>
        </w:tc>
        <w:tc>
          <w:tcPr>
            <w:tcW w:w="485"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C1353肉制品及副产品加工</w:t>
            </w:r>
          </w:p>
        </w:tc>
        <w:tc>
          <w:tcPr>
            <w:tcW w:w="2980"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第一类、鼓励类-</w:t>
            </w:r>
            <w:r>
              <w:rPr>
                <w:rFonts w:hint="default" w:ascii="Times New Roman" w:hAnsi="Times New Roman" w:eastAsia="宋体" w:cs="Times New Roman"/>
                <w:color w:val="auto"/>
                <w:sz w:val="21"/>
                <w:szCs w:val="21"/>
                <w:vertAlign w:val="baseline"/>
                <w:lang w:val="en-US" w:eastAsia="zh-CN"/>
              </w:rPr>
              <w:t>四十二、环境保护与资源节约综合利用-8、废弃物循环利用：废钢铁、废有色金属、废纸、废橡胶、废玻璃、废塑料、废旧木材以及报废汽车、废弃电器电子产品、废旧船舶、废旧电池、废轮胎、废弃木质材料、废旧农具、废旧纺织品及纺织废料和边角料、废旧光伏组件、废旧风机叶片、</w:t>
            </w:r>
            <w:r>
              <w:rPr>
                <w:rFonts w:hint="default" w:ascii="Times New Roman" w:hAnsi="Times New Roman" w:eastAsia="宋体" w:cs="Times New Roman"/>
                <w:b/>
                <w:bCs/>
                <w:color w:val="auto"/>
                <w:sz w:val="21"/>
                <w:szCs w:val="21"/>
                <w:vertAlign w:val="baseline"/>
                <w:lang w:val="en-US" w:eastAsia="zh-CN"/>
              </w:rPr>
              <w:t>废弃油脂等城市典型废弃物循环利用</w:t>
            </w:r>
            <w:r>
              <w:rPr>
                <w:rFonts w:hint="default" w:ascii="Times New Roman" w:hAnsi="Times New Roman" w:eastAsia="宋体" w:cs="Times New Roman"/>
                <w:color w:val="auto"/>
                <w:sz w:val="21"/>
                <w:szCs w:val="21"/>
                <w:vertAlign w:val="baseline"/>
                <w:lang w:val="en-US" w:eastAsia="zh-CN"/>
              </w:rPr>
              <w:t>、技术设备开发及应用，废旧动力电池自动化拆解、自动化快速分选成组、电池剩余寿命及一致性评估、有价组分综合回收、梯次利用、再生利用技术装备开发及应用，低值可回收物回收利用，“城市矿产”基地和资源循环利用基地建设，煤矸石、粉煤灰、尾矿（共伴生矿）、冶炼渣、工业副产石膏、赤泥、建筑垃圾等工业废弃物循环利用，农作物秸秆、畜禽粪污、农药包装等农林废弃物循环利用，生物质能技术装备（发电、供热、制油、沼气）</w:t>
            </w:r>
          </w:p>
        </w:tc>
        <w:tc>
          <w:tcPr>
            <w:tcW w:w="284"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由上表可知，本项目 4 条生产线均符合《产业结构调整指导目录（2024 年本）》。因此，本项目符合国家及地方产业政策。</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本项目不属于两高行业，拟建厂址位于昌吉州呼图壁工业园西区，建设单位于 2023 年 6 月 22 日已取得呼图壁县发展和改革委员会出具的项目备案证，备案证编码为 HFG064-20230705-07（在线审批编码：2307-652323-20-05-751209）。</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1.3.1.2 与《关于统筹和加强应对气候变化与生态环境保护相关工作的指导意见》（环综合〔2021〕4 号）的符合性分析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指导意见》指出：“深入贯彻习近平生态文明思想，坚定不移贯彻新发展理念，以推动高质量发展为主题，以二氧化碳排放达峰目标与碳中和愿景为牵引，以协同增效为着力点，坚持系统观念，全面加强应对气候变化与生态环境保护相关工作统筹融合，增强应对气候变化整体合力，推进生态环境治理体系和治理能力现代化，推动生态文明建设实现新进步，为建设美丽中国、共建美丽世界作出积极贡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利用废动植物油脂、牛羊粪、植物秸秆、半成品有机肥（牛羊粪沤肥）、皂脚、废白土及助滤剂为原料生产生物有机肥、有机无机复混肥、水溶肥、钻井石油助剂、脂肪酸甲酯、饲料油及磷脂油等产品。可避免动植物油脂、半成品有机肥（牛羊粪沤肥）、皂脚、废白土和助滤剂处理不当造成资源浪费和环境危害。本次评价针对各类 VOCs 废气均设计采取了较严格的 VOCs 治理措施。因此，本项目的建设符合《关于统筹和加强应对气候变化与生态环境保护相关工作的指导意见》。</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1.3.1.3 与《”十四五“工业绿色发展规划》（工信部规〔2021〕178 号）的符合性分析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根据工业和信息化部《“十四五”工业绿色发展规划》（工信部规〔2021〕178 号）三、主要任务（四）促进资源利用循环化转型，坚持总量控制、科学配置、全面节约、循环利用原则，强化资源在生产过程的高效利用，削减工业固废、废水产生量，加强工业资源综合利用，促进生产与生活系统绿色循环链接，大幅提高资源利用效率。</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利用废动植物油脂、半成品有机肥（牛羊粪沤肥）、皂脚、废白土及助滤剂为原料进行加工，体现了工业资源综合利用、削减工业固废、资源高效利用、循环利用的原则。因此，本项目的建设符合《“十四五”工业绿色发展规划》（工信部规〔2021〕178 号）要求。</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1.3.1.4 与《关于印发新疆维吾尔自治区“十三五”挥发性有机物污染防治实施方案的通知》的符合性分析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《关于印发新疆维吾尔自治区“十三五”挥发性有机物污染防治实施方案的通知》提出“严格建设项目环境准入。提高 VOCs 排放重点行业环保准入门槛，严格控制新增污染物排放量。VOCs 治理重点行业为石化、化工、包装印刷、工业涂装等重点行业”。</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本项目属于专用化学产品制造项目，选址位于呼图壁工业园区西区，本次评价针对各类 VOCs 废气均设计采取了较严格的 VOCs 治理措施，项目的建设符合《关于印发新疆维吾尔自治区“十三五”挥发性有机物污染防治实施方案的通知》。</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1.3.1.5 与&lt;国务院关于印发《空气质量持续改善行动计划》的通知（国发〔2023〕24号&gt;的符合性分析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空气质量持续改善行动计划》二、优化产业结构，促进产业产品绿色升级-（四）坚决遏制高耗能、高排放、低水平项目盲目上马。新改扩建项目严格落实国家产业规划、产业政策、生态环境分区管控方案、规划环评、项目环评、节能审查、产能置换、重点污染物总量控制、污染物排放区域削减、碳排放达峰目标等相关要求，原则上采用清洁运输方式。涉及产能置换的项目，被置换产能及其配套设施关停后，新建项目方可投产。（五）加快退出重点行业落后产能。修订《产业结构调整指导目录》，研究将污染物或温室气体排放明显高出行业平均水平、能效和清洁生产水平低的工艺和装备纳入淘汰类和限制类名单。（七）优化含VOCs原辅材料和产品结构。严格控制生产和使用高VOCs含量涂料、油墨、胶粘剂、清洗剂等建设项目，提高低（无）VOCs含量产品比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本项目位于呼图壁工业园区西区，项目的建设符合园区规划及规划环评，项目不属于两高项目，项目的建设属于《产业结构调整指导目录（2024 年本）》中的鼓励类项目，项目不属于高耗能及淘汰项目，本次评价针对各类 VOCs 废气均设计采取了较严格的 VOCs 治理措施，项目的建设符合《空气质量持续改善行动计划》。</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1.3.1.6 与《中共中央 国务院关于深入打好污染防治攻坚战的意见》的符合性分析</w:t>
      </w:r>
    </w:p>
    <w:p>
      <w:pPr>
        <w:keepNext w:val="0"/>
        <w:keepLines w:val="0"/>
        <w:pageBreakBefore w:val="0"/>
        <w:widowControl w:val="0"/>
        <w:kinsoku/>
        <w:wordWrap/>
        <w:overflowPunct/>
        <w:topLinePunct w:val="0"/>
        <w:autoSpaceDE w:val="0"/>
        <w:autoSpaceDN w:val="0"/>
        <w:bidi w:val="0"/>
        <w:adjustRightInd w:val="0"/>
        <w:snapToGrid w:val="0"/>
        <w:spacing w:line="560" w:lineRule="exact"/>
        <w:ind w:firstLine="480" w:firstLineChars="200"/>
        <w:jc w:val="both"/>
        <w:textAlignment w:val="auto"/>
        <w:rPr>
          <w:rFonts w:hint="eastAsia" w:ascii="Times New Roman" w:hAnsi="Times New Roman" w:eastAsia="宋体" w:cs="Times New Roman"/>
          <w:b w:val="0"/>
          <w:bCs w:val="0"/>
          <w:color w:val="auto"/>
          <w:kern w:val="0"/>
          <w:sz w:val="24"/>
          <w:szCs w:val="24"/>
          <w:lang w:val="en-US" w:eastAsia="zh-CN"/>
        </w:rPr>
      </w:pPr>
      <w:r>
        <w:rPr>
          <w:rFonts w:hint="eastAsia" w:ascii="Times New Roman" w:hAnsi="Times New Roman" w:eastAsia="宋体" w:cs="Times New Roman"/>
          <w:b w:val="0"/>
          <w:bCs w:val="0"/>
          <w:color w:val="auto"/>
          <w:kern w:val="0"/>
          <w:sz w:val="24"/>
          <w:szCs w:val="24"/>
          <w:lang w:val="en-US" w:eastAsia="zh-CN"/>
        </w:rPr>
        <w:t>《中共中央 国务院关于深入打好污染防治攻坚战的意见》中提出（六）推动能源清洁低碳转型。在保障能源安全的前提下，加快煤炭减量步伐，实施可再生能源替代行动。（七）坚决遏制高耗能高排放项目盲目发展。严把高耗能高排放项目准入关口，严格落实污染物排放区域削减要求，对不符合规定的项目坚决停批停建。（十一）着力打好重污染天气消除攻坚战。聚焦秋冬季细颗粒物污染，加大重点区域、重点行业结构调整和污染治理力度。（十二）着力打好臭氧污染防治攻坚战。聚焦夏秋季臭氧污染，大力推进挥发性有机物和氮氧化物协同减排。以石化、化工、涂装、医药、包装印刷、油品储运销等行业领域为重点，安全高效推进挥发性有机物综合治理，实施原辅材料和产品源头替代工程。完善挥发性有机物产品标准体系，建立低挥发性有机物含量产品标识制度。</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b w:val="0"/>
          <w:bCs w:val="0"/>
          <w:color w:val="auto"/>
          <w:kern w:val="0"/>
          <w:sz w:val="24"/>
          <w:szCs w:val="24"/>
          <w:lang w:val="en-US" w:eastAsia="zh-CN"/>
        </w:rPr>
        <w:t>本项目不适用天然气及煤炭，供热采用电锅炉，本项目位于呼图壁工业园区西区，项目不属于两高项目，项目的建设符合园区规划及规划环评，本项目产生的颗粒物经布袋除尘器处理后通过高排气筒排放，本次评价针对各类 VOCs 废气均设计采取了较严格的 VOCs 治理措施。故本项目的实施符合《中共中央 国务院关于深入打好污染防治攻坚战的意见》。</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color w:val="auto"/>
          <w:lang w:val="en-US" w:eastAsia="zh-CN"/>
        </w:rPr>
      </w:pPr>
      <w:r>
        <w:rPr>
          <w:rFonts w:hint="eastAsia" w:ascii="Times New Roman" w:hAnsi="Times New Roman" w:eastAsia="宋体" w:cs="Times New Roman"/>
          <w:b/>
          <w:bCs/>
          <w:color w:val="auto"/>
          <w:sz w:val="24"/>
          <w:szCs w:val="24"/>
          <w:lang w:val="en-US" w:eastAsia="zh-CN"/>
        </w:rPr>
        <w:t>1.3.1.7 与《关于开展自治区2022年度夏秋季大气污染防治“冬病夏治”工作的通知》（新环大气函〔2022〕483号）的符合性分析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关于开展自治区2022年度夏秋季大气污染防治“冬病夏治”工作的通知》文件内容相关要求：“（一）推进清洁取暖，加大散煤治理力度。加快推进燃煤锅炉超低排放改造和燃气锅炉低氮燃烧改造2022年10月底前，县级及以上城市建成区淘汰30%现有35蒸吨/小时及以下的燃煤锅炉,“鸟-昌-石”区域淘汰50%现有65蒸吨小时以下燃煤锅炉。重点区域保留的燃煤锅炉基本完成超低排放改造，其他地区65蒸吨/小时及以上燃煤锅炉(含电力)累计完成总数的60%。（二）全面推进挥发性有机物（VOCs）综合治理。各地要按照《挥发性有机物治理突出问题排查整治工作要求》开展V0Cs排放摸底调查，实施排查整治，加强重点行业、重点企业挥发性有机物精细化管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本项目供热锅炉采用电锅炉，使用清洁能源电，本次评价针对各类 VOCs 废气均设计采取了较严格的 VOCs 治理措施。故本项目的实施符合《关于开展自治区2022年度夏秋季大气污染防治“冬病夏治”工作的通知》中相关要求。</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1.3.2 环保法规政策相符性分析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numberInDash" w:start="1"/>
          <w:cols w:space="425" w:num="1"/>
          <w:docGrid w:type="lines" w:linePitch="312" w:charSpace="0"/>
        </w:sectPr>
      </w:pPr>
      <w:r>
        <w:rPr>
          <w:rFonts w:hint="eastAsia" w:ascii="Times New Roman" w:hAnsi="Times New Roman" w:eastAsia="宋体" w:cs="Times New Roman"/>
          <w:color w:val="auto"/>
          <w:sz w:val="24"/>
          <w:szCs w:val="24"/>
          <w:lang w:val="en-US" w:eastAsia="zh-CN"/>
        </w:rPr>
        <w:t>项目与《大气污染防治行动计划》《水污染防治行动计划》（国发〔2015〕17 号）、《土壤污染防治行动计划》（国发〔2016〕31 号）、《关于加快解决当前挥发性有机物治理突出问题的通知》（环大气〔2021〕65 号）、《2020 年挥发性有机物治理攻坚方案》（环大气〔2020〕33 号）、《挥发性有机物（VOCs）污染防治技术政策》《关于加强重点行业建设项目区域削减措施监督管理的通知》（环办环评〔2020〕36 号）、《石化行业挥发性有机物综合整治方案》《重点行业挥发性有机物综合治理方案》（环大气〔2019〕53 号）、《新疆维吾尔自治区大气污染防治条例》《新疆维吾尔自治区水污染防治工作方案》中相关条款对比见表 1.3-2。</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表1.3-2    项目与相关环保政策符合性分析一览表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0"/>
        <w:gridCol w:w="1215"/>
        <w:gridCol w:w="7790"/>
        <w:gridCol w:w="4030"/>
        <w:gridCol w:w="7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序号</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相关环保政策名称</w:t>
            </w:r>
          </w:p>
        </w:tc>
        <w:tc>
          <w:tcPr>
            <w:tcW w:w="779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相关内容</w:t>
            </w:r>
          </w:p>
        </w:tc>
        <w:tc>
          <w:tcPr>
            <w:tcW w:w="40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拟建项目情况</w:t>
            </w:r>
          </w:p>
        </w:tc>
        <w:tc>
          <w:tcPr>
            <w:tcW w:w="7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《大气污染防治行动计划》（国发〔2013〕37 号）</w:t>
            </w:r>
          </w:p>
        </w:tc>
        <w:tc>
          <w:tcPr>
            <w:tcW w:w="779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按照主体功能区规划要求，合理确定重点产业发展布局、结构和规模，重大项目原则上布局在优化开发区和重点开发区。严格实施污染物排放总量控制，将二氧化硫、氮氧化物、烟粉尘和挥发性有机物排放是否符合总量控制要求作为建设项目环境影响评价审批的前置条件。</w:t>
            </w:r>
          </w:p>
        </w:tc>
        <w:tc>
          <w:tcPr>
            <w:tcW w:w="40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拟建项目位于呼图壁工业园区西区，符合园区规划</w:t>
            </w:r>
          </w:p>
        </w:tc>
        <w:tc>
          <w:tcPr>
            <w:tcW w:w="719"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《水污染防治行动计划》（国发〔2015〕17 号）</w:t>
            </w:r>
          </w:p>
        </w:tc>
        <w:tc>
          <w:tcPr>
            <w:tcW w:w="779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集中治理工业集聚区水污染。强化经济技术开发区、高新技术产业开发区、出口加工区等工业集聚区污染治理。集聚区内工业废水必须经预处理达到集中处理要求，方可进入污水集中处理设施。鼓励钢铁、纺织印染、造纸、石油石化、化工、制革等高耗水企业废水深度处理回用。</w:t>
            </w:r>
          </w:p>
        </w:tc>
        <w:tc>
          <w:tcPr>
            <w:tcW w:w="403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本项目产生的生产废水回用于水溶肥及生物有机肥生产线。</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本项目参考《危险废物贮存污染控制标准》（GB18597-2023）、《石油化工工程防渗技术规范》（GB/T50934-2013）要求进行防渗设计，避免对地下水和土壤产生影响。</w:t>
            </w:r>
          </w:p>
        </w:tc>
        <w:tc>
          <w:tcPr>
            <w:tcW w:w="719"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《新疆维吾尔自治区水污染防治工作方案》</w:t>
            </w:r>
          </w:p>
        </w:tc>
        <w:tc>
          <w:tcPr>
            <w:tcW w:w="779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专项整治重点行业。持续深化浆粕化纤、煤化工等重点行业环境整治提升，加强废水中重金属、盐分和其他有毒有害污染物的管控。对超标、超总量排污和使用、排放有毒有害物质的企业开展强制性清洁生产审核，扩大自愿性清洁生产审核范围。</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新建污染企业应进入相应的工业集聚区。继续推进工业园区生态化、循环化改造，重点推进化工、建材、装备制造、纺织等产业延伸产业链，发展具有园区特色的工业循环经济。</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严格城市规划蓝线管理，城市规划区范围内应保留一定比例的水域面积，新建项目一律不得违规占用水域。</w:t>
            </w:r>
          </w:p>
        </w:tc>
        <w:tc>
          <w:tcPr>
            <w:tcW w:w="403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p>
        </w:tc>
        <w:tc>
          <w:tcPr>
            <w:tcW w:w="719"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《土壤污染防治行动计划》（国发〔2016〕31 号）</w:t>
            </w:r>
          </w:p>
        </w:tc>
        <w:tc>
          <w:tcPr>
            <w:tcW w:w="779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鼓励工业企业集聚发展，提高土地节约集约利用水平，减少土壤污染。排放重点污染物的建设项目，在开展环境影响评价时，要增加对土壤环境影响的评价内容，并提出防范土壤污染的具体措施；需要建设的土壤污染防治设施，要与主体工程同时设计、同时施工、同时投产使用。加强工业废物处理处置。全面整治尾矿、煤矸石、工业副产石膏、粉煤灰、赤泥、冶炼渣、电石渣、铬渣、砷渣以及脱硫、脱硝、除尘产生固体废物的堆存场所，完善防扬散、防流失、防渗漏等设施，制定整治方案并有序实施。加强污染源监管，做好土壤污染预防工作。固体废物的堆存场所，完善防扬散、防流失、防渗漏等设施，制定整治方案并有序实施。加强工业固体废物综合利用。</w:t>
            </w:r>
          </w:p>
        </w:tc>
        <w:tc>
          <w:tcPr>
            <w:tcW w:w="40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项目位于呼图壁工业园区西区，项目环评进行了土壤背景值监测，并单独设置章节进行土壤环境影响预测，提出相应的土壤污染防治措施。项目按《危险废物贮存污染控制标准》（GB18597-2023）、《环境影响评价技术导则-地下水环境》进行分区重点防渗设计。项目充分回收利用固体废物，固体废物暂存库按照《危险废物贮存污染控制标准》（GB 18597-2023）的要求进行建设。项目运营后拟定期对地下水和土壤进行跟踪监测，地下水的监测频次为：背景值监测井、跟踪监测井及扩散监测井每季度采样一次。土壤的监测频次为：每 5 年监测 1 次。</w:t>
            </w:r>
          </w:p>
        </w:tc>
        <w:tc>
          <w:tcPr>
            <w:tcW w:w="719"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《关于加快解决当前挥发性有机物治理突出问题的通知》（环大气〔2021〕65 号）</w:t>
            </w:r>
          </w:p>
        </w:tc>
        <w:tc>
          <w:tcPr>
            <w:tcW w:w="7790" w:type="dxa"/>
            <w:vAlign w:val="center"/>
          </w:tcPr>
          <w:p>
            <w:pPr>
              <w:keepNext w:val="0"/>
              <w:keepLines w:val="0"/>
              <w:widowControl/>
              <w:suppressLineNumbers w:val="0"/>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挥发性有机液体储罐：企业应按照标准要求，根据储存挥发性有机液体的真实蒸气压、储罐容积等进行储罐和浮盘边缘密封方式选型。固定顶罐或建设有机废气治理设施的内浮顶罐宜配备压力监测设备，罐内压力低于 50% 设计开启压力时，呼吸阀、紧急泄压阀泄漏检测值不宜超过 2000μmol/mol。充分考虑罐体变形或浮盘损坏、储罐附件破损等异常排放情况，鼓励对废气收集引气装置、处理装置设置冗余负荷；储罐排气回收处理后无法稳定达标排放的，应进一步优化治理设施或实施深度治理。储罐罐体应保持完好，不应有孔洞、缝隙（除内浮顶罐边缘通气孔外）；除采样、计量、例行检查、维护和其他正常活动外，储罐附件的开口（孔）应保持密闭。（2）挥发性有机液体装卸：汽车罐车按照标准采用适宜的装载方式，推广采用密封式快速接头等。（3）泄漏检测与修复：其他行业企业中载有气态、液态 VOCs 物料的设备与管线组件密封点大于等于 2000 个的，应开展 LDAR 工作。要将 VOCs 收集管道、治理设施和与储罐连接的密封点纳入检测范围。按照相关技术规范要求，开展泄漏检测、修复、质量控制、记录管理等工作。鼓励企业加严泄漏认定标准；对在用泵、备用泵、调节阀、搅拌器、开口管线等密封点加强巡检；定期采用红外成像仪等对不可达密封点进行泄漏筛查。（4）废气收集设施：产生 VOCs 的生产环节优先采用密闭设备、在密闭空间中操作或采用全密闭集气罩收集方式，并保持负压运行。对采 用局部收集方式的企业，距废气收集系统排风罩开口面最远处的 VOCs 无组织排放位置控制风速不低于 0.3m/s；推广以生产线或设备为单位设置隔间，收集风量应确保隔间保持微负压。当废气产生点较多、彼此距离较远时，在满足设计规</w:t>
            </w:r>
            <w:r>
              <w:rPr>
                <w:rFonts w:hint="default" w:ascii="Times New Roman" w:hAnsi="Times New Roman" w:eastAsia="宋体" w:cs="Times New Roman"/>
                <w:color w:val="auto"/>
                <w:kern w:val="0"/>
                <w:sz w:val="21"/>
                <w:szCs w:val="21"/>
                <w:lang w:val="en-US" w:eastAsia="zh-CN" w:bidi="ar"/>
              </w:rPr>
              <w:t>范、风压平衡的基础上，适当分设多套收集系统或中继风机。废气收集系统的输送管道应密闭、无破损。（5）有机废气旁路：对生产系统和治理设施旁路进行系统评估，除保障安全生产必须保留的应急类旁路外，应采取彻底拆除、切断、物理隔离等方式取缔旁路（含生产车间、生产装置建设的直排管线等）。（6）有机废气治理设施：新建治理设施或对现有治理设施实施改造，应依据排放废气特征、VOCs 组分及浓度、生产工况等，合理选择治理技术；对治理难度大、单一治理工艺难以稳定达标的，宜采用多种技术的组合工艺；除恶臭异味治理外，一般不使用低温等离子、光催化、光氧化等技术。加强运行维护管理，做到治理设施较生产设备“先启后停”，在治理设施达到正常运行条件后方可启动生产设备，在生产设备停止、残留 VOCs 废气收集处理完毕后，方可停运治理设施；及时清理、更换吸附剂、吸收剂、催化剂、蓄热体、过滤棉、灯管、电器元件等治理设施耗材，确保设施能够稳定高效运行；做好生产设备和治理设施启停机时间、检维修情况、治理设施耗材维护更换、处置情况等台账记录；对于 VOCs 治理设施产生的废过滤棉、废催化剂、废吸附剂、废吸收剂、废有机溶剂等，应及时清运，属于危险废物的应交有资质的单位处理处置。采用活性炭吸附工艺的企业，应根据废气排放特征，按照相关工程技术规范设计净化工艺和设备，使废气在吸 附装置中有足够的停留时间，选择符合相关产品质量标准的活性炭，并足额充填、及时更换。一次性活性炭吸附工艺宜采用颗粒活性炭作为吸附剂。活性炭、活性炭纤维产品销售时应提供产品质量证明材料。采用催化燃烧工艺的企业应使用合格的催化剂并足额添加，催化剂床层的设计空速宜低于 40000h</w:t>
            </w:r>
            <w:r>
              <w:rPr>
                <w:rFonts w:hint="default" w:ascii="Times New Roman" w:hAnsi="Times New Roman" w:eastAsia="宋体" w:cs="Times New Roman"/>
                <w:color w:val="auto"/>
                <w:kern w:val="0"/>
                <w:sz w:val="21"/>
                <w:szCs w:val="21"/>
                <w:vertAlign w:val="superscript"/>
                <w:lang w:val="en-US" w:eastAsia="zh-CN" w:bidi="ar"/>
              </w:rPr>
              <w:t>-1</w:t>
            </w:r>
            <w:r>
              <w:rPr>
                <w:rFonts w:hint="default" w:ascii="Times New Roman" w:hAnsi="Times New Roman" w:eastAsia="宋体" w:cs="Times New Roman"/>
                <w:color w:val="auto"/>
                <w:kern w:val="0"/>
                <w:sz w:val="21"/>
                <w:szCs w:val="21"/>
                <w:lang w:val="en-US" w:eastAsia="zh-CN" w:bidi="ar"/>
              </w:rPr>
              <w:t>。采用非连续吸脱附治理工艺的，应按设计要求及时</w:t>
            </w:r>
            <w:r>
              <w:rPr>
                <w:rFonts w:hint="eastAsia" w:ascii="Times New Roman" w:hAnsi="Times New Roman" w:eastAsia="宋体" w:cs="Times New Roman"/>
                <w:color w:val="auto"/>
                <w:kern w:val="0"/>
                <w:sz w:val="21"/>
                <w:szCs w:val="21"/>
                <w:lang w:val="en-US" w:eastAsia="zh-CN" w:bidi="ar"/>
              </w:rPr>
              <w:t>解析</w:t>
            </w:r>
            <w:r>
              <w:rPr>
                <w:rFonts w:hint="default" w:ascii="Times New Roman" w:hAnsi="Times New Roman" w:eastAsia="宋体" w:cs="Times New Roman"/>
                <w:color w:val="auto"/>
                <w:kern w:val="0"/>
                <w:sz w:val="21"/>
                <w:szCs w:val="21"/>
                <w:lang w:val="en-US" w:eastAsia="zh-CN" w:bidi="ar"/>
              </w:rPr>
              <w:t>吸附的 VOCs，解吸气体应保证采用高效处理工艺处理后达标排放。（7）非正常工况：石化、化工企业提前向当地生态环境部门报告检维修计划，制定非正常工况 VOCs 管控规程，严格按照规程进行操作。企业开停工、检维修期间，退料、清洗、吹扫等作业产生的 VOCs 废气应及时收集处理，确保满足标准要求。停工退料时应密闭吹扫，最大化回收物料；产生的不凝气应分类进入管网，通过加热炉、火炬系统、治理设施或带有恶臭和 VOCs 废气治理装置的污油罐、污水处理设施、酸性水罐等进行收集处置。在停工检维修阶段，环保装置、气柜、火炬等应在生产装置开车前完成检维修；开工初始阶段产生的不合格产品应妥善处理，不得直排。企业检维修期间，当地生态环境部门可利用走航、网格化监测等方式加强监管，必要时可实施驻厂监管。</w:t>
            </w:r>
          </w:p>
        </w:tc>
        <w:tc>
          <w:tcPr>
            <w:tcW w:w="40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（1）挥发性有机液体储罐：项目各储罐密闭，各储罐呼吸口设集气装置，收集后采用“二级碱液喷淋塔+除湿+活性炭吸附箱”系统进行处理后通过 1 根 15m 高排气筒排放。储罐罐体保持完好，定期巡检，确保无孔洞、缝隙；除采样、计量、例行检查、维护和其他正常活动外，储罐附件的开口（孔）保持密闭。</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（2）挥发性有机液体装卸：汽车罐车按照标准采用适宜的装载方式，油类加工产品等液体装卸采用泵，密封性较好。</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（3）泄漏检测与修复：项目建成后针对载有气态、液态 VOCs 物料的设备与管线组件密封点大于等于 2000 个的，需开展LDAR 工作。要将 VOCs 收集管道、治理设施和与储罐连接的密封点纳入检测范围。按照相关技术规范要求，开展泄漏检测、修复、质量控制、记录管理等工作。鼓励企业加严泄漏认定标准；对在用泵、备用泵、调节阀、搅拌器、开口管线等密封点加强巡检；定期采用红外成像仪等对不可达密封点进行泄漏筛查。</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（4）废气收集设施：项目产生 VOCs 的生产环节采用密闭设备、在密闭空间中操作或采用全密闭集气罩收集方式，并保持负压运行。</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（5）有机废气旁路：项目不设置废气旁路系统。</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有机废气治理设施：动植物油脂回收生产线产生的油脂烟气、非甲烷总烃及恶臭气体、罐区储罐呼吸产生的非甲烷总烃、生物燃料生产线产生的恶臭及非甲烷总烃共用一套环保设备，经管道收集后采用“净电除油+二级碱液喷淋塔+除湿+活性炭吸附箱”处理后，经1根15m高排气筒（DA001）排放，本项目生物燃料生产线产生的颗粒物经集气罩收集后采用布袋除尘器处理后通入DA001排气筒排放，水溶肥生产线产生的颗粒物、NH</w:t>
            </w:r>
            <w:r>
              <w:rPr>
                <w:rFonts w:hint="eastAsia" w:ascii="Times New Roman" w:hAnsi="Times New Roman" w:eastAsia="宋体" w:cs="Times New Roman"/>
                <w:color w:val="auto"/>
                <w:sz w:val="21"/>
                <w:szCs w:val="21"/>
                <w:vertAlign w:val="subscript"/>
                <w:lang w:val="en-US" w:eastAsia="zh-CN"/>
              </w:rPr>
              <w:t>3</w:t>
            </w:r>
            <w:r>
              <w:rPr>
                <w:rFonts w:hint="eastAsia" w:ascii="Times New Roman" w:hAnsi="Times New Roman" w:eastAsia="宋体" w:cs="Times New Roman"/>
                <w:color w:val="auto"/>
                <w:sz w:val="21"/>
                <w:szCs w:val="21"/>
                <w:vertAlign w:val="baseline"/>
                <w:lang w:val="en-US" w:eastAsia="zh-CN"/>
              </w:rPr>
              <w:t>、生物有机肥产生的恶臭及颗粒物经集气罩收集后采用“布袋除尘器+活性炭吸附”处理后，经1 根 15m 高排气筒（DA002）排放；（7）非正常工况：项目平均每年检修时停车一次，停车时生产装置均逐渐降温，停车过程产生的废气继续进入处理设施进行处理，与正常生产时工艺条件相同。</w:t>
            </w:r>
          </w:p>
        </w:tc>
        <w:tc>
          <w:tcPr>
            <w:tcW w:w="719"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《新疆维吾尔自治区大气污染防治条例》</w:t>
            </w:r>
          </w:p>
        </w:tc>
        <w:tc>
          <w:tcPr>
            <w:tcW w:w="779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企业事业单位和其他生产经营者建设对大气环境有影响的项目，应当依法进行环境影响评价、公开环境影响评价文件；向大气排放污染物的，应当符合大气污染物排放标准，遵守重点大气污染物排放总量控制要求。</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企业事业单位和其他生产经营者向大气排放污染物的，应当依照法律法规和国务院生态环境主管部门的规定设置大气污染物排放口。排放工业废气或者有毒有害污染物的企业事业单位和其他生产经营者，应当按照国家有关规定和监测规范对其所排放的工业废气和有毒有害污染物进行监测，并保存原始监测记录。不具备监测能力的排污单位应当委托有资质的监测机构监测，监测数据不得隐瞒、伪造和篡改。</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钢铁、建材、有色金属、石油、化工、制药、矿产开采等企业，应当加强精细化管理，采取集中收集处理等措施，严格控制粉尘和气态污染物的排放。</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产生含挥发性有机物废气的生产和服务活动，应当在密闭空间或者设备中进行，并按照规定安装、使用污染防治设施；无法密闭的，应当采取措施减少废气排放。</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石油、化工和其他生产、使用有机溶剂的企业，应当采用先进清洁生产技术，降低挥发性有机物的排放量，并建立泄漏检测与修复体系，对管道、设备进行日常维护、维修，及时收集处理泄漏物料。</w:t>
            </w:r>
          </w:p>
        </w:tc>
        <w:tc>
          <w:tcPr>
            <w:tcW w:w="403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①项目依法进行环境影响评价并公开环境影响评价文件；项目排放的大气污染物满足相关标准，并按照规定设置大气污染物排放口。</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②项目按照国家有关规定和监测规范对所排放的工业废气和有毒有害污染物进行监测。项目产生的废气集中收集、处理，处理后污染物排放满足相关标准限值。</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③本项目动植物油脂回收生产线产生的油脂烟气、非甲烷总烃及恶臭气体、罐区储罐呼吸产生的非甲烷总烃、生物燃料生产线产生的恶臭及非甲烷总烃共用一套环保设备，经管道收集后采用“净电除油+二级碱液喷淋塔+除湿+活性炭吸附箱”处理后，经1根15m高排气筒（DA001）排放。</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④本项目水溶肥生产线产生的颗粒物、NH</w:t>
            </w:r>
            <w:r>
              <w:rPr>
                <w:rFonts w:hint="eastAsia" w:ascii="Times New Roman" w:hAnsi="Times New Roman" w:eastAsia="宋体" w:cs="Times New Roman"/>
                <w:color w:val="auto"/>
                <w:sz w:val="21"/>
                <w:szCs w:val="21"/>
                <w:vertAlign w:val="subscript"/>
                <w:lang w:val="en-US" w:eastAsia="zh-CN"/>
              </w:rPr>
              <w:t>3</w:t>
            </w:r>
            <w:r>
              <w:rPr>
                <w:rFonts w:hint="eastAsia" w:ascii="Times New Roman" w:hAnsi="Times New Roman" w:eastAsia="宋体" w:cs="Times New Roman"/>
                <w:color w:val="auto"/>
                <w:sz w:val="21"/>
                <w:szCs w:val="21"/>
                <w:vertAlign w:val="baseline"/>
                <w:lang w:val="en-US" w:eastAsia="zh-CN"/>
              </w:rPr>
              <w:t>、生物有机肥产生的恶臭及颗粒物经集气罩收集后采用“布袋除尘器+活性炭吸附”处理后，经1 根 15m 高排气筒（DA002）排放。</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⑤本项目采用先进清洁生产技术，可降低挥发性有机物的排放量。</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⑥施工扬尘将严格监管。建立扬尘控制责任制度，将扬尘治理费用列入工程造价。</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⑦拟建立 VOCs 治理设施的运行维护规程和台账等日常管理制度。</w:t>
            </w:r>
          </w:p>
        </w:tc>
        <w:tc>
          <w:tcPr>
            <w:tcW w:w="719"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《挥发性有机物（VOCs）污染防治技术政策》</w:t>
            </w:r>
          </w:p>
        </w:tc>
        <w:tc>
          <w:tcPr>
            <w:tcW w:w="779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源头和过程控制：在石油炼制与石油化工行业，鼓励采用先进的清洁生产技术，提高原油的转化和利用效率。对于设备与管线组件、工艺排气、废气燃烧塔（火炬）、废水处理等过程产生的含VOCs 废气污染防治技术措施包括：1、对泵、压缩机、阀门、法兰等易发生泄漏的设备与管线组件，制定泄漏检测与修复（LDAR）计划，定期检测、及时修复，防止或减少跑、冒、滴、漏现象；2、对生产装置排放的含 VOCs 工艺排气宜优先回收利用，不能（或不能完全）回收利用的经处理后达标排放；应急情况下的泄放气可导入燃烧塔（火炬），经过充分燃烧后排放；3、废水收集和处理过程产生的含 VOCs 废气经收集处理后达标排放。在煤炭加工与转化行业，鼓励采用先进的清洁生产技术，实现煤炭高效、清洁转化，并重点识别、排查工艺装置和管线组件中 VOCs 泄漏的易发位置，制定预防 VOCs 泄漏和处理紧急事件的措施。在油类（燃气、溶剂）的储存、运输和销售过程中的 VOCs 污染防治技术措施包括：……2、油类（燃气、溶剂）储罐宜采用高效密封的内（外）浮顶罐，当采用固定顶罐时，通过密闭供气系统将含 VOCs 气体输送至回收设备；3、油类（燃气、溶剂）运载工具（汽车油罐车、铁路油槽车、油轮等）在装载过程中排放的 VOCs 密闭收集输送至回收设备，也可返回储罐或送入气体管网。末端治理与综合利用：在工业生产过程中鼓励 VOCs 的回收利用，并优先鼓励在生产系统内回用。恶臭气体污染源可采用生物技术、等离子体技术、吸附技术、紫外光高级氧化技术或组合技术等进行净化。净化除满足达标排放的要求外，还应采取高空排放等措施，避免产生扰民问题。严格控制 VOCs 处理过程中产生的二次污染，对于催化燃烧和热力焚烧过程中产生的含硫、氮、氯等无机废气，以及吸附、吸收、冷凝、生物等治理过程中所产生的含有机物废水，应处理后达标排放。运行与监测：企业应建立健全 VOCs 治理设施的运行维护规程和台账等日常管理制度，并根据工艺要求定期对各类设备、电气、自控仪表等进行检修维护，确保设施的稳定运行。</w:t>
            </w:r>
          </w:p>
        </w:tc>
        <w:tc>
          <w:tcPr>
            <w:tcW w:w="403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p>
        </w:tc>
        <w:tc>
          <w:tcPr>
            <w:tcW w:w="719"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《石化行业挥发性有机物综合整治方案》</w:t>
            </w:r>
          </w:p>
        </w:tc>
        <w:tc>
          <w:tcPr>
            <w:tcW w:w="779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工艺废气应优先考虑生产系统内回收利用，难以回收利用的，应采用催化燃烧、热力焚烧等方式处理，处理效率应满足相关标准和要求；挥发性有机液体储存设施应在符合安全等相关规范的前提下，采用压力罐、低温罐、高效密封的浮顶罐或安装顶空联通置换油气回收装置的拱顶罐；挥发性有机液体装卸应采取全密闭、液下装载等方式，严禁喷溅式装载。废水废液废渣收集、储存、处理处置过程中，应对逸散 VOCs 和产生异味的主要环节采取有效的密闭与收集措施，确保废气经收集处理后达到相关标准要求，禁止稀释排放；全面推行“泄漏检测与修复”。</w:t>
            </w:r>
          </w:p>
        </w:tc>
        <w:tc>
          <w:tcPr>
            <w:tcW w:w="403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kern w:val="2"/>
                <w:sz w:val="21"/>
                <w:szCs w:val="21"/>
                <w:vertAlign w:val="baseline"/>
                <w:lang w:val="en-US" w:eastAsia="zh-CN" w:bidi="ar-SA"/>
              </w:rPr>
            </w:pPr>
          </w:p>
        </w:tc>
        <w:tc>
          <w:tcPr>
            <w:tcW w:w="719"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《重点行业挥发性有机物综合治理方案》（环大气〔2019〕53 号）</w:t>
            </w:r>
          </w:p>
        </w:tc>
        <w:tc>
          <w:tcPr>
            <w:tcW w:w="779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（二）化工行业 VOCs 综合治理重点提高涉 VOCs 排放主要工序密闭化水平，加强无组织排放收集，加大含 VOCs 物料储存和装卸治理力度。废水储存、曝气池及其之前废水处理设施应按要求加盖封闭，实施废气收集与处理。密封点大于等于 2000 个的，要开展 LDAR 工作。加快生产设备密闭化改造。对进出料、物料输送、搅拌、固液分离、干燥、灌装等过程，采取密闭化措施，提升工艺装备水平。加快淘汰敞口式、明流式设施。严格控制储存和装卸过程 VOCs 排放。鼓励采用压力罐、浮顶罐等替代固定顶罐。真实蒸气压大于等于 27.6kPa （重点区域大于等于 5.2kPa）的有机液体，利用固定顶罐储存的，应按有关规定采用气相平衡系统或收集净化处理。实施废气分类收集处理。优先选用冷凝、吸附再生等回收技术；难以回收的，宜选用燃烧、吸附浓缩+燃烧等高效治理技术。水溶性、酸碱 VOCs 废气宜选用多级化学吸收等处理技术。恶臭类废气还应进一步加强除臭处理。</w:t>
            </w:r>
          </w:p>
        </w:tc>
        <w:tc>
          <w:tcPr>
            <w:tcW w:w="403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kern w:val="2"/>
                <w:sz w:val="21"/>
                <w:szCs w:val="21"/>
                <w:vertAlign w:val="baseline"/>
                <w:lang w:val="en-US" w:eastAsia="zh-CN" w:bidi="ar-SA"/>
              </w:rPr>
            </w:pPr>
          </w:p>
        </w:tc>
        <w:tc>
          <w:tcPr>
            <w:tcW w:w="719"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《2020年挥发性有机物治理攻坚方案》（环大气〔2020〕33 号）</w:t>
            </w:r>
          </w:p>
        </w:tc>
        <w:tc>
          <w:tcPr>
            <w:tcW w:w="779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企业在无组织排放排查整治过程中，在保证安全的前提下，加强含 VOCs 物料全方位、全链条、全环节密闭管理。储存环节应采用密闭容器、包装袋，高效密封储罐，封闭式储库、料仓等。装卸、转移和输送环节应采用密闭管道或密闭容器、罐车等。生产和使用环节应采用密闭设备，或在密闭空间中操作并有效收集废气，或进行局部气体收集；非取用状态时容器应密闭。处置环节应将盛装过 VOCs 物料的包装容器、含 VOCs 废料（渣、液）、废吸附剂等通过加盖、封装等方式密闭，妥善存放，不得随意丢弃。除恶臭异味治理外，一般不采用低温等离子、光催化、光氧化等技术。企业新建治污设施或对现有治污设施实施改造，应依据排放废气特征、VOCs 组分及浓度、生产工况等，合理选择治理技术，对治理难度大、单一治理工艺难以稳定达标的，要采用多种技术的组合工艺。采用活性炭吸附技术的，应选择碘值不低于 800 毫克/克的活性炭，并按设计要求足量添加、及时更换。</w:t>
            </w:r>
          </w:p>
        </w:tc>
        <w:tc>
          <w:tcPr>
            <w:tcW w:w="403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kern w:val="2"/>
                <w:sz w:val="21"/>
                <w:szCs w:val="21"/>
                <w:vertAlign w:val="baseline"/>
                <w:lang w:val="en-US" w:eastAsia="zh-CN" w:bidi="ar-SA"/>
              </w:rPr>
            </w:pPr>
          </w:p>
        </w:tc>
        <w:tc>
          <w:tcPr>
            <w:tcW w:w="719"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《关于加强重点行业建设项目区域削减措施监督管理的通知》（环办环评〔2020〕36 号）</w:t>
            </w:r>
          </w:p>
        </w:tc>
        <w:tc>
          <w:tcPr>
            <w:tcW w:w="779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所在区域、流域控制单元环境质量未达到国家或者地方环境质量标准的，建设项目应提出有效的区域削减方案，主要污染物实行区域倍量削减，确保项目投产后区域环境质量有改善。所在区域、流域控制单元环境质量达到国家或者地方环境质量标准的，原则上建设项目主要污染物实行区域等量削减，确保项目投产后区域环境质量不恶化。规范削减措施来源。区域削减措施应明确测算依据、测算方法，确保可落实、可检查、可考核。削减措施原则上应优先来源于纳入排污许可管理的排污单位采取的治理措施（含关停、原料和工艺改造、末端治理等）。区域削减方案由建设单位、出让减排量的排污单位及作出落实承诺的地方人民政府共同确认，并明确各方责任。</w:t>
            </w:r>
          </w:p>
        </w:tc>
        <w:tc>
          <w:tcPr>
            <w:tcW w:w="40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根据昌吉州国控质量监测站2022年空气质量逐日监测数据，项目所在地为不达标区</w:t>
            </w:r>
          </w:p>
        </w:tc>
        <w:tc>
          <w:tcPr>
            <w:tcW w:w="719"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综上，本项目建设不违背地方生态保护、环境质量、资源利用和环境准入要求，达到开展环境影响评价的基本工作要求。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1.3.3 相关规划相符性分析</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1.3.3.1 与《中共中央国务院关于加快推进生态文明建设的意见》的符合性分析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文件中提到要促进资源节约循环高效利用，推进利用方式根本转变。发展循环经济，按照减量化、再利用、资源化的原则，加快建立循环型工业、农业、服务业体系，提高全社会资源产出率。完善再生资源回收体系，实行垃圾分类回收，开发利用“城市矿产”，促进秸秆等农林废弃物以及建筑垃圾、餐厨废弃物资源化利用，发展再制造和再生利用产品，鼓励纺织品、汽车轮胎等废旧资源回收利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利用皂脚、牛羊粪、植物秸秆、半成品有机肥（牛羊粪沤肥）、废白土及助滤剂等废旧资源制作有机肥，做到废弃物综合利用，进一步将废弃动植物油脂进行加工，另外还将废弃动植物油脂进行回收处理，制造饲料油及饲料添加剂等产品，并将生产中出现的油脂进行回收利用；属于废旧资源综合利用项目，因此本项目符合《中共中央国务院关于加快推进生态文明建设的意见》。</w:t>
      </w:r>
    </w:p>
    <w:p>
      <w:pPr>
        <w:keepNext w:val="0"/>
        <w:keepLines w:val="0"/>
        <w:pageBreakBefore w:val="0"/>
        <w:widowControl w:val="0"/>
        <w:kinsoku/>
        <w:wordWrap/>
        <w:overflowPunct/>
        <w:topLinePunct w:val="0"/>
        <w:autoSpaceDE/>
        <w:autoSpaceDN/>
        <w:bidi w:val="0"/>
        <w:adjustRightInd/>
        <w:snapToGrid/>
        <w:spacing w:line="560" w:lineRule="exact"/>
        <w:ind w:left="0" w:firstLine="0" w:firstLineChars="0"/>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1.3.3.2 与《新疆维吾尔自治区国民经济和社会发展第十四个五年规划和 2035年远景目标纲要》的符合性分析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根据《新疆维吾尔自治区国民经济和社会发展第十四个五年规划和 2035 年远景目标纲要》第十三篇加强生态文明建设美丽新疆，第三章持续加强生态环境保护中，严格土壤污染风险管控。加强建设用地土壤环境风险管控和农用地安全利用。深化工业固体废物综合利用和环境整治。</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利用利用皂脚、牛羊粪、植物秸秆、半成品有机肥（牛羊粪沤肥）、废白土及助滤剂等废旧资源制作有机肥，做到废弃物综合利用；进一步将废弃动植物油脂进行加工，另外还将废弃动植物油脂进行回收处理，制造饲料油及饲料添加剂等产品，并将生产中出现的油脂进行回收利用。本项目充分利用周边油脂厂生产中的废弃资源回收加工，做到废弃物资源化，符合《新疆维吾尔自治区国民经济和社会发展第十四个五年规划和 2035 年远景目标纲要》。</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1.3.3.3 与《新疆生态环境保护“十四五”规划》的符合性分析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新疆生态环境保护“十四五”规划》中“推进固体废物源头减量和资源化利用。加强固体废物源头减量、资源化利用和无害化处置，最大限度减少填埋量。推进工业固体废物精细化、名录化环境管理，促进大宗工业固废综合利用、主要农业废弃物全量利用。加快构建废旧物资回收和循环利用体系，健全强制报废制度和废旧家电、消费电子等耐用消费品回收处理体系，推行生产企业“逆向回收”等模式。以尾矿和共伴生矿、煤矸石、炉渣、粉煤灰、脱硫石膏、冶炼渣、建筑垃圾等为重点，持续推进固体废物综合利用和环境整治，不断提高大宗固体废物资源化利用水平。持续开展固体废物非法转移和倾倒排查整治，持续保持打击洋垃圾走私高压态势。推行生活垃圾分类，加快建设县（市）生活垃圾处理设施，到 2025 年，全疆城市生活垃圾无害化处理率达到 99% 以上。“加强废弃物资源化利用和低碳化处理，提高资源回收利用效率。”</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本项目对废弃动植物油脂、皂脚等废旧资源进行综合利用，属于环境保护产业，符合《新疆生态环境保护“十四五”规划》。</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1.3.3.4 与《昌吉回族自治州生态环境保护与建设“十四五”规划》的符合性分析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《昌吉回族自治州生态环境保护与建设“十四五”规划》提出“（一）加强结构优化调整，推进经济社会绿色转型发展。</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优化调整产业结构。全面实施以“三线一单”为核心的生态环境分区管控体系，开展重点区域、重点流域、重点行业和产业布局的规划环评，充分发挥生态环境功能定位在产业布局结构中的基础性约束作用。各县市建成区以内的企业推进“一市（县）一策”，以阜康市为试点，引导重点企业进行搬迁或改造治理，改造治理无望的企业向准东搬迁。以钢铁、有色、石化、焦化、水泥、电解铝等为重点，严格执行产能置换实施办法，持续压减淘汰落后和过剩产能。推动水泥、电解铝、石化、焦化、铸造等重点行业绿色转型。发展循环型工业，着力推进准东开发区、高新区、阜康市、玛纳斯县特色产业园区循环化改造和新建园区循环化建设，到 2025 年，力争 100%</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的国家级、30%</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自治区级工业园区实施循环化改造。</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本项目不在新疆及昌吉州生态保护红线范围内，也不在一般生态空间范围内，属于生态环境重点管控单元。项目为</w:t>
      </w:r>
      <w:r>
        <w:rPr>
          <w:rFonts w:hint="eastAsia" w:ascii="Times New Roman" w:hAnsi="Times New Roman" w:eastAsia="宋体" w:cs="Times New Roman"/>
          <w:color w:val="auto"/>
          <w:sz w:val="24"/>
          <w:szCs w:val="24"/>
          <w:lang w:val="en-US" w:eastAsia="zh-CN"/>
        </w:rPr>
        <w:t>新建</w:t>
      </w:r>
      <w:r>
        <w:rPr>
          <w:rFonts w:hint="default" w:ascii="Times New Roman" w:hAnsi="Times New Roman" w:eastAsia="宋体" w:cs="Times New Roman"/>
          <w:color w:val="auto"/>
          <w:sz w:val="24"/>
          <w:szCs w:val="24"/>
          <w:lang w:val="en-US" w:eastAsia="zh-CN"/>
        </w:rPr>
        <w:t>项目，采用先进的生产工艺、节能型设备，提高项目单位产品综合能耗水平；对产生的“三废”尽量回收利用，不能回收利用的均采取切实可行的末端治理措施，有利于提高全厂清洁生产水平。项目综合利用</w:t>
      </w:r>
      <w:r>
        <w:rPr>
          <w:rFonts w:hint="eastAsia" w:ascii="Times New Roman" w:hAnsi="Times New Roman" w:eastAsia="宋体" w:cs="Times New Roman"/>
          <w:color w:val="auto"/>
          <w:sz w:val="24"/>
          <w:szCs w:val="24"/>
          <w:lang w:val="en-US" w:eastAsia="zh-CN"/>
        </w:rPr>
        <w:t>皂脚、牛羊粪、植物秸秆、半成品有机肥（牛羊粪沤肥）、废白土及助滤剂</w:t>
      </w:r>
      <w:r>
        <w:rPr>
          <w:rFonts w:hint="default" w:ascii="Times New Roman" w:hAnsi="Times New Roman" w:eastAsia="宋体" w:cs="Times New Roman"/>
          <w:color w:val="auto"/>
          <w:sz w:val="24"/>
          <w:szCs w:val="24"/>
          <w:lang w:val="en-US" w:eastAsia="zh-CN"/>
        </w:rPr>
        <w:t>等废旧资源制作有机肥，做到废弃物综合利用，进一步将废弃动植物油脂进行加工，另外还将废弃动植物油脂进行回收处理，制造饲料油及饲料添加剂等产品，并将生产中出现的油脂进行回收利用，满足清洁生产和循环经济要求</w:t>
      </w:r>
      <w:r>
        <w:rPr>
          <w:rFonts w:hint="eastAsia" w:ascii="Times New Roman" w:hAnsi="Times New Roman" w:eastAsia="宋体" w:cs="Times New Roman"/>
          <w:color w:val="auto"/>
          <w:sz w:val="24"/>
          <w:szCs w:val="24"/>
          <w:lang w:val="en-US" w:eastAsia="zh-CN"/>
        </w:rPr>
        <w:t>。因此，本项目的建设符合《昌吉回族自治州生态环境保护与建设“十四五”规划》中相关要求。</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1.3.3.5 与《关于加强乌鲁木齐、昌吉、石河子、五家渠区域环境同防同治的意见》的符合性分析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关于加强乌鲁木齐、昌吉、石河子、五家渠区域环境同防同治的意见》，乌昌石区域包括乌鲁木齐市七区一县、昌吉市、阜康市、石河子市、五家渠市、玛纳斯县、呼图壁县、沙湾县，生产建设兵团第六师、第八师、第十二师，总面积 6.9 万平方公里左右。区域内建成区及周边敏感区域为重点区域，总面积 1.7 万平方公里左右。全面开展战略环评和行业、园区规划环评，将其作为项目环评审批的重要依据。重点区域内不再布局建设煤化工、电解铝、燃煤纯发电机组、金属硅、碳化硅、聚氯乙烯（电石法）、焦炭（含半焦）等行业的新增产能项目，具备风光电清洁供暖建设条件的区域原则上不新批热电联产项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位于呼图壁工业园区西区，属于《关于加强乌鲁木齐、昌吉、石河子、五家渠区域环境同防同治的意见》的重点区域，本项目为属于专用化学产品制造项目，不在上述产业中，符合《关于加强乌鲁木齐、昌吉、石河子、五家渠区域环境同防同治的意见》中的相关要求。</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1.3.3.6 与《关于进一步加强乌鲁木齐、昌吉、石河子、五家渠区域环境同防同治的意见》的符合性分析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关于进一步加强乌鲁木齐、昌吉、石河子、五家渠区域环境同防同治的意见》文件要求：严禁“两高”项目进新疆，严格按照国家修订的《产业结构调整指导目录》，加快落后产能淘汰和过剩产能压减力度；推进实施含VOCs产品源头替代工程。加大低（无）VOCs含量涂料、油墨、胶粘剂等源头替代力度。全面落实VOCs无组织排放等标准要求，开展储罐综合治理、污水逸散有机废气专项治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本项目为专用化学产品制造项目，不属于两高项目，项目的建设属于《产业结构调整指导目录（2024 年本）》中的鼓励类项目，本项目不适用涂料、油墨、胶粘剂等含VOCs辅料，项目产生 VOCs 的生产环节均采用密闭设备、在密闭空间中操作或采用全密闭集气罩收集方式，并保持负压运行。本次评价针对各类 VOCs 废气均设计采取了较严格的 VOCs 治理措施。故本项目的建设符合《关于进一步加强乌鲁木齐、昌吉、石河子、五家渠区域环境同防同治的意见》中相关要求。</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1.3.3.7 与《呼图壁工业园区总体发展规划（2021-2035 年）》的符合性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（1）园区定位一致性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根据《呼图壁工业园区总体发展规划（2021-2035 年）》，呼图壁工业园区分为西区、中区、东区三大产业区。西区重点发展：现代化工及化工新材料产业、安全应急产业、节能环保产业、新能源产业。其中，节能环保产业包括绿色建材行业、资源循环利用行业、节能环保装备行业。</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本项目属于</w:t>
      </w:r>
      <w:r>
        <w:rPr>
          <w:rFonts w:hint="eastAsia" w:ascii="Times New Roman" w:hAnsi="Times New Roman" w:eastAsia="宋体" w:cs="Times New Roman"/>
          <w:color w:val="auto"/>
          <w:sz w:val="24"/>
          <w:szCs w:val="24"/>
          <w:vertAlign w:val="baseline"/>
          <w:lang w:val="en-US" w:eastAsia="zh-CN"/>
        </w:rPr>
        <w:t>化学原料和化学制品制造业，主要利用</w:t>
      </w:r>
      <w:r>
        <w:rPr>
          <w:rFonts w:hint="eastAsia" w:ascii="Times New Roman" w:hAnsi="Times New Roman" w:eastAsia="宋体" w:cs="Times New Roman"/>
          <w:color w:val="auto"/>
          <w:sz w:val="24"/>
          <w:szCs w:val="24"/>
          <w:lang w:val="en-US" w:eastAsia="zh-CN"/>
        </w:rPr>
        <w:t>皂脚、牛羊粪、植物秸秆、废白土及助滤剂等废旧资源生产脂肪酸甲酯，水溶肥及生物有机肥，属于资源循环利用，符合西区节能环保产业发展方向。因此，本项目的建设符合园区发展规划。项目在呼图壁工业园区总体发展规划产业布局中的位置见</w:t>
      </w:r>
      <w:r>
        <w:rPr>
          <w:rFonts w:hint="eastAsia" w:ascii="Times New Roman" w:hAnsi="Times New Roman" w:eastAsia="宋体" w:cs="Times New Roman"/>
          <w:b/>
          <w:bCs/>
          <w:color w:val="auto"/>
          <w:sz w:val="24"/>
          <w:szCs w:val="24"/>
          <w:lang w:val="en-US" w:eastAsia="zh-CN"/>
        </w:rPr>
        <w:t>附图 1.3-1。</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（2）土地利用符合性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区位于新疆维吾尔自治区昌吉州呼图壁工业园西区内，厂址东侧为呼图壁县安泰水泥有限责任公司，南侧紧邻爱特路，占地类型为工业用地，项目用地符合土地利用要求。项目在呼图壁工业园区总体发展规划土地利用规划中的位置见</w:t>
      </w:r>
      <w:r>
        <w:rPr>
          <w:rFonts w:hint="eastAsia" w:ascii="Times New Roman" w:hAnsi="Times New Roman" w:eastAsia="宋体" w:cs="Times New Roman"/>
          <w:b/>
          <w:bCs/>
          <w:color w:val="auto"/>
          <w:sz w:val="24"/>
          <w:szCs w:val="24"/>
          <w:lang w:val="en-US" w:eastAsia="zh-CN"/>
        </w:rPr>
        <w:t>附图 1.3-2。</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1.3.3.7 与《呼图壁工业园区总体发展规划（2021-2035 年）环境影响报告书》及其审查意见的符合性分析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根据《呼图壁工业园区总体发展规划（2021-2035 年）环境影响报告书》及其审查意见，分析本项目与其相符性如下：</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表1.3-1  项目与《呼图壁工业园区总体发展规划（2021-2035 年）环境影响报告书》及其审查意见的符合性分析一览表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7"/>
        <w:gridCol w:w="3837"/>
        <w:gridCol w:w="3513"/>
        <w:gridCol w:w="7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序号</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规划环评及审查意见相关要求</w:t>
            </w:r>
          </w:p>
        </w:tc>
        <w:tc>
          <w:tcPr>
            <w:tcW w:w="351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本项目情况</w:t>
            </w:r>
          </w:p>
        </w:tc>
        <w:tc>
          <w:tcPr>
            <w:tcW w:w="72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坚持绿色发展，坚决遏制“两高”行业盲目发展，优化园区产业结构、规划布局和实施时序。严格控制高耗水化工项目发展规模，除已批复项目外，建议在用水总量控制前提下，开展水权置换措施，增加工业用水量指标，在未完成水权置换前，继续实行“以水定工业”，限制园区工业发展，通过调整能源消费结构、加强资源循环利用</w:t>
            </w:r>
          </w:p>
        </w:tc>
        <w:tc>
          <w:tcPr>
            <w:tcW w:w="351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本项目不属于两高项目，项目用水量很少，产生的生产废水全部回用于生产，项目的建设符合呼图壁工业园区总体发展规划土地利用规划及产业布局规划。</w:t>
            </w:r>
          </w:p>
        </w:tc>
        <w:tc>
          <w:tcPr>
            <w:tcW w:w="72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加强空间管控，严守生态保护红线。衔接昌吉回族自治州及呼图壁县国土空间规划及“三线一单”最新成果，进一步优化园区空间布局及用地布局，明确各功能区用地要求，合理开发利用，避免出现用地类型不符合规划的情况发生</w:t>
            </w:r>
          </w:p>
        </w:tc>
        <w:tc>
          <w:tcPr>
            <w:tcW w:w="351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本项目</w:t>
            </w:r>
            <w:r>
              <w:rPr>
                <w:rFonts w:hint="eastAsia" w:ascii="Times New Roman" w:hAnsi="Times New Roman" w:eastAsia="宋体" w:cs="Times New Roman"/>
                <w:color w:val="auto"/>
                <w:sz w:val="21"/>
                <w:szCs w:val="21"/>
                <w:vertAlign w:val="baseline"/>
                <w:lang w:val="en-US" w:eastAsia="zh-CN"/>
              </w:rPr>
              <w:t>位于呼图壁工业园区西区，项目的建设符合自治区及昌吉州”三线一旦“管控要求，本项目用地为工业用地</w:t>
            </w:r>
            <w:r>
              <w:rPr>
                <w:rFonts w:hint="default" w:ascii="Times New Roman" w:hAnsi="Times New Roman" w:eastAsia="宋体" w:cs="Times New Roman"/>
                <w:color w:val="auto"/>
                <w:sz w:val="21"/>
                <w:szCs w:val="21"/>
                <w:vertAlign w:val="baseline"/>
                <w:lang w:val="en-US" w:eastAsia="zh-CN"/>
              </w:rPr>
              <w:t>于，</w:t>
            </w:r>
            <w:r>
              <w:rPr>
                <w:rFonts w:hint="eastAsia" w:ascii="Times New Roman" w:hAnsi="Times New Roman" w:eastAsia="宋体" w:cs="Times New Roman"/>
                <w:color w:val="auto"/>
                <w:sz w:val="21"/>
                <w:szCs w:val="21"/>
                <w:vertAlign w:val="baseline"/>
                <w:lang w:val="en-US" w:eastAsia="zh-CN"/>
              </w:rPr>
              <w:t>项目符合呼图壁工业园区总体发展规划土地利用规划</w:t>
            </w:r>
          </w:p>
        </w:tc>
        <w:tc>
          <w:tcPr>
            <w:tcW w:w="72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坚守环境质量底线，严格污染物总量管控。贯彻落实自治区人民政府及新疆生产建设兵团关于乌-昌-石区域相关政策要求，结合当地重污染天气应对方案，制定详细的重污染天气应对措施，同时开展区域应急联动，统筹推进乌-昌-石区域大气污染联防联控，完善和落实重大项目区域会商机制，严格执行区域生态环境同防同治框架协议，促进区域大气环境质量改善，推动区域生态环境健康发展</w:t>
            </w:r>
          </w:p>
        </w:tc>
        <w:tc>
          <w:tcPr>
            <w:tcW w:w="351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本项目投产后，在严格落实评价提出的各类污染防治措施的基础上，能够确保各类污染物达标排放，不会因项目建设导致区域环境质量下降，对区域环境影响不大，区域环境仍可保持现有功能水平。</w:t>
            </w:r>
          </w:p>
        </w:tc>
        <w:tc>
          <w:tcPr>
            <w:tcW w:w="72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严格入园产业项目准入。坚持“以水定产、以水定量”按照规划产业布局入驻企业，结合区域发展定位、开发布局、生态环境保护目标，实行入园企业环保准入审核制度，不符合产业政策、行业准入条件、生态环境准入清单及国家、自治区明令禁止的项目一律不得入驻园区。引进项目的生产工艺、设备、污染治理技术，以及单位产品能耗、物耗、污染物排放和资源利用率均需达到同行业国内先进水平，积极推进产业技术进步和园区循环化建设</w:t>
            </w:r>
          </w:p>
        </w:tc>
        <w:tc>
          <w:tcPr>
            <w:tcW w:w="351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本项目利用废动植物油脂、牛羊粪、植物秸秆、半成品有机肥（牛羊粪沤肥）、皂脚、废白土及助滤剂为原料生产生物有机肥、有机无机复混肥、水溶肥、钻井石油助剂、脂肪酸甲酯、饲料油及磷脂油等产品。项目位于园区内的节能环保产业组团，本项目属于《产业结构调整指导目录（2024 年本）》中的鼓励类，项目的建设符合园区产业布局及发展规划</w:t>
            </w:r>
          </w:p>
        </w:tc>
        <w:tc>
          <w:tcPr>
            <w:tcW w:w="72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综上所属，本项目符合《呼图壁工业园区总体发展规划（2021-2035 年）环境影响报告书》及其审查意见中的相关内容。</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1.3.4 “三线一单”相符性分析</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1.3.4.1 与《新疆维吾尔自治区“三线一单”生态环境分区管控方案》的符合性分析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根据《新疆维吾尔自治区“三线一单”生态环境分区管控方案》的通知（新政发〔2021〕18 号）中提出的分区管控方案，“自治区共划定 1323 个环境管控单元，分为优先保护单元、重点管控单元、一般管控单元三类，实施分类管控”。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本项目位于呼图壁工业园西区，用地性质为工业用地，根据《新疆维吾尔自治区环境管控单元分类图》，本项目区属于划定的重点管控区（详见</w:t>
      </w:r>
      <w:r>
        <w:rPr>
          <w:rFonts w:hint="eastAsia" w:ascii="Times New Roman" w:hAnsi="Times New Roman" w:eastAsia="宋体" w:cs="Times New Roman"/>
          <w:b/>
          <w:bCs/>
          <w:color w:val="auto"/>
          <w:sz w:val="24"/>
          <w:szCs w:val="24"/>
          <w:lang w:val="en-US" w:eastAsia="zh-CN"/>
        </w:rPr>
        <w:t>附图 1.3-3</w:t>
      </w:r>
      <w:r>
        <w:rPr>
          <w:rFonts w:hint="eastAsia" w:ascii="Times New Roman" w:hAnsi="Times New Roman" w:eastAsia="宋体" w:cs="Times New Roman"/>
          <w:color w:val="auto"/>
          <w:sz w:val="24"/>
          <w:szCs w:val="24"/>
          <w:lang w:val="en-US" w:eastAsia="zh-CN"/>
        </w:rPr>
        <w:t>），重点管控单元要着力优化空间布局，不断提升资源利用效率，有针对性地加强污染物排放管控和环境风险防控，解决生态环境质量不达标、生态环境风险高等问题。</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本项目产生的污染物不会对区域的环境空气质量产生明显影响，因此项目整体建设符合控制方案要求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①生态保护红线</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本项目位于呼图壁工业园区，根据现场勘查，项目周边不存在文物保护区、风景名胜区、饮用水源地等环境敏感保护目标，不在生态红线保护范围内，满足生态红线区域保护规划要求。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②环境质量底线</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拟建项目区域环境空气质量属于《环境空气质量标准》（GB3095-2012）中二类功能区、地下水环境质量属于《地下水质量标准》（GB/T14848-2017）中Ⅲ</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类功能区、声环境质量属于《声环境质量标准》（GB3096-2008）中 3 类功能区、土壤环境质量属于《土壤环境质量建设用地土壤污染风险管控标准（试行）》（GB36600-2018）筛选值第二类用地。</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评价区环境质量现状监测与评价结果，项目区周围的大气环境和声环境质量均能满足相应的标准要求；本项目产生的污染物经处理措施处理后，均可实现达标排放，不会改变各环境要素的环境质量现状级别/类别。可见拟建项目符合环境质量底线相关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③与资源利用上线符合性分析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位于呼图壁工业园西区，项目区用水由呼图壁工业园区供水管网供给，用电由呼图壁工业园区电网提供，可满足用电需求。所使用的原材料来源于周边企业及农户，区域资源供给能够满足拟建项目的生产需求。</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1.3.4.2 与《昌吉回族自治州“三线一单”生态环境分区管控方案及生态环境准入清单》（昌州政办发〔2021〕41号）的符合性分析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eastAsia" w:ascii="Times New Roman" w:hAnsi="Times New Roman" w:eastAsia="宋体" w:cs="Times New Roman"/>
          <w:color w:val="auto"/>
          <w:sz w:val="24"/>
          <w:szCs w:val="24"/>
          <w:lang w:val="en-US" w:eastAsia="zh-CN"/>
        </w:rPr>
        <w:t>本项目位于呼图壁工业园西区，用地类型为工业用地，项目所在区域属于重点管控单元（环境管控单元编码为：ZH65232320002），详见</w:t>
      </w:r>
      <w:r>
        <w:rPr>
          <w:rFonts w:hint="eastAsia" w:ascii="Times New Roman" w:hAnsi="Times New Roman" w:eastAsia="宋体" w:cs="Times New Roman"/>
          <w:b/>
          <w:bCs/>
          <w:color w:val="auto"/>
          <w:sz w:val="24"/>
          <w:szCs w:val="24"/>
          <w:lang w:val="en-US" w:eastAsia="zh-CN"/>
        </w:rPr>
        <w:t>附图 1.3-4</w:t>
      </w:r>
      <w:r>
        <w:rPr>
          <w:rFonts w:hint="eastAsia" w:ascii="Times New Roman" w:hAnsi="Times New Roman" w:eastAsia="宋体" w:cs="Times New Roman"/>
          <w:color w:val="auto"/>
          <w:sz w:val="24"/>
          <w:szCs w:val="24"/>
          <w:lang w:val="en-US" w:eastAsia="zh-CN"/>
        </w:rPr>
        <w:t>，本项目与环境管控要求符合性分析见表1.3-2。</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表1.3-2  与《昌吉回族自治州“三线一单”生态环境分区管控方案及生态环境准入清单》的符合性分析一览表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8"/>
        <w:gridCol w:w="9005"/>
        <w:gridCol w:w="3505"/>
        <w:gridCol w:w="7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493" w:type="pct"/>
            <w:gridSpan w:val="2"/>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auto"/>
                <w:kern w:val="0"/>
                <w:sz w:val="21"/>
                <w:szCs w:val="21"/>
                <w:vertAlign w:val="baseline"/>
                <w:lang w:val="en-US" w:eastAsia="zh-CN"/>
              </w:rPr>
            </w:pPr>
            <w:r>
              <w:rPr>
                <w:rFonts w:hint="eastAsia" w:ascii="Times New Roman" w:hAnsi="Times New Roman" w:eastAsia="宋体" w:cs="Times New Roman"/>
                <w:b/>
                <w:bCs/>
                <w:color w:val="auto"/>
                <w:kern w:val="0"/>
                <w:sz w:val="21"/>
                <w:szCs w:val="21"/>
                <w:vertAlign w:val="baseline"/>
                <w:lang w:val="en-US" w:eastAsia="zh-CN"/>
              </w:rPr>
              <w:t>管控要求</w:t>
            </w:r>
          </w:p>
        </w:tc>
        <w:tc>
          <w:tcPr>
            <w:tcW w:w="123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vertAlign w:val="baseline"/>
                <w:lang w:val="en-US" w:eastAsia="zh-CN"/>
              </w:rPr>
            </w:pPr>
            <w:r>
              <w:rPr>
                <w:rFonts w:hint="eastAsia" w:ascii="Times New Roman" w:hAnsi="Times New Roman" w:eastAsia="宋体" w:cs="Times New Roman"/>
                <w:b/>
                <w:bCs/>
                <w:color w:val="auto"/>
                <w:kern w:val="0"/>
                <w:sz w:val="21"/>
                <w:szCs w:val="21"/>
                <w:vertAlign w:val="baseline"/>
                <w:lang w:val="en-US" w:eastAsia="zh-CN"/>
              </w:rPr>
              <w:t>本项目情况</w:t>
            </w:r>
          </w:p>
        </w:tc>
        <w:tc>
          <w:tcPr>
            <w:tcW w:w="27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vertAlign w:val="baseline"/>
                <w:lang w:val="en-US" w:eastAsia="zh-CN"/>
              </w:rPr>
            </w:pPr>
            <w:r>
              <w:rPr>
                <w:rFonts w:hint="eastAsia" w:ascii="Times New Roman" w:hAnsi="Times New Roman" w:eastAsia="宋体" w:cs="Times New Roman"/>
                <w:b/>
                <w:bCs/>
                <w:color w:val="auto"/>
                <w:kern w:val="0"/>
                <w:sz w:val="21"/>
                <w:szCs w:val="21"/>
                <w:vertAlign w:val="baseline"/>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17"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空间布局约束</w:t>
            </w:r>
          </w:p>
        </w:tc>
        <w:tc>
          <w:tcPr>
            <w:tcW w:w="317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1、执行自治区、乌昌石片区总体准入要求中关于重点管控单元空间布局约束的准入要求（表2-3 A6.1、表3.4-2 B1）。</w:t>
            </w:r>
          </w:p>
          <w:p>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auto"/>
              <w:rPr>
                <w:rFonts w:hint="eastAsia" w:ascii="Times New Roman" w:hAnsi="Times New Roman" w:eastAsia="宋体" w:cs="Times New Roman"/>
                <w:color w:val="auto"/>
                <w:kern w:val="0"/>
                <w:sz w:val="21"/>
                <w:szCs w:val="21"/>
                <w:vertAlign w:val="baseline"/>
                <w:lang w:val="en-US" w:eastAsia="zh-CN" w:bidi="ar-SA"/>
              </w:rPr>
            </w:pPr>
            <w:r>
              <w:rPr>
                <w:rFonts w:hint="eastAsia" w:ascii="Times New Roman" w:hAnsi="Times New Roman" w:eastAsia="宋体" w:cs="Times New Roman"/>
                <w:color w:val="auto"/>
                <w:kern w:val="0"/>
                <w:sz w:val="21"/>
                <w:szCs w:val="21"/>
                <w:vertAlign w:val="baseline"/>
                <w:lang w:val="en-US" w:eastAsia="zh-CN"/>
              </w:rPr>
              <w:t>【A6.1-1】根据产业集聚区块的功能定位，建立分区差别化的产业准入条件。严格控制重要水系源头地区和重要生态功能区“高污染、高环境风险产品”工业项目准入。优化完善区域产业布局，合理规划布局“高污染、高环境风险产品”工业项目，鼓励对“高污染、高环境风险产品”工业项目进行淘汰和提升改造。合理规划居住区与工业功能区，在居住区和工业区、工业企业之间设置防护绿化隔离带。</w:t>
            </w:r>
          </w:p>
          <w:p>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A6.1-2】大气环境重点管控区内：禁止引进国家和自治区明令禁止或淘汰的产业及工艺、园区规划的项目；引进符合国家产业政策和清洁生产要求的、采用先进生产工艺和设备的、自动化程度高的、具有可靠先进的污染治理技术的生产项目。</w:t>
            </w:r>
          </w:p>
          <w:p>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A6.1-3】水环境重点管控区内：制定产业准入对污染排放不达标的企业限期整改，确保水污染物达标排放；加快推进生态园区建设和循环化改造，完善污水集中处理设施及再生水回用系统，加强配套管网建设，并确保稳定运行，工业废水必须经预处理达到集中处理要求后，方可进入污水集中处理设施，不断提高污水集中处理中水回用率。加强城镇配套管网建设，提高城镇生活污水出水排放标准，推进城镇生活污水深度治理，提高污水厂脱氮除磷效率。对农业污染重点管控区，推进畜禽养殖禁养区、限养区的划定，限期依法关闭或搬迁禁养区内的畜禽养殖场，对现有规模化畜禽养殖配套建设粪便污水贮存、处理、利用设施，鼓励设施农业循环发展模式，推进养殖废弃物资源化利用。控制化肥农药使用量，推进农膜回收及加工再利用，农药化肥等包装废弃物的安全收集处置设施建设，降低农业污染负荷。</w:t>
            </w:r>
          </w:p>
          <w:p>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A6.1-4】土壤环境重点管控区内：引入新建产业或企业时，应结合产业发展规划，充分考虑企业类型、污染物排放特征以及外环境情况等因素，避免企业形成交叉污染；涉重金属、持久性有机物等有毒有害污染物工业企业退出用地，须经评估、治理，满足后续相应用地土壤环境质量要求。</w:t>
            </w:r>
          </w:p>
        </w:tc>
        <w:tc>
          <w:tcPr>
            <w:tcW w:w="123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本项目利用油脚、牛羊粪、植物秸秆、皂脚、</w:t>
            </w:r>
            <w:r>
              <w:rPr>
                <w:rFonts w:hint="eastAsia" w:ascii="Times New Roman" w:hAnsi="Times New Roman" w:eastAsia="宋体" w:cs="Times New Roman"/>
                <w:color w:val="auto"/>
                <w:sz w:val="21"/>
                <w:szCs w:val="21"/>
                <w:vertAlign w:val="baseline"/>
                <w:lang w:val="en-US" w:eastAsia="zh-CN"/>
              </w:rPr>
              <w:t>半成品有机肥（牛羊粪沤肥）</w:t>
            </w:r>
            <w:r>
              <w:rPr>
                <w:rFonts w:hint="default" w:ascii="Times New Roman" w:hAnsi="Times New Roman" w:eastAsia="宋体" w:cs="Times New Roman"/>
                <w:color w:val="auto"/>
                <w:sz w:val="21"/>
                <w:szCs w:val="21"/>
                <w:vertAlign w:val="baseline"/>
                <w:lang w:val="en-US" w:eastAsia="zh-CN"/>
              </w:rPr>
              <w:t>废白土和助滤剂生产生物有机肥、有机无机复混肥、水溶肥、</w:t>
            </w:r>
            <w:r>
              <w:rPr>
                <w:rFonts w:hint="eastAsia" w:ascii="Times New Roman" w:hAnsi="Times New Roman" w:eastAsia="宋体" w:cs="Times New Roman"/>
                <w:color w:val="auto"/>
                <w:sz w:val="21"/>
                <w:szCs w:val="21"/>
                <w:vertAlign w:val="baseline"/>
                <w:lang w:val="en-US" w:eastAsia="zh-CN"/>
              </w:rPr>
              <w:t>脂肪酸甲酯、钻井石油助剂、</w:t>
            </w:r>
            <w:r>
              <w:rPr>
                <w:rFonts w:hint="default" w:ascii="Times New Roman" w:hAnsi="Times New Roman" w:eastAsia="宋体" w:cs="Times New Roman"/>
                <w:color w:val="auto"/>
                <w:sz w:val="21"/>
                <w:szCs w:val="21"/>
                <w:vertAlign w:val="baseline"/>
                <w:lang w:val="en-US" w:eastAsia="zh-CN"/>
              </w:rPr>
              <w:t>饲料油、磷脂油等产品</w:t>
            </w:r>
            <w:r>
              <w:rPr>
                <w:rFonts w:hint="eastAsia" w:ascii="Times New Roman" w:hAnsi="Times New Roman" w:eastAsia="宋体" w:cs="Times New Roman"/>
                <w:color w:val="auto"/>
                <w:sz w:val="21"/>
                <w:szCs w:val="21"/>
                <w:vertAlign w:val="baseline"/>
                <w:lang w:val="en-US" w:eastAsia="zh-CN"/>
              </w:rPr>
              <w:t>，项目</w:t>
            </w:r>
            <w:r>
              <w:rPr>
                <w:rFonts w:hint="default" w:ascii="Times New Roman" w:hAnsi="Times New Roman" w:eastAsia="宋体" w:cs="Times New Roman"/>
                <w:color w:val="auto"/>
                <w:sz w:val="21"/>
                <w:szCs w:val="21"/>
                <w:vertAlign w:val="baseline"/>
                <w:lang w:val="en-US" w:eastAsia="zh-CN"/>
              </w:rPr>
              <w:t>位于呼图壁工业园西区内</w:t>
            </w:r>
            <w:r>
              <w:rPr>
                <w:rFonts w:hint="eastAsia" w:ascii="Times New Roman" w:hAnsi="Times New Roman" w:eastAsia="宋体" w:cs="Times New Roman"/>
                <w:color w:val="auto"/>
                <w:kern w:val="0"/>
                <w:sz w:val="21"/>
                <w:szCs w:val="21"/>
                <w:vertAlign w:val="baseline"/>
                <w:lang w:val="en-US" w:eastAsia="zh-CN"/>
              </w:rPr>
              <w:t>。</w:t>
            </w:r>
            <w:r>
              <w:rPr>
                <w:rFonts w:hint="default" w:ascii="Times New Roman" w:hAnsi="Times New Roman" w:eastAsia="宋体" w:cs="Times New Roman"/>
                <w:color w:val="auto"/>
                <w:sz w:val="21"/>
                <w:szCs w:val="21"/>
                <w:vertAlign w:val="baseline"/>
                <w:lang w:val="en-US" w:eastAsia="zh-CN"/>
              </w:rPr>
              <w:t>项目符合园区定位和国家产业政策，清洁生产水平高、工艺先进、自动化程度高</w:t>
            </w:r>
            <w:r>
              <w:rPr>
                <w:rFonts w:hint="eastAsia" w:ascii="Times New Roman" w:hAnsi="Times New Roman" w:eastAsia="宋体" w:cs="Times New Roman"/>
                <w:color w:val="auto"/>
                <w:sz w:val="21"/>
                <w:szCs w:val="21"/>
                <w:vertAlign w:val="baseline"/>
                <w:lang w:val="en-US" w:eastAsia="zh-CN"/>
              </w:rPr>
              <w:t>且</w:t>
            </w:r>
            <w:r>
              <w:rPr>
                <w:rFonts w:hint="default" w:ascii="Times New Roman" w:hAnsi="Times New Roman" w:eastAsia="宋体" w:cs="Times New Roman"/>
                <w:color w:val="auto"/>
                <w:sz w:val="21"/>
                <w:szCs w:val="21"/>
                <w:vertAlign w:val="baseline"/>
                <w:lang w:val="en-US" w:eastAsia="zh-CN"/>
              </w:rPr>
              <w:t>具有可靠的污染防治技术。本项目产生的</w:t>
            </w:r>
            <w:r>
              <w:rPr>
                <w:rFonts w:hint="eastAsia" w:ascii="Times New Roman" w:hAnsi="Times New Roman" w:eastAsia="宋体" w:cs="Times New Roman"/>
                <w:color w:val="auto"/>
                <w:sz w:val="21"/>
                <w:szCs w:val="21"/>
                <w:vertAlign w:val="baseline"/>
                <w:lang w:val="en-US" w:eastAsia="zh-CN"/>
              </w:rPr>
              <w:t>生产废水</w:t>
            </w:r>
            <w:r>
              <w:rPr>
                <w:rFonts w:hint="default" w:ascii="Times New Roman" w:hAnsi="Times New Roman" w:eastAsia="宋体" w:cs="Times New Roman"/>
                <w:color w:val="auto"/>
                <w:sz w:val="21"/>
                <w:szCs w:val="21"/>
                <w:vertAlign w:val="baseline"/>
                <w:lang w:val="en-US" w:eastAsia="zh-CN"/>
              </w:rPr>
              <w:t>回用</w:t>
            </w:r>
            <w:r>
              <w:rPr>
                <w:rFonts w:hint="eastAsia" w:ascii="Times New Roman" w:hAnsi="Times New Roman" w:eastAsia="宋体" w:cs="Times New Roman"/>
                <w:color w:val="auto"/>
                <w:sz w:val="21"/>
                <w:szCs w:val="21"/>
                <w:vertAlign w:val="baseline"/>
                <w:lang w:val="en-US" w:eastAsia="zh-CN"/>
              </w:rPr>
              <w:t>于水溶肥及生物有机肥生产线</w:t>
            </w:r>
            <w:r>
              <w:rPr>
                <w:rFonts w:hint="default" w:ascii="Times New Roman" w:hAnsi="Times New Roman" w:eastAsia="宋体" w:cs="Times New Roman"/>
                <w:color w:val="auto"/>
                <w:sz w:val="21"/>
                <w:szCs w:val="21"/>
                <w:vertAlign w:val="baseline"/>
                <w:lang w:val="en-US" w:eastAsia="zh-CN"/>
              </w:rPr>
              <w:t>。</w:t>
            </w:r>
          </w:p>
        </w:tc>
        <w:tc>
          <w:tcPr>
            <w:tcW w:w="27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1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317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2、入园企业需符合园区产业发展定位，产业发展以新兴产业、轻纺食品、农产品加工、化工新材料产业为主导。</w:t>
            </w:r>
          </w:p>
        </w:tc>
        <w:tc>
          <w:tcPr>
            <w:tcW w:w="123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本项目利用油脚、牛羊粪、植物秸秆、皂脚、</w:t>
            </w:r>
            <w:r>
              <w:rPr>
                <w:rFonts w:hint="eastAsia" w:ascii="Times New Roman" w:hAnsi="Times New Roman" w:eastAsia="宋体" w:cs="Times New Roman"/>
                <w:color w:val="auto"/>
                <w:sz w:val="21"/>
                <w:szCs w:val="21"/>
                <w:vertAlign w:val="baseline"/>
                <w:lang w:val="en-US" w:eastAsia="zh-CN"/>
              </w:rPr>
              <w:t>半成品有机肥（牛羊粪沤肥）</w:t>
            </w:r>
            <w:r>
              <w:rPr>
                <w:rFonts w:hint="default" w:ascii="Times New Roman" w:hAnsi="Times New Roman" w:eastAsia="宋体" w:cs="Times New Roman"/>
                <w:color w:val="auto"/>
                <w:sz w:val="21"/>
                <w:szCs w:val="21"/>
                <w:vertAlign w:val="baseline"/>
                <w:lang w:val="en-US" w:eastAsia="zh-CN"/>
              </w:rPr>
              <w:t>废白土和助滤剂生产生物有机肥、有机无机复混肥、水溶肥、</w:t>
            </w:r>
            <w:r>
              <w:rPr>
                <w:rFonts w:hint="eastAsia" w:ascii="Times New Roman" w:hAnsi="Times New Roman" w:eastAsia="宋体" w:cs="Times New Roman"/>
                <w:color w:val="auto"/>
                <w:sz w:val="21"/>
                <w:szCs w:val="21"/>
                <w:vertAlign w:val="baseline"/>
                <w:lang w:val="en-US" w:eastAsia="zh-CN"/>
              </w:rPr>
              <w:t>脂肪酸甲酯、钻井石油助剂、</w:t>
            </w:r>
            <w:r>
              <w:rPr>
                <w:rFonts w:hint="default" w:ascii="Times New Roman" w:hAnsi="Times New Roman" w:eastAsia="宋体" w:cs="Times New Roman"/>
                <w:color w:val="auto"/>
                <w:sz w:val="21"/>
                <w:szCs w:val="21"/>
                <w:vertAlign w:val="baseline"/>
                <w:lang w:val="en-US" w:eastAsia="zh-CN"/>
              </w:rPr>
              <w:t>饲料油、磷脂油等产品</w:t>
            </w:r>
            <w:r>
              <w:rPr>
                <w:rFonts w:hint="eastAsia" w:ascii="Times New Roman" w:hAnsi="Times New Roman" w:eastAsia="宋体" w:cs="Times New Roman"/>
                <w:color w:val="auto"/>
                <w:sz w:val="21"/>
                <w:szCs w:val="21"/>
                <w:vertAlign w:val="baseline"/>
                <w:lang w:val="en-US" w:eastAsia="zh-CN"/>
              </w:rPr>
              <w:t>，项目</w:t>
            </w:r>
            <w:r>
              <w:rPr>
                <w:rFonts w:hint="default" w:ascii="Times New Roman" w:hAnsi="Times New Roman" w:eastAsia="宋体" w:cs="Times New Roman"/>
                <w:color w:val="auto"/>
                <w:sz w:val="21"/>
                <w:szCs w:val="21"/>
                <w:vertAlign w:val="baseline"/>
                <w:lang w:val="en-US" w:eastAsia="zh-CN"/>
              </w:rPr>
              <w:t>位于呼图壁工业园西区内</w:t>
            </w:r>
            <w:r>
              <w:rPr>
                <w:rFonts w:hint="eastAsia" w:ascii="Times New Roman" w:hAnsi="Times New Roman" w:eastAsia="宋体" w:cs="Times New Roman"/>
                <w:color w:val="auto"/>
                <w:kern w:val="0"/>
                <w:sz w:val="21"/>
                <w:szCs w:val="21"/>
                <w:vertAlign w:val="baseline"/>
                <w:lang w:val="en-US" w:eastAsia="zh-CN"/>
              </w:rPr>
              <w:t>。符合园区产业发展定位，产业发展以新兴产业、轻纺食品、农产品加工、化工新材料产业为主导。</w:t>
            </w:r>
          </w:p>
        </w:tc>
        <w:tc>
          <w:tcPr>
            <w:tcW w:w="27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1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317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3、禁止新建不符合昌吉州节水型企业创建标准的高耗水项目。</w:t>
            </w:r>
          </w:p>
        </w:tc>
        <w:tc>
          <w:tcPr>
            <w:tcW w:w="123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项目不属于高耗水项目。</w:t>
            </w:r>
          </w:p>
        </w:tc>
        <w:tc>
          <w:tcPr>
            <w:tcW w:w="27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trPr>
        <w:tc>
          <w:tcPr>
            <w:tcW w:w="31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317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4、对园区内现有传统工业进行改造、升级或产业整合。严格限制新、改、扩建“两高”（高污染、高耗能）行业项目。</w:t>
            </w:r>
          </w:p>
        </w:tc>
        <w:tc>
          <w:tcPr>
            <w:tcW w:w="123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本项目为专用化学用品制造类项目，不属于“三高”项目</w:t>
            </w:r>
          </w:p>
        </w:tc>
        <w:tc>
          <w:tcPr>
            <w:tcW w:w="27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17"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污染物排放管控</w:t>
            </w:r>
          </w:p>
        </w:tc>
        <w:tc>
          <w:tcPr>
            <w:tcW w:w="317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1、执行自治区、乌昌石片区总体准入要求中关于重点管控单元污染物排放管控的准入要求（表2-3 A6.2、表3.4-2 B2）。</w:t>
            </w:r>
          </w:p>
          <w:p>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A6.2-1】严格实施污染物总量控制制度，根据区域环境质量改善目标，削减污染物排放总量。新建工业项目污染物排放水平要达到同行业国内先进水平。加快落实污水处理厂建设及提升改造，推进工业园区（工业企业）污水处理综合利用设施建设，所有企业实现稳定达标排放。加强土壤和地下水污染防治与修复。</w:t>
            </w:r>
          </w:p>
        </w:tc>
        <w:tc>
          <w:tcPr>
            <w:tcW w:w="1236" w:type="pct"/>
            <w:tcBorders>
              <w:tl2br w:val="nil"/>
              <w:tr2bl w:val="nil"/>
            </w:tcBorders>
            <w:noWrap w:val="0"/>
            <w:vAlign w:val="center"/>
          </w:tcPr>
          <w:p>
            <w:pPr>
              <w:keepNext w:val="0"/>
              <w:keepLines w:val="0"/>
              <w:widowControl/>
              <w:suppressLineNumbers w:val="0"/>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本项目在建设过程产生的各类污染物均采取了相应治理措施，污染物</w:t>
            </w:r>
            <w:r>
              <w:rPr>
                <w:rFonts w:hint="eastAsia" w:ascii="宋体" w:hAnsi="宋体" w:eastAsia="宋体" w:cs="宋体"/>
                <w:color w:val="auto"/>
                <w:kern w:val="0"/>
                <w:sz w:val="21"/>
                <w:szCs w:val="21"/>
                <w:lang w:val="en-US" w:eastAsia="zh-CN" w:bidi="ar"/>
              </w:rPr>
              <w:t>的排放达到了相应标准</w:t>
            </w:r>
            <w:r>
              <w:rPr>
                <w:rFonts w:hint="eastAsia"/>
                <w:color w:val="auto"/>
                <w:lang w:eastAsia="zh-CN"/>
              </w:rPr>
              <w:t>，</w:t>
            </w:r>
            <w:r>
              <w:rPr>
                <w:rFonts w:hint="eastAsia"/>
                <w:color w:val="auto"/>
                <w:lang w:val="en-US" w:eastAsia="zh-CN"/>
              </w:rPr>
              <w:t>本项目总量实行倍量替代</w:t>
            </w:r>
          </w:p>
        </w:tc>
        <w:tc>
          <w:tcPr>
            <w:tcW w:w="27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1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317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2、现有燃煤锅炉、焦化、煤化工、工业窑炉应限期开展提标升级改造，其大气污染物排放应根据国家、自治区和州相关要求，达到最严格排放标准限值。</w:t>
            </w:r>
          </w:p>
        </w:tc>
        <w:tc>
          <w:tcPr>
            <w:tcW w:w="123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本项目使用电锅炉供热，不涉及燃煤锅炉及工业炉窑</w:t>
            </w:r>
          </w:p>
        </w:tc>
        <w:tc>
          <w:tcPr>
            <w:tcW w:w="27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1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317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3、新建、改扩建项目的单位产品特征污染物排放量应达到国内先进水平。</w:t>
            </w:r>
          </w:p>
        </w:tc>
        <w:tc>
          <w:tcPr>
            <w:tcW w:w="123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本项目</w:t>
            </w:r>
            <w:r>
              <w:rPr>
                <w:rFonts w:hint="eastAsia" w:ascii="Times New Roman" w:hAnsi="Times New Roman" w:eastAsia="宋体" w:cs="Times New Roman"/>
                <w:color w:val="auto"/>
                <w:kern w:val="0"/>
                <w:sz w:val="21"/>
                <w:szCs w:val="21"/>
                <w:vertAlign w:val="baseline"/>
                <w:lang w:val="en-US" w:eastAsia="zh-CN"/>
              </w:rPr>
              <w:t>采取的污染物治理措施</w:t>
            </w:r>
            <w:r>
              <w:rPr>
                <w:rFonts w:hint="default" w:ascii="Times New Roman" w:hAnsi="Times New Roman" w:eastAsia="宋体" w:cs="Times New Roman"/>
                <w:color w:val="auto"/>
                <w:kern w:val="0"/>
                <w:sz w:val="21"/>
                <w:szCs w:val="21"/>
                <w:vertAlign w:val="baseline"/>
                <w:lang w:val="en-US" w:eastAsia="zh-CN"/>
              </w:rPr>
              <w:t>降低了单位产品废气、废水污染物排放量。</w:t>
            </w:r>
          </w:p>
        </w:tc>
        <w:tc>
          <w:tcPr>
            <w:tcW w:w="27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1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317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4、PM</w:t>
            </w:r>
            <w:r>
              <w:rPr>
                <w:rFonts w:hint="eastAsia" w:ascii="Times New Roman" w:hAnsi="Times New Roman" w:eastAsia="宋体" w:cs="Times New Roman"/>
                <w:color w:val="auto"/>
                <w:kern w:val="0"/>
                <w:sz w:val="21"/>
                <w:szCs w:val="21"/>
                <w:vertAlign w:val="subscript"/>
                <w:lang w:val="en-US" w:eastAsia="zh-CN"/>
              </w:rPr>
              <w:t>2.5</w:t>
            </w:r>
            <w:r>
              <w:rPr>
                <w:rFonts w:hint="eastAsia" w:ascii="Times New Roman" w:hAnsi="Times New Roman" w:eastAsia="宋体" w:cs="Times New Roman"/>
                <w:color w:val="auto"/>
                <w:kern w:val="0"/>
                <w:sz w:val="21"/>
                <w:szCs w:val="21"/>
                <w:vertAlign w:val="baseline"/>
                <w:lang w:val="en-US" w:eastAsia="zh-CN"/>
              </w:rPr>
              <w:t xml:space="preserve"> 年均浓度不达标县市（园区），禁止新（改、扩）建未落实排放SO</w:t>
            </w:r>
            <w:r>
              <w:rPr>
                <w:rFonts w:hint="eastAsia" w:ascii="Times New Roman" w:hAnsi="Times New Roman" w:eastAsia="宋体" w:cs="Times New Roman"/>
                <w:color w:val="auto"/>
                <w:kern w:val="0"/>
                <w:sz w:val="21"/>
                <w:szCs w:val="21"/>
                <w:vertAlign w:val="subscript"/>
                <w:lang w:val="en-US" w:eastAsia="zh-CN"/>
              </w:rPr>
              <w:t>2</w:t>
            </w:r>
            <w:r>
              <w:rPr>
                <w:rFonts w:hint="eastAsia" w:ascii="Times New Roman" w:hAnsi="Times New Roman" w:eastAsia="宋体" w:cs="Times New Roman"/>
                <w:color w:val="auto"/>
                <w:kern w:val="0"/>
                <w:sz w:val="21"/>
                <w:szCs w:val="21"/>
                <w:vertAlign w:val="baseline"/>
                <w:lang w:val="en-US" w:eastAsia="zh-CN"/>
              </w:rPr>
              <w:t>、NOx、烟粉尘、挥发性有机物（VOCs）等四项大气污染物总量指标昌吉州区域内倍量替代的项目。</w:t>
            </w:r>
          </w:p>
        </w:tc>
        <w:tc>
          <w:tcPr>
            <w:tcW w:w="1236"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本项目位于呼图壁工业园西区，属于不达标区，颗粒物和VOCs实行倍量替代</w:t>
            </w:r>
          </w:p>
        </w:tc>
        <w:tc>
          <w:tcPr>
            <w:tcW w:w="27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1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317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5、新（改、扩）建项目应执行最严格的大气污染物排放标准。</w:t>
            </w:r>
          </w:p>
        </w:tc>
        <w:tc>
          <w:tcPr>
            <w:tcW w:w="123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vertAlign w:val="baseline"/>
                <w:lang w:val="en-US" w:eastAsia="zh-CN"/>
              </w:rPr>
            </w:pPr>
          </w:p>
        </w:tc>
        <w:tc>
          <w:tcPr>
            <w:tcW w:w="27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1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317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6、已入园的石化、煤化工项目，在2023年前完成提标改造或产业转型、产业整合。同时，提标改造可参照《新疆维吾尔自治区石油和化学工业“十三五”发展规划》《现代煤化工建设项目环境准入条件（试行）》要求执行。</w:t>
            </w:r>
          </w:p>
        </w:tc>
        <w:tc>
          <w:tcPr>
            <w:tcW w:w="123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不涉及</w:t>
            </w:r>
          </w:p>
        </w:tc>
        <w:tc>
          <w:tcPr>
            <w:tcW w:w="27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1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317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7、鼓励入园企业进行技术改造和提升，鼓励采用先进的清洁生产技术，提高原料转化和利用效率。</w:t>
            </w:r>
          </w:p>
        </w:tc>
        <w:tc>
          <w:tcPr>
            <w:tcW w:w="123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项目符合园区定位和国家产业政策，清洁生产水平高、工艺先进、自动化程度高</w:t>
            </w:r>
            <w:r>
              <w:rPr>
                <w:rFonts w:hint="eastAsia" w:ascii="Times New Roman" w:hAnsi="Times New Roman" w:eastAsia="宋体" w:cs="Times New Roman"/>
                <w:color w:val="auto"/>
                <w:kern w:val="0"/>
                <w:sz w:val="21"/>
                <w:szCs w:val="21"/>
                <w:vertAlign w:val="baseline"/>
                <w:lang w:val="en-US" w:eastAsia="zh-CN"/>
              </w:rPr>
              <w:t>且</w:t>
            </w:r>
            <w:r>
              <w:rPr>
                <w:rFonts w:hint="default" w:ascii="Times New Roman" w:hAnsi="Times New Roman" w:eastAsia="宋体" w:cs="Times New Roman"/>
                <w:color w:val="auto"/>
                <w:kern w:val="0"/>
                <w:sz w:val="21"/>
                <w:szCs w:val="21"/>
                <w:vertAlign w:val="baseline"/>
                <w:lang w:val="en-US" w:eastAsia="zh-CN"/>
              </w:rPr>
              <w:t>具有可靠的污染防治技术。</w:t>
            </w:r>
          </w:p>
        </w:tc>
        <w:tc>
          <w:tcPr>
            <w:tcW w:w="27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1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317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8、完善工业园区污水集中处理设施。实行“清污分流、雨污分流”，实现废水分类收集、分质处理，入园企业应在达到国家或地方规定的排放标准后接入集中式污水处理设施处理，园区集中式污水处理设施总排口应安装自动监控系统、视频监控系统，并与环境保护主管部门联网。</w:t>
            </w:r>
          </w:p>
        </w:tc>
        <w:tc>
          <w:tcPr>
            <w:tcW w:w="1236"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本项目产生的</w:t>
            </w:r>
            <w:r>
              <w:rPr>
                <w:rFonts w:hint="eastAsia" w:ascii="Times New Roman" w:hAnsi="Times New Roman" w:eastAsia="宋体" w:cs="Times New Roman"/>
                <w:color w:val="auto"/>
                <w:sz w:val="21"/>
                <w:szCs w:val="21"/>
                <w:vertAlign w:val="baseline"/>
                <w:lang w:val="en-US" w:eastAsia="zh-CN"/>
              </w:rPr>
              <w:t>生产废水</w:t>
            </w:r>
            <w:r>
              <w:rPr>
                <w:rFonts w:hint="default" w:ascii="Times New Roman" w:hAnsi="Times New Roman" w:eastAsia="宋体" w:cs="Times New Roman"/>
                <w:color w:val="auto"/>
                <w:sz w:val="21"/>
                <w:szCs w:val="21"/>
                <w:vertAlign w:val="baseline"/>
                <w:lang w:val="en-US" w:eastAsia="zh-CN"/>
              </w:rPr>
              <w:t>回用</w:t>
            </w:r>
            <w:r>
              <w:rPr>
                <w:rFonts w:hint="eastAsia" w:ascii="Times New Roman" w:hAnsi="Times New Roman" w:eastAsia="宋体" w:cs="Times New Roman"/>
                <w:color w:val="auto"/>
                <w:sz w:val="21"/>
                <w:szCs w:val="21"/>
                <w:vertAlign w:val="baseline"/>
                <w:lang w:val="en-US" w:eastAsia="zh-CN"/>
              </w:rPr>
              <w:t>于水溶肥生产线</w:t>
            </w:r>
            <w:r>
              <w:rPr>
                <w:rFonts w:hint="default" w:ascii="Times New Roman" w:hAnsi="Times New Roman" w:eastAsia="宋体" w:cs="Times New Roman"/>
                <w:color w:val="auto"/>
                <w:sz w:val="21"/>
                <w:szCs w:val="21"/>
                <w:vertAlign w:val="baseline"/>
                <w:lang w:val="en-US" w:eastAsia="zh-CN"/>
              </w:rPr>
              <w:t>，</w:t>
            </w:r>
            <w:r>
              <w:rPr>
                <w:rFonts w:hint="eastAsia" w:ascii="Times New Roman" w:hAnsi="Times New Roman" w:eastAsia="宋体" w:cs="Times New Roman"/>
                <w:color w:val="auto"/>
                <w:sz w:val="21"/>
                <w:szCs w:val="21"/>
                <w:vertAlign w:val="baseline"/>
                <w:lang w:val="en-US" w:eastAsia="zh-CN"/>
              </w:rPr>
              <w:t>不外排</w:t>
            </w:r>
            <w:r>
              <w:rPr>
                <w:rFonts w:hint="default" w:ascii="Times New Roman" w:hAnsi="Times New Roman" w:eastAsia="宋体" w:cs="Times New Roman"/>
                <w:color w:val="auto"/>
                <w:sz w:val="21"/>
                <w:szCs w:val="21"/>
                <w:vertAlign w:val="baseline"/>
                <w:lang w:val="en-US" w:eastAsia="zh-CN"/>
              </w:rPr>
              <w:t>。</w:t>
            </w:r>
          </w:p>
        </w:tc>
        <w:tc>
          <w:tcPr>
            <w:tcW w:w="27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1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317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9、禁止园区废水排入地表水体。</w:t>
            </w:r>
          </w:p>
        </w:tc>
        <w:tc>
          <w:tcPr>
            <w:tcW w:w="123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vertAlign w:val="baseline"/>
                <w:lang w:val="en-US" w:eastAsia="zh-CN"/>
              </w:rPr>
            </w:pPr>
          </w:p>
        </w:tc>
        <w:tc>
          <w:tcPr>
            <w:tcW w:w="27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17"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环境风险管控</w:t>
            </w:r>
          </w:p>
        </w:tc>
        <w:tc>
          <w:tcPr>
            <w:tcW w:w="317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1、执行自治区、乌昌石片区总体准入要求中关于重点管控单元环境风险防控的准入要求（表2-3 A6.3、表3.4-2 B3）。</w:t>
            </w:r>
          </w:p>
          <w:p>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A6.3-1】定期评估邻近环境敏感区的工业企业、工业集聚区环境和健康风险。强化工业集聚区企业环境风险防范设施设备建设和正常运行监管，加强重点环境风险管控企业应急预案制定，建立常态化的企业隐患排查整治监管机制，加强风险防控体系建设。</w:t>
            </w:r>
          </w:p>
        </w:tc>
        <w:tc>
          <w:tcPr>
            <w:tcW w:w="123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本项目所在园区建设有风险防控体系，可满足园区企业风向防控</w:t>
            </w:r>
          </w:p>
        </w:tc>
        <w:tc>
          <w:tcPr>
            <w:tcW w:w="27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1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317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2、园区及企业需制定安全事故和污染事故应急预案。发生安全事故和污染事故时，应当及时上报上级环保及相关部门，通报地方行政主管单位，并及时采取应急预案，控制和处理好已发生的事故灾难。</w:t>
            </w:r>
          </w:p>
        </w:tc>
        <w:tc>
          <w:tcPr>
            <w:tcW w:w="1236"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项目建成后加强风险管理，及时配备应急物资；环评建议项目取得批复后尽快开展突发环境事件应急预案编制及备案工作，并定期开展应急演习，避免风险事故的发生，并与园区应急预案进行联动。</w:t>
            </w:r>
          </w:p>
        </w:tc>
        <w:tc>
          <w:tcPr>
            <w:tcW w:w="270"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1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317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3、定期对已建企业进行风险排查，对在建企业进行监督和指导，各环境风险企业必须建有围堰、事故池等一系列事故应急设施。</w:t>
            </w:r>
          </w:p>
        </w:tc>
        <w:tc>
          <w:tcPr>
            <w:tcW w:w="123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vertAlign w:val="baseline"/>
                <w:lang w:val="en-US" w:eastAsia="zh-CN"/>
              </w:rPr>
            </w:pPr>
          </w:p>
        </w:tc>
        <w:tc>
          <w:tcPr>
            <w:tcW w:w="270"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1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317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4、园区生产、使用、贮存、运输、回收、处置、排放有毒有害物质时，应当采取措施，防止有毒有害物质渗漏、流失、扬散，避免土壤受到污染。</w:t>
            </w:r>
          </w:p>
        </w:tc>
        <w:tc>
          <w:tcPr>
            <w:tcW w:w="123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270"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17"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资源利用效率</w:t>
            </w:r>
          </w:p>
        </w:tc>
        <w:tc>
          <w:tcPr>
            <w:tcW w:w="317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1、执行自治区、乌昌石片区总体准入要求中关于重点管控单元资源利用效率的准入要求（表2-3A6.4、表3.4-2 B4）。</w:t>
            </w:r>
          </w:p>
          <w:p>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【A6.4-1】推进工业集聚区生态化改造，强化企业清洁生产改造，推进节水型企业、节水型工业园区建设，提高资源能源利用效率。</w:t>
            </w:r>
          </w:p>
        </w:tc>
        <w:tc>
          <w:tcPr>
            <w:tcW w:w="123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本项目所采用的工艺及设备等均符合清洁生产要求，能源利用效率较高</w:t>
            </w:r>
          </w:p>
        </w:tc>
        <w:tc>
          <w:tcPr>
            <w:tcW w:w="27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1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317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2、园区企业按照“清污分流、一水多用、循环使用”的原则，加强节水和统筹用水的管理，重视水资源的梯级利用，最大限度提高水的重复率，减少新鲜水的用量。</w:t>
            </w:r>
          </w:p>
        </w:tc>
        <w:tc>
          <w:tcPr>
            <w:tcW w:w="1236"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本项目运营期间主要利用资源为水、电、天然气、皂脚和废弃动植物油脂等，区域资源充足，有保障，不会突破资源利用上线。项目产生的一般固体废物优先进行综合利用。</w:t>
            </w:r>
          </w:p>
        </w:tc>
        <w:tc>
          <w:tcPr>
            <w:tcW w:w="270"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1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317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3、园区中的西区企业要加大自身余热再利用，鼓励使用清洁能源。</w:t>
            </w:r>
          </w:p>
        </w:tc>
        <w:tc>
          <w:tcPr>
            <w:tcW w:w="123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270"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1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317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4、园区水资源开发总量、土地开发强度、能耗消费增量等指标应达到水利、自然资源、能源等部门相应要求。</w:t>
            </w:r>
          </w:p>
        </w:tc>
        <w:tc>
          <w:tcPr>
            <w:tcW w:w="123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270"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p>
        </w:tc>
      </w:tr>
    </w:tbl>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1.3.5 选址环境合理性分析</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1.3.5.1 项目选址与产业布局及用地规划的符合性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从园区产业布局来看，项目为节能环保产业项目，位于西区产业布局中的节能环保组团，与园区发展定位一致，符合《呼图壁工业园区总体发展规划（2021-2035 年）》产业布局要求。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从占地性质方面来看，项目选址位于呼图壁工业园西区内，项目占地类型为工业用地，项目用地符合土地利用要求。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项目选址符合呼图壁工业园区总体发展规划产业布局及用地规划，选址合理。</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1.3.5.2 项目选址区域基础设施建设的完善性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从电力供应来看，项目用电依托当地供电公司供应，园区现状有 4 座 110kV变电站、1 座 35kV 变电站，电源现状主要由东侧 220kV 园区变电站供电，项目厂区配电房设一台 800kVA 箱式变压器能满足项目供电需求。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从供水来看，本项目新鲜水用量 2741t/a，根据园区水资源论证及供水规划，园区现有供水能力能满足本项目供水需求，且供水管网铺设至项目所在区域，从预留接口接入，可以满足项目需要的水量、水质要求，因此本项目用水可以保证。</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从供热来看，项目用热由自建 3 台电锅炉提供，项目用热可以保证。</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从排水来看，本项目产生的生产废水全部回用于水溶肥及生物有机肥生产线，不外排；生活污水直接排入园区污水管网，最终进入园区污水处理厂处理。本项目外排废水量为 986.4m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/a，园区污水处理厂处理能力为 1.4 万m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/d，现实际处理量约为 4000m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/d，仍有余量可以保证本项目外排废水得到有效处置。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综上，从选址区域基础设施建设情况来看，项目所在区域基础设施基本完善，可以满足本项目生产需求，因此项目选址合理。</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1.3.5.3 项目区域环境敏感保护目标符合性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选址位于呼图壁工业园西区，工程属于环保产业，符合园区规划产业定位和用地规划。厂址东侧为呼图壁县安泰水泥有限责任公司，南侧紧邻爱特路，西侧紧邻园区道路，北侧为新疆助农丰节水管材有限责任公司，周边环境不属于特殊或重要生态敏感区，附近无国家及省级确定的风景名胜区、历史遗迹等保护区，无地表水分布，也无重点保护生态品种及濒危生物物种，文物古迹等。</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1.3.5.4 项目选址区域环境相容性分析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项目选址位于呼图壁工业园西区，评价范围内环境空气质量评价因子除 PM</w:t>
      </w:r>
      <w:r>
        <w:rPr>
          <w:rFonts w:hint="eastAsia" w:ascii="Times New Roman" w:hAnsi="Times New Roman" w:eastAsia="宋体" w:cs="Times New Roman"/>
          <w:color w:val="auto"/>
          <w:sz w:val="24"/>
          <w:szCs w:val="24"/>
          <w:vertAlign w:val="subscript"/>
          <w:lang w:val="en-US" w:eastAsia="zh-CN"/>
        </w:rPr>
        <w:t>2.5</w:t>
      </w:r>
      <w:r>
        <w:rPr>
          <w:rFonts w:hint="eastAsia" w:ascii="Times New Roman" w:hAnsi="Times New Roman" w:eastAsia="宋体" w:cs="Times New Roman"/>
          <w:color w:val="auto"/>
          <w:sz w:val="24"/>
          <w:szCs w:val="24"/>
          <w:lang w:val="en-US" w:eastAsia="zh-CN"/>
        </w:rPr>
        <w:t>、PM</w:t>
      </w:r>
      <w:r>
        <w:rPr>
          <w:rFonts w:hint="eastAsia" w:ascii="Times New Roman" w:hAnsi="Times New Roman" w:eastAsia="宋体" w:cs="Times New Roman"/>
          <w:color w:val="auto"/>
          <w:sz w:val="24"/>
          <w:szCs w:val="24"/>
          <w:vertAlign w:val="subscript"/>
          <w:lang w:val="en-US" w:eastAsia="zh-CN"/>
        </w:rPr>
        <w:t>10</w:t>
      </w:r>
      <w:r>
        <w:rPr>
          <w:rFonts w:hint="eastAsia" w:ascii="Times New Roman" w:hAnsi="Times New Roman" w:eastAsia="宋体" w:cs="Times New Roman"/>
          <w:color w:val="auto"/>
          <w:sz w:val="24"/>
          <w:szCs w:val="24"/>
          <w:lang w:val="en-US" w:eastAsia="zh-CN"/>
        </w:rPr>
        <w:t xml:space="preserve"> 超标外，其他评价因子均能满足相应标准要求，超标原因主要是因为项目区域干旱少雨，风沙较大；区域内地下水各监测因子均满足 Ⅲ 类标准要求，评价区声环境质量满足《声环境质量标准》（GB3096-2008）中的 3 类标准，且厂区周围没有声环境保护目标。</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东侧为安呼图壁县安泰水泥有限责任公司，项目区南侧紧邻园区道路，道路南侧为新疆昊睿新能源有限公司，项目区西侧为园区道路，园区道路西侧为空地，项目区北侧为新疆助农丰节水管材有限责任公司，本项目选址不在其他周边企业的卫生防护距离内。</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本项目投产后，在严格落实评价提出的各类污染防治措施的基础上，能够确保各类污染物达标排放，不会因项目建设导致区域环境质量下降，对区域环境影响不大，区域环境仍可保持现有功能水平。</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1.3.5.5 项目选址区域环境风险可控性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企业按照化工企业建设要求建设和落实风险应急措施、制定风险应急预案；项目各项污染防治和风险防范措施明确，按要求设置环境防护距离，防护距离范围内无住宅、办公、学校、医院等敏感建筑，上述范围内也不规划建设敏感建筑以及食品加工等对环境要求较高的企业。综合以上分析，项目选址符合环境风险防范相关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因此，从环境容量角度分析，选址是可行的。</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color w:val="auto"/>
          <w:sz w:val="24"/>
          <w:szCs w:val="24"/>
          <w:lang w:val="en-US" w:eastAsia="zh-CN"/>
        </w:rPr>
      </w:pPr>
      <w:bookmarkStart w:id="4" w:name="_Toc31494"/>
      <w:r>
        <w:rPr>
          <w:rFonts w:hint="eastAsia" w:ascii="Times New Roman" w:hAnsi="Times New Roman" w:eastAsia="宋体" w:cs="Times New Roman"/>
          <w:b/>
          <w:bCs/>
          <w:color w:val="auto"/>
          <w:sz w:val="30"/>
          <w:szCs w:val="30"/>
          <w:lang w:val="en-US" w:eastAsia="zh-CN"/>
        </w:rPr>
        <w:t>1.4 关注的主要环境问题及环境影响</w:t>
      </w:r>
      <w:bookmarkEnd w:id="4"/>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本次环境影响评价工作，结合厂址地区环境特点、工程特点，重点关注以下环境问题：</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（1）项目三废排放对周边区域环境的影响程度和范围；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（2）项目拟采取的环保设施和污染防治措施的可行性；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（3）项目存在发生有毒有害物质泄漏、火灾以及爆炸风险，风险事故发生后所引起的厂界外人群伤害、环境质量恶化以及对生态系统的影响。</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color w:val="auto"/>
          <w:sz w:val="24"/>
          <w:szCs w:val="24"/>
          <w:lang w:val="en-US" w:eastAsia="zh-CN"/>
        </w:rPr>
      </w:pPr>
      <w:bookmarkStart w:id="5" w:name="_Toc1640"/>
      <w:r>
        <w:rPr>
          <w:rFonts w:hint="eastAsia" w:ascii="Times New Roman" w:hAnsi="Times New Roman" w:eastAsia="宋体" w:cs="Times New Roman"/>
          <w:b/>
          <w:bCs/>
          <w:color w:val="auto"/>
          <w:sz w:val="30"/>
          <w:szCs w:val="30"/>
          <w:lang w:val="en-US" w:eastAsia="zh-CN"/>
        </w:rPr>
        <w:t>1.5 环境影响评价主要结论</w:t>
      </w:r>
      <w:bookmarkEnd w:id="5"/>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建设符合产业政策要求及地方规划和环境功能区划要求；区域承载力能够满足本项目的资源能源需求；项目环境风险在可接受范围内；项目建设过程中需按照国家法律法规要求认真落实环境保护“三同时”制度，严格落实设计和环评报告提出的污染防治措施，并加强环保设施的运行维护和管理，确保各项环保设施的正常运行和污染物长期稳定达标排放。在确保全厂环保设施的正常运行，严格实施风险防范措施，落实本评价中提出的各项环保、节能降耗及安全预防措施的前提下，从环境保护的角度出发，项目建设是可行的。</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eastAsia" w:ascii="Times New Roman" w:hAnsi="Times New Roman" w:eastAsia="宋体" w:cs="Times New Roman"/>
          <w:color w:val="auto"/>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0"/>
        <w:rPr>
          <w:rFonts w:hint="default" w:ascii="Times New Roman" w:hAnsi="Times New Roman" w:eastAsia="宋体" w:cs="Times New Roman"/>
          <w:b/>
          <w:bCs/>
          <w:color w:val="auto"/>
          <w:sz w:val="32"/>
          <w:szCs w:val="32"/>
          <w:lang w:val="en-US" w:eastAsia="zh-CN"/>
        </w:rPr>
      </w:pPr>
      <w:bookmarkStart w:id="6" w:name="_Toc8675"/>
      <w:r>
        <w:rPr>
          <w:rFonts w:hint="eastAsia" w:ascii="Times New Roman" w:hAnsi="Times New Roman" w:eastAsia="宋体" w:cs="Times New Roman"/>
          <w:b/>
          <w:bCs/>
          <w:color w:val="auto"/>
          <w:sz w:val="32"/>
          <w:szCs w:val="32"/>
          <w:lang w:val="en-US" w:eastAsia="zh-CN"/>
        </w:rPr>
        <w:t>2 总则</w:t>
      </w:r>
      <w:bookmarkEnd w:id="6"/>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color w:val="auto"/>
          <w:sz w:val="24"/>
          <w:szCs w:val="24"/>
          <w:lang w:val="en-US" w:eastAsia="zh-CN"/>
        </w:rPr>
      </w:pPr>
      <w:bookmarkStart w:id="7" w:name="_Toc3775"/>
      <w:r>
        <w:rPr>
          <w:rFonts w:hint="eastAsia" w:ascii="Times New Roman" w:hAnsi="Times New Roman" w:eastAsia="宋体" w:cs="Times New Roman"/>
          <w:b/>
          <w:bCs/>
          <w:color w:val="auto"/>
          <w:sz w:val="30"/>
          <w:szCs w:val="30"/>
          <w:lang w:val="en-US" w:eastAsia="zh-CN"/>
        </w:rPr>
        <w:t>2.1 编制依据</w:t>
      </w:r>
      <w:bookmarkEnd w:id="7"/>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2.1.1 国家法律、法规</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（1）《中华人民共和国环境保护法》，2015 年 1 月；</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（2）《中华人民共和国环境影响评价法》，2018 年 12 月 29 号修正；</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（3）《中华人民共和国大气污染防治法》（修订版），2018 年 10 月 26 日修正；</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（4）《中华人民共和国水污染防治法》，2017 年 6 月 27 日修正；</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（5）《中华人民共和国噪声污染防治法》，2022 年 6 月 5 日施行；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（6）《中华人民共和国固体废物污染环境防治法》，2020 年 9 月 1 日；</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（7）《中华人民共和国土壤污染防治法》，2019 年 1 月 1 日；</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（8）《中华人民共和国清洁生产促进法》，2012 年 7 月 1 日施行；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（9）《中华人民共和国节约能源法》，2018 年 10 月 26 日修正；</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（10）《中华人民共和国循环经济促进法》，2018 年 10 月 26 日修正；</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（11）《生态环境部关于发布〈排放源统计调查产排污核算方法和系数手册〉的公告》（生态环境部公告 2021 年第 24 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（12）《国务院关于印发“十三五”生态环境保护规划的通知》，2016 年 11 月 24 日；</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（14）《产业结构调整指导目录（2024）》，中华人民共和国国家发展和改革委员会令第7号，20214 年 2 月 1 日实施；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（15）《排污许可管理条例》，2021 年 3 月 1 日起施行。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（16）《关于以改善环境质量为核心加强环境影响评价管理的通知》，环环评〔2016〕150 号，2016 年 11 月 2 日；</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（17）《建设项目环境影响评价分类管理名录》（2021 年版）；</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（18）《环境影响评价公众参与办法》（生态环境部令第 4 号，2019.1.1 施行）；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（19）《关于做好环境影响评价制度与排污许可制衔接相关工作的通知》，环办环评〔2017〕84 号，2017 年 11 月 14 日；</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（20）《国家危险废物名录》（2021 年版）；</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（21）《产业发展与转移指导目录》（2018 年本）；</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（22）《建设项目环境保护管理条例》（国务院令第 682 号，2017.6.16 修订）；</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（23）《国务院关于印发大气污染防治行动计划的通知》（国发〔2013〕37 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（24）《国务院关于印发水污染防治行动计划的通知》（国发〔2015〕17 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（25）《国务院关于印发土壤污染防治行动计划的通知》（国发〔2016〕31 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（26）《国务院关于印发&lt;打赢蓝天保卫战三年行动计划&gt;的通知》（国发〔2018〕22 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（27）《关于强化建设项目环境影响评价事中事后监管的实施意见》（环环评〔2018〕11 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（28）《建设项目主要污染物排放总量指标审核及管理暂行办法》（环发〔2014〕97 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（29）《建设项目竣工环境保护验收暂行办法》（国环规环评〔2017〕4 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（35）《中华人民共和国水土保持法》（2011 年 3 月 1 日实施）；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（36）《中华人民共和国土地管理法》（第三次修订）；</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（37）《危险化学品安全管理条例》（2011 年修订）；</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（39）《环境保护综合目录》（2017 年版）；</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（40）《危险化学品目录》（2018 年版）；</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（41）《固定污染源排污许可分类管理名录》（2019 年版）；</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（42）《一般固体废物分类与代码》GB/T39198-2020；</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（43）《工矿用地土壤环境管理办法（试行）》2018 年 8 月 1 日施行；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（44）《危险废物转移管理办法》2022 年 1 月 1 日起施行；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（46）《2020 年挥发性有机物治理攻坚方案》；</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（47）《国务院办公厅关于印发控制污染物排放许可制实施方案的通知》国办发[2016]81 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（48）关于发布 2016 年《国家先进污染防治技术目录（VOCs 防治领域）》 的公告（公告 2016 年第 75 号）。</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2.1.2 地方性法规、政府规章、规划、条例等</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（1）《新疆维吾尔自治区环境保护条例》，（新疆维吾尔自治区人民政府，（2018 年修正，2018 年 9 月 21 日起施行）；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（2）《新疆维吾尔自治区主体功能区规划》（2012 年 10 月）；</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（3）《关于印发新疆维吾尔自治区“十三五”挥发性有机物污染防治实施方案的通知》（新环发〔2018〕74 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（4）《新疆维吾尔自治区大气污染防治条例》（2018年11月30日公布，自2019年1月1日起施行）；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（5）《关于印发新疆维吾尔自治区大气污染防治行动计划实施方案的通知》 《新政发〔2014〕35号）；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（6）《关于印发新疆维吾尔自治区水污染防治工作方案的通知》（新政发〔2016〕21号）；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（7）《关于印发新疆维吾尔自治区土壤防治工作方案的通知》（新政发〔2017〕25号）；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（8）《新疆维吾尔自治区控制污染物排放许可制实施方案》（新政办发〔2017〕105号）；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（9）《关于重点区域执行大气污染物特别排放限制的公告》（2016年第45 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（10）《关于加强乌鲁木齐、昌吉、石河子、五家渠区域环境同防同治的意见》；</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（11）《新疆维吾尔自治区排污许可证管理暂行办法》（新疆维吾尔自治区环境保护厅，2015年5月11日发布）；</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（12）《昌吉回族自治州“三线一单”生态环境分区管控方案》（昌州政办发〔2021〕41号，2021年6月30日）；</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（13）《新疆维吾尔自治区危险废物污染环境防治办法》（新疆维吾尔自治区人民政府令第 163 号公布，自 2010 年 5 月 1 日起施行）；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（14）《新疆维吾尔自治区人民政府关于印发&lt;自治区打赢蓝天保卫战三年行动计划（2018-2020 年）的通知》（新政发[2018]66 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（15）《关于开展昌吉自治州 2022 年夏秋季大气污染防治“冬病夏治”有关工作的通知》。</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（16）《全国主体功能区规划》，国发〔2010〕46 号，2010 年 12 月 21 日；</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（17）《“十四五”工业绿色发展规划》，工信部规〔2021〕178 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（18）《中华人民共和国国民经济和社会发展第十四个五年规划和 2035 年远景目标纲要》；</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（19）《“十四五”生态保护监管规划》；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（20）《“十四五”土壤、地下水、农村生态环境保护规划》；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（21）《新疆维吾尔自治区环境保护“十四五”规划》，2021 年 12 月 24 日；</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（22）《新疆维吾尔自治区国民经济和社会发展第十四个五年规划和 2035 年远景目标纲要》；</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（23）《新疆生态环境功能区划》（2005 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（24）《昌吉回族自治州国民经济和社会发展第十四个五年规划和 2035 年远景目标纲要》；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（25）《昌吉回族自治州生态环境保护与建设“十四五”规划》，昌州政发〔2022〕6 号，2022 年 1 月 28 日。</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2.1.4 技术导则及规范</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（1）《建设项目环境影响评价技术导则 总纲》（HJ2.1-2016）；</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（2）《环境影响评价技术导则-生态影响》（HJ19-2022）；</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（3）《环境影响评价技术导则-大气环境》（HJ2.2-2018）；</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（4）《环境影响评价技术导则-地表水环境》（HJ2.3-2018）；</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（5）《环境影响评价技术导则-地下水环境》（HJ610-2016）；</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（6）《环境影响评价技术导则-声环境》（HJ2.4-2021）；</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（7）《环境影响评价技术导则-土壤环境（试行）》（HJ964-2018）；</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（8）《建设项目环境风险评价技术导则》（HJ169-2018）；</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（9）《污染源源强核算技术指南准则》（HJ884-2018）；</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（10）《排污许可证申请与核发技术规范总则》（HJ942-2018）；</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（11）《排污单位自行监测技术指南总则》HJ819-2017。</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（12）《危险化学品重大危险源辨识》（GB18218-2018）；</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（13）《危险废物收集贮存运输技术规范》（HJ2025-2012）；</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（14）《排污许可证申请与核发技术规范 工业固体废物和危险废物治理》（HJ1033-2019）；</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（15）《排污许可证申请与核发技术规范 专用化学产品制造工业》（HJ1103-2020）。 </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2.1.5 其他相关文件</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（1）《新疆嘉宏生物科技有限公司废弃动植物油脂等资源循环再利用项目环评委托书》，2023年8月；</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（2）《新疆嘉宏生物科技有限公司废弃动植物油脂等资源循环再利用项目可行性研究报告》，2023年5月；</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（3）《新疆嘉宏生物科技有限公司废弃动植物油脂等资源循环再利用项目备案证》，编码 2307-652323-20-05-751209，2023 年 6 月 22 日；</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（4）《呼图壁工业园区总体规划（2017-2035）环境影响报告书》，2018 年 7 月；</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（5）《关于呼图壁工业园区总体规划（2017-2035）环境影响报告书的审查意见》，新环函〔2019〕24 号，2019 年 1 月 7 日。</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color w:val="auto"/>
          <w:sz w:val="24"/>
          <w:szCs w:val="24"/>
          <w:lang w:val="en-US" w:eastAsia="zh-CN"/>
        </w:rPr>
      </w:pPr>
      <w:bookmarkStart w:id="8" w:name="_Toc25008"/>
      <w:r>
        <w:rPr>
          <w:rFonts w:hint="eastAsia" w:ascii="Times New Roman" w:hAnsi="Times New Roman" w:eastAsia="宋体" w:cs="Times New Roman"/>
          <w:b/>
          <w:bCs/>
          <w:color w:val="auto"/>
          <w:sz w:val="30"/>
          <w:szCs w:val="30"/>
          <w:lang w:val="en-US" w:eastAsia="zh-CN"/>
        </w:rPr>
        <w:t>2.2 评价因子及评价标准</w:t>
      </w:r>
      <w:bookmarkEnd w:id="8"/>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2.2.1 环境影响因素识别</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本项目在工业园区建设，其影响因素主要表现在施工期的噪声和运营期的“三废”排放。经过对本项目生产和排污特征分析及对周围环境状况的调查，识别出项目对环境的影响矩阵见表 2.2.1-1。</w:t>
      </w:r>
    </w:p>
    <w:p>
      <w:pPr>
        <w:pStyle w:val="33"/>
        <w:bidi w:val="0"/>
        <w:rPr>
          <w:rFonts w:hint="default"/>
          <w:color w:val="auto"/>
          <w:highlight w:val="none"/>
        </w:rPr>
      </w:pPr>
      <w:r>
        <w:rPr>
          <w:rFonts w:hint="default"/>
          <w:color w:val="auto"/>
          <w:sz w:val="24"/>
          <w:szCs w:val="24"/>
          <w:highlight w:val="none"/>
        </w:rPr>
        <w:t>表</w:t>
      </w:r>
      <w:r>
        <w:rPr>
          <w:rFonts w:hint="eastAsia"/>
          <w:color w:val="auto"/>
          <w:sz w:val="24"/>
          <w:szCs w:val="24"/>
          <w:highlight w:val="none"/>
          <w:lang w:val="en-US" w:eastAsia="zh-CN"/>
        </w:rPr>
        <w:t xml:space="preserve"> </w:t>
      </w:r>
      <w:r>
        <w:rPr>
          <w:rFonts w:hint="default"/>
          <w:color w:val="auto"/>
          <w:sz w:val="24"/>
          <w:szCs w:val="24"/>
          <w:highlight w:val="none"/>
        </w:rPr>
        <w:t>2</w:t>
      </w:r>
      <w:r>
        <w:rPr>
          <w:rFonts w:hint="eastAsia"/>
          <w:color w:val="auto"/>
          <w:sz w:val="24"/>
          <w:szCs w:val="24"/>
          <w:highlight w:val="none"/>
          <w:lang w:val="en-US" w:eastAsia="zh-CN"/>
        </w:rPr>
        <w:t>.2.1</w:t>
      </w:r>
      <w:r>
        <w:rPr>
          <w:rFonts w:hint="default"/>
          <w:color w:val="auto"/>
          <w:sz w:val="24"/>
          <w:szCs w:val="24"/>
          <w:highlight w:val="none"/>
        </w:rPr>
        <w:t xml:space="preserve">-1 </w:t>
      </w:r>
      <w:r>
        <w:rPr>
          <w:rFonts w:hint="eastAsia"/>
          <w:color w:val="auto"/>
          <w:sz w:val="24"/>
          <w:szCs w:val="24"/>
          <w:highlight w:val="none"/>
          <w:lang w:val="en-US" w:eastAsia="zh-CN"/>
        </w:rPr>
        <w:t xml:space="preserve">   </w:t>
      </w:r>
      <w:r>
        <w:rPr>
          <w:rFonts w:hint="default"/>
          <w:color w:val="auto"/>
          <w:sz w:val="24"/>
          <w:szCs w:val="24"/>
          <w:highlight w:val="none"/>
        </w:rPr>
        <w:t xml:space="preserve">   环境影响因素筛选和识别表</w:t>
      </w:r>
    </w:p>
    <w:tbl>
      <w:tblPr>
        <w:tblStyle w:val="21"/>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312"/>
        <w:gridCol w:w="1648"/>
        <w:gridCol w:w="763"/>
        <w:gridCol w:w="755"/>
        <w:gridCol w:w="833"/>
        <w:gridCol w:w="741"/>
        <w:gridCol w:w="835"/>
        <w:gridCol w:w="804"/>
        <w:gridCol w:w="82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Header/>
          <w:jc w:val="center"/>
        </w:trPr>
        <w:tc>
          <w:tcPr>
            <w:tcW w:w="1737" w:type="pct"/>
            <w:gridSpan w:val="2"/>
            <w:vMerge w:val="restart"/>
            <w:tcBorders>
              <w:tl2br w:val="nil"/>
              <w:tr2bl w:val="nil"/>
            </w:tcBorders>
            <w:noWrap w:val="0"/>
            <w:vAlign w:val="center"/>
          </w:tcPr>
          <w:p>
            <w:pPr>
              <w:pStyle w:val="34"/>
              <w:bidi w:val="0"/>
              <w:rPr>
                <w:rFonts w:hint="default"/>
                <w:b/>
                <w:bCs/>
                <w:color w:val="auto"/>
                <w:highlight w:val="none"/>
              </w:rPr>
            </w:pPr>
            <w:r>
              <w:rPr>
                <w:color w:val="auto"/>
                <w:sz w:val="21"/>
                <w:highlight w:val="none"/>
              </w:rPr>
              <mc:AlternateContent>
                <mc:Choice Requires="wps">
                  <w:drawing>
                    <wp:anchor distT="0" distB="0" distL="114300" distR="114300" simplePos="0" relativeHeight="251660288" behindDoc="0" locked="0" layoutInCell="1" allowOverlap="1">
                      <wp:simplePos x="0" y="0"/>
                      <wp:positionH relativeFrom="column">
                        <wp:posOffset>-45085</wp:posOffset>
                      </wp:positionH>
                      <wp:positionV relativeFrom="paragraph">
                        <wp:posOffset>12700</wp:posOffset>
                      </wp:positionV>
                      <wp:extent cx="1854200" cy="500380"/>
                      <wp:effectExtent l="1270" t="4445" r="11430" b="9525"/>
                      <wp:wrapNone/>
                      <wp:docPr id="9" name="直接连接符 9"/>
                      <wp:cNvGraphicFramePr/>
                      <a:graphic xmlns:a="http://schemas.openxmlformats.org/drawingml/2006/main">
                        <a:graphicData uri="http://schemas.microsoft.com/office/word/2010/wordprocessingShape">
                          <wps:wsp>
                            <wps:cNvCnPr/>
                            <wps:spPr>
                              <a:xfrm>
                                <a:off x="0" y="0"/>
                                <a:ext cx="1854200" cy="500380"/>
                              </a:xfrm>
                              <a:prstGeom prst="line">
                                <a:avLst/>
                              </a:prstGeom>
                              <a:ln w="317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3.55pt;margin-top:1pt;height:39.4pt;width:146pt;z-index:251660288;mso-width-relative:page;mso-height-relative:page;" filled="f" stroked="t" coordsize="21600,21600" o:gfxdata="UEsDBAoAAAAAAIdO4kAAAAAAAAAAAAAAAAAEAAAAZHJzL1BLAwQUAAAACACHTuJA2gxwFNgAAAAH&#10;AQAADwAAAGRycy9kb3ducmV2LnhtbE2PwU7DMBBE70j8g7VI3Fo7ESohxKmUCA49gESLBNzceEki&#10;4nWInbb8PcupHEczmnlTrE9uEAecQu9JQ7JUIJAab3tqNbzuHhcZiBANWTN4Qg0/GGBdXl4UJrf+&#10;SC942MZWcAmF3GjoYhxzKUPToTNh6Uck9j795ExkObXSTubI5W6QqVIr6UxPvNCZEesOm6/t7DTE&#10;8Pb+HOfNd7WqnmrcVR/1g9xofX2VqHsQEU/xHIY/fEaHkpn2fiYbxKBhcZtwUkPKj9hOs5s7EHsN&#10;mcpAloX8z1/+AlBLAwQUAAAACACHTuJAbgFXz/sBAADpAwAADgAAAGRycy9lMm9Eb2MueG1srVPN&#10;jtMwEL4j8Q6W7zTpLoVu1HQPW5YLgkrAA0wdJ7HkP3ncpn0JXgCJG5w4cudtWB6DsVO6sFx6IAdn&#10;7Bl/M98348X13mi2kwGVszWfTkrOpBWuUbar+ft3t0/mnGEE24B2Vtb8IJFfLx8/Wgy+kheud7qR&#10;gRGIxWrwNe9j9FVRoOilAZw4Ly05WxcMRNqGrmgCDIRudHFRls+KwYXGByckIp2uRic/IoZzAF3b&#10;KiFXTmyNtHFEDVJDJErYK498mattWynim7ZFGZmuOTGNeaUkZG/SWiwXUHUBfK/EsQQ4p4QHnAwo&#10;S0lPUCuIwLZB/QNllAgOXRsnwpliJJIVIRbT8oE2b3vwMnMhqdGfRMf/Byte79aBqabmV5xZMNTw&#10;u4/ffnz4/PP7J1rvvn5hV0mkwWNFsTd2HY479OuQGO/bYNKfuLB9FvZwElbuIxN0OJ3PnlLvORPk&#10;m5Xl5TwrX9zf9gHjS+kMS0bNtbKJOFSwe4WRMlLo75B0rC0ban45fT4jTKApbKn7ZBpPTNB2+S46&#10;rZpbpXW6gaHb3OjAdpAmIX+JF+H+FZaSrAD7MS67xhnpJTQvbMPiwZNGlp4GTyUY2XCmJb2kZBEg&#10;VBGUPieSUmtLFSRpRzGTtXHNgTqy9UF1PSkxzVUmD01Arvc4rWnE/txnpPsXuvw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2gxwFNgAAAAHAQAADwAAAAAAAAABACAAAAAiAAAAZHJzL2Rvd25yZXYu&#10;eG1sUEsBAhQAFAAAAAgAh07iQG4BV8/7AQAA6QMAAA4AAAAAAAAAAQAgAAAAJwEAAGRycy9lMm9E&#10;b2MueG1sUEsFBgAAAAAGAAYAWQEAAJQFAAAAAA==&#10;">
                      <v:fill on="f" focussize="0,0"/>
                      <v:stroke weight="0.25pt" color="#000000" joinstyle="round"/>
                      <v:imagedata o:title=""/>
                      <o:lock v:ext="edit" aspectratio="f"/>
                    </v:line>
                  </w:pict>
                </mc:Fallback>
              </mc:AlternateContent>
            </w:r>
            <w:r>
              <w:rPr>
                <w:rFonts w:hint="eastAsia"/>
                <w:b/>
                <w:bCs/>
                <w:color w:val="auto"/>
                <w:highlight w:val="none"/>
                <w:lang w:val="en-US" w:eastAsia="zh-CN"/>
              </w:rPr>
              <w:t xml:space="preserve">     </w:t>
            </w:r>
            <w:r>
              <w:rPr>
                <w:rFonts w:hint="default"/>
                <w:b/>
                <w:bCs/>
                <w:color w:val="auto"/>
                <w:highlight w:val="none"/>
              </w:rPr>
              <w:t xml:space="preserve">  </w:t>
            </w:r>
            <w:r>
              <w:rPr>
                <w:rFonts w:hint="eastAsia"/>
                <w:b/>
                <w:bCs/>
                <w:color w:val="auto"/>
                <w:highlight w:val="none"/>
                <w:lang w:val="en-US" w:eastAsia="zh-CN"/>
              </w:rPr>
              <w:t xml:space="preserve">  </w:t>
            </w:r>
            <w:r>
              <w:rPr>
                <w:rFonts w:hint="default"/>
                <w:b/>
                <w:bCs/>
                <w:color w:val="auto"/>
                <w:highlight w:val="none"/>
              </w:rPr>
              <w:t>资源</w:t>
            </w:r>
          </w:p>
          <w:p>
            <w:pPr>
              <w:pStyle w:val="34"/>
              <w:bidi w:val="0"/>
              <w:jc w:val="both"/>
              <w:rPr>
                <w:rFonts w:hint="default"/>
                <w:b/>
                <w:bCs/>
                <w:color w:val="auto"/>
                <w:highlight w:val="none"/>
              </w:rPr>
            </w:pPr>
          </w:p>
          <w:p>
            <w:pPr>
              <w:pStyle w:val="34"/>
              <w:bidi w:val="0"/>
              <w:jc w:val="both"/>
              <w:rPr>
                <w:rFonts w:hint="default"/>
                <w:b/>
                <w:bCs/>
                <w:color w:val="auto"/>
                <w:highlight w:val="none"/>
              </w:rPr>
            </w:pPr>
            <w:r>
              <w:rPr>
                <w:rFonts w:hint="default"/>
                <w:b/>
                <w:bCs/>
                <w:color w:val="auto"/>
                <w:highlight w:val="none"/>
              </w:rPr>
              <w:t>开发活动</w:t>
            </w:r>
          </w:p>
        </w:tc>
        <w:tc>
          <w:tcPr>
            <w:tcW w:w="2305" w:type="pct"/>
            <w:gridSpan w:val="5"/>
            <w:tcBorders>
              <w:tl2br w:val="nil"/>
              <w:tr2bl w:val="nil"/>
            </w:tcBorders>
            <w:noWrap w:val="0"/>
            <w:vAlign w:val="center"/>
          </w:tcPr>
          <w:p>
            <w:pPr>
              <w:pStyle w:val="34"/>
              <w:bidi w:val="0"/>
              <w:rPr>
                <w:rFonts w:hint="default"/>
                <w:b/>
                <w:bCs/>
                <w:color w:val="auto"/>
                <w:highlight w:val="none"/>
              </w:rPr>
            </w:pPr>
            <w:r>
              <w:rPr>
                <w:rFonts w:hint="default"/>
                <w:b/>
                <w:bCs/>
                <w:color w:val="auto"/>
                <w:highlight w:val="none"/>
              </w:rPr>
              <w:t>自然环境</w:t>
            </w:r>
          </w:p>
        </w:tc>
        <w:tc>
          <w:tcPr>
            <w:tcW w:w="957" w:type="pct"/>
            <w:gridSpan w:val="2"/>
            <w:tcBorders>
              <w:tl2br w:val="nil"/>
              <w:tr2bl w:val="nil"/>
            </w:tcBorders>
            <w:noWrap w:val="0"/>
            <w:vAlign w:val="center"/>
          </w:tcPr>
          <w:p>
            <w:pPr>
              <w:pStyle w:val="34"/>
              <w:bidi w:val="0"/>
              <w:rPr>
                <w:rFonts w:hint="default"/>
                <w:b/>
                <w:bCs/>
                <w:color w:val="auto"/>
                <w:highlight w:val="none"/>
              </w:rPr>
            </w:pPr>
            <w:r>
              <w:rPr>
                <w:rFonts w:hint="default"/>
                <w:b/>
                <w:bCs/>
                <w:color w:val="auto"/>
                <w:highlight w:val="none"/>
              </w:rPr>
              <w:t>生态环境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blHeader/>
          <w:jc w:val="center"/>
        </w:trPr>
        <w:tc>
          <w:tcPr>
            <w:tcW w:w="1737" w:type="pct"/>
            <w:gridSpan w:val="2"/>
            <w:vMerge w:val="continue"/>
            <w:tcBorders>
              <w:tl2br w:val="nil"/>
              <w:tr2bl w:val="nil"/>
            </w:tcBorders>
            <w:noWrap w:val="0"/>
            <w:vAlign w:val="center"/>
          </w:tcPr>
          <w:p>
            <w:pPr>
              <w:pStyle w:val="34"/>
              <w:bidi w:val="0"/>
              <w:rPr>
                <w:rFonts w:hint="default"/>
                <w:b/>
                <w:bCs/>
                <w:color w:val="auto"/>
                <w:highlight w:val="none"/>
              </w:rPr>
            </w:pPr>
          </w:p>
        </w:tc>
        <w:tc>
          <w:tcPr>
            <w:tcW w:w="448" w:type="pct"/>
            <w:tcBorders>
              <w:tl2br w:val="nil"/>
              <w:tr2bl w:val="nil"/>
            </w:tcBorders>
            <w:noWrap w:val="0"/>
            <w:vAlign w:val="center"/>
          </w:tcPr>
          <w:p>
            <w:pPr>
              <w:pStyle w:val="34"/>
              <w:bidi w:val="0"/>
              <w:rPr>
                <w:rFonts w:hint="default"/>
                <w:b/>
                <w:bCs/>
                <w:color w:val="auto"/>
                <w:highlight w:val="none"/>
              </w:rPr>
            </w:pPr>
            <w:r>
              <w:rPr>
                <w:rFonts w:hint="default"/>
                <w:b/>
                <w:bCs/>
                <w:color w:val="auto"/>
                <w:highlight w:val="none"/>
              </w:rPr>
              <w:t>环境</w:t>
            </w:r>
          </w:p>
          <w:p>
            <w:pPr>
              <w:pStyle w:val="34"/>
              <w:bidi w:val="0"/>
              <w:rPr>
                <w:rFonts w:hint="default"/>
                <w:b/>
                <w:bCs/>
                <w:color w:val="auto"/>
                <w:highlight w:val="none"/>
              </w:rPr>
            </w:pPr>
            <w:r>
              <w:rPr>
                <w:rFonts w:hint="default"/>
                <w:b/>
                <w:bCs/>
                <w:color w:val="auto"/>
                <w:highlight w:val="none"/>
              </w:rPr>
              <w:t>空气</w:t>
            </w:r>
          </w:p>
        </w:tc>
        <w:tc>
          <w:tcPr>
            <w:tcW w:w="443" w:type="pct"/>
            <w:tcBorders>
              <w:tl2br w:val="nil"/>
              <w:tr2bl w:val="nil"/>
            </w:tcBorders>
            <w:noWrap w:val="0"/>
            <w:vAlign w:val="center"/>
          </w:tcPr>
          <w:p>
            <w:pPr>
              <w:pStyle w:val="34"/>
              <w:bidi w:val="0"/>
              <w:rPr>
                <w:rFonts w:hint="default"/>
                <w:b/>
                <w:bCs/>
                <w:color w:val="auto"/>
                <w:highlight w:val="none"/>
              </w:rPr>
            </w:pPr>
            <w:r>
              <w:rPr>
                <w:rFonts w:hint="default"/>
                <w:b/>
                <w:bCs/>
                <w:color w:val="auto"/>
                <w:highlight w:val="none"/>
              </w:rPr>
              <w:t>地表水体</w:t>
            </w:r>
          </w:p>
        </w:tc>
        <w:tc>
          <w:tcPr>
            <w:tcW w:w="489" w:type="pct"/>
            <w:tcBorders>
              <w:tl2br w:val="nil"/>
              <w:tr2bl w:val="nil"/>
            </w:tcBorders>
            <w:noWrap w:val="0"/>
            <w:vAlign w:val="center"/>
          </w:tcPr>
          <w:p>
            <w:pPr>
              <w:pStyle w:val="34"/>
              <w:bidi w:val="0"/>
              <w:rPr>
                <w:rFonts w:hint="default"/>
                <w:b/>
                <w:bCs/>
                <w:color w:val="auto"/>
                <w:highlight w:val="none"/>
              </w:rPr>
            </w:pPr>
            <w:r>
              <w:rPr>
                <w:rFonts w:hint="default"/>
                <w:b/>
                <w:bCs/>
                <w:color w:val="auto"/>
                <w:highlight w:val="none"/>
              </w:rPr>
              <w:t>地下</w:t>
            </w:r>
          </w:p>
          <w:p>
            <w:pPr>
              <w:pStyle w:val="34"/>
              <w:bidi w:val="0"/>
              <w:rPr>
                <w:rFonts w:hint="default"/>
                <w:b/>
                <w:bCs/>
                <w:color w:val="auto"/>
                <w:highlight w:val="none"/>
              </w:rPr>
            </w:pPr>
            <w:r>
              <w:rPr>
                <w:rFonts w:hint="default"/>
                <w:b/>
                <w:bCs/>
                <w:color w:val="auto"/>
                <w:highlight w:val="none"/>
              </w:rPr>
              <w:t>水体</w:t>
            </w:r>
          </w:p>
        </w:tc>
        <w:tc>
          <w:tcPr>
            <w:tcW w:w="435" w:type="pct"/>
            <w:tcBorders>
              <w:tl2br w:val="nil"/>
              <w:tr2bl w:val="nil"/>
            </w:tcBorders>
            <w:noWrap w:val="0"/>
            <w:vAlign w:val="center"/>
          </w:tcPr>
          <w:p>
            <w:pPr>
              <w:pStyle w:val="34"/>
              <w:bidi w:val="0"/>
              <w:rPr>
                <w:rFonts w:hint="default"/>
                <w:b/>
                <w:bCs/>
                <w:color w:val="auto"/>
                <w:highlight w:val="none"/>
              </w:rPr>
            </w:pPr>
            <w:r>
              <w:rPr>
                <w:rFonts w:hint="default"/>
                <w:b/>
                <w:bCs/>
                <w:color w:val="auto"/>
                <w:highlight w:val="none"/>
              </w:rPr>
              <w:t>声环</w:t>
            </w:r>
          </w:p>
          <w:p>
            <w:pPr>
              <w:pStyle w:val="34"/>
              <w:bidi w:val="0"/>
              <w:rPr>
                <w:rFonts w:hint="default"/>
                <w:b/>
                <w:bCs/>
                <w:color w:val="auto"/>
                <w:highlight w:val="none"/>
              </w:rPr>
            </w:pPr>
            <w:r>
              <w:rPr>
                <w:rFonts w:hint="default"/>
                <w:b/>
                <w:bCs/>
                <w:color w:val="auto"/>
                <w:highlight w:val="none"/>
              </w:rPr>
              <w:t>境</w:t>
            </w:r>
          </w:p>
        </w:tc>
        <w:tc>
          <w:tcPr>
            <w:tcW w:w="488" w:type="pct"/>
            <w:tcBorders>
              <w:tl2br w:val="nil"/>
              <w:tr2bl w:val="nil"/>
            </w:tcBorders>
            <w:noWrap w:val="0"/>
            <w:vAlign w:val="center"/>
          </w:tcPr>
          <w:p>
            <w:pPr>
              <w:pStyle w:val="34"/>
              <w:bidi w:val="0"/>
              <w:rPr>
                <w:rFonts w:hint="default"/>
                <w:b/>
                <w:bCs/>
                <w:color w:val="auto"/>
                <w:highlight w:val="none"/>
              </w:rPr>
            </w:pPr>
            <w:r>
              <w:rPr>
                <w:rFonts w:hint="default"/>
                <w:b/>
                <w:bCs/>
                <w:color w:val="auto"/>
                <w:highlight w:val="none"/>
              </w:rPr>
              <w:t>土壤环境</w:t>
            </w:r>
          </w:p>
        </w:tc>
        <w:tc>
          <w:tcPr>
            <w:tcW w:w="472" w:type="pct"/>
            <w:tcBorders>
              <w:tl2br w:val="nil"/>
              <w:tr2bl w:val="nil"/>
            </w:tcBorders>
            <w:noWrap w:val="0"/>
            <w:vAlign w:val="center"/>
          </w:tcPr>
          <w:p>
            <w:pPr>
              <w:pStyle w:val="34"/>
              <w:bidi w:val="0"/>
              <w:rPr>
                <w:rFonts w:hint="default"/>
                <w:b/>
                <w:bCs/>
                <w:color w:val="auto"/>
                <w:highlight w:val="none"/>
              </w:rPr>
            </w:pPr>
            <w:r>
              <w:rPr>
                <w:rFonts w:hint="default"/>
                <w:b/>
                <w:bCs/>
                <w:color w:val="auto"/>
                <w:highlight w:val="none"/>
              </w:rPr>
              <w:t>陆域</w:t>
            </w:r>
          </w:p>
          <w:p>
            <w:pPr>
              <w:pStyle w:val="34"/>
              <w:bidi w:val="0"/>
              <w:rPr>
                <w:rFonts w:hint="default"/>
                <w:b/>
                <w:bCs/>
                <w:color w:val="auto"/>
                <w:highlight w:val="none"/>
              </w:rPr>
            </w:pPr>
            <w:r>
              <w:rPr>
                <w:rFonts w:hint="default"/>
                <w:b/>
                <w:bCs/>
                <w:color w:val="auto"/>
                <w:highlight w:val="none"/>
              </w:rPr>
              <w:t>生物</w:t>
            </w:r>
          </w:p>
        </w:tc>
        <w:tc>
          <w:tcPr>
            <w:tcW w:w="484" w:type="pct"/>
            <w:tcBorders>
              <w:tl2br w:val="nil"/>
              <w:tr2bl w:val="nil"/>
            </w:tcBorders>
            <w:noWrap w:val="0"/>
            <w:vAlign w:val="center"/>
          </w:tcPr>
          <w:p>
            <w:pPr>
              <w:pStyle w:val="34"/>
              <w:bidi w:val="0"/>
              <w:rPr>
                <w:rFonts w:hint="default"/>
                <w:b/>
                <w:bCs/>
                <w:color w:val="auto"/>
                <w:highlight w:val="none"/>
              </w:rPr>
            </w:pPr>
            <w:r>
              <w:rPr>
                <w:rFonts w:hint="default"/>
                <w:b/>
                <w:bCs/>
                <w:color w:val="auto"/>
                <w:highlight w:val="none"/>
              </w:rPr>
              <w:t>生态</w:t>
            </w:r>
          </w:p>
          <w:p>
            <w:pPr>
              <w:pStyle w:val="34"/>
              <w:bidi w:val="0"/>
              <w:rPr>
                <w:rFonts w:hint="default"/>
                <w:b/>
                <w:bCs/>
                <w:color w:val="auto"/>
                <w:highlight w:val="none"/>
              </w:rPr>
            </w:pPr>
            <w:r>
              <w:rPr>
                <w:rFonts w:hint="default"/>
                <w:b/>
                <w:bCs/>
                <w:color w:val="auto"/>
                <w:highlight w:val="none"/>
              </w:rPr>
              <w:t>功能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Header/>
          <w:jc w:val="center"/>
        </w:trPr>
        <w:tc>
          <w:tcPr>
            <w:tcW w:w="770" w:type="pct"/>
            <w:vMerge w:val="restart"/>
            <w:tcBorders>
              <w:tl2br w:val="nil"/>
              <w:tr2bl w:val="nil"/>
            </w:tcBorders>
            <w:noWrap w:val="0"/>
            <w:vAlign w:val="center"/>
          </w:tcPr>
          <w:p>
            <w:pPr>
              <w:pStyle w:val="34"/>
              <w:bidi w:val="0"/>
              <w:rPr>
                <w:rFonts w:hint="default"/>
                <w:color w:val="auto"/>
                <w:highlight w:val="none"/>
              </w:rPr>
            </w:pPr>
            <w:r>
              <w:rPr>
                <w:rFonts w:hint="default"/>
                <w:color w:val="auto"/>
                <w:highlight w:val="none"/>
              </w:rPr>
              <w:t>施工期</w:t>
            </w:r>
          </w:p>
        </w:tc>
        <w:tc>
          <w:tcPr>
            <w:tcW w:w="966"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基础挖方</w:t>
            </w:r>
          </w:p>
        </w:tc>
        <w:tc>
          <w:tcPr>
            <w:tcW w:w="448"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-1D</w:t>
            </w:r>
          </w:p>
        </w:tc>
        <w:tc>
          <w:tcPr>
            <w:tcW w:w="443" w:type="pct"/>
            <w:tcBorders>
              <w:tl2br w:val="nil"/>
              <w:tr2bl w:val="nil"/>
            </w:tcBorders>
            <w:noWrap w:val="0"/>
            <w:vAlign w:val="center"/>
          </w:tcPr>
          <w:p>
            <w:pPr>
              <w:pStyle w:val="34"/>
              <w:bidi w:val="0"/>
              <w:rPr>
                <w:rFonts w:hint="default"/>
                <w:color w:val="auto"/>
                <w:highlight w:val="none"/>
              </w:rPr>
            </w:pPr>
          </w:p>
        </w:tc>
        <w:tc>
          <w:tcPr>
            <w:tcW w:w="489" w:type="pct"/>
            <w:tcBorders>
              <w:tl2br w:val="nil"/>
              <w:tr2bl w:val="nil"/>
            </w:tcBorders>
            <w:noWrap w:val="0"/>
            <w:vAlign w:val="center"/>
          </w:tcPr>
          <w:p>
            <w:pPr>
              <w:pStyle w:val="34"/>
              <w:bidi w:val="0"/>
              <w:rPr>
                <w:rFonts w:hint="default"/>
                <w:color w:val="auto"/>
                <w:highlight w:val="none"/>
              </w:rPr>
            </w:pPr>
          </w:p>
        </w:tc>
        <w:tc>
          <w:tcPr>
            <w:tcW w:w="435"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-1D</w:t>
            </w:r>
          </w:p>
        </w:tc>
        <w:tc>
          <w:tcPr>
            <w:tcW w:w="488"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-1D</w:t>
            </w:r>
          </w:p>
        </w:tc>
        <w:tc>
          <w:tcPr>
            <w:tcW w:w="472"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-1D</w:t>
            </w:r>
          </w:p>
        </w:tc>
        <w:tc>
          <w:tcPr>
            <w:tcW w:w="484" w:type="pct"/>
            <w:tcBorders>
              <w:tl2br w:val="nil"/>
              <w:tr2bl w:val="nil"/>
            </w:tcBorders>
            <w:noWrap w:val="0"/>
            <w:vAlign w:val="center"/>
          </w:tcPr>
          <w:p>
            <w:pPr>
              <w:pStyle w:val="34"/>
              <w:bidi w:val="0"/>
              <w:rPr>
                <w:rFonts w:hint="default"/>
                <w:color w:val="auto"/>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Header/>
          <w:jc w:val="center"/>
        </w:trPr>
        <w:tc>
          <w:tcPr>
            <w:tcW w:w="770" w:type="pct"/>
            <w:vMerge w:val="continue"/>
            <w:tcBorders>
              <w:tl2br w:val="nil"/>
              <w:tr2bl w:val="nil"/>
            </w:tcBorders>
            <w:noWrap w:val="0"/>
            <w:vAlign w:val="center"/>
          </w:tcPr>
          <w:p>
            <w:pPr>
              <w:pStyle w:val="34"/>
              <w:bidi w:val="0"/>
              <w:rPr>
                <w:rFonts w:hint="default"/>
                <w:color w:val="auto"/>
                <w:highlight w:val="none"/>
              </w:rPr>
            </w:pPr>
          </w:p>
        </w:tc>
        <w:tc>
          <w:tcPr>
            <w:tcW w:w="966"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材料堆存</w:t>
            </w:r>
          </w:p>
        </w:tc>
        <w:tc>
          <w:tcPr>
            <w:tcW w:w="448"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-1D</w:t>
            </w:r>
          </w:p>
        </w:tc>
        <w:tc>
          <w:tcPr>
            <w:tcW w:w="443" w:type="pct"/>
            <w:tcBorders>
              <w:tl2br w:val="nil"/>
              <w:tr2bl w:val="nil"/>
            </w:tcBorders>
            <w:noWrap w:val="0"/>
            <w:vAlign w:val="center"/>
          </w:tcPr>
          <w:p>
            <w:pPr>
              <w:pStyle w:val="34"/>
              <w:bidi w:val="0"/>
              <w:rPr>
                <w:rFonts w:hint="default"/>
                <w:color w:val="auto"/>
                <w:highlight w:val="none"/>
              </w:rPr>
            </w:pPr>
          </w:p>
        </w:tc>
        <w:tc>
          <w:tcPr>
            <w:tcW w:w="489" w:type="pct"/>
            <w:tcBorders>
              <w:tl2br w:val="nil"/>
              <w:tr2bl w:val="nil"/>
            </w:tcBorders>
            <w:noWrap w:val="0"/>
            <w:vAlign w:val="center"/>
          </w:tcPr>
          <w:p>
            <w:pPr>
              <w:pStyle w:val="34"/>
              <w:bidi w:val="0"/>
              <w:rPr>
                <w:rFonts w:hint="default"/>
                <w:color w:val="auto"/>
                <w:highlight w:val="none"/>
              </w:rPr>
            </w:pPr>
          </w:p>
        </w:tc>
        <w:tc>
          <w:tcPr>
            <w:tcW w:w="435" w:type="pct"/>
            <w:tcBorders>
              <w:tl2br w:val="nil"/>
              <w:tr2bl w:val="nil"/>
            </w:tcBorders>
            <w:noWrap w:val="0"/>
            <w:vAlign w:val="center"/>
          </w:tcPr>
          <w:p>
            <w:pPr>
              <w:pStyle w:val="34"/>
              <w:bidi w:val="0"/>
              <w:rPr>
                <w:rFonts w:hint="default"/>
                <w:color w:val="auto"/>
                <w:highlight w:val="none"/>
              </w:rPr>
            </w:pPr>
          </w:p>
        </w:tc>
        <w:tc>
          <w:tcPr>
            <w:tcW w:w="488" w:type="pct"/>
            <w:tcBorders>
              <w:tl2br w:val="nil"/>
              <w:tr2bl w:val="nil"/>
            </w:tcBorders>
            <w:noWrap w:val="0"/>
            <w:vAlign w:val="center"/>
          </w:tcPr>
          <w:p>
            <w:pPr>
              <w:pStyle w:val="34"/>
              <w:bidi w:val="0"/>
              <w:rPr>
                <w:rFonts w:hint="default"/>
                <w:color w:val="auto"/>
                <w:highlight w:val="none"/>
              </w:rPr>
            </w:pPr>
          </w:p>
        </w:tc>
        <w:tc>
          <w:tcPr>
            <w:tcW w:w="472"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-1D</w:t>
            </w:r>
          </w:p>
        </w:tc>
        <w:tc>
          <w:tcPr>
            <w:tcW w:w="484" w:type="pct"/>
            <w:tcBorders>
              <w:tl2br w:val="nil"/>
              <w:tr2bl w:val="nil"/>
            </w:tcBorders>
            <w:noWrap w:val="0"/>
            <w:vAlign w:val="center"/>
          </w:tcPr>
          <w:p>
            <w:pPr>
              <w:pStyle w:val="34"/>
              <w:bidi w:val="0"/>
              <w:rPr>
                <w:rFonts w:hint="default"/>
                <w:color w:val="auto"/>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Header/>
          <w:jc w:val="center"/>
        </w:trPr>
        <w:tc>
          <w:tcPr>
            <w:tcW w:w="770" w:type="pct"/>
            <w:vMerge w:val="continue"/>
            <w:tcBorders>
              <w:tl2br w:val="nil"/>
              <w:tr2bl w:val="nil"/>
            </w:tcBorders>
            <w:noWrap w:val="0"/>
            <w:vAlign w:val="center"/>
          </w:tcPr>
          <w:p>
            <w:pPr>
              <w:pStyle w:val="34"/>
              <w:bidi w:val="0"/>
              <w:rPr>
                <w:rFonts w:hint="default"/>
                <w:color w:val="auto"/>
                <w:highlight w:val="none"/>
              </w:rPr>
            </w:pPr>
          </w:p>
        </w:tc>
        <w:tc>
          <w:tcPr>
            <w:tcW w:w="966"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建筑施工</w:t>
            </w:r>
          </w:p>
        </w:tc>
        <w:tc>
          <w:tcPr>
            <w:tcW w:w="448"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-1D</w:t>
            </w:r>
          </w:p>
        </w:tc>
        <w:tc>
          <w:tcPr>
            <w:tcW w:w="443" w:type="pct"/>
            <w:tcBorders>
              <w:tl2br w:val="nil"/>
              <w:tr2bl w:val="nil"/>
            </w:tcBorders>
            <w:noWrap w:val="0"/>
            <w:vAlign w:val="center"/>
          </w:tcPr>
          <w:p>
            <w:pPr>
              <w:pStyle w:val="34"/>
              <w:bidi w:val="0"/>
              <w:rPr>
                <w:rFonts w:hint="default"/>
                <w:color w:val="auto"/>
                <w:highlight w:val="none"/>
              </w:rPr>
            </w:pPr>
          </w:p>
        </w:tc>
        <w:tc>
          <w:tcPr>
            <w:tcW w:w="489" w:type="pct"/>
            <w:tcBorders>
              <w:tl2br w:val="nil"/>
              <w:tr2bl w:val="nil"/>
            </w:tcBorders>
            <w:noWrap w:val="0"/>
            <w:vAlign w:val="center"/>
          </w:tcPr>
          <w:p>
            <w:pPr>
              <w:pStyle w:val="34"/>
              <w:bidi w:val="0"/>
              <w:rPr>
                <w:rFonts w:hint="default"/>
                <w:color w:val="auto"/>
                <w:highlight w:val="none"/>
              </w:rPr>
            </w:pPr>
          </w:p>
        </w:tc>
        <w:tc>
          <w:tcPr>
            <w:tcW w:w="435"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-1D</w:t>
            </w:r>
          </w:p>
        </w:tc>
        <w:tc>
          <w:tcPr>
            <w:tcW w:w="488" w:type="pct"/>
            <w:tcBorders>
              <w:tl2br w:val="nil"/>
              <w:tr2bl w:val="nil"/>
            </w:tcBorders>
            <w:noWrap w:val="0"/>
            <w:vAlign w:val="center"/>
          </w:tcPr>
          <w:p>
            <w:pPr>
              <w:pStyle w:val="34"/>
              <w:bidi w:val="0"/>
              <w:rPr>
                <w:rFonts w:hint="default"/>
                <w:color w:val="auto"/>
                <w:highlight w:val="none"/>
              </w:rPr>
            </w:pPr>
          </w:p>
        </w:tc>
        <w:tc>
          <w:tcPr>
            <w:tcW w:w="472" w:type="pct"/>
            <w:tcBorders>
              <w:tl2br w:val="nil"/>
              <w:tr2bl w:val="nil"/>
            </w:tcBorders>
            <w:noWrap w:val="0"/>
            <w:vAlign w:val="center"/>
          </w:tcPr>
          <w:p>
            <w:pPr>
              <w:pStyle w:val="34"/>
              <w:bidi w:val="0"/>
              <w:rPr>
                <w:rFonts w:hint="default"/>
                <w:color w:val="auto"/>
                <w:highlight w:val="none"/>
              </w:rPr>
            </w:pPr>
          </w:p>
        </w:tc>
        <w:tc>
          <w:tcPr>
            <w:tcW w:w="484" w:type="pct"/>
            <w:tcBorders>
              <w:tl2br w:val="nil"/>
              <w:tr2bl w:val="nil"/>
            </w:tcBorders>
            <w:noWrap w:val="0"/>
            <w:vAlign w:val="center"/>
          </w:tcPr>
          <w:p>
            <w:pPr>
              <w:pStyle w:val="34"/>
              <w:bidi w:val="0"/>
              <w:rPr>
                <w:rFonts w:hint="default"/>
                <w:color w:val="auto"/>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tblHeader/>
          <w:jc w:val="center"/>
        </w:trPr>
        <w:tc>
          <w:tcPr>
            <w:tcW w:w="770" w:type="pct"/>
            <w:vMerge w:val="continue"/>
            <w:tcBorders>
              <w:tl2br w:val="nil"/>
              <w:tr2bl w:val="nil"/>
            </w:tcBorders>
            <w:noWrap w:val="0"/>
            <w:vAlign w:val="center"/>
          </w:tcPr>
          <w:p>
            <w:pPr>
              <w:pStyle w:val="34"/>
              <w:bidi w:val="0"/>
              <w:rPr>
                <w:rFonts w:hint="default"/>
                <w:color w:val="auto"/>
                <w:highlight w:val="none"/>
              </w:rPr>
            </w:pPr>
          </w:p>
        </w:tc>
        <w:tc>
          <w:tcPr>
            <w:tcW w:w="966"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物料运输</w:t>
            </w:r>
          </w:p>
        </w:tc>
        <w:tc>
          <w:tcPr>
            <w:tcW w:w="448"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-1D</w:t>
            </w:r>
          </w:p>
        </w:tc>
        <w:tc>
          <w:tcPr>
            <w:tcW w:w="443" w:type="pct"/>
            <w:tcBorders>
              <w:tl2br w:val="nil"/>
              <w:tr2bl w:val="nil"/>
            </w:tcBorders>
            <w:noWrap w:val="0"/>
            <w:vAlign w:val="center"/>
          </w:tcPr>
          <w:p>
            <w:pPr>
              <w:pStyle w:val="34"/>
              <w:bidi w:val="0"/>
              <w:rPr>
                <w:rFonts w:hint="default"/>
                <w:color w:val="auto"/>
                <w:highlight w:val="none"/>
              </w:rPr>
            </w:pPr>
          </w:p>
        </w:tc>
        <w:tc>
          <w:tcPr>
            <w:tcW w:w="489" w:type="pct"/>
            <w:tcBorders>
              <w:tl2br w:val="nil"/>
              <w:tr2bl w:val="nil"/>
            </w:tcBorders>
            <w:noWrap w:val="0"/>
            <w:vAlign w:val="center"/>
          </w:tcPr>
          <w:p>
            <w:pPr>
              <w:pStyle w:val="34"/>
              <w:bidi w:val="0"/>
              <w:rPr>
                <w:rFonts w:hint="default"/>
                <w:color w:val="auto"/>
                <w:highlight w:val="none"/>
              </w:rPr>
            </w:pPr>
          </w:p>
        </w:tc>
        <w:tc>
          <w:tcPr>
            <w:tcW w:w="435"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-1D</w:t>
            </w:r>
          </w:p>
        </w:tc>
        <w:tc>
          <w:tcPr>
            <w:tcW w:w="488"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-1D</w:t>
            </w:r>
          </w:p>
        </w:tc>
        <w:tc>
          <w:tcPr>
            <w:tcW w:w="472" w:type="pct"/>
            <w:tcBorders>
              <w:tl2br w:val="nil"/>
              <w:tr2bl w:val="nil"/>
            </w:tcBorders>
            <w:noWrap w:val="0"/>
            <w:vAlign w:val="center"/>
          </w:tcPr>
          <w:p>
            <w:pPr>
              <w:pStyle w:val="34"/>
              <w:bidi w:val="0"/>
              <w:rPr>
                <w:rFonts w:hint="default"/>
                <w:color w:val="auto"/>
                <w:highlight w:val="none"/>
              </w:rPr>
            </w:pPr>
          </w:p>
        </w:tc>
        <w:tc>
          <w:tcPr>
            <w:tcW w:w="484" w:type="pct"/>
            <w:tcBorders>
              <w:tl2br w:val="nil"/>
              <w:tr2bl w:val="nil"/>
            </w:tcBorders>
            <w:noWrap w:val="0"/>
            <w:vAlign w:val="center"/>
          </w:tcPr>
          <w:p>
            <w:pPr>
              <w:pStyle w:val="34"/>
              <w:bidi w:val="0"/>
              <w:rPr>
                <w:rFonts w:hint="default"/>
                <w:color w:val="auto"/>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Header/>
          <w:jc w:val="center"/>
        </w:trPr>
        <w:tc>
          <w:tcPr>
            <w:tcW w:w="770" w:type="pct"/>
            <w:vMerge w:val="restart"/>
            <w:tcBorders>
              <w:tl2br w:val="nil"/>
              <w:tr2bl w:val="nil"/>
            </w:tcBorders>
            <w:noWrap w:val="0"/>
            <w:vAlign w:val="center"/>
          </w:tcPr>
          <w:p>
            <w:pPr>
              <w:pStyle w:val="34"/>
              <w:bidi w:val="0"/>
              <w:rPr>
                <w:rFonts w:hint="default"/>
                <w:color w:val="auto"/>
                <w:highlight w:val="none"/>
              </w:rPr>
            </w:pPr>
            <w:r>
              <w:rPr>
                <w:rFonts w:hint="default"/>
                <w:color w:val="auto"/>
                <w:highlight w:val="none"/>
              </w:rPr>
              <w:t>运营期</w:t>
            </w:r>
          </w:p>
        </w:tc>
        <w:tc>
          <w:tcPr>
            <w:tcW w:w="966"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物料运输</w:t>
            </w:r>
          </w:p>
        </w:tc>
        <w:tc>
          <w:tcPr>
            <w:tcW w:w="448"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-1C</w:t>
            </w:r>
          </w:p>
        </w:tc>
        <w:tc>
          <w:tcPr>
            <w:tcW w:w="443" w:type="pct"/>
            <w:tcBorders>
              <w:tl2br w:val="nil"/>
              <w:tr2bl w:val="nil"/>
            </w:tcBorders>
            <w:noWrap w:val="0"/>
            <w:vAlign w:val="center"/>
          </w:tcPr>
          <w:p>
            <w:pPr>
              <w:pStyle w:val="34"/>
              <w:bidi w:val="0"/>
              <w:rPr>
                <w:rFonts w:hint="default"/>
                <w:color w:val="auto"/>
                <w:highlight w:val="none"/>
              </w:rPr>
            </w:pPr>
          </w:p>
        </w:tc>
        <w:tc>
          <w:tcPr>
            <w:tcW w:w="489" w:type="pct"/>
            <w:tcBorders>
              <w:tl2br w:val="nil"/>
              <w:tr2bl w:val="nil"/>
            </w:tcBorders>
            <w:noWrap w:val="0"/>
            <w:vAlign w:val="center"/>
          </w:tcPr>
          <w:p>
            <w:pPr>
              <w:pStyle w:val="34"/>
              <w:bidi w:val="0"/>
              <w:rPr>
                <w:rFonts w:hint="default"/>
                <w:color w:val="auto"/>
                <w:highlight w:val="none"/>
              </w:rPr>
            </w:pPr>
          </w:p>
        </w:tc>
        <w:tc>
          <w:tcPr>
            <w:tcW w:w="435"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-1C</w:t>
            </w:r>
          </w:p>
        </w:tc>
        <w:tc>
          <w:tcPr>
            <w:tcW w:w="488" w:type="pct"/>
            <w:tcBorders>
              <w:tl2br w:val="nil"/>
              <w:tr2bl w:val="nil"/>
            </w:tcBorders>
            <w:noWrap w:val="0"/>
            <w:vAlign w:val="center"/>
          </w:tcPr>
          <w:p>
            <w:pPr>
              <w:pStyle w:val="34"/>
              <w:bidi w:val="0"/>
              <w:rPr>
                <w:rFonts w:hint="default"/>
                <w:color w:val="auto"/>
                <w:highlight w:val="none"/>
              </w:rPr>
            </w:pPr>
          </w:p>
        </w:tc>
        <w:tc>
          <w:tcPr>
            <w:tcW w:w="472"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-1D</w:t>
            </w:r>
          </w:p>
        </w:tc>
        <w:tc>
          <w:tcPr>
            <w:tcW w:w="484" w:type="pct"/>
            <w:tcBorders>
              <w:tl2br w:val="nil"/>
              <w:tr2bl w:val="nil"/>
            </w:tcBorders>
            <w:noWrap w:val="0"/>
            <w:vAlign w:val="center"/>
          </w:tcPr>
          <w:p>
            <w:pPr>
              <w:pStyle w:val="34"/>
              <w:bidi w:val="0"/>
              <w:rPr>
                <w:rFonts w:hint="default"/>
                <w:color w:val="auto"/>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Header/>
          <w:jc w:val="center"/>
        </w:trPr>
        <w:tc>
          <w:tcPr>
            <w:tcW w:w="770" w:type="pct"/>
            <w:vMerge w:val="continue"/>
            <w:tcBorders>
              <w:tl2br w:val="nil"/>
              <w:tr2bl w:val="nil"/>
            </w:tcBorders>
            <w:noWrap w:val="0"/>
            <w:vAlign w:val="center"/>
          </w:tcPr>
          <w:p>
            <w:pPr>
              <w:pStyle w:val="34"/>
              <w:bidi w:val="0"/>
              <w:rPr>
                <w:rFonts w:hint="default"/>
                <w:color w:val="auto"/>
                <w:highlight w:val="none"/>
              </w:rPr>
            </w:pPr>
          </w:p>
        </w:tc>
        <w:tc>
          <w:tcPr>
            <w:tcW w:w="966"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废气排放</w:t>
            </w:r>
          </w:p>
        </w:tc>
        <w:tc>
          <w:tcPr>
            <w:tcW w:w="448"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-1C</w:t>
            </w:r>
          </w:p>
        </w:tc>
        <w:tc>
          <w:tcPr>
            <w:tcW w:w="443" w:type="pct"/>
            <w:tcBorders>
              <w:tl2br w:val="nil"/>
              <w:tr2bl w:val="nil"/>
            </w:tcBorders>
            <w:noWrap w:val="0"/>
            <w:vAlign w:val="center"/>
          </w:tcPr>
          <w:p>
            <w:pPr>
              <w:pStyle w:val="34"/>
              <w:bidi w:val="0"/>
              <w:rPr>
                <w:rFonts w:hint="default"/>
                <w:color w:val="auto"/>
                <w:highlight w:val="none"/>
              </w:rPr>
            </w:pPr>
          </w:p>
        </w:tc>
        <w:tc>
          <w:tcPr>
            <w:tcW w:w="489" w:type="pct"/>
            <w:tcBorders>
              <w:tl2br w:val="nil"/>
              <w:tr2bl w:val="nil"/>
            </w:tcBorders>
            <w:noWrap w:val="0"/>
            <w:vAlign w:val="center"/>
          </w:tcPr>
          <w:p>
            <w:pPr>
              <w:pStyle w:val="34"/>
              <w:bidi w:val="0"/>
              <w:rPr>
                <w:rFonts w:hint="default"/>
                <w:color w:val="auto"/>
                <w:highlight w:val="none"/>
              </w:rPr>
            </w:pPr>
          </w:p>
        </w:tc>
        <w:tc>
          <w:tcPr>
            <w:tcW w:w="435" w:type="pct"/>
            <w:tcBorders>
              <w:tl2br w:val="nil"/>
              <w:tr2bl w:val="nil"/>
            </w:tcBorders>
            <w:noWrap w:val="0"/>
            <w:vAlign w:val="center"/>
          </w:tcPr>
          <w:p>
            <w:pPr>
              <w:pStyle w:val="34"/>
              <w:bidi w:val="0"/>
              <w:rPr>
                <w:rFonts w:hint="default"/>
                <w:color w:val="auto"/>
                <w:highlight w:val="none"/>
              </w:rPr>
            </w:pPr>
          </w:p>
        </w:tc>
        <w:tc>
          <w:tcPr>
            <w:tcW w:w="488"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-1C</w:t>
            </w:r>
          </w:p>
        </w:tc>
        <w:tc>
          <w:tcPr>
            <w:tcW w:w="472" w:type="pct"/>
            <w:tcBorders>
              <w:tl2br w:val="nil"/>
              <w:tr2bl w:val="nil"/>
            </w:tcBorders>
            <w:noWrap w:val="0"/>
            <w:vAlign w:val="center"/>
          </w:tcPr>
          <w:p>
            <w:pPr>
              <w:pStyle w:val="34"/>
              <w:bidi w:val="0"/>
              <w:rPr>
                <w:rFonts w:hint="default"/>
                <w:color w:val="auto"/>
                <w:highlight w:val="none"/>
              </w:rPr>
            </w:pPr>
          </w:p>
        </w:tc>
        <w:tc>
          <w:tcPr>
            <w:tcW w:w="484" w:type="pct"/>
            <w:tcBorders>
              <w:tl2br w:val="nil"/>
              <w:tr2bl w:val="nil"/>
            </w:tcBorders>
            <w:noWrap w:val="0"/>
            <w:vAlign w:val="center"/>
          </w:tcPr>
          <w:p>
            <w:pPr>
              <w:pStyle w:val="34"/>
              <w:bidi w:val="0"/>
              <w:rPr>
                <w:rFonts w:hint="default"/>
                <w:color w:val="auto"/>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tblHeader/>
          <w:jc w:val="center"/>
        </w:trPr>
        <w:tc>
          <w:tcPr>
            <w:tcW w:w="770" w:type="pct"/>
            <w:vMerge w:val="continue"/>
            <w:tcBorders>
              <w:tl2br w:val="nil"/>
              <w:tr2bl w:val="nil"/>
            </w:tcBorders>
            <w:noWrap w:val="0"/>
            <w:vAlign w:val="center"/>
          </w:tcPr>
          <w:p>
            <w:pPr>
              <w:pStyle w:val="34"/>
              <w:bidi w:val="0"/>
              <w:rPr>
                <w:rFonts w:hint="default"/>
                <w:color w:val="auto"/>
                <w:highlight w:val="none"/>
              </w:rPr>
            </w:pPr>
          </w:p>
        </w:tc>
        <w:tc>
          <w:tcPr>
            <w:tcW w:w="966"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废水排放</w:t>
            </w:r>
          </w:p>
        </w:tc>
        <w:tc>
          <w:tcPr>
            <w:tcW w:w="448" w:type="pct"/>
            <w:tcBorders>
              <w:tl2br w:val="nil"/>
              <w:tr2bl w:val="nil"/>
            </w:tcBorders>
            <w:noWrap w:val="0"/>
            <w:vAlign w:val="center"/>
          </w:tcPr>
          <w:p>
            <w:pPr>
              <w:pStyle w:val="34"/>
              <w:bidi w:val="0"/>
              <w:rPr>
                <w:rFonts w:hint="default"/>
                <w:color w:val="auto"/>
                <w:highlight w:val="none"/>
              </w:rPr>
            </w:pPr>
          </w:p>
        </w:tc>
        <w:tc>
          <w:tcPr>
            <w:tcW w:w="443" w:type="pct"/>
            <w:tcBorders>
              <w:tl2br w:val="nil"/>
              <w:tr2bl w:val="nil"/>
            </w:tcBorders>
            <w:noWrap w:val="0"/>
            <w:vAlign w:val="center"/>
          </w:tcPr>
          <w:p>
            <w:pPr>
              <w:pStyle w:val="34"/>
              <w:bidi w:val="0"/>
              <w:rPr>
                <w:rFonts w:hint="default"/>
                <w:color w:val="auto"/>
                <w:highlight w:val="none"/>
              </w:rPr>
            </w:pPr>
          </w:p>
        </w:tc>
        <w:tc>
          <w:tcPr>
            <w:tcW w:w="489"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-1C</w:t>
            </w:r>
          </w:p>
        </w:tc>
        <w:tc>
          <w:tcPr>
            <w:tcW w:w="435" w:type="pct"/>
            <w:tcBorders>
              <w:tl2br w:val="nil"/>
              <w:tr2bl w:val="nil"/>
            </w:tcBorders>
            <w:noWrap w:val="0"/>
            <w:vAlign w:val="center"/>
          </w:tcPr>
          <w:p>
            <w:pPr>
              <w:pStyle w:val="34"/>
              <w:bidi w:val="0"/>
              <w:rPr>
                <w:rFonts w:hint="default"/>
                <w:color w:val="auto"/>
                <w:highlight w:val="none"/>
              </w:rPr>
            </w:pPr>
          </w:p>
        </w:tc>
        <w:tc>
          <w:tcPr>
            <w:tcW w:w="488"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-1C</w:t>
            </w:r>
          </w:p>
        </w:tc>
        <w:tc>
          <w:tcPr>
            <w:tcW w:w="472" w:type="pct"/>
            <w:tcBorders>
              <w:tl2br w:val="nil"/>
              <w:tr2bl w:val="nil"/>
            </w:tcBorders>
            <w:noWrap w:val="0"/>
            <w:vAlign w:val="center"/>
          </w:tcPr>
          <w:p>
            <w:pPr>
              <w:pStyle w:val="34"/>
              <w:bidi w:val="0"/>
              <w:rPr>
                <w:rFonts w:hint="default"/>
                <w:color w:val="auto"/>
                <w:highlight w:val="none"/>
              </w:rPr>
            </w:pPr>
          </w:p>
        </w:tc>
        <w:tc>
          <w:tcPr>
            <w:tcW w:w="484" w:type="pct"/>
            <w:tcBorders>
              <w:tl2br w:val="nil"/>
              <w:tr2bl w:val="nil"/>
            </w:tcBorders>
            <w:noWrap w:val="0"/>
            <w:vAlign w:val="center"/>
          </w:tcPr>
          <w:p>
            <w:pPr>
              <w:pStyle w:val="34"/>
              <w:bidi w:val="0"/>
              <w:rPr>
                <w:rFonts w:hint="default"/>
                <w:color w:val="auto"/>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Header/>
          <w:jc w:val="center"/>
        </w:trPr>
        <w:tc>
          <w:tcPr>
            <w:tcW w:w="770" w:type="pct"/>
            <w:vMerge w:val="continue"/>
            <w:tcBorders>
              <w:tl2br w:val="nil"/>
              <w:tr2bl w:val="nil"/>
            </w:tcBorders>
            <w:noWrap w:val="0"/>
            <w:vAlign w:val="center"/>
          </w:tcPr>
          <w:p>
            <w:pPr>
              <w:pStyle w:val="34"/>
              <w:bidi w:val="0"/>
              <w:rPr>
                <w:rFonts w:hint="default"/>
                <w:color w:val="auto"/>
                <w:highlight w:val="none"/>
              </w:rPr>
            </w:pPr>
          </w:p>
        </w:tc>
        <w:tc>
          <w:tcPr>
            <w:tcW w:w="966"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设备噪声</w:t>
            </w:r>
          </w:p>
        </w:tc>
        <w:tc>
          <w:tcPr>
            <w:tcW w:w="448" w:type="pct"/>
            <w:tcBorders>
              <w:tl2br w:val="nil"/>
              <w:tr2bl w:val="nil"/>
            </w:tcBorders>
            <w:noWrap w:val="0"/>
            <w:vAlign w:val="center"/>
          </w:tcPr>
          <w:p>
            <w:pPr>
              <w:pStyle w:val="34"/>
              <w:bidi w:val="0"/>
              <w:rPr>
                <w:rFonts w:hint="default"/>
                <w:color w:val="auto"/>
                <w:highlight w:val="none"/>
              </w:rPr>
            </w:pPr>
          </w:p>
        </w:tc>
        <w:tc>
          <w:tcPr>
            <w:tcW w:w="443" w:type="pct"/>
            <w:tcBorders>
              <w:tl2br w:val="nil"/>
              <w:tr2bl w:val="nil"/>
            </w:tcBorders>
            <w:noWrap w:val="0"/>
            <w:vAlign w:val="center"/>
          </w:tcPr>
          <w:p>
            <w:pPr>
              <w:pStyle w:val="34"/>
              <w:bidi w:val="0"/>
              <w:rPr>
                <w:rFonts w:hint="default"/>
                <w:color w:val="auto"/>
                <w:highlight w:val="none"/>
              </w:rPr>
            </w:pPr>
          </w:p>
        </w:tc>
        <w:tc>
          <w:tcPr>
            <w:tcW w:w="489" w:type="pct"/>
            <w:tcBorders>
              <w:tl2br w:val="nil"/>
              <w:tr2bl w:val="nil"/>
            </w:tcBorders>
            <w:noWrap w:val="0"/>
            <w:vAlign w:val="center"/>
          </w:tcPr>
          <w:p>
            <w:pPr>
              <w:pStyle w:val="34"/>
              <w:bidi w:val="0"/>
              <w:rPr>
                <w:rFonts w:hint="default"/>
                <w:color w:val="auto"/>
                <w:highlight w:val="none"/>
              </w:rPr>
            </w:pPr>
          </w:p>
        </w:tc>
        <w:tc>
          <w:tcPr>
            <w:tcW w:w="435"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-1C</w:t>
            </w:r>
          </w:p>
        </w:tc>
        <w:tc>
          <w:tcPr>
            <w:tcW w:w="488" w:type="pct"/>
            <w:tcBorders>
              <w:tl2br w:val="nil"/>
              <w:tr2bl w:val="nil"/>
            </w:tcBorders>
            <w:noWrap w:val="0"/>
            <w:vAlign w:val="center"/>
          </w:tcPr>
          <w:p>
            <w:pPr>
              <w:pStyle w:val="34"/>
              <w:bidi w:val="0"/>
              <w:rPr>
                <w:rFonts w:hint="default"/>
                <w:color w:val="auto"/>
                <w:highlight w:val="none"/>
              </w:rPr>
            </w:pPr>
          </w:p>
        </w:tc>
        <w:tc>
          <w:tcPr>
            <w:tcW w:w="472" w:type="pct"/>
            <w:tcBorders>
              <w:tl2br w:val="nil"/>
              <w:tr2bl w:val="nil"/>
            </w:tcBorders>
            <w:noWrap w:val="0"/>
            <w:vAlign w:val="center"/>
          </w:tcPr>
          <w:p>
            <w:pPr>
              <w:pStyle w:val="34"/>
              <w:bidi w:val="0"/>
              <w:rPr>
                <w:rFonts w:hint="default"/>
                <w:color w:val="auto"/>
                <w:highlight w:val="none"/>
              </w:rPr>
            </w:pPr>
          </w:p>
        </w:tc>
        <w:tc>
          <w:tcPr>
            <w:tcW w:w="484" w:type="pct"/>
            <w:tcBorders>
              <w:tl2br w:val="nil"/>
              <w:tr2bl w:val="nil"/>
            </w:tcBorders>
            <w:noWrap w:val="0"/>
            <w:vAlign w:val="center"/>
          </w:tcPr>
          <w:p>
            <w:pPr>
              <w:pStyle w:val="34"/>
              <w:bidi w:val="0"/>
              <w:rPr>
                <w:rFonts w:hint="default"/>
                <w:color w:val="auto"/>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Header/>
          <w:jc w:val="center"/>
        </w:trPr>
        <w:tc>
          <w:tcPr>
            <w:tcW w:w="770" w:type="pct"/>
            <w:vMerge w:val="continue"/>
            <w:tcBorders>
              <w:tl2br w:val="nil"/>
              <w:tr2bl w:val="nil"/>
            </w:tcBorders>
            <w:noWrap w:val="0"/>
            <w:vAlign w:val="center"/>
          </w:tcPr>
          <w:p>
            <w:pPr>
              <w:pStyle w:val="34"/>
              <w:bidi w:val="0"/>
              <w:rPr>
                <w:rFonts w:hint="default"/>
                <w:color w:val="auto"/>
                <w:highlight w:val="none"/>
              </w:rPr>
            </w:pPr>
          </w:p>
        </w:tc>
        <w:tc>
          <w:tcPr>
            <w:tcW w:w="966"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固废暂存</w:t>
            </w:r>
          </w:p>
        </w:tc>
        <w:tc>
          <w:tcPr>
            <w:tcW w:w="448"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-1C</w:t>
            </w:r>
          </w:p>
        </w:tc>
        <w:tc>
          <w:tcPr>
            <w:tcW w:w="443" w:type="pct"/>
            <w:tcBorders>
              <w:tl2br w:val="nil"/>
              <w:tr2bl w:val="nil"/>
            </w:tcBorders>
            <w:noWrap w:val="0"/>
            <w:vAlign w:val="center"/>
          </w:tcPr>
          <w:p>
            <w:pPr>
              <w:pStyle w:val="34"/>
              <w:bidi w:val="0"/>
              <w:rPr>
                <w:rFonts w:hint="default"/>
                <w:color w:val="auto"/>
                <w:highlight w:val="none"/>
              </w:rPr>
            </w:pPr>
          </w:p>
        </w:tc>
        <w:tc>
          <w:tcPr>
            <w:tcW w:w="489"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-1C</w:t>
            </w:r>
          </w:p>
        </w:tc>
        <w:tc>
          <w:tcPr>
            <w:tcW w:w="435" w:type="pct"/>
            <w:tcBorders>
              <w:tl2br w:val="nil"/>
              <w:tr2bl w:val="nil"/>
            </w:tcBorders>
            <w:noWrap w:val="0"/>
            <w:vAlign w:val="center"/>
          </w:tcPr>
          <w:p>
            <w:pPr>
              <w:pStyle w:val="34"/>
              <w:bidi w:val="0"/>
              <w:rPr>
                <w:rFonts w:hint="default"/>
                <w:color w:val="auto"/>
                <w:highlight w:val="none"/>
              </w:rPr>
            </w:pPr>
          </w:p>
        </w:tc>
        <w:tc>
          <w:tcPr>
            <w:tcW w:w="488" w:type="pct"/>
            <w:tcBorders>
              <w:tl2br w:val="nil"/>
              <w:tr2bl w:val="nil"/>
            </w:tcBorders>
            <w:noWrap w:val="0"/>
            <w:vAlign w:val="center"/>
          </w:tcPr>
          <w:p>
            <w:pPr>
              <w:pStyle w:val="34"/>
              <w:bidi w:val="0"/>
              <w:rPr>
                <w:rFonts w:hint="default"/>
                <w:color w:val="auto"/>
                <w:highlight w:val="none"/>
              </w:rPr>
            </w:pPr>
          </w:p>
        </w:tc>
        <w:tc>
          <w:tcPr>
            <w:tcW w:w="472" w:type="pct"/>
            <w:tcBorders>
              <w:tl2br w:val="nil"/>
              <w:tr2bl w:val="nil"/>
            </w:tcBorders>
            <w:noWrap w:val="0"/>
            <w:vAlign w:val="center"/>
          </w:tcPr>
          <w:p>
            <w:pPr>
              <w:pStyle w:val="34"/>
              <w:bidi w:val="0"/>
              <w:rPr>
                <w:rFonts w:hint="default"/>
                <w:color w:val="auto"/>
                <w:highlight w:val="none"/>
              </w:rPr>
            </w:pPr>
          </w:p>
        </w:tc>
        <w:tc>
          <w:tcPr>
            <w:tcW w:w="484" w:type="pct"/>
            <w:tcBorders>
              <w:tl2br w:val="nil"/>
              <w:tr2bl w:val="nil"/>
            </w:tcBorders>
            <w:noWrap w:val="0"/>
            <w:vAlign w:val="center"/>
          </w:tcPr>
          <w:p>
            <w:pPr>
              <w:pStyle w:val="34"/>
              <w:bidi w:val="0"/>
              <w:rPr>
                <w:rFonts w:hint="default"/>
                <w:color w:val="auto"/>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Header/>
          <w:jc w:val="center"/>
        </w:trPr>
        <w:tc>
          <w:tcPr>
            <w:tcW w:w="770" w:type="pct"/>
            <w:vMerge w:val="continue"/>
            <w:tcBorders>
              <w:tl2br w:val="nil"/>
              <w:tr2bl w:val="nil"/>
            </w:tcBorders>
            <w:noWrap w:val="0"/>
            <w:vAlign w:val="center"/>
          </w:tcPr>
          <w:p>
            <w:pPr>
              <w:pStyle w:val="34"/>
              <w:bidi w:val="0"/>
              <w:rPr>
                <w:rFonts w:hint="default"/>
                <w:color w:val="auto"/>
                <w:highlight w:val="none"/>
              </w:rPr>
            </w:pPr>
          </w:p>
        </w:tc>
        <w:tc>
          <w:tcPr>
            <w:tcW w:w="966" w:type="pct"/>
            <w:tcBorders>
              <w:tl2br w:val="nil"/>
              <w:tr2bl w:val="nil"/>
            </w:tcBorders>
            <w:noWrap w:val="0"/>
            <w:vAlign w:val="center"/>
          </w:tcPr>
          <w:p>
            <w:pPr>
              <w:pStyle w:val="34"/>
              <w:bidi w:val="0"/>
              <w:rPr>
                <w:rFonts w:hint="default" w:eastAsia="宋体"/>
                <w:color w:val="auto"/>
                <w:highlight w:val="none"/>
                <w:lang w:val="en-US" w:eastAsia="zh-CN"/>
              </w:rPr>
            </w:pPr>
            <w:r>
              <w:rPr>
                <w:rFonts w:hint="eastAsia"/>
                <w:color w:val="auto"/>
                <w:highlight w:val="none"/>
                <w:lang w:val="en-US" w:eastAsia="zh-CN"/>
              </w:rPr>
              <w:t>固废处置</w:t>
            </w:r>
          </w:p>
        </w:tc>
        <w:tc>
          <w:tcPr>
            <w:tcW w:w="448"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-1C</w:t>
            </w:r>
          </w:p>
        </w:tc>
        <w:tc>
          <w:tcPr>
            <w:tcW w:w="443" w:type="pct"/>
            <w:tcBorders>
              <w:tl2br w:val="nil"/>
              <w:tr2bl w:val="nil"/>
            </w:tcBorders>
            <w:noWrap w:val="0"/>
            <w:vAlign w:val="center"/>
          </w:tcPr>
          <w:p>
            <w:pPr>
              <w:pStyle w:val="34"/>
              <w:bidi w:val="0"/>
              <w:rPr>
                <w:rFonts w:hint="default"/>
                <w:color w:val="auto"/>
                <w:highlight w:val="none"/>
              </w:rPr>
            </w:pPr>
          </w:p>
        </w:tc>
        <w:tc>
          <w:tcPr>
            <w:tcW w:w="489"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-1C</w:t>
            </w:r>
          </w:p>
        </w:tc>
        <w:tc>
          <w:tcPr>
            <w:tcW w:w="435"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-1C</w:t>
            </w:r>
          </w:p>
        </w:tc>
        <w:tc>
          <w:tcPr>
            <w:tcW w:w="488"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-1C</w:t>
            </w:r>
          </w:p>
        </w:tc>
        <w:tc>
          <w:tcPr>
            <w:tcW w:w="472" w:type="pct"/>
            <w:tcBorders>
              <w:tl2br w:val="nil"/>
              <w:tr2bl w:val="nil"/>
            </w:tcBorders>
            <w:noWrap w:val="0"/>
            <w:vAlign w:val="center"/>
          </w:tcPr>
          <w:p>
            <w:pPr>
              <w:pStyle w:val="34"/>
              <w:bidi w:val="0"/>
              <w:rPr>
                <w:rFonts w:hint="default"/>
                <w:color w:val="auto"/>
                <w:highlight w:val="none"/>
              </w:rPr>
            </w:pPr>
          </w:p>
        </w:tc>
        <w:tc>
          <w:tcPr>
            <w:tcW w:w="484"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-1C</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Header/>
          <w:jc w:val="center"/>
        </w:trPr>
        <w:tc>
          <w:tcPr>
            <w:tcW w:w="770" w:type="pct"/>
            <w:vMerge w:val="continue"/>
            <w:tcBorders>
              <w:tl2br w:val="nil"/>
              <w:tr2bl w:val="nil"/>
            </w:tcBorders>
            <w:noWrap w:val="0"/>
            <w:vAlign w:val="center"/>
          </w:tcPr>
          <w:p>
            <w:pPr>
              <w:pStyle w:val="34"/>
              <w:bidi w:val="0"/>
              <w:rPr>
                <w:rFonts w:hint="default"/>
                <w:color w:val="auto"/>
                <w:highlight w:val="none"/>
              </w:rPr>
            </w:pPr>
          </w:p>
        </w:tc>
        <w:tc>
          <w:tcPr>
            <w:tcW w:w="966"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绿化</w:t>
            </w:r>
          </w:p>
        </w:tc>
        <w:tc>
          <w:tcPr>
            <w:tcW w:w="448" w:type="pct"/>
            <w:tcBorders>
              <w:tl2br w:val="nil"/>
              <w:tr2bl w:val="nil"/>
            </w:tcBorders>
            <w:noWrap w:val="0"/>
            <w:vAlign w:val="center"/>
          </w:tcPr>
          <w:p>
            <w:pPr>
              <w:pStyle w:val="34"/>
              <w:bidi w:val="0"/>
              <w:rPr>
                <w:rFonts w:hint="default"/>
                <w:color w:val="auto"/>
                <w:highlight w:val="none"/>
              </w:rPr>
            </w:pPr>
          </w:p>
        </w:tc>
        <w:tc>
          <w:tcPr>
            <w:tcW w:w="443" w:type="pct"/>
            <w:tcBorders>
              <w:tl2br w:val="nil"/>
              <w:tr2bl w:val="nil"/>
            </w:tcBorders>
            <w:noWrap w:val="0"/>
            <w:vAlign w:val="center"/>
          </w:tcPr>
          <w:p>
            <w:pPr>
              <w:pStyle w:val="34"/>
              <w:bidi w:val="0"/>
              <w:rPr>
                <w:rFonts w:hint="default"/>
                <w:color w:val="auto"/>
                <w:highlight w:val="none"/>
              </w:rPr>
            </w:pPr>
          </w:p>
        </w:tc>
        <w:tc>
          <w:tcPr>
            <w:tcW w:w="489" w:type="pct"/>
            <w:tcBorders>
              <w:tl2br w:val="nil"/>
              <w:tr2bl w:val="nil"/>
            </w:tcBorders>
            <w:noWrap w:val="0"/>
            <w:vAlign w:val="center"/>
          </w:tcPr>
          <w:p>
            <w:pPr>
              <w:pStyle w:val="34"/>
              <w:bidi w:val="0"/>
              <w:rPr>
                <w:rFonts w:hint="default"/>
                <w:color w:val="auto"/>
                <w:highlight w:val="none"/>
              </w:rPr>
            </w:pPr>
          </w:p>
        </w:tc>
        <w:tc>
          <w:tcPr>
            <w:tcW w:w="435" w:type="pct"/>
            <w:tcBorders>
              <w:tl2br w:val="nil"/>
              <w:tr2bl w:val="nil"/>
            </w:tcBorders>
            <w:noWrap w:val="0"/>
            <w:vAlign w:val="center"/>
          </w:tcPr>
          <w:p>
            <w:pPr>
              <w:pStyle w:val="34"/>
              <w:bidi w:val="0"/>
              <w:rPr>
                <w:rFonts w:hint="default"/>
                <w:color w:val="auto"/>
                <w:highlight w:val="none"/>
              </w:rPr>
            </w:pPr>
          </w:p>
        </w:tc>
        <w:tc>
          <w:tcPr>
            <w:tcW w:w="488" w:type="pct"/>
            <w:tcBorders>
              <w:tl2br w:val="nil"/>
              <w:tr2bl w:val="nil"/>
            </w:tcBorders>
            <w:noWrap w:val="0"/>
            <w:vAlign w:val="center"/>
          </w:tcPr>
          <w:p>
            <w:pPr>
              <w:pStyle w:val="34"/>
              <w:bidi w:val="0"/>
              <w:rPr>
                <w:rFonts w:hint="default"/>
                <w:color w:val="auto"/>
                <w:highlight w:val="none"/>
              </w:rPr>
            </w:pPr>
          </w:p>
        </w:tc>
        <w:tc>
          <w:tcPr>
            <w:tcW w:w="472" w:type="pct"/>
            <w:tcBorders>
              <w:tl2br w:val="nil"/>
              <w:tr2bl w:val="nil"/>
            </w:tcBorders>
            <w:noWrap w:val="0"/>
            <w:vAlign w:val="center"/>
          </w:tcPr>
          <w:p>
            <w:pPr>
              <w:pStyle w:val="34"/>
              <w:bidi w:val="0"/>
              <w:rPr>
                <w:rFonts w:hint="default"/>
                <w:color w:val="auto"/>
                <w:highlight w:val="none"/>
              </w:rPr>
            </w:pPr>
          </w:p>
        </w:tc>
        <w:tc>
          <w:tcPr>
            <w:tcW w:w="484"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+1C</w:t>
            </w:r>
          </w:p>
        </w:tc>
      </w:tr>
    </w:tbl>
    <w:p>
      <w:pPr>
        <w:keepNext w:val="0"/>
        <w:keepLines w:val="0"/>
        <w:pageBreakBefore w:val="0"/>
        <w:widowControl w:val="0"/>
        <w:kinsoku/>
        <w:wordWrap/>
        <w:overflowPunct/>
        <w:topLinePunct w:val="0"/>
        <w:autoSpaceDE/>
        <w:autoSpaceDN/>
        <w:bidi w:val="0"/>
        <w:adjustRightInd/>
        <w:snapToGrid/>
        <w:spacing w:line="240" w:lineRule="auto"/>
        <w:ind w:firstLine="428" w:firstLineChars="200"/>
        <w:textAlignment w:val="auto"/>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b w:val="0"/>
          <w:bCs/>
          <w:color w:val="auto"/>
          <w:spacing w:val="2"/>
          <w:sz w:val="21"/>
          <w:szCs w:val="21"/>
          <w:highlight w:val="none"/>
        </w:rPr>
        <w:t>注：有利影响/不利影响以“+”、“-”表示，影响程度分别以“1”、“2</w:t>
      </w:r>
      <w:r>
        <w:rPr>
          <w:rFonts w:hint="eastAsia" w:ascii="Times New Roman" w:hAnsi="Times New Roman" w:eastAsia="宋体" w:cs="Times New Roman"/>
          <w:b w:val="0"/>
          <w:bCs/>
          <w:color w:val="auto"/>
          <w:spacing w:val="2"/>
          <w:sz w:val="21"/>
          <w:szCs w:val="21"/>
          <w:highlight w:val="none"/>
          <w:lang w:eastAsia="zh-CN"/>
        </w:rPr>
        <w:t>”“</w:t>
      </w:r>
      <w:r>
        <w:rPr>
          <w:rFonts w:hint="default" w:ascii="Times New Roman" w:hAnsi="Times New Roman" w:eastAsia="宋体" w:cs="Times New Roman"/>
          <w:b w:val="0"/>
          <w:bCs/>
          <w:color w:val="auto"/>
          <w:spacing w:val="2"/>
          <w:sz w:val="21"/>
          <w:szCs w:val="21"/>
          <w:highlight w:val="none"/>
        </w:rPr>
        <w:t>3”表示，长期/短期影响分别以是否带“（）”表示，空格为无影响。</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2.2.2 评价因子筛选</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根据项目建设和运行的特点，本工程评价因子筛选从生态环境、环境空气、声环境、地下水环境等几方面进行。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color w:val="auto"/>
          <w:highlight w:val="none"/>
        </w:rPr>
      </w:pPr>
      <w:r>
        <w:rPr>
          <w:rFonts w:hint="default" w:ascii="Times New Roman" w:hAnsi="Times New Roman" w:eastAsia="宋体" w:cs="Times New Roman"/>
          <w:color w:val="auto"/>
          <w:sz w:val="24"/>
          <w:szCs w:val="24"/>
          <w:highlight w:val="none"/>
        </w:rPr>
        <w:t>本工程评价因子筛选结果见表</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2</w:t>
      </w:r>
      <w:r>
        <w:rPr>
          <w:rFonts w:hint="default"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w:t>
      </w:r>
    </w:p>
    <w:p>
      <w:pPr>
        <w:pStyle w:val="33"/>
        <w:bidi w:val="0"/>
        <w:rPr>
          <w:rFonts w:hint="default"/>
          <w:color w:val="auto"/>
          <w:highlight w:val="none"/>
        </w:rPr>
      </w:pPr>
      <w:r>
        <w:rPr>
          <w:rFonts w:hint="default"/>
          <w:color w:val="auto"/>
          <w:sz w:val="24"/>
          <w:szCs w:val="24"/>
          <w:highlight w:val="none"/>
        </w:rPr>
        <w:t>表</w:t>
      </w:r>
      <w:r>
        <w:rPr>
          <w:rFonts w:hint="eastAsia"/>
          <w:color w:val="auto"/>
          <w:sz w:val="24"/>
          <w:szCs w:val="24"/>
          <w:highlight w:val="none"/>
          <w:lang w:val="en-US" w:eastAsia="zh-CN"/>
        </w:rPr>
        <w:t xml:space="preserve"> </w:t>
      </w:r>
      <w:r>
        <w:rPr>
          <w:rFonts w:hint="default"/>
          <w:color w:val="auto"/>
          <w:sz w:val="24"/>
          <w:szCs w:val="24"/>
          <w:highlight w:val="none"/>
        </w:rPr>
        <w:t>2</w:t>
      </w:r>
      <w:r>
        <w:rPr>
          <w:rFonts w:hint="eastAsia"/>
          <w:color w:val="auto"/>
          <w:sz w:val="24"/>
          <w:szCs w:val="24"/>
          <w:highlight w:val="none"/>
          <w:lang w:val="en-US" w:eastAsia="zh-CN"/>
        </w:rPr>
        <w:t>.2.2-1</w:t>
      </w:r>
      <w:r>
        <w:rPr>
          <w:rFonts w:hint="default"/>
          <w:color w:val="auto"/>
          <w:sz w:val="24"/>
          <w:szCs w:val="24"/>
          <w:highlight w:val="none"/>
        </w:rPr>
        <w:t xml:space="preserve">    评价因子筛选表</w:t>
      </w:r>
    </w:p>
    <w:tbl>
      <w:tblPr>
        <w:tblStyle w:val="21"/>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54"/>
        <w:gridCol w:w="1191"/>
        <w:gridCol w:w="1111"/>
        <w:gridCol w:w="535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393" w:type="pct"/>
            <w:tcBorders>
              <w:tl2br w:val="nil"/>
              <w:tr2bl w:val="nil"/>
            </w:tcBorders>
            <w:noWrap w:val="0"/>
            <w:vAlign w:val="center"/>
          </w:tcPr>
          <w:p>
            <w:pPr>
              <w:pStyle w:val="34"/>
              <w:bidi w:val="0"/>
              <w:rPr>
                <w:rFonts w:hint="default"/>
                <w:b/>
                <w:bCs/>
                <w:color w:val="auto"/>
                <w:highlight w:val="none"/>
              </w:rPr>
            </w:pPr>
            <w:r>
              <w:rPr>
                <w:rFonts w:hint="default"/>
                <w:b/>
                <w:bCs/>
                <w:color w:val="auto"/>
                <w:highlight w:val="none"/>
              </w:rPr>
              <w:t>序号</w:t>
            </w:r>
          </w:p>
        </w:tc>
        <w:tc>
          <w:tcPr>
            <w:tcW w:w="716" w:type="pct"/>
            <w:tcBorders>
              <w:tl2br w:val="nil"/>
              <w:tr2bl w:val="nil"/>
            </w:tcBorders>
            <w:noWrap w:val="0"/>
            <w:vAlign w:val="center"/>
          </w:tcPr>
          <w:p>
            <w:pPr>
              <w:pStyle w:val="34"/>
              <w:bidi w:val="0"/>
              <w:rPr>
                <w:rFonts w:hint="default"/>
                <w:b/>
                <w:bCs/>
                <w:color w:val="auto"/>
                <w:highlight w:val="none"/>
              </w:rPr>
            </w:pPr>
            <w:r>
              <w:rPr>
                <w:rFonts w:hint="default"/>
                <w:b/>
                <w:bCs/>
                <w:color w:val="auto"/>
                <w:highlight w:val="none"/>
              </w:rPr>
              <w:t>环境要素</w:t>
            </w:r>
          </w:p>
        </w:tc>
        <w:tc>
          <w:tcPr>
            <w:tcW w:w="668" w:type="pct"/>
            <w:tcBorders>
              <w:tl2br w:val="nil"/>
              <w:tr2bl w:val="nil"/>
            </w:tcBorders>
            <w:noWrap w:val="0"/>
            <w:vAlign w:val="center"/>
          </w:tcPr>
          <w:p>
            <w:pPr>
              <w:pStyle w:val="34"/>
              <w:bidi w:val="0"/>
              <w:rPr>
                <w:rFonts w:hint="default"/>
                <w:b/>
                <w:bCs/>
                <w:color w:val="auto"/>
                <w:highlight w:val="none"/>
              </w:rPr>
            </w:pPr>
            <w:r>
              <w:rPr>
                <w:rFonts w:hint="default"/>
                <w:b/>
                <w:bCs/>
                <w:color w:val="auto"/>
                <w:highlight w:val="none"/>
              </w:rPr>
              <w:t>专题</w:t>
            </w:r>
          </w:p>
        </w:tc>
        <w:tc>
          <w:tcPr>
            <w:tcW w:w="3221" w:type="pct"/>
            <w:tcBorders>
              <w:tl2br w:val="nil"/>
              <w:tr2bl w:val="nil"/>
            </w:tcBorders>
            <w:noWrap w:val="0"/>
            <w:vAlign w:val="center"/>
          </w:tcPr>
          <w:p>
            <w:pPr>
              <w:pStyle w:val="34"/>
              <w:bidi w:val="0"/>
              <w:rPr>
                <w:rFonts w:hint="default"/>
                <w:b/>
                <w:bCs/>
                <w:color w:val="auto"/>
                <w:highlight w:val="none"/>
              </w:rPr>
            </w:pPr>
            <w:r>
              <w:rPr>
                <w:rFonts w:hint="default"/>
                <w:b/>
                <w:bCs/>
                <w:color w:val="auto"/>
                <w:highlight w:val="none"/>
              </w:rPr>
              <w:t>评价因子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393" w:type="pct"/>
            <w:vMerge w:val="restart"/>
            <w:tcBorders>
              <w:tl2br w:val="nil"/>
              <w:tr2bl w:val="nil"/>
            </w:tcBorders>
            <w:noWrap w:val="0"/>
            <w:vAlign w:val="center"/>
          </w:tcPr>
          <w:p>
            <w:pPr>
              <w:pStyle w:val="34"/>
              <w:bidi w:val="0"/>
              <w:rPr>
                <w:rFonts w:hint="default"/>
                <w:color w:val="auto"/>
                <w:highlight w:val="none"/>
              </w:rPr>
            </w:pPr>
            <w:r>
              <w:rPr>
                <w:rFonts w:hint="default"/>
                <w:color w:val="auto"/>
                <w:highlight w:val="none"/>
              </w:rPr>
              <w:t>1</w:t>
            </w:r>
          </w:p>
        </w:tc>
        <w:tc>
          <w:tcPr>
            <w:tcW w:w="716" w:type="pct"/>
            <w:vMerge w:val="restart"/>
            <w:tcBorders>
              <w:tl2br w:val="nil"/>
              <w:tr2bl w:val="nil"/>
            </w:tcBorders>
            <w:noWrap w:val="0"/>
            <w:vAlign w:val="center"/>
          </w:tcPr>
          <w:p>
            <w:pPr>
              <w:pStyle w:val="34"/>
              <w:bidi w:val="0"/>
              <w:rPr>
                <w:rFonts w:hint="default"/>
                <w:color w:val="auto"/>
                <w:highlight w:val="none"/>
              </w:rPr>
            </w:pPr>
            <w:r>
              <w:rPr>
                <w:rFonts w:hint="default"/>
                <w:color w:val="auto"/>
                <w:highlight w:val="none"/>
              </w:rPr>
              <w:t>环境空气</w:t>
            </w:r>
          </w:p>
        </w:tc>
        <w:tc>
          <w:tcPr>
            <w:tcW w:w="668"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现状评价</w:t>
            </w:r>
          </w:p>
        </w:tc>
        <w:tc>
          <w:tcPr>
            <w:tcW w:w="3221" w:type="pct"/>
            <w:tcBorders>
              <w:tl2br w:val="nil"/>
              <w:tr2bl w:val="nil"/>
            </w:tcBorders>
            <w:noWrap w:val="0"/>
            <w:vAlign w:val="center"/>
          </w:tcPr>
          <w:p>
            <w:pPr>
              <w:pStyle w:val="34"/>
              <w:bidi w:val="0"/>
              <w:rPr>
                <w:rFonts w:hint="default"/>
                <w:color w:val="auto"/>
                <w:highlight w:val="none"/>
              </w:rPr>
            </w:pPr>
            <w:r>
              <w:rPr>
                <w:rFonts w:hint="eastAsia"/>
                <w:color w:val="auto"/>
                <w:highlight w:val="none"/>
                <w:lang w:eastAsia="zh-CN"/>
              </w:rPr>
              <w:t>SO</w:t>
            </w:r>
            <w:r>
              <w:rPr>
                <w:rFonts w:hint="eastAsia"/>
                <w:color w:val="auto"/>
                <w:highlight w:val="none"/>
                <w:vertAlign w:val="subscript"/>
                <w:lang w:eastAsia="zh-CN"/>
              </w:rPr>
              <w:t>2</w:t>
            </w:r>
            <w:r>
              <w:rPr>
                <w:rFonts w:hint="default"/>
                <w:color w:val="auto"/>
                <w:highlight w:val="none"/>
              </w:rPr>
              <w:t>、</w:t>
            </w:r>
            <w:r>
              <w:rPr>
                <w:rFonts w:hint="eastAsia"/>
                <w:color w:val="auto"/>
                <w:highlight w:val="none"/>
                <w:lang w:eastAsia="zh-CN"/>
              </w:rPr>
              <w:t>NO</w:t>
            </w:r>
            <w:r>
              <w:rPr>
                <w:rFonts w:hint="eastAsia"/>
                <w:color w:val="auto"/>
                <w:highlight w:val="none"/>
                <w:vertAlign w:val="subscript"/>
                <w:lang w:val="en-US" w:eastAsia="zh-CN"/>
              </w:rPr>
              <w:t>2</w:t>
            </w:r>
            <w:r>
              <w:rPr>
                <w:rFonts w:hint="default"/>
                <w:color w:val="auto"/>
                <w:highlight w:val="none"/>
              </w:rPr>
              <w:t>、</w:t>
            </w:r>
            <w:r>
              <w:rPr>
                <w:rFonts w:hint="eastAsia"/>
                <w:color w:val="auto"/>
                <w:highlight w:val="none"/>
                <w:lang w:eastAsia="zh-CN"/>
              </w:rPr>
              <w:t>PM</w:t>
            </w:r>
            <w:r>
              <w:rPr>
                <w:rFonts w:hint="eastAsia"/>
                <w:color w:val="auto"/>
                <w:highlight w:val="none"/>
                <w:vertAlign w:val="subscript"/>
                <w:lang w:eastAsia="zh-CN"/>
              </w:rPr>
              <w:t>10</w:t>
            </w:r>
            <w:r>
              <w:rPr>
                <w:rFonts w:hint="default"/>
                <w:color w:val="auto"/>
                <w:highlight w:val="none"/>
              </w:rPr>
              <w:t>、</w:t>
            </w:r>
            <w:r>
              <w:rPr>
                <w:rFonts w:hint="eastAsia"/>
                <w:color w:val="auto"/>
                <w:highlight w:val="none"/>
                <w:lang w:eastAsia="zh-CN"/>
              </w:rPr>
              <w:t>PM</w:t>
            </w:r>
            <w:r>
              <w:rPr>
                <w:rFonts w:hint="eastAsia"/>
                <w:color w:val="auto"/>
                <w:highlight w:val="none"/>
                <w:vertAlign w:val="subscript"/>
                <w:lang w:eastAsia="zh-CN"/>
              </w:rPr>
              <w:t>2</w:t>
            </w:r>
            <w:r>
              <w:rPr>
                <w:rFonts w:hint="default"/>
                <w:color w:val="auto"/>
                <w:highlight w:val="none"/>
                <w:vertAlign w:val="subscript"/>
              </w:rPr>
              <w:t>.5</w:t>
            </w:r>
            <w:r>
              <w:rPr>
                <w:rFonts w:hint="default"/>
                <w:color w:val="auto"/>
                <w:highlight w:val="none"/>
              </w:rPr>
              <w:t>、CO、O</w:t>
            </w:r>
            <w:r>
              <w:rPr>
                <w:rFonts w:hint="default"/>
                <w:color w:val="auto"/>
                <w:highlight w:val="none"/>
                <w:vertAlign w:val="subscript"/>
              </w:rPr>
              <w:t>3</w:t>
            </w:r>
            <w:r>
              <w:rPr>
                <w:rFonts w:hint="default"/>
                <w:color w:val="auto"/>
                <w:highlight w:val="none"/>
              </w:rPr>
              <w:t>、</w:t>
            </w:r>
          </w:p>
          <w:p>
            <w:pPr>
              <w:pStyle w:val="34"/>
              <w:bidi w:val="0"/>
              <w:rPr>
                <w:rFonts w:hint="default" w:eastAsia="宋体"/>
                <w:color w:val="auto"/>
                <w:highlight w:val="none"/>
                <w:lang w:val="en-US" w:eastAsia="zh-CN"/>
              </w:rPr>
            </w:pPr>
            <w:r>
              <w:rPr>
                <w:rFonts w:hint="eastAsia"/>
                <w:color w:val="auto"/>
                <w:highlight w:val="none"/>
                <w:lang w:eastAsia="zh-CN"/>
              </w:rPr>
              <w:t>NH</w:t>
            </w:r>
            <w:r>
              <w:rPr>
                <w:rFonts w:hint="eastAsia"/>
                <w:color w:val="auto"/>
                <w:highlight w:val="none"/>
                <w:vertAlign w:val="subscript"/>
                <w:lang w:eastAsia="zh-CN"/>
              </w:rPr>
              <w:t>3</w:t>
            </w:r>
            <w:r>
              <w:rPr>
                <w:rFonts w:hint="default"/>
                <w:color w:val="auto"/>
                <w:highlight w:val="none"/>
              </w:rPr>
              <w:t>、H</w:t>
            </w:r>
            <w:r>
              <w:rPr>
                <w:rFonts w:hint="eastAsia"/>
                <w:color w:val="auto"/>
                <w:highlight w:val="none"/>
                <w:vertAlign w:val="subscript"/>
                <w:lang w:eastAsia="zh-CN"/>
              </w:rPr>
              <w:t>2</w:t>
            </w:r>
            <w:r>
              <w:rPr>
                <w:rFonts w:hint="eastAsia"/>
                <w:color w:val="auto"/>
                <w:highlight w:val="none"/>
                <w:lang w:eastAsia="zh-CN"/>
              </w:rPr>
              <w:t>S</w:t>
            </w:r>
            <w:r>
              <w:rPr>
                <w:rFonts w:hint="default"/>
                <w:color w:val="auto"/>
                <w:highlight w:val="none"/>
              </w:rPr>
              <w:t>、非甲烷总烃</w:t>
            </w:r>
            <w:r>
              <w:rPr>
                <w:rFonts w:hint="eastAsia"/>
                <w:color w:val="auto"/>
                <w:highlight w:val="none"/>
                <w:lang w:eastAsia="zh-CN"/>
              </w:rPr>
              <w:t>、</w:t>
            </w:r>
            <w:r>
              <w:rPr>
                <w:rFonts w:hint="eastAsia"/>
                <w:color w:val="auto"/>
                <w:highlight w:val="none"/>
                <w:lang w:val="en-US" w:eastAsia="zh-CN"/>
              </w:rPr>
              <w:t>甲醇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393" w:type="pct"/>
            <w:vMerge w:val="continue"/>
            <w:tcBorders>
              <w:tl2br w:val="nil"/>
              <w:tr2bl w:val="nil"/>
            </w:tcBorders>
            <w:noWrap w:val="0"/>
            <w:vAlign w:val="center"/>
          </w:tcPr>
          <w:p>
            <w:pPr>
              <w:pStyle w:val="34"/>
              <w:bidi w:val="0"/>
              <w:rPr>
                <w:rFonts w:hint="default"/>
                <w:color w:val="auto"/>
                <w:highlight w:val="none"/>
                <w:lang w:eastAsia="en-US"/>
              </w:rPr>
            </w:pPr>
          </w:p>
        </w:tc>
        <w:tc>
          <w:tcPr>
            <w:tcW w:w="716" w:type="pct"/>
            <w:vMerge w:val="continue"/>
            <w:tcBorders>
              <w:tl2br w:val="nil"/>
              <w:tr2bl w:val="nil"/>
            </w:tcBorders>
            <w:noWrap w:val="0"/>
            <w:vAlign w:val="center"/>
          </w:tcPr>
          <w:p>
            <w:pPr>
              <w:pStyle w:val="34"/>
              <w:bidi w:val="0"/>
              <w:rPr>
                <w:rFonts w:hint="default"/>
                <w:color w:val="auto"/>
                <w:highlight w:val="none"/>
                <w:lang w:eastAsia="en-US"/>
              </w:rPr>
            </w:pPr>
          </w:p>
        </w:tc>
        <w:tc>
          <w:tcPr>
            <w:tcW w:w="668"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预测评价</w:t>
            </w:r>
          </w:p>
        </w:tc>
        <w:tc>
          <w:tcPr>
            <w:tcW w:w="3221" w:type="pct"/>
            <w:tcBorders>
              <w:tl2br w:val="nil"/>
              <w:tr2bl w:val="nil"/>
            </w:tcBorders>
            <w:noWrap w:val="0"/>
            <w:vAlign w:val="center"/>
          </w:tcPr>
          <w:p>
            <w:pPr>
              <w:pStyle w:val="34"/>
              <w:bidi w:val="0"/>
              <w:rPr>
                <w:rFonts w:hint="default" w:eastAsia="宋体"/>
                <w:color w:val="auto"/>
                <w:highlight w:val="none"/>
                <w:vertAlign w:val="baseline"/>
                <w:lang w:val="en-US" w:eastAsia="zh-CN"/>
              </w:rPr>
            </w:pPr>
            <w:r>
              <w:rPr>
                <w:rFonts w:hint="eastAsia"/>
                <w:color w:val="auto"/>
                <w:highlight w:val="none"/>
                <w:lang w:val="en-US" w:eastAsia="zh-CN"/>
              </w:rPr>
              <w:t>TSP、</w:t>
            </w:r>
            <w:r>
              <w:rPr>
                <w:rFonts w:hint="eastAsia"/>
                <w:color w:val="auto"/>
                <w:highlight w:val="none"/>
                <w:lang w:eastAsia="zh-CN"/>
              </w:rPr>
              <w:t>NH</w:t>
            </w:r>
            <w:r>
              <w:rPr>
                <w:rFonts w:hint="eastAsia"/>
                <w:color w:val="auto"/>
                <w:highlight w:val="none"/>
                <w:vertAlign w:val="subscript"/>
                <w:lang w:eastAsia="zh-CN"/>
              </w:rPr>
              <w:t>3</w:t>
            </w:r>
            <w:r>
              <w:rPr>
                <w:rFonts w:hint="default"/>
                <w:color w:val="auto"/>
                <w:highlight w:val="none"/>
              </w:rPr>
              <w:t>、H</w:t>
            </w:r>
            <w:r>
              <w:rPr>
                <w:rFonts w:hint="eastAsia"/>
                <w:color w:val="auto"/>
                <w:highlight w:val="none"/>
                <w:vertAlign w:val="subscript"/>
                <w:lang w:eastAsia="zh-CN"/>
              </w:rPr>
              <w:t>2</w:t>
            </w:r>
            <w:r>
              <w:rPr>
                <w:rFonts w:hint="eastAsia"/>
                <w:color w:val="auto"/>
                <w:highlight w:val="none"/>
                <w:lang w:eastAsia="zh-CN"/>
              </w:rPr>
              <w:t>S</w:t>
            </w:r>
            <w:r>
              <w:rPr>
                <w:rFonts w:hint="default"/>
                <w:color w:val="auto"/>
                <w:highlight w:val="none"/>
              </w:rPr>
              <w:t>、非甲烷总烃</w:t>
            </w:r>
            <w:r>
              <w:rPr>
                <w:rFonts w:hint="eastAsia"/>
                <w:color w:val="auto"/>
                <w:highlight w:val="none"/>
                <w:lang w:eastAsia="zh-CN"/>
              </w:rPr>
              <w:t>、PM</w:t>
            </w:r>
            <w:r>
              <w:rPr>
                <w:rFonts w:hint="eastAsia"/>
                <w:color w:val="auto"/>
                <w:highlight w:val="none"/>
                <w:vertAlign w:val="subscript"/>
                <w:lang w:eastAsia="zh-CN"/>
              </w:rPr>
              <w:t>10</w:t>
            </w:r>
            <w:r>
              <w:rPr>
                <w:rFonts w:hint="eastAsia"/>
                <w:color w:val="auto"/>
                <w:highlight w:val="none"/>
                <w:vertAlign w:val="baseline"/>
                <w:lang w:eastAsia="zh-CN"/>
              </w:rPr>
              <w:t>、</w:t>
            </w:r>
            <w:r>
              <w:rPr>
                <w:rFonts w:hint="eastAsia"/>
                <w:color w:val="auto"/>
                <w:highlight w:val="none"/>
                <w:vertAlign w:val="baseline"/>
                <w:lang w:val="en-US" w:eastAsia="zh-CN"/>
              </w:rPr>
              <w:t>甲醇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393" w:type="pct"/>
            <w:vMerge w:val="restart"/>
            <w:tcBorders>
              <w:tl2br w:val="nil"/>
              <w:tr2bl w:val="nil"/>
            </w:tcBorders>
            <w:noWrap w:val="0"/>
            <w:vAlign w:val="center"/>
          </w:tcPr>
          <w:p>
            <w:pPr>
              <w:pStyle w:val="34"/>
              <w:bidi w:val="0"/>
              <w:rPr>
                <w:rFonts w:hint="default"/>
                <w:color w:val="auto"/>
                <w:highlight w:val="none"/>
              </w:rPr>
            </w:pPr>
            <w:r>
              <w:rPr>
                <w:rFonts w:hint="default"/>
                <w:color w:val="auto"/>
                <w:highlight w:val="none"/>
              </w:rPr>
              <w:t>2</w:t>
            </w:r>
          </w:p>
        </w:tc>
        <w:tc>
          <w:tcPr>
            <w:tcW w:w="716" w:type="pct"/>
            <w:vMerge w:val="restart"/>
            <w:tcBorders>
              <w:tl2br w:val="nil"/>
              <w:tr2bl w:val="nil"/>
            </w:tcBorders>
            <w:noWrap w:val="0"/>
            <w:vAlign w:val="center"/>
          </w:tcPr>
          <w:p>
            <w:pPr>
              <w:pStyle w:val="34"/>
              <w:bidi w:val="0"/>
              <w:rPr>
                <w:rFonts w:hint="default"/>
                <w:color w:val="auto"/>
                <w:highlight w:val="none"/>
              </w:rPr>
            </w:pPr>
            <w:r>
              <w:rPr>
                <w:rFonts w:hint="default"/>
                <w:color w:val="auto"/>
                <w:highlight w:val="none"/>
              </w:rPr>
              <w:t>地下水环境</w:t>
            </w:r>
          </w:p>
        </w:tc>
        <w:tc>
          <w:tcPr>
            <w:tcW w:w="668"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现状评价</w:t>
            </w:r>
          </w:p>
        </w:tc>
        <w:tc>
          <w:tcPr>
            <w:tcW w:w="3221"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pH、氨氮、硝酸盐、亚硝酸盐、挥发性酚类、氰化物、砷、汞、铬（六价）、总硬度、氟、镉、铁、锰、溶解性总固体、硫酸盐、氯化物、总大肠菌群、细菌总数、K+、Na</w:t>
            </w:r>
            <w:r>
              <w:rPr>
                <w:rFonts w:hint="default"/>
                <w:color w:val="auto"/>
                <w:highlight w:val="none"/>
                <w:vertAlign w:val="superscript"/>
              </w:rPr>
              <w:t>+</w:t>
            </w:r>
            <w:r>
              <w:rPr>
                <w:rFonts w:hint="default"/>
                <w:color w:val="auto"/>
                <w:highlight w:val="none"/>
              </w:rPr>
              <w:t>、Ca</w:t>
            </w:r>
            <w:r>
              <w:rPr>
                <w:rFonts w:hint="default"/>
                <w:color w:val="auto"/>
                <w:highlight w:val="none"/>
                <w:vertAlign w:val="superscript"/>
              </w:rPr>
              <w:t>2+</w:t>
            </w:r>
            <w:r>
              <w:rPr>
                <w:rFonts w:hint="default"/>
                <w:color w:val="auto"/>
                <w:highlight w:val="none"/>
              </w:rPr>
              <w:t>、</w:t>
            </w:r>
            <w:r>
              <w:rPr>
                <w:rFonts w:hint="eastAsia"/>
                <w:color w:val="auto"/>
                <w:highlight w:val="none"/>
                <w:lang w:eastAsia="zh-CN"/>
              </w:rPr>
              <w:t>m</w:t>
            </w:r>
            <w:r>
              <w:rPr>
                <w:rFonts w:hint="default"/>
                <w:color w:val="auto"/>
                <w:highlight w:val="none"/>
              </w:rPr>
              <w:t>g</w:t>
            </w:r>
            <w:r>
              <w:rPr>
                <w:rFonts w:hint="default"/>
                <w:color w:val="auto"/>
                <w:highlight w:val="none"/>
                <w:vertAlign w:val="superscript"/>
              </w:rPr>
              <w:t>2+</w:t>
            </w:r>
            <w:r>
              <w:rPr>
                <w:rFonts w:hint="default"/>
                <w:color w:val="auto"/>
                <w:highlight w:val="none"/>
              </w:rPr>
              <w:t>、CO</w:t>
            </w:r>
            <w:r>
              <w:rPr>
                <w:rFonts w:hint="default"/>
                <w:color w:val="auto"/>
                <w:highlight w:val="none"/>
                <w:vertAlign w:val="subscript"/>
              </w:rPr>
              <w:t>3</w:t>
            </w:r>
            <w:r>
              <w:rPr>
                <w:rFonts w:hint="default"/>
                <w:color w:val="auto"/>
                <w:highlight w:val="none"/>
                <w:vertAlign w:val="superscript"/>
              </w:rPr>
              <w:t>2-</w:t>
            </w:r>
            <w:r>
              <w:rPr>
                <w:rFonts w:hint="default"/>
                <w:color w:val="auto"/>
                <w:highlight w:val="none"/>
              </w:rPr>
              <w:t>、HCO</w:t>
            </w:r>
            <w:r>
              <w:rPr>
                <w:rFonts w:hint="default"/>
                <w:color w:val="auto"/>
                <w:highlight w:val="none"/>
                <w:vertAlign w:val="subscript"/>
              </w:rPr>
              <w:t>3</w:t>
            </w:r>
            <w:r>
              <w:rPr>
                <w:rFonts w:hint="default"/>
                <w:color w:val="auto"/>
                <w:highlight w:val="none"/>
                <w:vertAlign w:val="superscript"/>
              </w:rPr>
              <w:t>-</w:t>
            </w:r>
            <w:r>
              <w:rPr>
                <w:rFonts w:hint="default"/>
                <w:color w:val="auto"/>
                <w:highlight w:val="none"/>
              </w:rPr>
              <w:t>、CL</w:t>
            </w:r>
            <w:r>
              <w:rPr>
                <w:rFonts w:hint="default"/>
                <w:color w:val="auto"/>
                <w:highlight w:val="none"/>
                <w:vertAlign w:val="superscript"/>
              </w:rPr>
              <w:t>-</w:t>
            </w:r>
            <w:r>
              <w:rPr>
                <w:rFonts w:hint="default"/>
                <w:color w:val="auto"/>
                <w:highlight w:val="none"/>
              </w:rPr>
              <w:t>、</w:t>
            </w:r>
            <w:r>
              <w:rPr>
                <w:rFonts w:hint="eastAsia"/>
                <w:color w:val="auto"/>
                <w:highlight w:val="none"/>
                <w:lang w:eastAsia="zh-CN"/>
              </w:rPr>
              <w:t>SO</w:t>
            </w:r>
            <w:r>
              <w:rPr>
                <w:rFonts w:hint="default"/>
                <w:color w:val="auto"/>
                <w:highlight w:val="none"/>
                <w:vertAlign w:val="subscript"/>
              </w:rPr>
              <w:t>4</w:t>
            </w:r>
            <w:r>
              <w:rPr>
                <w:rFonts w:hint="default"/>
                <w:color w:val="auto"/>
                <w:highlight w:val="none"/>
                <w:vertAlign w:val="superscript"/>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393" w:type="pct"/>
            <w:vMerge w:val="continue"/>
            <w:tcBorders>
              <w:tl2br w:val="nil"/>
              <w:tr2bl w:val="nil"/>
            </w:tcBorders>
            <w:noWrap w:val="0"/>
            <w:vAlign w:val="center"/>
          </w:tcPr>
          <w:p>
            <w:pPr>
              <w:pStyle w:val="34"/>
              <w:bidi w:val="0"/>
              <w:rPr>
                <w:rFonts w:hint="default"/>
                <w:color w:val="auto"/>
                <w:highlight w:val="none"/>
              </w:rPr>
            </w:pPr>
          </w:p>
        </w:tc>
        <w:tc>
          <w:tcPr>
            <w:tcW w:w="716" w:type="pct"/>
            <w:vMerge w:val="continue"/>
            <w:tcBorders>
              <w:tl2br w:val="nil"/>
              <w:tr2bl w:val="nil"/>
            </w:tcBorders>
            <w:noWrap w:val="0"/>
            <w:vAlign w:val="center"/>
          </w:tcPr>
          <w:p>
            <w:pPr>
              <w:pStyle w:val="34"/>
              <w:bidi w:val="0"/>
              <w:rPr>
                <w:rFonts w:hint="default"/>
                <w:color w:val="auto"/>
                <w:highlight w:val="none"/>
              </w:rPr>
            </w:pPr>
          </w:p>
        </w:tc>
        <w:tc>
          <w:tcPr>
            <w:tcW w:w="668"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预测评价</w:t>
            </w:r>
          </w:p>
        </w:tc>
        <w:tc>
          <w:tcPr>
            <w:tcW w:w="3221" w:type="pct"/>
            <w:tcBorders>
              <w:tl2br w:val="nil"/>
              <w:tr2bl w:val="nil"/>
            </w:tcBorders>
            <w:noWrap w:val="0"/>
            <w:vAlign w:val="center"/>
          </w:tcPr>
          <w:p>
            <w:pPr>
              <w:pStyle w:val="34"/>
              <w:bidi w:val="0"/>
              <w:rPr>
                <w:rFonts w:hint="default" w:eastAsia="宋体"/>
                <w:color w:val="auto"/>
                <w:highlight w:val="none"/>
                <w:lang w:val="en-US" w:eastAsia="zh-CN"/>
              </w:rPr>
            </w:pPr>
            <w:r>
              <w:rPr>
                <w:rFonts w:hint="default"/>
                <w:color w:val="auto"/>
                <w:highlight w:val="none"/>
              </w:rPr>
              <w:t>COD</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393" w:type="pct"/>
            <w:vMerge w:val="restart"/>
            <w:tcBorders>
              <w:tl2br w:val="nil"/>
              <w:tr2bl w:val="nil"/>
            </w:tcBorders>
            <w:noWrap w:val="0"/>
            <w:vAlign w:val="center"/>
          </w:tcPr>
          <w:p>
            <w:pPr>
              <w:pStyle w:val="34"/>
              <w:bidi w:val="0"/>
              <w:rPr>
                <w:rFonts w:hint="default"/>
                <w:color w:val="auto"/>
                <w:highlight w:val="none"/>
              </w:rPr>
            </w:pPr>
            <w:r>
              <w:rPr>
                <w:rFonts w:hint="default"/>
                <w:color w:val="auto"/>
                <w:highlight w:val="none"/>
              </w:rPr>
              <w:t>3</w:t>
            </w:r>
          </w:p>
        </w:tc>
        <w:tc>
          <w:tcPr>
            <w:tcW w:w="716" w:type="pct"/>
            <w:vMerge w:val="restart"/>
            <w:tcBorders>
              <w:tl2br w:val="nil"/>
              <w:tr2bl w:val="nil"/>
            </w:tcBorders>
            <w:noWrap w:val="0"/>
            <w:vAlign w:val="center"/>
          </w:tcPr>
          <w:p>
            <w:pPr>
              <w:pStyle w:val="34"/>
              <w:bidi w:val="0"/>
              <w:rPr>
                <w:rFonts w:hint="default"/>
                <w:color w:val="auto"/>
                <w:highlight w:val="none"/>
              </w:rPr>
            </w:pPr>
            <w:r>
              <w:rPr>
                <w:rFonts w:hint="default"/>
                <w:color w:val="auto"/>
                <w:highlight w:val="none"/>
              </w:rPr>
              <w:t>声环境</w:t>
            </w:r>
          </w:p>
        </w:tc>
        <w:tc>
          <w:tcPr>
            <w:tcW w:w="668"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现状评价</w:t>
            </w:r>
          </w:p>
        </w:tc>
        <w:tc>
          <w:tcPr>
            <w:tcW w:w="3221" w:type="pct"/>
            <w:tcBorders>
              <w:tl2br w:val="nil"/>
              <w:tr2bl w:val="nil"/>
            </w:tcBorders>
            <w:noWrap w:val="0"/>
            <w:vAlign w:val="center"/>
          </w:tcPr>
          <w:p>
            <w:pPr>
              <w:pStyle w:val="34"/>
              <w:bidi w:val="0"/>
              <w:rPr>
                <w:rFonts w:hint="default"/>
                <w:color w:val="auto"/>
                <w:highlight w:val="none"/>
              </w:rPr>
            </w:pPr>
            <w:r>
              <w:rPr>
                <w:rFonts w:hint="default" w:ascii="Times New Roman" w:hAnsi="Times New Roman" w:eastAsia="宋体" w:cs="Times New Roman"/>
                <w:color w:val="auto"/>
                <w:highlight w:val="none"/>
              </w:rPr>
              <w:t>等效</w:t>
            </w:r>
            <w:r>
              <w:rPr>
                <w:rFonts w:hint="default" w:ascii="Times New Roman" w:hAnsi="Times New Roman" w:eastAsia="宋体" w:cs="Times New Roman"/>
                <w:color w:val="auto"/>
                <w:highlight w:val="none"/>
                <w:lang w:val="en-US" w:eastAsia="zh-CN"/>
              </w:rPr>
              <w:t>连续</w:t>
            </w:r>
            <w:r>
              <w:rPr>
                <w:rFonts w:hint="default" w:ascii="Times New Roman" w:hAnsi="Times New Roman" w:eastAsia="宋体" w:cs="Times New Roman"/>
                <w:color w:val="auto"/>
                <w:highlight w:val="none"/>
              </w:rPr>
              <w:t>A声级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393" w:type="pct"/>
            <w:vMerge w:val="continue"/>
            <w:tcBorders>
              <w:tl2br w:val="nil"/>
              <w:tr2bl w:val="nil"/>
            </w:tcBorders>
            <w:noWrap w:val="0"/>
            <w:vAlign w:val="center"/>
          </w:tcPr>
          <w:p>
            <w:pPr>
              <w:pStyle w:val="34"/>
              <w:bidi w:val="0"/>
              <w:rPr>
                <w:rFonts w:hint="default"/>
                <w:color w:val="auto"/>
                <w:highlight w:val="none"/>
                <w:lang w:eastAsia="en-US"/>
              </w:rPr>
            </w:pPr>
          </w:p>
        </w:tc>
        <w:tc>
          <w:tcPr>
            <w:tcW w:w="716" w:type="pct"/>
            <w:vMerge w:val="continue"/>
            <w:tcBorders>
              <w:tl2br w:val="nil"/>
              <w:tr2bl w:val="nil"/>
            </w:tcBorders>
            <w:noWrap w:val="0"/>
            <w:vAlign w:val="center"/>
          </w:tcPr>
          <w:p>
            <w:pPr>
              <w:pStyle w:val="34"/>
              <w:bidi w:val="0"/>
              <w:rPr>
                <w:rFonts w:hint="default"/>
                <w:color w:val="auto"/>
                <w:highlight w:val="none"/>
                <w:lang w:eastAsia="en-US"/>
              </w:rPr>
            </w:pPr>
          </w:p>
        </w:tc>
        <w:tc>
          <w:tcPr>
            <w:tcW w:w="668"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预测评价</w:t>
            </w:r>
          </w:p>
        </w:tc>
        <w:tc>
          <w:tcPr>
            <w:tcW w:w="3221" w:type="pct"/>
            <w:tcBorders>
              <w:tl2br w:val="nil"/>
              <w:tr2bl w:val="nil"/>
            </w:tcBorders>
            <w:noWrap w:val="0"/>
            <w:vAlign w:val="center"/>
          </w:tcPr>
          <w:p>
            <w:pPr>
              <w:pStyle w:val="34"/>
              <w:bidi w:val="0"/>
              <w:rPr>
                <w:rFonts w:hint="default"/>
                <w:color w:val="auto"/>
                <w:highlight w:val="none"/>
              </w:rPr>
            </w:pPr>
            <w:r>
              <w:rPr>
                <w:rFonts w:hint="default" w:ascii="Times New Roman" w:hAnsi="Times New Roman" w:eastAsia="宋体" w:cs="Times New Roman"/>
                <w:color w:val="auto"/>
                <w:highlight w:val="none"/>
              </w:rPr>
              <w:t>等效</w:t>
            </w:r>
            <w:r>
              <w:rPr>
                <w:rFonts w:hint="default" w:ascii="Times New Roman" w:hAnsi="Times New Roman" w:eastAsia="宋体" w:cs="Times New Roman"/>
                <w:color w:val="auto"/>
                <w:highlight w:val="none"/>
                <w:lang w:val="en-US" w:eastAsia="zh-CN"/>
              </w:rPr>
              <w:t>连续</w:t>
            </w:r>
            <w:r>
              <w:rPr>
                <w:rFonts w:hint="default" w:ascii="Times New Roman" w:hAnsi="Times New Roman" w:eastAsia="宋体" w:cs="Times New Roman"/>
                <w:color w:val="auto"/>
                <w:highlight w:val="none"/>
              </w:rPr>
              <w:t>A声级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393" w:type="pct"/>
            <w:vMerge w:val="restart"/>
            <w:tcBorders>
              <w:tl2br w:val="nil"/>
              <w:tr2bl w:val="nil"/>
            </w:tcBorders>
            <w:noWrap w:val="0"/>
            <w:vAlign w:val="center"/>
          </w:tcPr>
          <w:p>
            <w:pPr>
              <w:pStyle w:val="34"/>
              <w:bidi w:val="0"/>
              <w:rPr>
                <w:rFonts w:hint="default"/>
                <w:color w:val="auto"/>
                <w:highlight w:val="none"/>
              </w:rPr>
            </w:pPr>
            <w:r>
              <w:rPr>
                <w:rFonts w:hint="default"/>
                <w:color w:val="auto"/>
                <w:highlight w:val="none"/>
              </w:rPr>
              <w:t>4</w:t>
            </w:r>
          </w:p>
        </w:tc>
        <w:tc>
          <w:tcPr>
            <w:tcW w:w="716" w:type="pct"/>
            <w:vMerge w:val="restart"/>
            <w:tcBorders>
              <w:tl2br w:val="nil"/>
              <w:tr2bl w:val="nil"/>
            </w:tcBorders>
            <w:noWrap w:val="0"/>
            <w:vAlign w:val="center"/>
          </w:tcPr>
          <w:p>
            <w:pPr>
              <w:pStyle w:val="34"/>
              <w:bidi w:val="0"/>
              <w:rPr>
                <w:rFonts w:hint="default"/>
                <w:color w:val="auto"/>
                <w:highlight w:val="none"/>
              </w:rPr>
            </w:pPr>
            <w:r>
              <w:rPr>
                <w:rFonts w:hint="default"/>
                <w:color w:val="auto"/>
                <w:highlight w:val="none"/>
              </w:rPr>
              <w:t>土壤环境</w:t>
            </w:r>
          </w:p>
        </w:tc>
        <w:tc>
          <w:tcPr>
            <w:tcW w:w="668"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现状评价</w:t>
            </w:r>
          </w:p>
        </w:tc>
        <w:tc>
          <w:tcPr>
            <w:tcW w:w="3221"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pH值、铜、铅、锌、镉、汞、砷、镍、六价铬、酚、氰化物，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w:t>
            </w:r>
            <w:r>
              <w:rPr>
                <w:rFonts w:hint="eastAsia"/>
                <w:color w:val="auto"/>
                <w:highlight w:val="none"/>
                <w:lang w:eastAsia="zh-CN"/>
              </w:rPr>
              <w:t>〔</w:t>
            </w:r>
            <w:r>
              <w:rPr>
                <w:rFonts w:hint="default"/>
                <w:color w:val="auto"/>
                <w:highlight w:val="none"/>
              </w:rPr>
              <w:t>a</w:t>
            </w:r>
            <w:r>
              <w:rPr>
                <w:rFonts w:hint="eastAsia"/>
                <w:color w:val="auto"/>
                <w:highlight w:val="none"/>
                <w:lang w:eastAsia="zh-CN"/>
              </w:rPr>
              <w:t>〕</w:t>
            </w:r>
            <w:r>
              <w:rPr>
                <w:rFonts w:hint="default"/>
                <w:color w:val="auto"/>
                <w:highlight w:val="none"/>
              </w:rPr>
              <w:t>蒽、苯并</w:t>
            </w:r>
            <w:r>
              <w:rPr>
                <w:rFonts w:hint="eastAsia"/>
                <w:color w:val="auto"/>
                <w:highlight w:val="none"/>
                <w:lang w:eastAsia="zh-CN"/>
              </w:rPr>
              <w:t>〔</w:t>
            </w:r>
            <w:r>
              <w:rPr>
                <w:rFonts w:hint="default"/>
                <w:color w:val="auto"/>
                <w:highlight w:val="none"/>
              </w:rPr>
              <w:t>a</w:t>
            </w:r>
            <w:r>
              <w:rPr>
                <w:rFonts w:hint="eastAsia"/>
                <w:color w:val="auto"/>
                <w:highlight w:val="none"/>
                <w:lang w:eastAsia="zh-CN"/>
              </w:rPr>
              <w:t>〕</w:t>
            </w:r>
            <w:r>
              <w:rPr>
                <w:rFonts w:hint="default"/>
                <w:color w:val="auto"/>
                <w:highlight w:val="none"/>
              </w:rPr>
              <w:t>芘、苯并</w:t>
            </w:r>
            <w:r>
              <w:rPr>
                <w:rFonts w:hint="eastAsia"/>
                <w:color w:val="auto"/>
                <w:highlight w:val="none"/>
                <w:lang w:eastAsia="zh-CN"/>
              </w:rPr>
              <w:t>〔</w:t>
            </w:r>
            <w:r>
              <w:rPr>
                <w:rFonts w:hint="default"/>
                <w:color w:val="auto"/>
                <w:highlight w:val="none"/>
              </w:rPr>
              <w:t>b</w:t>
            </w:r>
            <w:r>
              <w:rPr>
                <w:rFonts w:hint="eastAsia"/>
                <w:color w:val="auto"/>
                <w:highlight w:val="none"/>
                <w:lang w:eastAsia="zh-CN"/>
              </w:rPr>
              <w:t>〕</w:t>
            </w:r>
            <w:r>
              <w:rPr>
                <w:rFonts w:hint="default"/>
                <w:color w:val="auto"/>
                <w:highlight w:val="none"/>
              </w:rPr>
              <w:t>荧蒽、苯并</w:t>
            </w:r>
            <w:r>
              <w:rPr>
                <w:rFonts w:hint="eastAsia"/>
                <w:color w:val="auto"/>
                <w:highlight w:val="none"/>
                <w:lang w:eastAsia="zh-CN"/>
              </w:rPr>
              <w:t>〔</w:t>
            </w:r>
            <w:r>
              <w:rPr>
                <w:rFonts w:hint="default"/>
                <w:color w:val="auto"/>
                <w:highlight w:val="none"/>
              </w:rPr>
              <w:t>k</w:t>
            </w:r>
            <w:r>
              <w:rPr>
                <w:rFonts w:hint="eastAsia"/>
                <w:color w:val="auto"/>
                <w:highlight w:val="none"/>
                <w:lang w:eastAsia="zh-CN"/>
              </w:rPr>
              <w:t>〕</w:t>
            </w:r>
            <w:r>
              <w:rPr>
                <w:rFonts w:hint="default"/>
                <w:color w:val="auto"/>
                <w:highlight w:val="none"/>
              </w:rPr>
              <w:t>荧蒽、䓛、二苯并</w:t>
            </w:r>
            <w:r>
              <w:rPr>
                <w:rFonts w:hint="eastAsia"/>
                <w:color w:val="auto"/>
                <w:highlight w:val="none"/>
                <w:lang w:eastAsia="zh-CN"/>
              </w:rPr>
              <w:t>〔</w:t>
            </w:r>
            <w:r>
              <w:rPr>
                <w:rFonts w:hint="default"/>
                <w:color w:val="auto"/>
                <w:highlight w:val="none"/>
              </w:rPr>
              <w:t>a,h</w:t>
            </w:r>
            <w:r>
              <w:rPr>
                <w:rFonts w:hint="eastAsia"/>
                <w:color w:val="auto"/>
                <w:highlight w:val="none"/>
                <w:lang w:eastAsia="zh-CN"/>
              </w:rPr>
              <w:t>〕</w:t>
            </w:r>
            <w:r>
              <w:rPr>
                <w:rFonts w:hint="default"/>
                <w:color w:val="auto"/>
                <w:highlight w:val="none"/>
              </w:rPr>
              <w:t>蒽、茚并</w:t>
            </w:r>
            <w:r>
              <w:rPr>
                <w:rFonts w:hint="eastAsia"/>
                <w:color w:val="auto"/>
                <w:highlight w:val="none"/>
                <w:lang w:eastAsia="zh-CN"/>
              </w:rPr>
              <w:t>〔</w:t>
            </w:r>
            <w:r>
              <w:rPr>
                <w:rFonts w:hint="default"/>
                <w:color w:val="auto"/>
                <w:highlight w:val="none"/>
              </w:rPr>
              <w:t>1,2,3-cd</w:t>
            </w:r>
            <w:r>
              <w:rPr>
                <w:rFonts w:hint="eastAsia"/>
                <w:color w:val="auto"/>
                <w:highlight w:val="none"/>
                <w:lang w:eastAsia="zh-CN"/>
              </w:rPr>
              <w:t>〕</w:t>
            </w:r>
            <w:r>
              <w:rPr>
                <w:rFonts w:hint="default"/>
                <w:color w:val="auto"/>
                <w:highlight w:val="none"/>
              </w:rPr>
              <w:t>芘、萘，共计45项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393" w:type="pct"/>
            <w:vMerge w:val="continue"/>
            <w:tcBorders>
              <w:tl2br w:val="nil"/>
              <w:tr2bl w:val="nil"/>
            </w:tcBorders>
            <w:noWrap w:val="0"/>
            <w:vAlign w:val="center"/>
          </w:tcPr>
          <w:p>
            <w:pPr>
              <w:pStyle w:val="34"/>
              <w:bidi w:val="0"/>
              <w:rPr>
                <w:rFonts w:hint="default"/>
                <w:color w:val="auto"/>
                <w:highlight w:val="none"/>
              </w:rPr>
            </w:pPr>
          </w:p>
        </w:tc>
        <w:tc>
          <w:tcPr>
            <w:tcW w:w="716" w:type="pct"/>
            <w:vMerge w:val="continue"/>
            <w:tcBorders>
              <w:tl2br w:val="nil"/>
              <w:tr2bl w:val="nil"/>
            </w:tcBorders>
            <w:noWrap w:val="0"/>
            <w:vAlign w:val="center"/>
          </w:tcPr>
          <w:p>
            <w:pPr>
              <w:pStyle w:val="34"/>
              <w:bidi w:val="0"/>
              <w:rPr>
                <w:rFonts w:hint="default"/>
                <w:color w:val="auto"/>
                <w:highlight w:val="none"/>
              </w:rPr>
            </w:pPr>
          </w:p>
        </w:tc>
        <w:tc>
          <w:tcPr>
            <w:tcW w:w="668" w:type="pct"/>
            <w:tcBorders>
              <w:tl2br w:val="nil"/>
              <w:tr2bl w:val="nil"/>
            </w:tcBorders>
            <w:noWrap w:val="0"/>
            <w:vAlign w:val="center"/>
          </w:tcPr>
          <w:p>
            <w:pPr>
              <w:pStyle w:val="34"/>
              <w:bidi w:val="0"/>
              <w:rPr>
                <w:rFonts w:hint="default"/>
                <w:color w:val="auto"/>
                <w:highlight w:val="none"/>
              </w:rPr>
            </w:pPr>
            <w:r>
              <w:rPr>
                <w:rFonts w:hint="default"/>
                <w:color w:val="auto"/>
                <w:highlight w:val="none"/>
              </w:rPr>
              <w:t>预测评价</w:t>
            </w:r>
          </w:p>
        </w:tc>
        <w:tc>
          <w:tcPr>
            <w:tcW w:w="3221" w:type="pct"/>
            <w:tcBorders>
              <w:tl2br w:val="nil"/>
              <w:tr2bl w:val="nil"/>
            </w:tcBorders>
            <w:noWrap w:val="0"/>
            <w:vAlign w:val="center"/>
          </w:tcPr>
          <w:p>
            <w:pPr>
              <w:pStyle w:val="34"/>
              <w:bidi w:val="0"/>
              <w:rPr>
                <w:rFonts w:hint="default" w:eastAsia="宋体"/>
                <w:color w:val="auto"/>
                <w:highlight w:val="none"/>
                <w:lang w:val="en-US" w:eastAsia="zh-CN"/>
              </w:rPr>
            </w:pPr>
            <w:r>
              <w:rPr>
                <w:rFonts w:hint="eastAsia"/>
                <w:color w:val="auto"/>
                <w:highlight w:val="none"/>
                <w:lang w:val="en-US" w:eastAsia="zh-CN"/>
              </w:rPr>
              <w:t>废水垂直渗透分析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393" w:type="pct"/>
            <w:tcBorders>
              <w:tl2br w:val="nil"/>
              <w:tr2bl w:val="nil"/>
            </w:tcBorders>
            <w:noWrap w:val="0"/>
            <w:vAlign w:val="center"/>
          </w:tcPr>
          <w:p>
            <w:pPr>
              <w:pStyle w:val="34"/>
              <w:bidi w:val="0"/>
              <w:rPr>
                <w:rFonts w:hint="eastAsia" w:eastAsia="宋体"/>
                <w:color w:val="auto"/>
                <w:highlight w:val="none"/>
                <w:lang w:val="en-US" w:eastAsia="zh-CN"/>
              </w:rPr>
            </w:pPr>
            <w:r>
              <w:rPr>
                <w:rFonts w:hint="eastAsia"/>
                <w:color w:val="auto"/>
                <w:highlight w:val="none"/>
                <w:lang w:val="en-US" w:eastAsia="zh-CN"/>
              </w:rPr>
              <w:t>5</w:t>
            </w:r>
          </w:p>
        </w:tc>
        <w:tc>
          <w:tcPr>
            <w:tcW w:w="716" w:type="pct"/>
            <w:tcBorders>
              <w:tl2br w:val="nil"/>
              <w:tr2bl w:val="nil"/>
            </w:tcBorders>
            <w:noWrap w:val="0"/>
            <w:vAlign w:val="center"/>
          </w:tcPr>
          <w:p>
            <w:pPr>
              <w:pStyle w:val="34"/>
              <w:bidi w:val="0"/>
              <w:rPr>
                <w:rFonts w:hint="default" w:eastAsia="宋体"/>
                <w:color w:val="auto"/>
                <w:highlight w:val="none"/>
                <w:lang w:val="en-US" w:eastAsia="zh-CN"/>
              </w:rPr>
            </w:pPr>
            <w:r>
              <w:rPr>
                <w:rFonts w:hint="eastAsia"/>
                <w:color w:val="auto"/>
                <w:highlight w:val="none"/>
                <w:lang w:val="en-US" w:eastAsia="zh-CN"/>
              </w:rPr>
              <w:t>生态环境</w:t>
            </w:r>
          </w:p>
        </w:tc>
        <w:tc>
          <w:tcPr>
            <w:tcW w:w="668" w:type="pct"/>
            <w:tcBorders>
              <w:tl2br w:val="nil"/>
              <w:tr2bl w:val="nil"/>
            </w:tcBorders>
            <w:noWrap w:val="0"/>
            <w:vAlign w:val="center"/>
          </w:tcPr>
          <w:p>
            <w:pPr>
              <w:pStyle w:val="34"/>
              <w:bidi w:val="0"/>
              <w:rPr>
                <w:rFonts w:hint="default" w:eastAsia="宋体"/>
                <w:color w:val="auto"/>
                <w:highlight w:val="none"/>
                <w:lang w:val="en-US" w:eastAsia="zh-CN"/>
              </w:rPr>
            </w:pPr>
            <w:r>
              <w:rPr>
                <w:rFonts w:hint="eastAsia"/>
                <w:color w:val="auto"/>
                <w:highlight w:val="none"/>
                <w:lang w:val="en-US" w:eastAsia="zh-CN"/>
              </w:rPr>
              <w:t>预测评价</w:t>
            </w:r>
          </w:p>
        </w:tc>
        <w:tc>
          <w:tcPr>
            <w:tcW w:w="3221" w:type="pct"/>
            <w:tcBorders>
              <w:tl2br w:val="nil"/>
              <w:tr2bl w:val="nil"/>
            </w:tcBorders>
            <w:noWrap w:val="0"/>
            <w:vAlign w:val="center"/>
          </w:tcPr>
          <w:p>
            <w:pPr>
              <w:pStyle w:val="34"/>
              <w:bidi w:val="0"/>
              <w:rPr>
                <w:rFonts w:hint="default"/>
                <w:color w:val="auto"/>
                <w:highlight w:val="none"/>
                <w:lang w:val="en-US" w:eastAsia="zh-CN"/>
              </w:rPr>
            </w:pPr>
            <w:r>
              <w:rPr>
                <w:rFonts w:hint="eastAsia"/>
                <w:color w:val="auto"/>
                <w:highlight w:val="none"/>
                <w:lang w:val="en-US" w:eastAsia="zh-CN"/>
              </w:rPr>
              <w:t>占地、景观、土地利用、植被破坏和水土流失等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393" w:type="pct"/>
            <w:tcBorders>
              <w:tl2br w:val="nil"/>
              <w:tr2bl w:val="nil"/>
            </w:tcBorders>
            <w:noWrap w:val="0"/>
            <w:vAlign w:val="center"/>
          </w:tcPr>
          <w:p>
            <w:pPr>
              <w:pStyle w:val="34"/>
              <w:bidi w:val="0"/>
              <w:rPr>
                <w:rFonts w:hint="eastAsia" w:eastAsia="宋体"/>
                <w:color w:val="auto"/>
                <w:highlight w:val="none"/>
                <w:lang w:val="en-US" w:eastAsia="zh-CN"/>
              </w:rPr>
            </w:pPr>
            <w:r>
              <w:rPr>
                <w:rFonts w:hint="eastAsia"/>
                <w:color w:val="auto"/>
                <w:highlight w:val="none"/>
                <w:lang w:val="en-US" w:eastAsia="zh-CN"/>
              </w:rPr>
              <w:t>6</w:t>
            </w:r>
          </w:p>
        </w:tc>
        <w:tc>
          <w:tcPr>
            <w:tcW w:w="716" w:type="pct"/>
            <w:tcBorders>
              <w:tl2br w:val="nil"/>
              <w:tr2bl w:val="nil"/>
            </w:tcBorders>
            <w:noWrap w:val="0"/>
            <w:vAlign w:val="center"/>
          </w:tcPr>
          <w:p>
            <w:pPr>
              <w:pStyle w:val="34"/>
              <w:bidi w:val="0"/>
              <w:rPr>
                <w:rFonts w:hint="default" w:eastAsia="宋体"/>
                <w:color w:val="auto"/>
                <w:highlight w:val="none"/>
                <w:lang w:val="en-US" w:eastAsia="zh-CN"/>
              </w:rPr>
            </w:pPr>
            <w:r>
              <w:rPr>
                <w:rFonts w:hint="eastAsia"/>
                <w:color w:val="auto"/>
                <w:highlight w:val="none"/>
                <w:lang w:val="en-US" w:eastAsia="zh-CN"/>
              </w:rPr>
              <w:t>风险评价</w:t>
            </w:r>
          </w:p>
        </w:tc>
        <w:tc>
          <w:tcPr>
            <w:tcW w:w="668" w:type="pct"/>
            <w:tcBorders>
              <w:tl2br w:val="nil"/>
              <w:tr2bl w:val="nil"/>
            </w:tcBorders>
            <w:noWrap w:val="0"/>
            <w:vAlign w:val="center"/>
          </w:tcPr>
          <w:p>
            <w:pPr>
              <w:pStyle w:val="34"/>
              <w:bidi w:val="0"/>
              <w:rPr>
                <w:rFonts w:hint="eastAsia" w:eastAsia="宋体"/>
                <w:color w:val="auto"/>
                <w:highlight w:val="none"/>
                <w:lang w:val="en-US" w:eastAsia="zh-CN"/>
              </w:rPr>
            </w:pPr>
            <w:r>
              <w:rPr>
                <w:rFonts w:hint="eastAsia"/>
                <w:color w:val="auto"/>
                <w:highlight w:val="none"/>
                <w:lang w:val="en-US" w:eastAsia="zh-CN"/>
              </w:rPr>
              <w:t>-</w:t>
            </w:r>
          </w:p>
        </w:tc>
        <w:tc>
          <w:tcPr>
            <w:tcW w:w="3221" w:type="pct"/>
            <w:tcBorders>
              <w:tl2br w:val="nil"/>
              <w:tr2bl w:val="nil"/>
            </w:tcBorders>
            <w:noWrap w:val="0"/>
            <w:vAlign w:val="center"/>
          </w:tcPr>
          <w:p>
            <w:pPr>
              <w:pStyle w:val="34"/>
              <w:bidi w:val="0"/>
              <w:rPr>
                <w:rFonts w:hint="eastAsia"/>
                <w:color w:val="auto"/>
                <w:highlight w:val="none"/>
                <w:lang w:val="en-US" w:eastAsia="zh-CN"/>
              </w:rPr>
            </w:pPr>
            <w:r>
              <w:rPr>
                <w:rFonts w:hint="eastAsia"/>
                <w:color w:val="auto"/>
                <w:highlight w:val="none"/>
                <w:lang w:val="en-US" w:eastAsia="zh-CN"/>
              </w:rPr>
              <w:t>所涉及物料贮存区</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2.2.3 环境功能区划及评价标准</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2.2.3.1 环境功能区划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本项目所在地工业园区范围内，本项目各环境功能区划为：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（1）大气环境功能区划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本项目位于呼图壁工业园区内，属于工业园区，根据《环境空气质量标准》（GB3095-2012）中环境空气质量功能区分类，本项目所在地属于二类区，执行《环境空气质量标准》（GB3095-2012）中二级标准。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（2）声环境功能区划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本项目位于呼图壁工业园区内，属于工业区，根据《声环境质量标准》 （GB3096-2008）中对噪声区域的划分，项目所在地为 3 类声环境功能区，执行 3 类环境噪声限值。</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（3）地下水环境功能区划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地下水环境质量执行《地下水质量标准》（GB/T14848-2017）中</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Ⅲ</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类标准。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（4）土壤环境功能区划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color w:val="auto"/>
          <w:sz w:val="24"/>
          <w:szCs w:val="24"/>
          <w:lang w:val="en-US" w:eastAsia="zh-CN"/>
        </w:rPr>
        <w:t>土壤执行《土壤环境质量建设用地土壤污染风险管控标准（试行）》（GB36600-2018）第二类用地筛选值标准。</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2.2.3.2 环境质量标准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根据项目所在区域环境功能区划，环境现状质量执行标准详见下表 2.2.3-1。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2.2.3-1    环境质量标准一览表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3"/>
        <w:gridCol w:w="2097"/>
        <w:gridCol w:w="2040"/>
        <w:gridCol w:w="1607"/>
        <w:gridCol w:w="982"/>
        <w:gridCol w:w="233"/>
        <w:gridCol w:w="7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环境类别</w:t>
            </w:r>
          </w:p>
        </w:tc>
        <w:tc>
          <w:tcPr>
            <w:tcW w:w="123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标准名称与类别</w:t>
            </w:r>
          </w:p>
        </w:tc>
        <w:tc>
          <w:tcPr>
            <w:tcW w:w="1196"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项目</w:t>
            </w:r>
          </w:p>
        </w:tc>
        <w:tc>
          <w:tcPr>
            <w:tcW w:w="2095" w:type="pct"/>
            <w:gridSpan w:val="4"/>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9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单位</w:t>
            </w: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数值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环境空气</w:t>
            </w:r>
          </w:p>
        </w:tc>
        <w:tc>
          <w:tcPr>
            <w:tcW w:w="123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《环境空气质量标准》（GB3095-2012）中二级标准</w:t>
            </w:r>
          </w:p>
        </w:tc>
        <w:tc>
          <w:tcPr>
            <w:tcW w:w="1196"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SO</w:t>
            </w:r>
            <w:r>
              <w:rPr>
                <w:rFonts w:hint="default" w:ascii="Times New Roman" w:hAnsi="Times New Roman" w:eastAsia="宋体" w:cs="Times New Roman"/>
                <w:color w:val="auto"/>
                <w:spacing w:val="0"/>
                <w:position w:val="0"/>
                <w:sz w:val="21"/>
                <w:szCs w:val="21"/>
                <w:vertAlign w:val="subscript"/>
                <w:lang w:val="en-US" w:eastAsia="zh-CN"/>
              </w:rPr>
              <w:t>2</w:t>
            </w:r>
          </w:p>
        </w:tc>
        <w:tc>
          <w:tcPr>
            <w:tcW w:w="942"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μg/m</w:t>
            </w:r>
            <w:r>
              <w:rPr>
                <w:rFonts w:hint="default" w:ascii="Times New Roman" w:hAnsi="Times New Roman" w:eastAsia="宋体" w:cs="Times New Roman"/>
                <w:color w:val="auto"/>
                <w:spacing w:val="0"/>
                <w:position w:val="0"/>
                <w:sz w:val="21"/>
                <w:szCs w:val="21"/>
                <w:vertAlign w:val="superscript"/>
                <w:lang w:val="en-US" w:eastAsia="zh-CN"/>
              </w:rPr>
              <w:t>3</w:t>
            </w:r>
          </w:p>
        </w:tc>
        <w:tc>
          <w:tcPr>
            <w:tcW w:w="71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1小时平均</w:t>
            </w:r>
          </w:p>
        </w:tc>
        <w:tc>
          <w:tcPr>
            <w:tcW w:w="44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71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日平均</w:t>
            </w:r>
          </w:p>
        </w:tc>
        <w:tc>
          <w:tcPr>
            <w:tcW w:w="44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71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年平均</w:t>
            </w:r>
          </w:p>
        </w:tc>
        <w:tc>
          <w:tcPr>
            <w:tcW w:w="44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NO</w:t>
            </w:r>
            <w:r>
              <w:rPr>
                <w:rFonts w:hint="default" w:ascii="Times New Roman" w:hAnsi="Times New Roman" w:eastAsia="宋体" w:cs="Times New Roman"/>
                <w:color w:val="auto"/>
                <w:spacing w:val="0"/>
                <w:position w:val="0"/>
                <w:sz w:val="21"/>
                <w:szCs w:val="21"/>
                <w:vertAlign w:val="subscript"/>
                <w:lang w:val="en-US" w:eastAsia="zh-CN"/>
              </w:rPr>
              <w:t>2</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71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vertAlign w:val="baseline"/>
                <w:lang w:val="en-US" w:eastAsia="zh-CN" w:bidi="ar-SA"/>
              </w:rPr>
            </w:pPr>
            <w:r>
              <w:rPr>
                <w:rFonts w:hint="default" w:ascii="Times New Roman" w:hAnsi="Times New Roman" w:eastAsia="宋体" w:cs="Times New Roman"/>
                <w:color w:val="auto"/>
                <w:spacing w:val="0"/>
                <w:position w:val="0"/>
                <w:sz w:val="21"/>
                <w:szCs w:val="21"/>
                <w:vertAlign w:val="baseline"/>
                <w:lang w:val="en-US" w:eastAsia="zh-CN"/>
              </w:rPr>
              <w:t>1小时平均</w:t>
            </w:r>
          </w:p>
        </w:tc>
        <w:tc>
          <w:tcPr>
            <w:tcW w:w="44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71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vertAlign w:val="baseline"/>
                <w:lang w:val="en-US" w:eastAsia="zh-CN" w:bidi="ar-SA"/>
              </w:rPr>
            </w:pPr>
            <w:r>
              <w:rPr>
                <w:rFonts w:hint="default" w:ascii="Times New Roman" w:hAnsi="Times New Roman" w:eastAsia="宋体" w:cs="Times New Roman"/>
                <w:color w:val="auto"/>
                <w:spacing w:val="0"/>
                <w:position w:val="0"/>
                <w:sz w:val="21"/>
                <w:szCs w:val="21"/>
                <w:vertAlign w:val="baseline"/>
                <w:lang w:val="en-US" w:eastAsia="zh-CN"/>
              </w:rPr>
              <w:t>日平均</w:t>
            </w:r>
          </w:p>
        </w:tc>
        <w:tc>
          <w:tcPr>
            <w:tcW w:w="44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71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vertAlign w:val="baseline"/>
                <w:lang w:val="en-US" w:eastAsia="zh-CN" w:bidi="ar-SA"/>
              </w:rPr>
            </w:pPr>
            <w:r>
              <w:rPr>
                <w:rFonts w:hint="default" w:ascii="Times New Roman" w:hAnsi="Times New Roman" w:eastAsia="宋体" w:cs="Times New Roman"/>
                <w:color w:val="auto"/>
                <w:spacing w:val="0"/>
                <w:position w:val="0"/>
                <w:sz w:val="21"/>
                <w:szCs w:val="21"/>
                <w:vertAlign w:val="baseline"/>
                <w:lang w:val="en-US" w:eastAsia="zh-CN"/>
              </w:rPr>
              <w:t>年平均</w:t>
            </w:r>
          </w:p>
        </w:tc>
        <w:tc>
          <w:tcPr>
            <w:tcW w:w="44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O</w:t>
            </w:r>
            <w:r>
              <w:rPr>
                <w:rFonts w:hint="default" w:ascii="Times New Roman" w:hAnsi="Times New Roman" w:eastAsia="宋体" w:cs="Times New Roman"/>
                <w:color w:val="auto"/>
                <w:spacing w:val="0"/>
                <w:position w:val="0"/>
                <w:sz w:val="21"/>
                <w:szCs w:val="21"/>
                <w:vertAlign w:val="subscript"/>
                <w:lang w:val="en-US" w:eastAsia="zh-CN"/>
              </w:rPr>
              <w:t>3</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71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vertAlign w:val="baseline"/>
                <w:lang w:val="en-US" w:eastAsia="zh-CN" w:bidi="ar-SA"/>
              </w:rPr>
            </w:pPr>
            <w:r>
              <w:rPr>
                <w:rFonts w:hint="default" w:ascii="Times New Roman" w:hAnsi="Times New Roman" w:eastAsia="宋体" w:cs="Times New Roman"/>
                <w:color w:val="auto"/>
                <w:spacing w:val="0"/>
                <w:position w:val="0"/>
                <w:sz w:val="21"/>
                <w:szCs w:val="21"/>
                <w:vertAlign w:val="baseline"/>
                <w:lang w:val="en-US" w:eastAsia="zh-CN"/>
              </w:rPr>
              <w:t>1小时平均</w:t>
            </w:r>
          </w:p>
        </w:tc>
        <w:tc>
          <w:tcPr>
            <w:tcW w:w="44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71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vertAlign w:val="baseline"/>
                <w:lang w:val="en-US" w:eastAsia="zh-CN" w:bidi="ar-SA"/>
              </w:rPr>
            </w:pPr>
            <w:r>
              <w:rPr>
                <w:rFonts w:hint="default" w:ascii="Times New Roman" w:hAnsi="Times New Roman" w:eastAsia="宋体" w:cs="Times New Roman"/>
                <w:color w:val="auto"/>
                <w:spacing w:val="0"/>
                <w:position w:val="0"/>
                <w:sz w:val="21"/>
                <w:szCs w:val="21"/>
                <w:vertAlign w:val="baseline"/>
                <w:lang w:val="en-US" w:eastAsia="zh-CN"/>
              </w:rPr>
              <w:t>日平均</w:t>
            </w:r>
          </w:p>
        </w:tc>
        <w:tc>
          <w:tcPr>
            <w:tcW w:w="44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CO</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71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vertAlign w:val="baseline"/>
                <w:lang w:val="en-US" w:eastAsia="zh-CN" w:bidi="ar-SA"/>
              </w:rPr>
            </w:pPr>
            <w:r>
              <w:rPr>
                <w:rFonts w:hint="default" w:ascii="Times New Roman" w:hAnsi="Times New Roman" w:eastAsia="宋体" w:cs="Times New Roman"/>
                <w:color w:val="auto"/>
                <w:spacing w:val="0"/>
                <w:position w:val="0"/>
                <w:sz w:val="21"/>
                <w:szCs w:val="21"/>
                <w:vertAlign w:val="baseline"/>
                <w:lang w:val="en-US" w:eastAsia="zh-CN"/>
              </w:rPr>
              <w:t>1小时平均</w:t>
            </w:r>
          </w:p>
        </w:tc>
        <w:tc>
          <w:tcPr>
            <w:tcW w:w="44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71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vertAlign w:val="baseline"/>
                <w:lang w:val="en-US" w:eastAsia="zh-CN" w:bidi="ar-SA"/>
              </w:rPr>
            </w:pPr>
            <w:r>
              <w:rPr>
                <w:rFonts w:hint="default" w:ascii="Times New Roman" w:hAnsi="Times New Roman" w:eastAsia="宋体" w:cs="Times New Roman"/>
                <w:color w:val="auto"/>
                <w:spacing w:val="0"/>
                <w:position w:val="0"/>
                <w:sz w:val="21"/>
                <w:szCs w:val="21"/>
                <w:vertAlign w:val="baseline"/>
                <w:lang w:val="en-US" w:eastAsia="zh-CN"/>
              </w:rPr>
              <w:t>日平均</w:t>
            </w:r>
          </w:p>
        </w:tc>
        <w:tc>
          <w:tcPr>
            <w:tcW w:w="44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4000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PM</w:t>
            </w:r>
            <w:r>
              <w:rPr>
                <w:rFonts w:hint="default" w:ascii="Times New Roman" w:hAnsi="Times New Roman" w:eastAsia="宋体" w:cs="Times New Roman"/>
                <w:color w:val="auto"/>
                <w:spacing w:val="0"/>
                <w:position w:val="0"/>
                <w:sz w:val="21"/>
                <w:szCs w:val="21"/>
                <w:vertAlign w:val="subscript"/>
                <w:lang w:val="en-US" w:eastAsia="zh-CN"/>
              </w:rPr>
              <w:t>10</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71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日平均</w:t>
            </w:r>
          </w:p>
        </w:tc>
        <w:tc>
          <w:tcPr>
            <w:tcW w:w="44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71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年平均</w:t>
            </w:r>
          </w:p>
        </w:tc>
        <w:tc>
          <w:tcPr>
            <w:tcW w:w="44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PM</w:t>
            </w:r>
            <w:r>
              <w:rPr>
                <w:rFonts w:hint="default" w:ascii="Times New Roman" w:hAnsi="Times New Roman" w:eastAsia="宋体" w:cs="Times New Roman"/>
                <w:color w:val="auto"/>
                <w:spacing w:val="0"/>
                <w:position w:val="0"/>
                <w:sz w:val="21"/>
                <w:szCs w:val="21"/>
                <w:vertAlign w:val="subscript"/>
                <w:lang w:val="en-US" w:eastAsia="zh-CN"/>
              </w:rPr>
              <w:t>2.5</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71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vertAlign w:val="baseline"/>
                <w:lang w:val="en-US" w:eastAsia="zh-CN" w:bidi="ar-SA"/>
              </w:rPr>
            </w:pPr>
            <w:r>
              <w:rPr>
                <w:rFonts w:hint="default" w:ascii="Times New Roman" w:hAnsi="Times New Roman" w:eastAsia="宋体" w:cs="Times New Roman"/>
                <w:color w:val="auto"/>
                <w:spacing w:val="0"/>
                <w:position w:val="0"/>
                <w:sz w:val="21"/>
                <w:szCs w:val="21"/>
                <w:vertAlign w:val="baseline"/>
                <w:lang w:val="en-US" w:eastAsia="zh-CN"/>
              </w:rPr>
              <w:t>日平均</w:t>
            </w:r>
          </w:p>
        </w:tc>
        <w:tc>
          <w:tcPr>
            <w:tcW w:w="44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71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vertAlign w:val="baseline"/>
                <w:lang w:val="en-US" w:eastAsia="zh-CN" w:bidi="ar-SA"/>
              </w:rPr>
            </w:pPr>
            <w:r>
              <w:rPr>
                <w:rFonts w:hint="default" w:ascii="Times New Roman" w:hAnsi="Times New Roman" w:eastAsia="宋体" w:cs="Times New Roman"/>
                <w:color w:val="auto"/>
                <w:spacing w:val="0"/>
                <w:position w:val="0"/>
                <w:sz w:val="21"/>
                <w:szCs w:val="21"/>
                <w:vertAlign w:val="baseline"/>
                <w:lang w:val="en-US" w:eastAsia="zh-CN"/>
              </w:rPr>
              <w:t>年平均</w:t>
            </w:r>
          </w:p>
        </w:tc>
        <w:tc>
          <w:tcPr>
            <w:tcW w:w="44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TSP</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71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日均值</w:t>
            </w:r>
          </w:p>
        </w:tc>
        <w:tc>
          <w:tcPr>
            <w:tcW w:w="44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71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年平均</w:t>
            </w:r>
          </w:p>
        </w:tc>
        <w:tc>
          <w:tcPr>
            <w:tcW w:w="44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《环境影响评价技术导则 大气环境》（HJ2.2-2018）附录D其他污染物空气质量浓度参考</w:t>
            </w:r>
            <w:r>
              <w:rPr>
                <w:rFonts w:hint="eastAsia" w:ascii="Times New Roman" w:hAnsi="Times New Roman" w:eastAsia="宋体" w:cs="Times New Roman"/>
                <w:color w:val="auto"/>
                <w:spacing w:val="0"/>
                <w:position w:val="0"/>
                <w:sz w:val="21"/>
                <w:szCs w:val="21"/>
                <w:vertAlign w:val="baseline"/>
                <w:lang w:val="en-US" w:eastAsia="zh-CN"/>
              </w:rPr>
              <w:t>限值</w:t>
            </w: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NH</w:t>
            </w:r>
            <w:r>
              <w:rPr>
                <w:rFonts w:hint="default" w:ascii="Times New Roman" w:hAnsi="Times New Roman" w:eastAsia="宋体" w:cs="Times New Roman"/>
                <w:color w:val="auto"/>
                <w:spacing w:val="0"/>
                <w:position w:val="0"/>
                <w:sz w:val="21"/>
                <w:szCs w:val="21"/>
                <w:vertAlign w:val="subscript"/>
                <w:lang w:val="en-US" w:eastAsia="zh-CN"/>
              </w:rPr>
              <w:t>3</w:t>
            </w:r>
          </w:p>
        </w:tc>
        <w:tc>
          <w:tcPr>
            <w:tcW w:w="942"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μg/m</w:t>
            </w:r>
            <w:r>
              <w:rPr>
                <w:rFonts w:hint="default" w:ascii="Times New Roman" w:hAnsi="Times New Roman" w:eastAsia="宋体" w:cs="Times New Roman"/>
                <w:color w:val="auto"/>
                <w:spacing w:val="0"/>
                <w:position w:val="0"/>
                <w:sz w:val="21"/>
                <w:szCs w:val="21"/>
                <w:vertAlign w:val="superscript"/>
                <w:lang w:val="en-US" w:eastAsia="zh-CN"/>
              </w:rPr>
              <w:t>3</w:t>
            </w:r>
          </w:p>
        </w:tc>
        <w:tc>
          <w:tcPr>
            <w:tcW w:w="71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1小时平均</w:t>
            </w:r>
          </w:p>
        </w:tc>
        <w:tc>
          <w:tcPr>
            <w:tcW w:w="44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H</w:t>
            </w:r>
            <w:r>
              <w:rPr>
                <w:rFonts w:hint="default" w:ascii="Times New Roman" w:hAnsi="Times New Roman" w:eastAsia="宋体" w:cs="Times New Roman"/>
                <w:color w:val="auto"/>
                <w:spacing w:val="0"/>
                <w:position w:val="0"/>
                <w:sz w:val="21"/>
                <w:szCs w:val="21"/>
                <w:vertAlign w:val="subscript"/>
                <w:lang w:val="en-US" w:eastAsia="zh-CN"/>
              </w:rPr>
              <w:t>2</w:t>
            </w:r>
            <w:r>
              <w:rPr>
                <w:rFonts w:hint="default" w:ascii="Times New Roman" w:hAnsi="Times New Roman" w:eastAsia="宋体" w:cs="Times New Roman"/>
                <w:color w:val="auto"/>
                <w:spacing w:val="0"/>
                <w:position w:val="0"/>
                <w:sz w:val="21"/>
                <w:szCs w:val="21"/>
                <w:vertAlign w:val="baseline"/>
                <w:lang w:val="en-US" w:eastAsia="zh-CN"/>
              </w:rPr>
              <w:t>S</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71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1小时平均</w:t>
            </w:r>
          </w:p>
        </w:tc>
        <w:tc>
          <w:tcPr>
            <w:tcW w:w="44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甲醇</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71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1小时平均</w:t>
            </w:r>
          </w:p>
        </w:tc>
        <w:tc>
          <w:tcPr>
            <w:tcW w:w="44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3000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71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日平均</w:t>
            </w:r>
          </w:p>
        </w:tc>
        <w:tc>
          <w:tcPr>
            <w:tcW w:w="44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《大气污染物综合排放标准详解》</w:t>
            </w: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非甲烷总烃</w:t>
            </w:r>
          </w:p>
        </w:tc>
        <w:tc>
          <w:tcPr>
            <w:tcW w:w="9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μg/m</w:t>
            </w:r>
            <w:r>
              <w:rPr>
                <w:rFonts w:hint="default" w:ascii="Times New Roman" w:hAnsi="Times New Roman" w:eastAsia="宋体" w:cs="Times New Roman"/>
                <w:color w:val="auto"/>
                <w:spacing w:val="0"/>
                <w:position w:val="0"/>
                <w:sz w:val="21"/>
                <w:szCs w:val="21"/>
                <w:vertAlign w:val="superscript"/>
                <w:lang w:val="en-US" w:eastAsia="zh-CN"/>
              </w:rPr>
              <w:t>3</w:t>
            </w:r>
          </w:p>
        </w:tc>
        <w:tc>
          <w:tcPr>
            <w:tcW w:w="71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1小时平均</w:t>
            </w:r>
          </w:p>
        </w:tc>
        <w:tc>
          <w:tcPr>
            <w:tcW w:w="44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地下水环境</w:t>
            </w:r>
          </w:p>
        </w:tc>
        <w:tc>
          <w:tcPr>
            <w:tcW w:w="123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《地下水质量标准》（GB/T14848-2017）的III类标准</w:t>
            </w: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pH</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lang w:val="en-US" w:eastAsia="zh-CN"/>
              </w:rPr>
              <w:t>无量纲</w:t>
            </w:r>
            <w:r>
              <w:rPr>
                <w:rFonts w:hint="default" w:ascii="Times New Roman" w:hAnsi="Times New Roman" w:eastAsia="宋体" w:cs="Times New Roman"/>
                <w:color w:val="auto"/>
                <w:spacing w:val="0"/>
                <w:position w:val="0"/>
                <w:sz w:val="21"/>
                <w:szCs w:val="21"/>
                <w:highlight w:val="none"/>
                <w:lang w:eastAsia="zh-CN"/>
              </w:rPr>
              <w:t>）</w:t>
            </w:r>
          </w:p>
        </w:tc>
        <w:tc>
          <w:tcPr>
            <w:tcW w:w="9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lang w:val="en-US" w:eastAsia="zh-CN"/>
              </w:rPr>
              <w:t>无量纲</w:t>
            </w: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6.5≤pH≤8.5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总硬度</w:t>
            </w:r>
          </w:p>
        </w:tc>
        <w:tc>
          <w:tcPr>
            <w:tcW w:w="942"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mg/L</w:t>
            </w: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溶解性总固体</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硫酸盐</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氯化物</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lang w:val="en-US" w:eastAsia="zh-CN"/>
              </w:rPr>
              <w:t>石油类</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铁</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锰</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铜</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锌</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铝</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挥发性酚类</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耗氧量</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氨氮</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硫化物</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总大肠菌群</w:t>
            </w:r>
          </w:p>
        </w:tc>
        <w:tc>
          <w:tcPr>
            <w:tcW w:w="9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lang w:val="en-US" w:eastAsia="zh-CN"/>
              </w:rPr>
              <w:t>MPN/100mL或CPU/100mL</w:t>
            </w: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菌落总数</w:t>
            </w:r>
          </w:p>
        </w:tc>
        <w:tc>
          <w:tcPr>
            <w:tcW w:w="9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lang w:val="en-US" w:eastAsia="zh-CN"/>
              </w:rPr>
              <w:t>CPU/mL</w:t>
            </w: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亚硝酸盐</w:t>
            </w:r>
            <w:r>
              <w:rPr>
                <w:rFonts w:hint="default" w:ascii="Times New Roman" w:hAnsi="Times New Roman" w:eastAsia="宋体" w:cs="Times New Roman"/>
                <w:color w:val="auto"/>
                <w:spacing w:val="0"/>
                <w:position w:val="0"/>
                <w:sz w:val="21"/>
                <w:szCs w:val="21"/>
                <w:highlight w:val="none"/>
                <w:lang w:val="en-US" w:eastAsia="zh-CN"/>
              </w:rPr>
              <w:t>氮</w:t>
            </w:r>
          </w:p>
        </w:tc>
        <w:tc>
          <w:tcPr>
            <w:tcW w:w="942"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mg/L</w:t>
            </w: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硝酸盐</w:t>
            </w:r>
            <w:r>
              <w:rPr>
                <w:rFonts w:hint="default" w:ascii="Times New Roman" w:hAnsi="Times New Roman" w:eastAsia="宋体" w:cs="Times New Roman"/>
                <w:color w:val="auto"/>
                <w:spacing w:val="0"/>
                <w:position w:val="0"/>
                <w:sz w:val="21"/>
                <w:szCs w:val="21"/>
                <w:highlight w:val="none"/>
                <w:lang w:val="en-US" w:eastAsia="zh-CN"/>
              </w:rPr>
              <w:t>氮</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氰化物</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氟化物</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汞</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lang w:val="en-US" w:eastAsia="zh-CN"/>
              </w:rPr>
              <w:t>砷</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硒</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镉</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lang w:val="en-US" w:eastAsia="zh-CN"/>
              </w:rPr>
              <w:t>铬</w:t>
            </w:r>
            <w:r>
              <w:rPr>
                <w:rFonts w:hint="default" w:ascii="Times New Roman" w:hAnsi="Times New Roman" w:eastAsia="宋体" w:cs="Times New Roman"/>
                <w:color w:val="auto"/>
                <w:spacing w:val="0"/>
                <w:position w:val="0"/>
                <w:sz w:val="21"/>
                <w:szCs w:val="21"/>
                <w:highlight w:val="none"/>
              </w:rPr>
              <w:t>(六价)</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铅</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snapToGrid w:val="0"/>
                <w:color w:val="auto"/>
                <w:spacing w:val="0"/>
                <w:kern w:val="0"/>
                <w:position w:val="0"/>
                <w:sz w:val="21"/>
                <w:szCs w:val="21"/>
                <w:highlight w:val="none"/>
                <w:lang w:val="en-US" w:eastAsia="zh-CN" w:bidi="ar-SA"/>
              </w:rPr>
              <w:t>镍</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snapToGrid w:val="0"/>
                <w:color w:val="auto"/>
                <w:spacing w:val="0"/>
                <w:kern w:val="0"/>
                <w:position w:val="0"/>
                <w:sz w:val="21"/>
                <w:szCs w:val="21"/>
                <w:highlight w:val="none"/>
                <w:lang w:val="en-US" w:eastAsia="zh-CN" w:bidi="ar-SA"/>
              </w:rPr>
              <w:t>钴</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苯</w:t>
            </w:r>
          </w:p>
        </w:tc>
        <w:tc>
          <w:tcPr>
            <w:tcW w:w="942"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lang w:val="en-US" w:eastAsia="zh-CN"/>
              </w:rPr>
              <w:t>μg/L</w:t>
            </w: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甲苯</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lang w:val="en-US" w:eastAsia="zh-CN"/>
              </w:rPr>
              <w:t>K</w:t>
            </w:r>
            <w:r>
              <w:rPr>
                <w:rFonts w:hint="default" w:ascii="Times New Roman" w:hAnsi="Times New Roman" w:eastAsia="宋体" w:cs="Times New Roman"/>
                <w:color w:val="auto"/>
                <w:spacing w:val="0"/>
                <w:position w:val="0"/>
                <w:sz w:val="21"/>
                <w:szCs w:val="21"/>
                <w:highlight w:val="none"/>
                <w:vertAlign w:val="superscript"/>
                <w:lang w:val="en-US" w:eastAsia="zh-CN"/>
              </w:rPr>
              <w:t>+</w:t>
            </w:r>
          </w:p>
        </w:tc>
        <w:tc>
          <w:tcPr>
            <w:tcW w:w="942"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mg/L</w:t>
            </w: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lang w:val="en-US" w:eastAsia="zh-CN"/>
              </w:rPr>
              <w:t>Na</w:t>
            </w:r>
            <w:r>
              <w:rPr>
                <w:rFonts w:hint="default" w:ascii="Times New Roman" w:hAnsi="Times New Roman" w:eastAsia="宋体" w:cs="Times New Roman"/>
                <w:color w:val="auto"/>
                <w:spacing w:val="0"/>
                <w:position w:val="0"/>
                <w:sz w:val="21"/>
                <w:szCs w:val="21"/>
                <w:highlight w:val="none"/>
                <w:vertAlign w:val="superscript"/>
                <w:lang w:val="en-US" w:eastAsia="zh-CN"/>
              </w:rPr>
              <w:t>+</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lang w:val="en-US" w:eastAsia="zh-CN"/>
              </w:rPr>
              <w:t>Ca</w:t>
            </w:r>
            <w:r>
              <w:rPr>
                <w:rFonts w:hint="default" w:ascii="Times New Roman" w:hAnsi="Times New Roman" w:eastAsia="宋体" w:cs="Times New Roman"/>
                <w:color w:val="auto"/>
                <w:spacing w:val="0"/>
                <w:position w:val="0"/>
                <w:sz w:val="21"/>
                <w:szCs w:val="21"/>
                <w:highlight w:val="none"/>
                <w:vertAlign w:val="superscript"/>
                <w:lang w:val="en-US" w:eastAsia="zh-CN"/>
              </w:rPr>
              <w:t>+</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lang w:val="en-US" w:eastAsia="zh-CN"/>
              </w:rPr>
              <w:t>Mg</w:t>
            </w:r>
            <w:r>
              <w:rPr>
                <w:rFonts w:hint="default" w:ascii="Times New Roman" w:hAnsi="Times New Roman" w:eastAsia="宋体" w:cs="Times New Roman"/>
                <w:color w:val="auto"/>
                <w:spacing w:val="0"/>
                <w:position w:val="0"/>
                <w:sz w:val="21"/>
                <w:szCs w:val="21"/>
                <w:highlight w:val="none"/>
                <w:vertAlign w:val="superscript"/>
                <w:lang w:val="en-US" w:eastAsia="zh-CN"/>
              </w:rPr>
              <w:t>2+</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lang w:val="en-US" w:eastAsia="zh-CN"/>
              </w:rPr>
              <w:t>CO</w:t>
            </w:r>
            <w:r>
              <w:rPr>
                <w:rFonts w:hint="default" w:ascii="Times New Roman" w:hAnsi="Times New Roman" w:eastAsia="宋体" w:cs="Times New Roman"/>
                <w:color w:val="auto"/>
                <w:spacing w:val="0"/>
                <w:position w:val="0"/>
                <w:sz w:val="21"/>
                <w:szCs w:val="21"/>
                <w:highlight w:val="none"/>
                <w:vertAlign w:val="subscript"/>
                <w:lang w:val="en-US" w:eastAsia="zh-CN"/>
              </w:rPr>
              <w:t>3</w:t>
            </w:r>
            <w:r>
              <w:rPr>
                <w:rFonts w:hint="default" w:ascii="Times New Roman" w:hAnsi="Times New Roman" w:eastAsia="宋体" w:cs="Times New Roman"/>
                <w:color w:val="auto"/>
                <w:spacing w:val="0"/>
                <w:position w:val="0"/>
                <w:sz w:val="21"/>
                <w:szCs w:val="21"/>
                <w:highlight w:val="none"/>
                <w:vertAlign w:val="superscript"/>
                <w:lang w:val="en-US" w:eastAsia="zh-CN"/>
              </w:rPr>
              <w:t>2-</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lang w:val="en-US" w:eastAsia="zh-CN"/>
              </w:rPr>
              <w:t>HCO</w:t>
            </w:r>
            <w:r>
              <w:rPr>
                <w:rFonts w:hint="default" w:ascii="Times New Roman" w:hAnsi="Times New Roman" w:eastAsia="宋体" w:cs="Times New Roman"/>
                <w:color w:val="auto"/>
                <w:spacing w:val="0"/>
                <w:position w:val="0"/>
                <w:sz w:val="21"/>
                <w:szCs w:val="21"/>
                <w:highlight w:val="none"/>
                <w:vertAlign w:val="subscript"/>
                <w:lang w:val="en-US" w:eastAsia="zh-CN"/>
              </w:rPr>
              <w:t>3</w:t>
            </w:r>
            <w:r>
              <w:rPr>
                <w:rFonts w:hint="default" w:ascii="Times New Roman" w:hAnsi="Times New Roman" w:eastAsia="宋体" w:cs="Times New Roman"/>
                <w:color w:val="auto"/>
                <w:spacing w:val="0"/>
                <w:position w:val="0"/>
                <w:sz w:val="21"/>
                <w:szCs w:val="21"/>
                <w:highlight w:val="none"/>
                <w:vertAlign w:val="superscript"/>
                <w:lang w:val="en-US" w:eastAsia="zh-CN"/>
              </w:rPr>
              <w:t>-</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lang w:val="en-US" w:eastAsia="zh-CN"/>
              </w:rPr>
              <w:t>Cl</w:t>
            </w:r>
            <w:r>
              <w:rPr>
                <w:rFonts w:hint="default" w:ascii="Times New Roman" w:hAnsi="Times New Roman" w:eastAsia="宋体" w:cs="Times New Roman"/>
                <w:color w:val="auto"/>
                <w:spacing w:val="0"/>
                <w:position w:val="0"/>
                <w:sz w:val="21"/>
                <w:szCs w:val="21"/>
                <w:highlight w:val="none"/>
                <w:vertAlign w:val="superscript"/>
                <w:lang w:val="en-US" w:eastAsia="zh-CN"/>
              </w:rPr>
              <w:t>-</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土壤环境</w:t>
            </w:r>
          </w:p>
        </w:tc>
        <w:tc>
          <w:tcPr>
            <w:tcW w:w="123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《土壤环境质量建设用地土壤污染风险管控标准（试行）》（GB36600-2018）第二类用地标准</w:t>
            </w: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kern w:val="0"/>
                <w:position w:val="0"/>
                <w:sz w:val="21"/>
                <w:szCs w:val="21"/>
                <w:lang w:val="en-US" w:eastAsia="zh-CN" w:bidi="ar-SA"/>
              </w:rPr>
              <w:t>-</w:t>
            </w:r>
          </w:p>
        </w:tc>
        <w:tc>
          <w:tcPr>
            <w:tcW w:w="942"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mg/kg</w:t>
            </w: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筛选值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砷</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镉</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铬（六价）</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铜</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18000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铅</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汞</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镍</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四氯化碳</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氯仿</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氯甲烷</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vertAlign w:val="baseline"/>
                <w:lang w:val="en-US" w:eastAsia="zh-CN" w:bidi="ar-SA"/>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position w:val="0"/>
                <w:sz w:val="21"/>
                <w:szCs w:val="21"/>
                <w:lang w:val="en-US" w:eastAsia="zh-CN"/>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1，1-二氯乙烷</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1，2-二氯乙烷</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1，1-二氯乙烯</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反-1，2-二氯乙烯</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顺-1，2-二氯乙烯</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596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二氯甲烷</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1</w:t>
            </w:r>
            <w:r>
              <w:rPr>
                <w:rFonts w:hint="default" w:ascii="Times New Roman" w:hAnsi="Times New Roman" w:eastAsia="宋体" w:cs="Times New Roman"/>
                <w:color w:val="auto"/>
                <w:spacing w:val="0"/>
                <w:position w:val="0"/>
                <w:sz w:val="21"/>
                <w:szCs w:val="21"/>
                <w:lang w:eastAsia="zh-CN"/>
              </w:rPr>
              <w:t>，</w:t>
            </w:r>
            <w:r>
              <w:rPr>
                <w:rFonts w:hint="default" w:ascii="Times New Roman" w:hAnsi="Times New Roman" w:eastAsia="宋体" w:cs="Times New Roman"/>
                <w:color w:val="auto"/>
                <w:spacing w:val="0"/>
                <w:position w:val="0"/>
                <w:sz w:val="21"/>
                <w:szCs w:val="21"/>
              </w:rPr>
              <w:t>2-二氯丙烷</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1，1，1，2-四氯乙烷</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1，1，2，2-四氯乙烷</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四氯乙烯</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1，1，1-三氯乙烷</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1，1，2-三氯乙烷</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三氯乙烯</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1，2，3-三氯丙烷</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氯乙烯</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苯</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氯苯</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1，2-二氯苯</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1，4-二氯苯</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乙苯</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苯乙烯</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甲苯</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间二甲苯+对二甲苯</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邻二甲苯</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硝基苯</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苯胺</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2-氯酚</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2256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苯并[a]蒽</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苯并[a]芘</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苯并[b]荧蒽</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苯并[k]荧蒽</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䓛</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1293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二苯并[a，h]蒽</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茚并[1，2，3-cd]芘</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rPr>
              <w:t>萘</w:t>
            </w: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5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声环境</w:t>
            </w:r>
          </w:p>
        </w:tc>
        <w:tc>
          <w:tcPr>
            <w:tcW w:w="123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《声环境质量标准》（GB3096-2008）3类</w:t>
            </w:r>
          </w:p>
        </w:tc>
        <w:tc>
          <w:tcPr>
            <w:tcW w:w="1196"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等效声级</w:t>
            </w:r>
          </w:p>
        </w:tc>
        <w:tc>
          <w:tcPr>
            <w:tcW w:w="942"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default" w:ascii="Times New Roman" w:hAnsi="Times New Roman" w:eastAsia="宋体" w:cs="Times New Roman"/>
                <w:color w:val="auto"/>
                <w:spacing w:val="0"/>
                <w:position w:val="0"/>
                <w:sz w:val="21"/>
                <w:szCs w:val="21"/>
                <w:vertAlign w:val="baseline"/>
                <w:lang w:val="en-US" w:eastAsia="zh-CN"/>
              </w:rPr>
              <w:t>dB（A）</w:t>
            </w:r>
          </w:p>
        </w:tc>
        <w:tc>
          <w:tcPr>
            <w:tcW w:w="5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昼间</w:t>
            </w:r>
          </w:p>
        </w:tc>
        <w:tc>
          <w:tcPr>
            <w:tcW w:w="576"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2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119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position w:val="0"/>
                <w:sz w:val="21"/>
                <w:szCs w:val="21"/>
                <w:highlight w:val="none"/>
                <w:lang w:val="en-US" w:eastAsia="zh-CN"/>
              </w:rPr>
            </w:pPr>
          </w:p>
        </w:tc>
        <w:tc>
          <w:tcPr>
            <w:tcW w:w="9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p>
        </w:tc>
        <w:tc>
          <w:tcPr>
            <w:tcW w:w="5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夜间</w:t>
            </w:r>
          </w:p>
        </w:tc>
        <w:tc>
          <w:tcPr>
            <w:tcW w:w="576"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highlight w:val="none"/>
                <w:vertAlign w:val="baseline"/>
                <w:lang w:val="en-US" w:eastAsia="zh-CN"/>
              </w:rPr>
            </w:pPr>
            <w:r>
              <w:rPr>
                <w:rFonts w:hint="default" w:ascii="Times New Roman" w:hAnsi="Times New Roman" w:eastAsia="宋体" w:cs="Times New Roman"/>
                <w:color w:val="auto"/>
                <w:spacing w:val="0"/>
                <w:position w:val="0"/>
                <w:sz w:val="21"/>
                <w:szCs w:val="21"/>
                <w:highlight w:val="none"/>
                <w:vertAlign w:val="baseline"/>
                <w:lang w:val="en-US" w:eastAsia="zh-CN"/>
              </w:rPr>
              <w:t>55</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2.2.3.3 污染物排放标准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本项目废气污染物执行标准见下表。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2.2.3-2   本项目废气执行标准一览表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3"/>
        <w:gridCol w:w="584"/>
        <w:gridCol w:w="1010"/>
        <w:gridCol w:w="1034"/>
        <w:gridCol w:w="975"/>
        <w:gridCol w:w="769"/>
        <w:gridCol w:w="621"/>
        <w:gridCol w:w="950"/>
        <w:gridCol w:w="21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1" w:type="pct"/>
            <w:gridSpan w:val="4"/>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污染源</w:t>
            </w:r>
          </w:p>
        </w:tc>
        <w:tc>
          <w:tcPr>
            <w:tcW w:w="572"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主要污染物</w:t>
            </w:r>
          </w:p>
        </w:tc>
        <w:tc>
          <w:tcPr>
            <w:tcW w:w="451"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标准限值（</w:t>
            </w:r>
            <w:r>
              <w:rPr>
                <w:rFonts w:hint="default" w:ascii="Times New Roman" w:hAnsi="Times New Roman" w:eastAsia="宋体" w:cs="Times New Roman"/>
                <w:color w:val="auto"/>
                <w:sz w:val="21"/>
                <w:szCs w:val="21"/>
                <w:vertAlign w:val="baseline"/>
                <w:lang w:val="en-US" w:eastAsia="zh-CN"/>
              </w:rPr>
              <w:t>mg/m</w:t>
            </w:r>
            <w:r>
              <w:rPr>
                <w:rFonts w:hint="default"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w:t>
            </w:r>
          </w:p>
        </w:tc>
        <w:tc>
          <w:tcPr>
            <w:tcW w:w="364"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vertAlign w:val="baseline"/>
                <w:lang w:val="en-US" w:eastAsia="zh-CN"/>
              </w:rPr>
              <w:t>排气筒高度</w:t>
            </w:r>
          </w:p>
        </w:tc>
        <w:tc>
          <w:tcPr>
            <w:tcW w:w="557"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排放速率（kg/h）</w:t>
            </w:r>
          </w:p>
        </w:tc>
        <w:tc>
          <w:tcPr>
            <w:tcW w:w="1253"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8" w:hRule="atLeast"/>
          <w:jc w:val="center"/>
        </w:trPr>
        <w:tc>
          <w:tcPr>
            <w:tcW w:w="259" w:type="pct"/>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有组织</w:t>
            </w:r>
          </w:p>
        </w:tc>
        <w:tc>
          <w:tcPr>
            <w:tcW w:w="342" w:type="pct"/>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DA001</w:t>
            </w:r>
          </w:p>
        </w:tc>
        <w:tc>
          <w:tcPr>
            <w:tcW w:w="592"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罐底植物油、动物油回收生产线</w:t>
            </w:r>
          </w:p>
        </w:tc>
        <w:tc>
          <w:tcPr>
            <w:tcW w:w="6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熔炼废气</w:t>
            </w:r>
          </w:p>
        </w:tc>
        <w:tc>
          <w:tcPr>
            <w:tcW w:w="57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vertAlign w:val="baseline"/>
                <w:lang w:val="en-US" w:eastAsia="zh-CN"/>
              </w:rPr>
              <w:t>油脂烟气</w:t>
            </w:r>
          </w:p>
        </w:tc>
        <w:tc>
          <w:tcPr>
            <w:tcW w:w="4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vertAlign w:val="baseline"/>
                <w:lang w:val="en-US" w:eastAsia="zh-CN"/>
              </w:rPr>
              <w:t>2.</w:t>
            </w:r>
            <w:r>
              <w:rPr>
                <w:rFonts w:hint="eastAsia" w:ascii="Times New Roman" w:hAnsi="Times New Roman" w:eastAsia="宋体" w:cs="Times New Roman"/>
                <w:color w:val="auto"/>
                <w:sz w:val="21"/>
                <w:szCs w:val="21"/>
                <w:vertAlign w:val="baseline"/>
                <w:lang w:val="en-US" w:eastAsia="zh-CN"/>
              </w:rPr>
              <w:t>0</w:t>
            </w:r>
          </w:p>
        </w:tc>
        <w:tc>
          <w:tcPr>
            <w:tcW w:w="364" w:type="pct"/>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15</w:t>
            </w:r>
            <w:r>
              <w:rPr>
                <w:rFonts w:hint="eastAsia" w:ascii="Times New Roman" w:hAnsi="Times New Roman" w:eastAsia="宋体" w:cs="Times New Roman"/>
                <w:color w:val="auto"/>
                <w:sz w:val="21"/>
                <w:szCs w:val="21"/>
                <w:vertAlign w:val="baseline"/>
                <w:lang w:val="en-US" w:eastAsia="zh-CN"/>
              </w:rPr>
              <w:t>m</w:t>
            </w:r>
          </w:p>
        </w:tc>
        <w:tc>
          <w:tcPr>
            <w:tcW w:w="557"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w:t>
            </w:r>
          </w:p>
        </w:tc>
        <w:tc>
          <w:tcPr>
            <w:tcW w:w="12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vertAlign w:val="baseline"/>
                <w:lang w:val="en-US" w:eastAsia="zh-CN"/>
              </w:rPr>
              <w:t>《饮食业油烟排放标准（试行）》（GB18483-2001）表2限值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2"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p>
        </w:tc>
        <w:tc>
          <w:tcPr>
            <w:tcW w:w="342"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p>
        </w:tc>
        <w:tc>
          <w:tcPr>
            <w:tcW w:w="592"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罐区</w:t>
            </w:r>
          </w:p>
        </w:tc>
        <w:tc>
          <w:tcPr>
            <w:tcW w:w="606"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储罐废气</w:t>
            </w:r>
          </w:p>
        </w:tc>
        <w:tc>
          <w:tcPr>
            <w:tcW w:w="57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vertAlign w:val="baseline"/>
                <w:lang w:val="en-US" w:eastAsia="zh-CN"/>
              </w:rPr>
              <w:t>NMHC</w:t>
            </w:r>
          </w:p>
        </w:tc>
        <w:tc>
          <w:tcPr>
            <w:tcW w:w="45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vertAlign w:val="baseline"/>
                <w:lang w:val="en-US" w:eastAsia="zh-CN"/>
              </w:rPr>
              <w:t>120</w:t>
            </w:r>
          </w:p>
        </w:tc>
        <w:tc>
          <w:tcPr>
            <w:tcW w:w="364"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rPr>
            </w:pPr>
          </w:p>
        </w:tc>
        <w:tc>
          <w:tcPr>
            <w:tcW w:w="557" w:type="pct"/>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vertAlign w:val="baseline"/>
                <w:lang w:val="en-US" w:eastAsia="zh-CN"/>
              </w:rPr>
              <w:t>10</w:t>
            </w:r>
          </w:p>
        </w:tc>
        <w:tc>
          <w:tcPr>
            <w:tcW w:w="125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vertAlign w:val="baseline"/>
                <w:lang w:val="en-US" w:eastAsia="zh-CN"/>
              </w:rPr>
              <w:t>《大气污染物综合排放标准（GB16297-1996）表2中二级限值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8"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p>
        </w:tc>
        <w:tc>
          <w:tcPr>
            <w:tcW w:w="342"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p>
        </w:tc>
        <w:tc>
          <w:tcPr>
            <w:tcW w:w="592"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生物燃料</w:t>
            </w:r>
            <w:r>
              <w:rPr>
                <w:rFonts w:hint="default" w:ascii="Times New Roman" w:hAnsi="Times New Roman" w:eastAsia="宋体" w:cs="Times New Roman"/>
                <w:color w:val="auto"/>
                <w:sz w:val="21"/>
                <w:szCs w:val="21"/>
                <w:lang w:val="en-US" w:eastAsia="zh-CN"/>
              </w:rPr>
              <w:t>生产线</w:t>
            </w:r>
          </w:p>
        </w:tc>
        <w:tc>
          <w:tcPr>
            <w:tcW w:w="606"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vertAlign w:val="baseline"/>
                <w:lang w:val="en-US" w:eastAsia="zh-CN"/>
              </w:rPr>
              <w:t>生物燃料</w:t>
            </w:r>
            <w:r>
              <w:rPr>
                <w:rFonts w:hint="default" w:ascii="Times New Roman" w:hAnsi="Times New Roman" w:eastAsia="宋体" w:cs="Times New Roman"/>
                <w:color w:val="auto"/>
                <w:sz w:val="21"/>
                <w:szCs w:val="21"/>
                <w:vertAlign w:val="baseline"/>
                <w:lang w:val="en-US" w:eastAsia="zh-CN"/>
              </w:rPr>
              <w:t>生产线</w:t>
            </w:r>
            <w:r>
              <w:rPr>
                <w:rFonts w:hint="eastAsia" w:ascii="Times New Roman" w:hAnsi="Times New Roman" w:eastAsia="宋体" w:cs="Times New Roman"/>
                <w:color w:val="auto"/>
                <w:sz w:val="21"/>
                <w:szCs w:val="21"/>
                <w:vertAlign w:val="baseline"/>
                <w:lang w:val="en-US" w:eastAsia="zh-CN"/>
              </w:rPr>
              <w:t>产生的有机废气</w:t>
            </w:r>
          </w:p>
        </w:tc>
        <w:tc>
          <w:tcPr>
            <w:tcW w:w="57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45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364"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rPr>
            </w:pPr>
          </w:p>
        </w:tc>
        <w:tc>
          <w:tcPr>
            <w:tcW w:w="557"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2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2"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342"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592"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动物油回收生产线</w:t>
            </w:r>
          </w:p>
        </w:tc>
        <w:tc>
          <w:tcPr>
            <w:tcW w:w="6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动植物油精炼恶臭</w:t>
            </w:r>
            <w:r>
              <w:rPr>
                <w:rFonts w:hint="eastAsia" w:ascii="Times New Roman" w:hAnsi="Times New Roman" w:eastAsia="宋体" w:cs="Times New Roman"/>
                <w:color w:val="auto"/>
                <w:sz w:val="21"/>
                <w:szCs w:val="21"/>
                <w:vertAlign w:val="baseline"/>
                <w:lang w:val="en-US" w:eastAsia="zh-CN"/>
              </w:rPr>
              <w:t>、</w:t>
            </w:r>
          </w:p>
        </w:tc>
        <w:tc>
          <w:tcPr>
            <w:tcW w:w="57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vertAlign w:val="baseline"/>
                <w:lang w:val="en-US" w:eastAsia="zh-CN"/>
              </w:rPr>
              <w:t>NH</w:t>
            </w:r>
            <w:r>
              <w:rPr>
                <w:rFonts w:hint="default" w:ascii="Times New Roman" w:hAnsi="Times New Roman" w:eastAsia="宋体" w:cs="Times New Roman"/>
                <w:color w:val="auto"/>
                <w:sz w:val="21"/>
                <w:szCs w:val="21"/>
                <w:vertAlign w:val="subscript"/>
                <w:lang w:val="en-US" w:eastAsia="zh-CN"/>
              </w:rPr>
              <w:t>3</w:t>
            </w:r>
          </w:p>
        </w:tc>
        <w:tc>
          <w:tcPr>
            <w:tcW w:w="45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w:t>
            </w:r>
          </w:p>
        </w:tc>
        <w:tc>
          <w:tcPr>
            <w:tcW w:w="364"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rPr>
            </w:pPr>
          </w:p>
        </w:tc>
        <w:tc>
          <w:tcPr>
            <w:tcW w:w="557" w:type="pct"/>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vertAlign w:val="baseline"/>
                <w:lang w:val="en-US" w:eastAsia="zh-CN"/>
              </w:rPr>
              <w:t>4.9</w:t>
            </w:r>
          </w:p>
        </w:tc>
        <w:tc>
          <w:tcPr>
            <w:tcW w:w="125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vertAlign w:val="baseline"/>
                <w:lang w:val="en-US" w:eastAsia="zh-CN"/>
              </w:rPr>
              <w:t>《恶臭污染物排放标准》（GB14554-93）表2中排放限值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342"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592"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水溶肥生产线</w:t>
            </w:r>
          </w:p>
        </w:tc>
        <w:tc>
          <w:tcPr>
            <w:tcW w:w="6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呼吸口废气</w:t>
            </w:r>
          </w:p>
        </w:tc>
        <w:tc>
          <w:tcPr>
            <w:tcW w:w="57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45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vertAlign w:val="baseline"/>
                <w:lang w:val="en-US" w:eastAsia="zh-CN" w:bidi="ar-SA"/>
              </w:rPr>
            </w:pPr>
          </w:p>
        </w:tc>
        <w:tc>
          <w:tcPr>
            <w:tcW w:w="364"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rPr>
            </w:pPr>
          </w:p>
        </w:tc>
        <w:tc>
          <w:tcPr>
            <w:tcW w:w="557"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2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342"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592"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生物燃料</w:t>
            </w:r>
            <w:r>
              <w:rPr>
                <w:rFonts w:hint="default" w:ascii="Times New Roman" w:hAnsi="Times New Roman" w:eastAsia="宋体" w:cs="Times New Roman"/>
                <w:color w:val="auto"/>
                <w:sz w:val="21"/>
                <w:szCs w:val="21"/>
                <w:lang w:val="en-US" w:eastAsia="zh-CN"/>
              </w:rPr>
              <w:t>生产线</w:t>
            </w:r>
          </w:p>
        </w:tc>
        <w:tc>
          <w:tcPr>
            <w:tcW w:w="6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皂脚酸化产生的恶臭</w:t>
            </w:r>
          </w:p>
        </w:tc>
        <w:tc>
          <w:tcPr>
            <w:tcW w:w="57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45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vertAlign w:val="baseline"/>
                <w:lang w:val="en-US" w:eastAsia="zh-CN" w:bidi="ar-SA"/>
              </w:rPr>
            </w:pPr>
          </w:p>
        </w:tc>
        <w:tc>
          <w:tcPr>
            <w:tcW w:w="364"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rPr>
            </w:pPr>
          </w:p>
        </w:tc>
        <w:tc>
          <w:tcPr>
            <w:tcW w:w="557"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2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342"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592"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动物油回收生产线</w:t>
            </w:r>
          </w:p>
        </w:tc>
        <w:tc>
          <w:tcPr>
            <w:tcW w:w="6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动植物油精炼恶臭</w:t>
            </w:r>
          </w:p>
        </w:tc>
        <w:tc>
          <w:tcPr>
            <w:tcW w:w="57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vertAlign w:val="baseline"/>
                <w:lang w:val="en-US" w:eastAsia="zh-CN"/>
              </w:rPr>
              <w:t>H</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vertAlign w:val="baseline"/>
                <w:lang w:val="en-US" w:eastAsia="zh-CN"/>
              </w:rPr>
              <w:t>S</w:t>
            </w:r>
          </w:p>
        </w:tc>
        <w:tc>
          <w:tcPr>
            <w:tcW w:w="45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w:t>
            </w:r>
          </w:p>
        </w:tc>
        <w:tc>
          <w:tcPr>
            <w:tcW w:w="364" w:type="pct"/>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rPr>
            </w:pPr>
          </w:p>
        </w:tc>
        <w:tc>
          <w:tcPr>
            <w:tcW w:w="557" w:type="pct"/>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vertAlign w:val="baseline"/>
                <w:lang w:val="en-US" w:eastAsia="zh-CN"/>
              </w:rPr>
              <w:t>0.33</w:t>
            </w:r>
          </w:p>
        </w:tc>
        <w:tc>
          <w:tcPr>
            <w:tcW w:w="12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342"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592"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水溶肥生产线</w:t>
            </w:r>
          </w:p>
        </w:tc>
        <w:tc>
          <w:tcPr>
            <w:tcW w:w="6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呼吸口废气</w:t>
            </w:r>
          </w:p>
        </w:tc>
        <w:tc>
          <w:tcPr>
            <w:tcW w:w="57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45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vertAlign w:val="baseline"/>
                <w:lang w:val="en-US" w:eastAsia="zh-CN" w:bidi="ar-SA"/>
              </w:rPr>
            </w:pPr>
          </w:p>
        </w:tc>
        <w:tc>
          <w:tcPr>
            <w:tcW w:w="364"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rPr>
            </w:pPr>
          </w:p>
        </w:tc>
        <w:tc>
          <w:tcPr>
            <w:tcW w:w="557"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2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342"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592"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生物燃料</w:t>
            </w:r>
            <w:r>
              <w:rPr>
                <w:rFonts w:hint="default" w:ascii="Times New Roman" w:hAnsi="Times New Roman" w:eastAsia="宋体" w:cs="Times New Roman"/>
                <w:color w:val="auto"/>
                <w:sz w:val="21"/>
                <w:szCs w:val="21"/>
                <w:lang w:val="en-US" w:eastAsia="zh-CN"/>
              </w:rPr>
              <w:t>生产线</w:t>
            </w:r>
          </w:p>
        </w:tc>
        <w:tc>
          <w:tcPr>
            <w:tcW w:w="6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皂脚酸化产生的恶臭</w:t>
            </w:r>
          </w:p>
        </w:tc>
        <w:tc>
          <w:tcPr>
            <w:tcW w:w="57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Cs/>
                <w:color w:val="auto"/>
                <w:kern w:val="2"/>
                <w:sz w:val="21"/>
                <w:szCs w:val="21"/>
                <w:lang w:val="en-US" w:eastAsia="zh-CN" w:bidi="ar-SA"/>
              </w:rPr>
            </w:pPr>
          </w:p>
        </w:tc>
        <w:tc>
          <w:tcPr>
            <w:tcW w:w="45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p>
        </w:tc>
        <w:tc>
          <w:tcPr>
            <w:tcW w:w="364"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rPr>
            </w:pPr>
          </w:p>
        </w:tc>
        <w:tc>
          <w:tcPr>
            <w:tcW w:w="557"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rPr>
            </w:pPr>
          </w:p>
        </w:tc>
        <w:tc>
          <w:tcPr>
            <w:tcW w:w="12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Cs/>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342" w:type="pct"/>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DA002</w:t>
            </w:r>
          </w:p>
        </w:tc>
        <w:tc>
          <w:tcPr>
            <w:tcW w:w="592"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水溶肥生产线</w:t>
            </w:r>
          </w:p>
        </w:tc>
        <w:tc>
          <w:tcPr>
            <w:tcW w:w="6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投料废气</w:t>
            </w:r>
          </w:p>
        </w:tc>
        <w:tc>
          <w:tcPr>
            <w:tcW w:w="57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颗粒物</w:t>
            </w:r>
          </w:p>
        </w:tc>
        <w:tc>
          <w:tcPr>
            <w:tcW w:w="45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vertAlign w:val="baseline"/>
                <w:lang w:val="en-US" w:eastAsia="zh-CN"/>
              </w:rPr>
              <w:t>120</w:t>
            </w:r>
          </w:p>
        </w:tc>
        <w:tc>
          <w:tcPr>
            <w:tcW w:w="364" w:type="pct"/>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15</w:t>
            </w:r>
            <w:r>
              <w:rPr>
                <w:rFonts w:hint="eastAsia" w:ascii="Times New Roman" w:hAnsi="Times New Roman" w:eastAsia="宋体" w:cs="Times New Roman"/>
                <w:color w:val="auto"/>
                <w:sz w:val="21"/>
                <w:szCs w:val="21"/>
                <w:vertAlign w:val="baseline"/>
                <w:lang w:val="en-US" w:eastAsia="zh-CN"/>
              </w:rPr>
              <w:t>m</w:t>
            </w:r>
          </w:p>
        </w:tc>
        <w:tc>
          <w:tcPr>
            <w:tcW w:w="557" w:type="pct"/>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vertAlign w:val="baseline"/>
                <w:lang w:val="en-US" w:eastAsia="zh-CN"/>
              </w:rPr>
              <w:t>10</w:t>
            </w:r>
          </w:p>
        </w:tc>
        <w:tc>
          <w:tcPr>
            <w:tcW w:w="125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vertAlign w:val="baseline"/>
                <w:lang w:val="en-US" w:eastAsia="zh-CN"/>
              </w:rPr>
              <w:t>《大气污染物综合排放标准（GB16297-1996）表2中二级限值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342"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592"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生物</w:t>
            </w:r>
            <w:r>
              <w:rPr>
                <w:rFonts w:hint="default" w:ascii="Times New Roman" w:hAnsi="Times New Roman" w:eastAsia="宋体" w:cs="Times New Roman"/>
                <w:color w:val="auto"/>
                <w:sz w:val="21"/>
                <w:szCs w:val="21"/>
                <w:lang w:val="en-US" w:eastAsia="zh-CN"/>
              </w:rPr>
              <w:t>有机肥生产线</w:t>
            </w:r>
          </w:p>
        </w:tc>
        <w:tc>
          <w:tcPr>
            <w:tcW w:w="606"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vertAlign w:val="baseline"/>
                <w:lang w:val="en-US" w:eastAsia="zh-CN"/>
              </w:rPr>
              <w:t>破碎、造粒、筛分工序</w:t>
            </w:r>
          </w:p>
        </w:tc>
        <w:tc>
          <w:tcPr>
            <w:tcW w:w="57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45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Cs/>
                <w:color w:val="auto"/>
                <w:kern w:val="2"/>
                <w:sz w:val="21"/>
                <w:szCs w:val="21"/>
                <w:lang w:val="en-US" w:eastAsia="zh-CN" w:bidi="ar-SA"/>
              </w:rPr>
            </w:pPr>
          </w:p>
        </w:tc>
        <w:tc>
          <w:tcPr>
            <w:tcW w:w="364"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lang w:val="en-US" w:eastAsia="zh-CN"/>
              </w:rPr>
            </w:pPr>
          </w:p>
        </w:tc>
        <w:tc>
          <w:tcPr>
            <w:tcW w:w="557"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rPr>
            </w:pPr>
          </w:p>
        </w:tc>
        <w:tc>
          <w:tcPr>
            <w:tcW w:w="12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Cs/>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1541" w:type="pct"/>
            <w:gridSpan w:val="3"/>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食堂</w:t>
            </w:r>
          </w:p>
        </w:tc>
        <w:tc>
          <w:tcPr>
            <w:tcW w:w="572"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油烟</w:t>
            </w:r>
          </w:p>
        </w:tc>
        <w:tc>
          <w:tcPr>
            <w:tcW w:w="4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vertAlign w:val="baseline"/>
                <w:lang w:val="en-US" w:eastAsia="zh-CN"/>
              </w:rPr>
              <w:t>2.0</w:t>
            </w:r>
          </w:p>
        </w:tc>
        <w:tc>
          <w:tcPr>
            <w:tcW w:w="364"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引至屋顶</w:t>
            </w:r>
          </w:p>
        </w:tc>
        <w:tc>
          <w:tcPr>
            <w:tcW w:w="557"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2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vertAlign w:val="baseline"/>
                <w:lang w:val="en-US" w:eastAsia="zh-CN"/>
              </w:rPr>
              <w:t>《饮食业油烟排放标准（试行）》（GB18483-2001）表2限值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 w:type="pct"/>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无组织</w:t>
            </w:r>
          </w:p>
        </w:tc>
        <w:tc>
          <w:tcPr>
            <w:tcW w:w="935" w:type="pct"/>
            <w:gridSpan w:val="2"/>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罐底植物油，动物油回收生产线</w:t>
            </w:r>
          </w:p>
        </w:tc>
        <w:tc>
          <w:tcPr>
            <w:tcW w:w="606"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熔炼废气</w:t>
            </w:r>
          </w:p>
        </w:tc>
        <w:tc>
          <w:tcPr>
            <w:tcW w:w="572"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油脂烟气</w:t>
            </w:r>
          </w:p>
        </w:tc>
        <w:tc>
          <w:tcPr>
            <w:tcW w:w="4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364"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557"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2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935" w:type="pct"/>
            <w:gridSpan w:val="2"/>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罐区</w:t>
            </w:r>
          </w:p>
        </w:tc>
        <w:tc>
          <w:tcPr>
            <w:tcW w:w="606"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储罐废气</w:t>
            </w:r>
          </w:p>
        </w:tc>
        <w:tc>
          <w:tcPr>
            <w:tcW w:w="572" w:type="pct"/>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NMHC</w:t>
            </w:r>
          </w:p>
        </w:tc>
        <w:tc>
          <w:tcPr>
            <w:tcW w:w="45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4</w:t>
            </w:r>
          </w:p>
        </w:tc>
        <w:tc>
          <w:tcPr>
            <w:tcW w:w="364" w:type="pct"/>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557" w:type="pct"/>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125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《大气污染物综合排放标准（GB16297-1996）表2中排放限值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935" w:type="pct"/>
            <w:gridSpan w:val="2"/>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生物燃料</w:t>
            </w:r>
            <w:r>
              <w:rPr>
                <w:rFonts w:hint="default" w:ascii="Times New Roman" w:hAnsi="Times New Roman" w:eastAsia="宋体" w:cs="Times New Roman"/>
                <w:color w:val="auto"/>
                <w:sz w:val="21"/>
                <w:szCs w:val="21"/>
                <w:lang w:val="en-US" w:eastAsia="zh-CN"/>
              </w:rPr>
              <w:t>生产线</w:t>
            </w:r>
          </w:p>
        </w:tc>
        <w:tc>
          <w:tcPr>
            <w:tcW w:w="606"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生物燃料</w:t>
            </w:r>
            <w:r>
              <w:rPr>
                <w:rFonts w:hint="default" w:ascii="Times New Roman" w:hAnsi="Times New Roman" w:eastAsia="宋体" w:cs="Times New Roman"/>
                <w:color w:val="auto"/>
                <w:sz w:val="21"/>
                <w:szCs w:val="21"/>
                <w:vertAlign w:val="baseline"/>
                <w:lang w:val="en-US" w:eastAsia="zh-CN"/>
              </w:rPr>
              <w:t>生产线</w:t>
            </w:r>
            <w:r>
              <w:rPr>
                <w:rFonts w:hint="eastAsia" w:ascii="Times New Roman" w:hAnsi="Times New Roman" w:eastAsia="宋体" w:cs="Times New Roman"/>
                <w:color w:val="auto"/>
                <w:sz w:val="21"/>
                <w:szCs w:val="21"/>
                <w:vertAlign w:val="baseline"/>
                <w:lang w:val="en-US" w:eastAsia="zh-CN"/>
              </w:rPr>
              <w:t>产生的有机废气</w:t>
            </w:r>
          </w:p>
        </w:tc>
        <w:tc>
          <w:tcPr>
            <w:tcW w:w="572"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45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vertAlign w:val="baseline"/>
                <w:lang w:val="en-US" w:eastAsia="zh-CN"/>
              </w:rPr>
            </w:pPr>
          </w:p>
        </w:tc>
        <w:tc>
          <w:tcPr>
            <w:tcW w:w="364"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p>
        </w:tc>
        <w:tc>
          <w:tcPr>
            <w:tcW w:w="557"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Cs/>
                <w:color w:val="auto"/>
                <w:sz w:val="21"/>
                <w:szCs w:val="21"/>
                <w:highlight w:val="none"/>
                <w:lang w:val="en-US" w:eastAsia="zh-CN"/>
              </w:rPr>
            </w:pPr>
          </w:p>
        </w:tc>
        <w:tc>
          <w:tcPr>
            <w:tcW w:w="12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935" w:type="pct"/>
            <w:gridSpan w:val="2"/>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动物油回收生产线</w:t>
            </w:r>
          </w:p>
        </w:tc>
        <w:tc>
          <w:tcPr>
            <w:tcW w:w="6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动植物油精炼恶臭</w:t>
            </w:r>
          </w:p>
        </w:tc>
        <w:tc>
          <w:tcPr>
            <w:tcW w:w="57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NH</w:t>
            </w:r>
            <w:r>
              <w:rPr>
                <w:rFonts w:hint="eastAsia" w:ascii="Times New Roman" w:hAnsi="Times New Roman" w:eastAsia="宋体" w:cs="Times New Roman"/>
                <w:color w:val="auto"/>
                <w:kern w:val="2"/>
                <w:sz w:val="21"/>
                <w:szCs w:val="21"/>
                <w:vertAlign w:val="subscript"/>
                <w:lang w:val="en-US" w:eastAsia="zh-CN" w:bidi="ar-SA"/>
              </w:rPr>
              <w:t>3</w:t>
            </w:r>
          </w:p>
        </w:tc>
        <w:tc>
          <w:tcPr>
            <w:tcW w:w="45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1.5</w:t>
            </w:r>
          </w:p>
        </w:tc>
        <w:tc>
          <w:tcPr>
            <w:tcW w:w="364" w:type="pct"/>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557" w:type="pct"/>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125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《恶臭污染物排放标准》（GB14554-93）表</w:t>
            </w:r>
            <w:r>
              <w:rPr>
                <w:rFonts w:hint="eastAsia" w:ascii="Times New Roman" w:hAnsi="Times New Roman" w:eastAsia="宋体" w:cs="Times New Roman"/>
                <w:color w:val="auto"/>
                <w:sz w:val="21"/>
                <w:szCs w:val="21"/>
                <w:highlight w:val="none"/>
                <w:vertAlign w:val="baseline"/>
                <w:lang w:val="en-US" w:eastAsia="zh-CN"/>
              </w:rPr>
              <w:t>1</w:t>
            </w:r>
            <w:r>
              <w:rPr>
                <w:rFonts w:hint="default" w:ascii="Times New Roman" w:hAnsi="Times New Roman" w:eastAsia="宋体" w:cs="Times New Roman"/>
                <w:color w:val="auto"/>
                <w:sz w:val="21"/>
                <w:szCs w:val="21"/>
                <w:highlight w:val="none"/>
                <w:vertAlign w:val="baseline"/>
                <w:lang w:val="en-US" w:eastAsia="zh-CN"/>
              </w:rPr>
              <w:t>中排放限值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935" w:type="pct"/>
            <w:gridSpan w:val="2"/>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水溶肥生产线</w:t>
            </w:r>
          </w:p>
        </w:tc>
        <w:tc>
          <w:tcPr>
            <w:tcW w:w="6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呼吸口废气</w:t>
            </w:r>
          </w:p>
        </w:tc>
        <w:tc>
          <w:tcPr>
            <w:tcW w:w="572"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45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364"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557"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12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935" w:type="pct"/>
            <w:gridSpan w:val="2"/>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生物燃料</w:t>
            </w:r>
            <w:r>
              <w:rPr>
                <w:rFonts w:hint="default" w:ascii="Times New Roman" w:hAnsi="Times New Roman" w:eastAsia="宋体" w:cs="Times New Roman"/>
                <w:color w:val="auto"/>
                <w:sz w:val="21"/>
                <w:szCs w:val="21"/>
                <w:lang w:val="en-US" w:eastAsia="zh-CN"/>
              </w:rPr>
              <w:t>生产线</w:t>
            </w:r>
          </w:p>
        </w:tc>
        <w:tc>
          <w:tcPr>
            <w:tcW w:w="6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皂脚酸化产生的恶臭</w:t>
            </w:r>
          </w:p>
        </w:tc>
        <w:tc>
          <w:tcPr>
            <w:tcW w:w="572"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45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364"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557"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12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935" w:type="pct"/>
            <w:gridSpan w:val="2"/>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动物油回收生产线</w:t>
            </w:r>
          </w:p>
        </w:tc>
        <w:tc>
          <w:tcPr>
            <w:tcW w:w="6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动植物油精炼恶臭</w:t>
            </w:r>
            <w:r>
              <w:rPr>
                <w:rFonts w:hint="eastAsia" w:ascii="Times New Roman" w:hAnsi="Times New Roman" w:eastAsia="宋体" w:cs="Times New Roman"/>
                <w:color w:val="auto"/>
                <w:sz w:val="21"/>
                <w:szCs w:val="21"/>
                <w:vertAlign w:val="baseline"/>
                <w:lang w:val="en-US" w:eastAsia="zh-CN"/>
              </w:rPr>
              <w:t>、</w:t>
            </w:r>
          </w:p>
        </w:tc>
        <w:tc>
          <w:tcPr>
            <w:tcW w:w="572" w:type="pct"/>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H</w:t>
            </w:r>
            <w:r>
              <w:rPr>
                <w:rFonts w:hint="eastAsia" w:ascii="Times New Roman" w:hAnsi="Times New Roman" w:eastAsia="宋体" w:cs="Times New Roman"/>
                <w:color w:val="auto"/>
                <w:sz w:val="21"/>
                <w:szCs w:val="21"/>
                <w:vertAlign w:val="subscript"/>
                <w:lang w:val="en-US" w:eastAsia="zh-CN"/>
              </w:rPr>
              <w:t>2</w:t>
            </w:r>
            <w:r>
              <w:rPr>
                <w:rFonts w:hint="eastAsia" w:ascii="Times New Roman" w:hAnsi="Times New Roman" w:eastAsia="宋体" w:cs="Times New Roman"/>
                <w:color w:val="auto"/>
                <w:sz w:val="21"/>
                <w:szCs w:val="21"/>
                <w:lang w:val="en-US" w:eastAsia="zh-CN"/>
              </w:rPr>
              <w:t>S</w:t>
            </w:r>
          </w:p>
        </w:tc>
        <w:tc>
          <w:tcPr>
            <w:tcW w:w="45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0.06</w:t>
            </w:r>
          </w:p>
        </w:tc>
        <w:tc>
          <w:tcPr>
            <w:tcW w:w="364" w:type="pct"/>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557" w:type="pct"/>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12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935" w:type="pct"/>
            <w:gridSpan w:val="2"/>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水溶肥生产线</w:t>
            </w:r>
          </w:p>
        </w:tc>
        <w:tc>
          <w:tcPr>
            <w:tcW w:w="6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呼吸口废气</w:t>
            </w:r>
          </w:p>
        </w:tc>
        <w:tc>
          <w:tcPr>
            <w:tcW w:w="572"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45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364"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557"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12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935" w:type="pct"/>
            <w:gridSpan w:val="2"/>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生物燃料</w:t>
            </w:r>
            <w:r>
              <w:rPr>
                <w:rFonts w:hint="default" w:ascii="Times New Roman" w:hAnsi="Times New Roman" w:eastAsia="宋体" w:cs="Times New Roman"/>
                <w:color w:val="auto"/>
                <w:sz w:val="21"/>
                <w:szCs w:val="21"/>
                <w:lang w:val="en-US" w:eastAsia="zh-CN"/>
              </w:rPr>
              <w:t>生产线</w:t>
            </w:r>
          </w:p>
        </w:tc>
        <w:tc>
          <w:tcPr>
            <w:tcW w:w="6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皂脚酸化产生的恶臭</w:t>
            </w:r>
          </w:p>
        </w:tc>
        <w:tc>
          <w:tcPr>
            <w:tcW w:w="572"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45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364"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557"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12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935" w:type="pct"/>
            <w:gridSpan w:val="2"/>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水溶肥生产线</w:t>
            </w:r>
          </w:p>
        </w:tc>
        <w:tc>
          <w:tcPr>
            <w:tcW w:w="6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投料废气</w:t>
            </w:r>
          </w:p>
        </w:tc>
        <w:tc>
          <w:tcPr>
            <w:tcW w:w="572" w:type="pct"/>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TSP</w:t>
            </w:r>
          </w:p>
        </w:tc>
        <w:tc>
          <w:tcPr>
            <w:tcW w:w="45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1.0</w:t>
            </w:r>
          </w:p>
        </w:tc>
        <w:tc>
          <w:tcPr>
            <w:tcW w:w="364" w:type="pct"/>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557" w:type="pct"/>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125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《大气污染物综合排放标准（GB16297-1996）表2中排放限值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935" w:type="pct"/>
            <w:gridSpan w:val="2"/>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生物</w:t>
            </w:r>
            <w:r>
              <w:rPr>
                <w:rFonts w:hint="default" w:ascii="Times New Roman" w:hAnsi="Times New Roman" w:eastAsia="宋体" w:cs="Times New Roman"/>
                <w:color w:val="auto"/>
                <w:sz w:val="21"/>
                <w:szCs w:val="21"/>
                <w:lang w:val="en-US" w:eastAsia="zh-CN"/>
              </w:rPr>
              <w:t>有机肥生产线</w:t>
            </w:r>
          </w:p>
        </w:tc>
        <w:tc>
          <w:tcPr>
            <w:tcW w:w="606"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vertAlign w:val="baseline"/>
                <w:lang w:val="en-US" w:eastAsia="zh-CN"/>
              </w:rPr>
              <w:t>破碎、造粒、筛分工序</w:t>
            </w:r>
          </w:p>
        </w:tc>
        <w:tc>
          <w:tcPr>
            <w:tcW w:w="572"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45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364"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557"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12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935" w:type="pct"/>
            <w:gridSpan w:val="2"/>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606"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原料运输</w:t>
            </w:r>
          </w:p>
        </w:tc>
        <w:tc>
          <w:tcPr>
            <w:tcW w:w="572"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45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364"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557"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12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935" w:type="pct"/>
            <w:gridSpan w:val="2"/>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606"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vertAlign w:val="baseline"/>
                <w:lang w:val="en-US" w:eastAsia="zh-CN"/>
              </w:rPr>
              <w:t>破碎、造粒、筛分工序</w:t>
            </w:r>
          </w:p>
        </w:tc>
        <w:tc>
          <w:tcPr>
            <w:tcW w:w="572"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45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364"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557"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12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935" w:type="pct"/>
            <w:gridSpan w:val="2"/>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生物燃料</w:t>
            </w:r>
            <w:r>
              <w:rPr>
                <w:rFonts w:hint="default" w:ascii="Times New Roman" w:hAnsi="Times New Roman" w:eastAsia="宋体" w:cs="Times New Roman"/>
                <w:color w:val="auto"/>
                <w:sz w:val="21"/>
                <w:szCs w:val="21"/>
                <w:lang w:val="en-US" w:eastAsia="zh-CN"/>
              </w:rPr>
              <w:t>生产线</w:t>
            </w:r>
          </w:p>
        </w:tc>
        <w:tc>
          <w:tcPr>
            <w:tcW w:w="606"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生物燃料</w:t>
            </w:r>
            <w:r>
              <w:rPr>
                <w:rFonts w:hint="default" w:ascii="Times New Roman" w:hAnsi="Times New Roman" w:eastAsia="宋体" w:cs="Times New Roman"/>
                <w:color w:val="auto"/>
                <w:sz w:val="21"/>
                <w:szCs w:val="21"/>
                <w:lang w:val="en-US" w:eastAsia="zh-CN"/>
              </w:rPr>
              <w:t>生产线</w:t>
            </w:r>
            <w:r>
              <w:rPr>
                <w:rFonts w:hint="eastAsia" w:ascii="Times New Roman" w:hAnsi="Times New Roman" w:eastAsia="宋体" w:cs="Times New Roman"/>
                <w:color w:val="auto"/>
                <w:sz w:val="21"/>
                <w:szCs w:val="21"/>
                <w:lang w:val="en-US" w:eastAsia="zh-CN"/>
              </w:rPr>
              <w:t>废气</w:t>
            </w:r>
          </w:p>
        </w:tc>
        <w:tc>
          <w:tcPr>
            <w:tcW w:w="572"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甲醇</w:t>
            </w:r>
          </w:p>
        </w:tc>
        <w:tc>
          <w:tcPr>
            <w:tcW w:w="4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w:t>
            </w:r>
          </w:p>
        </w:tc>
        <w:tc>
          <w:tcPr>
            <w:tcW w:w="364"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557"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2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《大气污染物综合排放标准（GB16297-1996）表2中排放限值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1541" w:type="pct"/>
            <w:gridSpan w:val="3"/>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厂房外无组织废气</w:t>
            </w:r>
          </w:p>
        </w:tc>
        <w:tc>
          <w:tcPr>
            <w:tcW w:w="572" w:type="pct"/>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NMHC</w:t>
            </w:r>
          </w:p>
        </w:tc>
        <w:tc>
          <w:tcPr>
            <w:tcW w:w="4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w:t>
            </w:r>
          </w:p>
        </w:tc>
        <w:tc>
          <w:tcPr>
            <w:tcW w:w="364"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557"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25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挥发性有机物无组织排放控制标准</w:t>
            </w:r>
            <w:r>
              <w:rPr>
                <w:rFonts w:hint="eastAsia" w:ascii="Times New Roman" w:hAnsi="Times New Roman" w:eastAsia="宋体" w:cs="Times New Roman"/>
                <w:color w:val="auto"/>
                <w:sz w:val="21"/>
                <w:szCs w:val="21"/>
                <w:highlight w:val="none"/>
                <w:vertAlign w:val="baseline"/>
                <w:lang w:val="en-US" w:eastAsia="zh-CN"/>
              </w:rPr>
              <w:t>》（GB37822-2019）表A.1 厂区内VOCs无组织特别排放限值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1541" w:type="pct"/>
            <w:gridSpan w:val="3"/>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572"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p>
        </w:tc>
        <w:tc>
          <w:tcPr>
            <w:tcW w:w="4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w:t>
            </w:r>
          </w:p>
        </w:tc>
        <w:tc>
          <w:tcPr>
            <w:tcW w:w="364"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557"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2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（2）废水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产生的生产废水回用于水溶肥生产线，不外排；项目产生的生活污水废水排入园区污水管网，进水水质复满足《污水综合排放标准》（GB8978-1996）三级标准限值，通过园区污水管网进入园区污水处理厂处理。</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2.2.3-3  污水排放标准（单位：mg/L）</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67"/>
        <w:gridCol w:w="1365"/>
        <w:gridCol w:w="615"/>
        <w:gridCol w:w="795"/>
        <w:gridCol w:w="885"/>
        <w:gridCol w:w="825"/>
        <w:gridCol w:w="1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污染物名称</w:t>
            </w:r>
          </w:p>
        </w:tc>
        <w:tc>
          <w:tcPr>
            <w:tcW w:w="8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pH（无量纲）</w:t>
            </w:r>
          </w:p>
        </w:tc>
        <w:tc>
          <w:tcPr>
            <w:tcW w:w="3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SS</w:t>
            </w:r>
          </w:p>
        </w:tc>
        <w:tc>
          <w:tcPr>
            <w:tcW w:w="4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BOD</w:t>
            </w:r>
            <w:r>
              <w:rPr>
                <w:rFonts w:hint="eastAsia" w:ascii="Times New Roman" w:hAnsi="Times New Roman" w:eastAsia="宋体" w:cs="Times New Roman"/>
                <w:color w:val="auto"/>
                <w:sz w:val="21"/>
                <w:szCs w:val="21"/>
                <w:vertAlign w:val="subscript"/>
                <w:lang w:val="en-US" w:eastAsia="zh-CN"/>
              </w:rPr>
              <w:t>5</w:t>
            </w:r>
          </w:p>
        </w:tc>
        <w:tc>
          <w:tcPr>
            <w:tcW w:w="51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COD</w:t>
            </w:r>
            <w:r>
              <w:rPr>
                <w:rFonts w:hint="eastAsia" w:ascii="Times New Roman" w:hAnsi="Times New Roman" w:eastAsia="宋体" w:cs="Times New Roman"/>
                <w:color w:val="auto"/>
                <w:sz w:val="21"/>
                <w:szCs w:val="21"/>
                <w:vertAlign w:val="subscript"/>
                <w:lang w:val="en-US" w:eastAsia="zh-CN"/>
              </w:rPr>
              <w:t>Cr</w:t>
            </w:r>
          </w:p>
        </w:tc>
        <w:tc>
          <w:tcPr>
            <w:tcW w:w="48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NH</w:t>
            </w:r>
            <w:r>
              <w:rPr>
                <w:rFonts w:hint="eastAsia" w:ascii="Times New Roman" w:hAnsi="Times New Roman" w:eastAsia="宋体" w:cs="Times New Roman"/>
                <w:color w:val="auto"/>
                <w:sz w:val="21"/>
                <w:szCs w:val="21"/>
                <w:vertAlign w:val="subscript"/>
                <w:lang w:val="en-US" w:eastAsia="zh-CN"/>
              </w:rPr>
              <w:t>3</w:t>
            </w:r>
            <w:r>
              <w:rPr>
                <w:rFonts w:hint="eastAsia" w:ascii="Times New Roman" w:hAnsi="Times New Roman" w:eastAsia="宋体" w:cs="Times New Roman"/>
                <w:color w:val="auto"/>
                <w:sz w:val="21"/>
                <w:szCs w:val="21"/>
                <w:vertAlign w:val="baseline"/>
                <w:lang w:val="en-US" w:eastAsia="zh-CN"/>
              </w:rPr>
              <w:t>-N</w:t>
            </w:r>
          </w:p>
        </w:tc>
        <w:tc>
          <w:tcPr>
            <w:tcW w:w="68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动植物油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《污水综合排放标准》（GB8978-1996）三级标准</w:t>
            </w:r>
          </w:p>
        </w:tc>
        <w:tc>
          <w:tcPr>
            <w:tcW w:w="8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6-9</w:t>
            </w:r>
          </w:p>
        </w:tc>
        <w:tc>
          <w:tcPr>
            <w:tcW w:w="3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400</w:t>
            </w:r>
          </w:p>
        </w:tc>
        <w:tc>
          <w:tcPr>
            <w:tcW w:w="4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300</w:t>
            </w:r>
          </w:p>
        </w:tc>
        <w:tc>
          <w:tcPr>
            <w:tcW w:w="51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500</w:t>
            </w:r>
          </w:p>
        </w:tc>
        <w:tc>
          <w:tcPr>
            <w:tcW w:w="48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68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污水处理厂进水水质标准</w:t>
            </w:r>
          </w:p>
        </w:tc>
        <w:tc>
          <w:tcPr>
            <w:tcW w:w="8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6-9</w:t>
            </w:r>
          </w:p>
        </w:tc>
        <w:tc>
          <w:tcPr>
            <w:tcW w:w="3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400</w:t>
            </w:r>
          </w:p>
        </w:tc>
        <w:tc>
          <w:tcPr>
            <w:tcW w:w="4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300</w:t>
            </w:r>
          </w:p>
        </w:tc>
        <w:tc>
          <w:tcPr>
            <w:tcW w:w="51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500</w:t>
            </w:r>
          </w:p>
        </w:tc>
        <w:tc>
          <w:tcPr>
            <w:tcW w:w="48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68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100</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（3）噪声</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本项目运营期噪声排放执行《工业企业厂界环境噪声排放标准》（GB12348-2008）3 类功能区标准，项目施工期噪声执行《建筑施工场界环境噪声排放标准》（GB12523-2011）。具体见表 2.2.3-4。</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2.2.3-4   噪声排放标准  单位：dB（A）</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6"/>
        <w:gridCol w:w="1171"/>
        <w:gridCol w:w="810"/>
        <w:gridCol w:w="900"/>
        <w:gridCol w:w="3364"/>
        <w:gridCol w:w="11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污染源</w:t>
            </w:r>
          </w:p>
        </w:tc>
        <w:tc>
          <w:tcPr>
            <w:tcW w:w="68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污染物</w:t>
            </w:r>
          </w:p>
        </w:tc>
        <w:tc>
          <w:tcPr>
            <w:tcW w:w="1003"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污染物排放限值</w:t>
            </w:r>
          </w:p>
        </w:tc>
        <w:tc>
          <w:tcPr>
            <w:tcW w:w="197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标准来源</w:t>
            </w:r>
          </w:p>
        </w:tc>
        <w:tc>
          <w:tcPr>
            <w:tcW w:w="65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运营噪声</w:t>
            </w:r>
          </w:p>
        </w:tc>
        <w:tc>
          <w:tcPr>
            <w:tcW w:w="687"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厂界噪声</w:t>
            </w:r>
          </w:p>
        </w:tc>
        <w:tc>
          <w:tcPr>
            <w:tcW w:w="4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昼间</w:t>
            </w:r>
          </w:p>
        </w:tc>
        <w:tc>
          <w:tcPr>
            <w:tcW w:w="5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65</w:t>
            </w:r>
          </w:p>
        </w:tc>
        <w:tc>
          <w:tcPr>
            <w:tcW w:w="1973"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《工业企业厂界环境噪声排放标准》（GB12348-2008）3 类功能区</w:t>
            </w:r>
          </w:p>
        </w:tc>
        <w:tc>
          <w:tcPr>
            <w:tcW w:w="657"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占地厂界外1m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8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4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夜间</w:t>
            </w:r>
          </w:p>
        </w:tc>
        <w:tc>
          <w:tcPr>
            <w:tcW w:w="5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55</w:t>
            </w:r>
          </w:p>
        </w:tc>
        <w:tc>
          <w:tcPr>
            <w:tcW w:w="1973"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5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施工期噪声</w:t>
            </w:r>
          </w:p>
        </w:tc>
        <w:tc>
          <w:tcPr>
            <w:tcW w:w="687"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场界噪声</w:t>
            </w:r>
          </w:p>
        </w:tc>
        <w:tc>
          <w:tcPr>
            <w:tcW w:w="4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昼间</w:t>
            </w:r>
          </w:p>
        </w:tc>
        <w:tc>
          <w:tcPr>
            <w:tcW w:w="5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70</w:t>
            </w:r>
          </w:p>
        </w:tc>
        <w:tc>
          <w:tcPr>
            <w:tcW w:w="1973"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《建筑施工场界环境噪声排放标准》（GB12523-2011）</w:t>
            </w:r>
          </w:p>
        </w:tc>
        <w:tc>
          <w:tcPr>
            <w:tcW w:w="657"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施工场底外1m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8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4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夜间</w:t>
            </w:r>
          </w:p>
        </w:tc>
        <w:tc>
          <w:tcPr>
            <w:tcW w:w="5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55</w:t>
            </w:r>
          </w:p>
        </w:tc>
        <w:tc>
          <w:tcPr>
            <w:tcW w:w="1973"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5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（4）固体废物</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一般工业固体废物执行《一般工业固体废物贮存和填埋污染控制标准》（GB18599-2020）中的相关要求；危险废物执行《危险废物贮存污染控制标准》（GB18597-2023）；生活垃圾执行《</w:t>
      </w:r>
      <w:r>
        <w:rPr>
          <w:rFonts w:hint="eastAsia" w:ascii="Times New Roman" w:hAnsi="Times New Roman" w:eastAsia="宋体" w:cs="Times New Roman"/>
          <w:color w:val="auto"/>
          <w:sz w:val="24"/>
          <w:szCs w:val="24"/>
          <w:lang w:val="en-US" w:eastAsia="zh-CN"/>
        </w:rPr>
        <w:fldChar w:fldCharType="begin"/>
      </w:r>
      <w:r>
        <w:rPr>
          <w:rFonts w:hint="eastAsia" w:ascii="Times New Roman" w:hAnsi="Times New Roman" w:eastAsia="宋体" w:cs="Times New Roman"/>
          <w:color w:val="auto"/>
          <w:sz w:val="24"/>
          <w:szCs w:val="24"/>
          <w:lang w:val="en-US" w:eastAsia="zh-CN"/>
        </w:rPr>
        <w:instrText xml:space="preserve"> HYPERLINK "http://www.mee.gov.cn/ywgz/fgbz/bz/bzwb/gthw/gtfwwrkzbz/200804/W020120719581734247724.pdf" </w:instrText>
      </w:r>
      <w:r>
        <w:rPr>
          <w:rFonts w:hint="eastAsia" w:ascii="Times New Roman" w:hAnsi="Times New Roman" w:eastAsia="宋体" w:cs="Times New Roman"/>
          <w:color w:val="auto"/>
          <w:sz w:val="24"/>
          <w:szCs w:val="24"/>
          <w:lang w:val="en-US" w:eastAsia="zh-CN"/>
        </w:rPr>
        <w:fldChar w:fldCharType="separate"/>
      </w:r>
      <w:r>
        <w:rPr>
          <w:rFonts w:hint="eastAsia" w:ascii="Times New Roman" w:hAnsi="Times New Roman" w:eastAsia="宋体" w:cs="Times New Roman"/>
          <w:color w:val="auto"/>
          <w:sz w:val="24"/>
          <w:szCs w:val="24"/>
          <w:lang w:val="en-US" w:eastAsia="zh-CN"/>
        </w:rPr>
        <w:t>生活垃圾填埋场污染控制标准》（GB16889-2008）</w:t>
      </w:r>
      <w:r>
        <w:rPr>
          <w:rFonts w:hint="eastAsia" w:ascii="Times New Roman" w:hAnsi="Times New Roman" w:eastAsia="宋体" w:cs="Times New Roman"/>
          <w:color w:val="auto"/>
          <w:sz w:val="24"/>
          <w:szCs w:val="24"/>
          <w:lang w:val="en-US" w:eastAsia="zh-CN"/>
        </w:rPr>
        <w:fldChar w:fldCharType="end"/>
      </w:r>
      <w:r>
        <w:rPr>
          <w:rFonts w:hint="eastAsia" w:ascii="Times New Roman" w:hAnsi="Times New Roman" w:eastAsia="宋体" w:cs="Times New Roman"/>
          <w:color w:val="auto"/>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color w:val="auto"/>
          <w:sz w:val="24"/>
          <w:szCs w:val="24"/>
          <w:lang w:val="en-US" w:eastAsia="zh-CN"/>
        </w:rPr>
      </w:pPr>
      <w:bookmarkStart w:id="9" w:name="_Toc22021"/>
      <w:r>
        <w:rPr>
          <w:rFonts w:hint="eastAsia" w:ascii="Times New Roman" w:hAnsi="Times New Roman" w:eastAsia="宋体" w:cs="Times New Roman"/>
          <w:b/>
          <w:bCs/>
          <w:color w:val="auto"/>
          <w:sz w:val="30"/>
          <w:szCs w:val="30"/>
          <w:lang w:val="en-US" w:eastAsia="zh-CN"/>
        </w:rPr>
        <w:t>2.3 评价等级及评价范围</w:t>
      </w:r>
      <w:bookmarkEnd w:id="9"/>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2.3.1 评价等级</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2.3.1.1 环境空气影响评价工作等级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（1）判定依据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根据工程分析结果，本项目选择 PM</w:t>
      </w:r>
      <w:r>
        <w:rPr>
          <w:rFonts w:hint="eastAsia" w:ascii="Times New Roman" w:hAnsi="Times New Roman" w:eastAsia="宋体" w:cs="Times New Roman"/>
          <w:color w:val="auto"/>
          <w:sz w:val="24"/>
          <w:szCs w:val="24"/>
          <w:vertAlign w:val="subscript"/>
          <w:lang w:val="en-US" w:eastAsia="zh-CN"/>
        </w:rPr>
        <w:t>10</w:t>
      </w:r>
      <w:r>
        <w:rPr>
          <w:rFonts w:hint="eastAsia" w:ascii="Times New Roman" w:hAnsi="Times New Roman" w:eastAsia="宋体" w:cs="Times New Roman"/>
          <w:color w:val="auto"/>
          <w:sz w:val="24"/>
          <w:szCs w:val="24"/>
          <w:lang w:val="en-US" w:eastAsia="zh-CN"/>
        </w:rPr>
        <w:t>、颗粒物、氨、硫化氢、甲醇和非甲烷总烃作为主要污染物，按照《环境影响评价技术导则大气环境》（HJ2.2-2018）规定，采用 AERMOD模式系统分别计算每一种污染物的最大地面浓度占标率 Pi（第 i 个污染物），及第 i 个污染物的地面浓度达标准限值 10%时所对应的最远距离 D10%，其中 Pi 定义为：</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position w:val="-30"/>
          <w:sz w:val="24"/>
          <w:szCs w:val="24"/>
          <w:lang w:val="en-US" w:eastAsia="zh-CN"/>
        </w:rPr>
        <w:object>
          <v:shape id="_x0000_i1025" o:spt="75" type="#_x0000_t75" style="height:34pt;width:78pt;" o:ole="t" filled="f" o:preferrelative="t" stroked="f" coordsize="21600,21600">
            <v:path/>
            <v:fill on="f" focussize="0,0"/>
            <v:stroke on="f"/>
            <v:imagedata r:id="rId10" o:title=""/>
            <o:lock v:ext="edit" aspectratio="t"/>
            <w10:wrap type="none"/>
            <w10:anchorlock/>
          </v:shape>
          <o:OLEObject Type="Embed" ProgID="Equation.KSEE3" ShapeID="_x0000_i1025" DrawAspect="Content" ObjectID="_1468075725" r:id="rId9">
            <o:LockedField>false</o:LockedField>
          </o:OLEObject>
        </w:objec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式中：P</w:t>
      </w:r>
      <w:r>
        <w:rPr>
          <w:rFonts w:hint="eastAsia" w:ascii="Times New Roman" w:hAnsi="Times New Roman" w:eastAsia="宋体" w:cs="Times New Roman"/>
          <w:color w:val="auto"/>
          <w:sz w:val="24"/>
          <w:szCs w:val="24"/>
          <w:vertAlign w:val="subscript"/>
          <w:lang w:val="en-US" w:eastAsia="zh-CN"/>
        </w:rPr>
        <w:t>i</w:t>
      </w:r>
      <w:r>
        <w:rPr>
          <w:rFonts w:hint="eastAsia" w:ascii="Times New Roman" w:hAnsi="Times New Roman" w:eastAsia="宋体" w:cs="Times New Roman"/>
          <w:color w:val="auto"/>
          <w:sz w:val="24"/>
          <w:szCs w:val="24"/>
          <w:lang w:val="en-US" w:eastAsia="zh-CN"/>
        </w:rPr>
        <w:t>—第 i 个污染物的最大地面浓度占标率，%；</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C</w:t>
      </w:r>
      <w:r>
        <w:rPr>
          <w:rFonts w:hint="eastAsia" w:ascii="Times New Roman" w:hAnsi="Times New Roman" w:eastAsia="宋体" w:cs="Times New Roman"/>
          <w:color w:val="auto"/>
          <w:sz w:val="24"/>
          <w:szCs w:val="24"/>
          <w:vertAlign w:val="subscript"/>
          <w:lang w:val="en-US" w:eastAsia="zh-CN"/>
        </w:rPr>
        <w:t>i</w:t>
      </w:r>
      <w:r>
        <w:rPr>
          <w:rFonts w:hint="eastAsia" w:ascii="Times New Roman" w:hAnsi="Times New Roman" w:eastAsia="宋体" w:cs="Times New Roman"/>
          <w:color w:val="auto"/>
          <w:sz w:val="24"/>
          <w:szCs w:val="24"/>
          <w:lang w:val="en-US" w:eastAsia="zh-CN"/>
        </w:rPr>
        <w:t>—采用估算模式计算出第i个污染物的最大地面浓度，mg/m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C</w:t>
      </w:r>
      <w:r>
        <w:rPr>
          <w:rFonts w:hint="eastAsia" w:ascii="Times New Roman" w:hAnsi="Times New Roman" w:eastAsia="宋体" w:cs="Times New Roman"/>
          <w:color w:val="auto"/>
          <w:sz w:val="24"/>
          <w:szCs w:val="24"/>
          <w:vertAlign w:val="subscript"/>
          <w:lang w:val="en-US" w:eastAsia="zh-CN"/>
        </w:rPr>
        <w:t>0i</w:t>
      </w:r>
      <w:r>
        <w:rPr>
          <w:rFonts w:hint="eastAsia" w:ascii="Times New Roman" w:hAnsi="Times New Roman" w:eastAsia="宋体" w:cs="Times New Roman"/>
          <w:color w:val="auto"/>
          <w:sz w:val="24"/>
          <w:szCs w:val="24"/>
          <w:lang w:val="en-US" w:eastAsia="zh-CN"/>
        </w:rPr>
        <w:t>—第 i 个污染物的环境空气质量标准，mg/m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。一般选用 GB3095 中 1 小时平均质量浓度的二级浓度限值，对该标准中未包含的污染物，使用环境影响评价技术导则大气环境中 5.2 确定的各评价因子 1h 平均质量浓度限值。对仅有 8h 平均质量浓度限值、日平均质量浓度限值或年平均质量浓度限值的，可分别按 2 倍、3 倍、6 倍折算为 1h 平均质量浓度限值。</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大气评价工作等级按表 2.3.1-1 的分级判据进行划分。 </w:t>
      </w:r>
    </w:p>
    <w:p>
      <w:pPr>
        <w:pStyle w:val="33"/>
        <w:bidi w:val="0"/>
        <w:rPr>
          <w:rFonts w:hint="default"/>
          <w:color w:val="auto"/>
          <w:sz w:val="24"/>
          <w:szCs w:val="24"/>
        </w:rPr>
      </w:pPr>
      <w:bookmarkStart w:id="10" w:name="_Ref536364985"/>
      <w:r>
        <w:rPr>
          <w:rFonts w:hint="default"/>
          <w:color w:val="auto"/>
          <w:sz w:val="24"/>
          <w:szCs w:val="24"/>
        </w:rPr>
        <w:t>表</w:t>
      </w:r>
      <w:r>
        <w:rPr>
          <w:rFonts w:hint="eastAsia"/>
          <w:color w:val="auto"/>
          <w:sz w:val="24"/>
          <w:szCs w:val="24"/>
          <w:lang w:val="en-US" w:eastAsia="zh-CN"/>
        </w:rPr>
        <w:t xml:space="preserve"> 2.3.1-1   </w:t>
      </w:r>
      <w:bookmarkEnd w:id="10"/>
      <w:r>
        <w:rPr>
          <w:rFonts w:hint="default"/>
          <w:color w:val="auto"/>
          <w:sz w:val="24"/>
          <w:szCs w:val="24"/>
        </w:rPr>
        <w:t>评价工作等级判别表</w:t>
      </w:r>
    </w:p>
    <w:tbl>
      <w:tblPr>
        <w:tblStyle w:val="21"/>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108" w:type="dxa"/>
          <w:bottom w:w="0" w:type="dxa"/>
          <w:right w:w="108" w:type="dxa"/>
        </w:tblCellMar>
      </w:tblPr>
      <w:tblGrid>
        <w:gridCol w:w="3844"/>
        <w:gridCol w:w="52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jc w:val="center"/>
        </w:trPr>
        <w:tc>
          <w:tcPr>
            <w:tcW w:w="3611" w:type="dxa"/>
            <w:tcBorders>
              <w:tl2br w:val="nil"/>
              <w:tr2bl w:val="nil"/>
            </w:tcBorders>
            <w:noWrap w:val="0"/>
            <w:vAlign w:val="center"/>
          </w:tcPr>
          <w:p>
            <w:pPr>
              <w:pStyle w:val="34"/>
              <w:bidi w:val="0"/>
              <w:rPr>
                <w:rFonts w:hint="default"/>
                <w:b/>
                <w:bCs/>
                <w:color w:val="auto"/>
              </w:rPr>
            </w:pPr>
            <w:r>
              <w:rPr>
                <w:rFonts w:hint="default"/>
                <w:b/>
                <w:bCs/>
                <w:color w:val="auto"/>
              </w:rPr>
              <w:t>评价工作等级</w:t>
            </w:r>
          </w:p>
        </w:tc>
        <w:tc>
          <w:tcPr>
            <w:tcW w:w="4911" w:type="dxa"/>
            <w:tcBorders>
              <w:tl2br w:val="nil"/>
              <w:tr2bl w:val="nil"/>
            </w:tcBorders>
            <w:noWrap w:val="0"/>
            <w:vAlign w:val="center"/>
          </w:tcPr>
          <w:p>
            <w:pPr>
              <w:pStyle w:val="34"/>
              <w:bidi w:val="0"/>
              <w:rPr>
                <w:rFonts w:hint="default"/>
                <w:b/>
                <w:bCs/>
                <w:color w:val="auto"/>
              </w:rPr>
            </w:pPr>
            <w:r>
              <w:rPr>
                <w:rFonts w:hint="default"/>
                <w:b/>
                <w:bCs/>
                <w:color w:val="auto"/>
              </w:rPr>
              <w:t>评价工作等级判据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jc w:val="center"/>
        </w:trPr>
        <w:tc>
          <w:tcPr>
            <w:tcW w:w="3611" w:type="dxa"/>
            <w:tcBorders>
              <w:tl2br w:val="nil"/>
              <w:tr2bl w:val="nil"/>
            </w:tcBorders>
            <w:noWrap w:val="0"/>
            <w:vAlign w:val="center"/>
          </w:tcPr>
          <w:p>
            <w:pPr>
              <w:pStyle w:val="34"/>
              <w:bidi w:val="0"/>
              <w:rPr>
                <w:rFonts w:hint="default"/>
                <w:color w:val="auto"/>
              </w:rPr>
            </w:pPr>
            <w:r>
              <w:rPr>
                <w:rFonts w:hint="default"/>
                <w:color w:val="auto"/>
              </w:rPr>
              <w:t>一级</w:t>
            </w:r>
          </w:p>
        </w:tc>
        <w:tc>
          <w:tcPr>
            <w:tcW w:w="4911" w:type="dxa"/>
            <w:tcBorders>
              <w:tl2br w:val="nil"/>
              <w:tr2bl w:val="nil"/>
            </w:tcBorders>
            <w:noWrap w:val="0"/>
            <w:vAlign w:val="center"/>
          </w:tcPr>
          <w:p>
            <w:pPr>
              <w:pStyle w:val="34"/>
              <w:bidi w:val="0"/>
              <w:rPr>
                <w:rFonts w:hint="default"/>
                <w:color w:val="auto"/>
              </w:rPr>
            </w:pPr>
            <w:r>
              <w:rPr>
                <w:rFonts w:hint="eastAsia"/>
                <w:color w:val="auto"/>
                <w:lang w:eastAsia="zh-CN"/>
              </w:rPr>
              <w:t>PM</w:t>
            </w:r>
            <w:r>
              <w:rPr>
                <w:rFonts w:hint="default"/>
                <w:color w:val="auto"/>
              </w:rPr>
              <w:t>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jc w:val="center"/>
        </w:trPr>
        <w:tc>
          <w:tcPr>
            <w:tcW w:w="3611" w:type="dxa"/>
            <w:tcBorders>
              <w:tl2br w:val="nil"/>
              <w:tr2bl w:val="nil"/>
            </w:tcBorders>
            <w:noWrap w:val="0"/>
            <w:vAlign w:val="center"/>
          </w:tcPr>
          <w:p>
            <w:pPr>
              <w:pStyle w:val="34"/>
              <w:bidi w:val="0"/>
              <w:rPr>
                <w:rFonts w:hint="default"/>
                <w:color w:val="auto"/>
              </w:rPr>
            </w:pPr>
            <w:r>
              <w:rPr>
                <w:rFonts w:hint="default"/>
                <w:color w:val="auto"/>
              </w:rPr>
              <w:t>二级</w:t>
            </w:r>
          </w:p>
        </w:tc>
        <w:tc>
          <w:tcPr>
            <w:tcW w:w="4911" w:type="dxa"/>
            <w:tcBorders>
              <w:tl2br w:val="nil"/>
              <w:tr2bl w:val="nil"/>
            </w:tcBorders>
            <w:noWrap w:val="0"/>
            <w:vAlign w:val="center"/>
          </w:tcPr>
          <w:p>
            <w:pPr>
              <w:pStyle w:val="34"/>
              <w:bidi w:val="0"/>
              <w:rPr>
                <w:rFonts w:hint="default"/>
                <w:color w:val="auto"/>
              </w:rPr>
            </w:pPr>
            <w:r>
              <w:rPr>
                <w:rFonts w:hint="default"/>
                <w:color w:val="auto"/>
              </w:rPr>
              <w:t>1%≤</w:t>
            </w:r>
            <w:r>
              <w:rPr>
                <w:rFonts w:hint="eastAsia"/>
                <w:color w:val="auto"/>
                <w:lang w:eastAsia="zh-CN"/>
              </w:rPr>
              <w:t>PM</w:t>
            </w:r>
            <w:r>
              <w:rPr>
                <w:rFonts w:hint="default"/>
                <w:color w:val="auto"/>
              </w:rPr>
              <w:t>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jc w:val="center"/>
        </w:trPr>
        <w:tc>
          <w:tcPr>
            <w:tcW w:w="3611" w:type="dxa"/>
            <w:tcBorders>
              <w:tl2br w:val="nil"/>
              <w:tr2bl w:val="nil"/>
            </w:tcBorders>
            <w:noWrap w:val="0"/>
            <w:vAlign w:val="center"/>
          </w:tcPr>
          <w:p>
            <w:pPr>
              <w:pStyle w:val="34"/>
              <w:bidi w:val="0"/>
              <w:rPr>
                <w:rFonts w:hint="default"/>
                <w:color w:val="auto"/>
              </w:rPr>
            </w:pPr>
            <w:r>
              <w:rPr>
                <w:rFonts w:hint="default"/>
                <w:color w:val="auto"/>
              </w:rPr>
              <w:t>三级</w:t>
            </w:r>
          </w:p>
        </w:tc>
        <w:tc>
          <w:tcPr>
            <w:tcW w:w="4911" w:type="dxa"/>
            <w:tcBorders>
              <w:tl2br w:val="nil"/>
              <w:tr2bl w:val="nil"/>
            </w:tcBorders>
            <w:noWrap w:val="0"/>
            <w:vAlign w:val="center"/>
          </w:tcPr>
          <w:p>
            <w:pPr>
              <w:pStyle w:val="34"/>
              <w:bidi w:val="0"/>
              <w:rPr>
                <w:rFonts w:hint="default"/>
                <w:color w:val="auto"/>
              </w:rPr>
            </w:pPr>
            <w:r>
              <w:rPr>
                <w:rFonts w:hint="eastAsia"/>
                <w:color w:val="auto"/>
                <w:lang w:eastAsia="zh-CN"/>
              </w:rPr>
              <w:t>PM</w:t>
            </w:r>
            <w:r>
              <w:rPr>
                <w:rFonts w:hint="default"/>
                <w:color w:val="auto"/>
              </w:rPr>
              <w:t>ax＜1%</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（2）污染源参数的选择</w:t>
      </w:r>
    </w:p>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560" w:lineRule="exact"/>
        <w:ind w:left="0" w:leftChars="0" w:right="0" w:rightChars="0" w:firstLine="480" w:firstLineChars="200"/>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color w:val="auto"/>
          <w:sz w:val="24"/>
          <w:szCs w:val="24"/>
          <w:highlight w:val="none"/>
        </w:rPr>
        <w:t>估算模型参数见表</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2</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3.1</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p>
    <w:p>
      <w:pPr>
        <w:pStyle w:val="33"/>
        <w:bidi w:val="0"/>
        <w:rPr>
          <w:rFonts w:hint="default"/>
          <w:color w:val="auto"/>
          <w:sz w:val="24"/>
          <w:szCs w:val="24"/>
        </w:rPr>
      </w:pPr>
      <w:r>
        <w:rPr>
          <w:rFonts w:hint="default"/>
          <w:color w:val="auto"/>
          <w:sz w:val="24"/>
          <w:szCs w:val="24"/>
        </w:rPr>
        <w:t>表</w:t>
      </w:r>
      <w:r>
        <w:rPr>
          <w:rFonts w:hint="eastAsia"/>
          <w:color w:val="auto"/>
          <w:sz w:val="24"/>
          <w:szCs w:val="24"/>
          <w:lang w:val="en-US" w:eastAsia="zh-CN"/>
        </w:rPr>
        <w:t xml:space="preserve"> 2.3.1-2  </w:t>
      </w:r>
      <w:r>
        <w:rPr>
          <w:rFonts w:hint="default"/>
          <w:color w:val="auto"/>
          <w:sz w:val="24"/>
          <w:szCs w:val="24"/>
        </w:rPr>
        <w:t xml:space="preserve"> 估算模型参数表</w:t>
      </w:r>
    </w:p>
    <w:tbl>
      <w:tblPr>
        <w:tblStyle w:val="21"/>
        <w:tblpPr w:leftFromText="180" w:rightFromText="180" w:vertAnchor="text" w:tblpXSpec="center" w:tblpY="1"/>
        <w:tblOverlap w:val="never"/>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064"/>
        <w:gridCol w:w="1077"/>
        <w:gridCol w:w="706"/>
        <w:gridCol w:w="1217"/>
        <w:gridCol w:w="690"/>
        <w:gridCol w:w="1333"/>
        <w:gridCol w:w="1108"/>
        <w:gridCol w:w="132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57" w:type="pct"/>
            <w:gridSpan w:val="2"/>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参数名称</w:t>
            </w:r>
          </w:p>
        </w:tc>
        <w:tc>
          <w:tcPr>
            <w:tcW w:w="414" w:type="pc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c>
          <w:tcPr>
            <w:tcW w:w="3328" w:type="pct"/>
            <w:gridSpan w:val="5"/>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数 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25" w:type="pct"/>
            <w:vMerge w:val="restar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地面气象观测资料</w:t>
            </w:r>
          </w:p>
        </w:tc>
        <w:tc>
          <w:tcPr>
            <w:tcW w:w="632" w:type="pc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站点</w:t>
            </w:r>
          </w:p>
        </w:tc>
        <w:tc>
          <w:tcPr>
            <w:tcW w:w="414" w:type="pc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3328" w:type="pct"/>
            <w:gridSpan w:val="5"/>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呼图壁县</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25" w:type="pct"/>
            <w:vMerge w:val="continue"/>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p>
        </w:tc>
        <w:tc>
          <w:tcPr>
            <w:tcW w:w="632" w:type="pc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数据时间</w:t>
            </w:r>
          </w:p>
        </w:tc>
        <w:tc>
          <w:tcPr>
            <w:tcW w:w="414" w:type="pc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3328" w:type="pct"/>
            <w:gridSpan w:val="5"/>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.1.1～20</w:t>
            </w:r>
            <w:r>
              <w:rPr>
                <w:rFonts w:hint="default" w:ascii="Times New Roman" w:hAnsi="Times New Roman" w:eastAsia="宋体"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.12.31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57" w:type="pct"/>
            <w:gridSpan w:val="2"/>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地形数据分辨率</w:t>
            </w:r>
          </w:p>
        </w:tc>
        <w:tc>
          <w:tcPr>
            <w:tcW w:w="414" w:type="pc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3328" w:type="pct"/>
            <w:gridSpan w:val="5"/>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90×90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57" w:type="pct"/>
            <w:gridSpan w:val="2"/>
            <w:vMerge w:val="restar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地表参数</w:t>
            </w:r>
          </w:p>
        </w:tc>
        <w:tc>
          <w:tcPr>
            <w:tcW w:w="414" w:type="pct"/>
            <w:vMerge w:val="restar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14" w:type="pc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扇形区域</w:t>
            </w:r>
          </w:p>
        </w:tc>
        <w:tc>
          <w:tcPr>
            <w:tcW w:w="405" w:type="pc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季节</w:t>
            </w:r>
          </w:p>
        </w:tc>
        <w:tc>
          <w:tcPr>
            <w:tcW w:w="782" w:type="pc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正午反照度</w:t>
            </w:r>
          </w:p>
        </w:tc>
        <w:tc>
          <w:tcPr>
            <w:tcW w:w="650" w:type="pc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波文比</w:t>
            </w:r>
          </w:p>
        </w:tc>
        <w:tc>
          <w:tcPr>
            <w:tcW w:w="775" w:type="pc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表面粗糙度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57" w:type="pct"/>
            <w:gridSpan w:val="2"/>
            <w:vMerge w:val="continue"/>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p>
        </w:tc>
        <w:tc>
          <w:tcPr>
            <w:tcW w:w="414" w:type="pct"/>
            <w:vMerge w:val="continue"/>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p>
        </w:tc>
        <w:tc>
          <w:tcPr>
            <w:tcW w:w="714" w:type="pc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0°-360°</w:t>
            </w:r>
          </w:p>
        </w:tc>
        <w:tc>
          <w:tcPr>
            <w:tcW w:w="405" w:type="pc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全年</w:t>
            </w:r>
          </w:p>
        </w:tc>
        <w:tc>
          <w:tcPr>
            <w:tcW w:w="782" w:type="pc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0.3275</w:t>
            </w:r>
          </w:p>
        </w:tc>
        <w:tc>
          <w:tcPr>
            <w:tcW w:w="650" w:type="pc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7.75</w:t>
            </w:r>
          </w:p>
        </w:tc>
        <w:tc>
          <w:tcPr>
            <w:tcW w:w="775" w:type="pc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0.2625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57" w:type="pct"/>
            <w:gridSpan w:val="2"/>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参数名称</w:t>
            </w:r>
          </w:p>
        </w:tc>
        <w:tc>
          <w:tcPr>
            <w:tcW w:w="414" w:type="pc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c>
          <w:tcPr>
            <w:tcW w:w="3328" w:type="pct"/>
            <w:gridSpan w:val="5"/>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数值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57" w:type="pct"/>
            <w:gridSpan w:val="2"/>
            <w:vMerge w:val="restar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化学转化</w:t>
            </w:r>
          </w:p>
        </w:tc>
        <w:tc>
          <w:tcPr>
            <w:tcW w:w="414" w:type="pc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3328" w:type="pct"/>
            <w:gridSpan w:val="5"/>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计算 1小时平均浓度时不考虑SO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转化，日平均和年平均浓度时SO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取半衰期为4 小时</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57" w:type="pct"/>
            <w:gridSpan w:val="2"/>
            <w:vMerge w:val="continue"/>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p>
        </w:tc>
        <w:tc>
          <w:tcPr>
            <w:tcW w:w="414" w:type="pc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3328" w:type="pct"/>
            <w:gridSpan w:val="5"/>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计算1小时和日平均浓度时，假定NO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/NOx=0.9，计算年平均浓度时，假定 NO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/NOx=0.5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57" w:type="pct"/>
            <w:gridSpan w:val="2"/>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重力沉降</w:t>
            </w:r>
          </w:p>
        </w:tc>
        <w:tc>
          <w:tcPr>
            <w:tcW w:w="414" w:type="pc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3328" w:type="pct"/>
            <w:gridSpan w:val="5"/>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计算颗粒物浓度时考虑重力沉降</w:t>
            </w:r>
          </w:p>
        </w:tc>
      </w:tr>
    </w:tbl>
    <w:p>
      <w:pPr>
        <w:keepNext w:val="0"/>
        <w:keepLines w:val="0"/>
        <w:pageBreakBefore w:val="0"/>
        <w:widowControl w:val="0"/>
        <w:shd w:val="clear" w:color="auto" w:fill="auto"/>
        <w:kinsoku/>
        <w:wordWrap w:val="0"/>
        <w:overflowPunct/>
        <w:topLinePunct w:val="0"/>
        <w:autoSpaceDE/>
        <w:autoSpaceDN/>
        <w:bidi w:val="0"/>
        <w:spacing w:beforeAutospacing="0" w:line="560" w:lineRule="exact"/>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（3）污染源源强统计</w:t>
      </w:r>
    </w:p>
    <w:p>
      <w:pPr>
        <w:keepNext w:val="0"/>
        <w:keepLines w:val="0"/>
        <w:pageBreakBefore w:val="0"/>
        <w:widowControl w:val="0"/>
        <w:shd w:val="clear" w:color="auto" w:fill="auto"/>
        <w:kinsoku/>
        <w:wordWrap w:val="0"/>
        <w:overflowPunct/>
        <w:topLinePunct w:val="0"/>
        <w:autoSpaceDE/>
        <w:autoSpaceDN/>
        <w:bidi w:val="0"/>
        <w:spacing w:beforeAutospacing="0" w:line="560" w:lineRule="exact"/>
        <w:ind w:left="0" w:leftChars="0" w:right="0" w:rightChars="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项目</w:t>
      </w:r>
      <w:r>
        <w:rPr>
          <w:rFonts w:hint="eastAsia" w:ascii="Times New Roman" w:hAnsi="Times New Roman" w:eastAsia="宋体" w:cs="Times New Roman"/>
          <w:color w:val="auto"/>
          <w:sz w:val="24"/>
          <w:szCs w:val="24"/>
          <w:highlight w:val="none"/>
          <w:lang w:val="en-US" w:eastAsia="zh-CN"/>
        </w:rPr>
        <w:t>污染源源强排放情况见下表</w:t>
      </w:r>
      <w:r>
        <w:rPr>
          <w:rFonts w:hint="default" w:ascii="Times New Roman" w:hAnsi="Times New Roman" w:eastAsia="宋体" w:cs="Times New Roman"/>
          <w:color w:val="auto"/>
          <w:sz w:val="24"/>
          <w:szCs w:val="24"/>
          <w:highlight w:val="none"/>
        </w:rPr>
        <w:t>。</w:t>
      </w:r>
    </w:p>
    <w:p>
      <w:pPr>
        <w:keepNext w:val="0"/>
        <w:keepLines w:val="0"/>
        <w:pageBreakBefore w:val="0"/>
        <w:widowControl w:val="0"/>
        <w:shd w:val="clear" w:color="auto" w:fill="auto"/>
        <w:kinsoku/>
        <w:wordWrap w:val="0"/>
        <w:overflowPunct/>
        <w:topLinePunct w:val="0"/>
        <w:autoSpaceDE/>
        <w:autoSpaceDN/>
        <w:bidi w:val="0"/>
        <w:spacing w:beforeAutospacing="0" w:line="560" w:lineRule="exact"/>
        <w:ind w:left="0" w:leftChars="0" w:right="0" w:rightChars="0" w:firstLine="480" w:firstLineChars="200"/>
        <w:textAlignment w:val="auto"/>
        <w:rPr>
          <w:rFonts w:hint="eastAsia" w:ascii="Times New Roman" w:hAnsi="Times New Roman" w:eastAsia="宋体" w:cs="Times New Roman"/>
          <w:color w:val="auto"/>
          <w:sz w:val="24"/>
          <w:szCs w:val="24"/>
          <w:highlight w:val="none"/>
          <w:lang w:val="en-US" w:eastAsia="zh-CN"/>
        </w:rPr>
      </w:pPr>
    </w:p>
    <w:p>
      <w:pPr>
        <w:keepNext w:val="0"/>
        <w:keepLines w:val="0"/>
        <w:pageBreakBefore w:val="0"/>
        <w:widowControl w:val="0"/>
        <w:shd w:val="clear" w:color="auto" w:fill="auto"/>
        <w:kinsoku/>
        <w:wordWrap w:val="0"/>
        <w:overflowPunct/>
        <w:topLinePunct w:val="0"/>
        <w:autoSpaceDE/>
        <w:autoSpaceDN/>
        <w:bidi w:val="0"/>
        <w:spacing w:beforeAutospacing="0" w:line="560" w:lineRule="exact"/>
        <w:ind w:left="0" w:leftChars="0" w:right="0" w:rightChars="0" w:firstLine="480" w:firstLineChars="200"/>
        <w:textAlignment w:val="auto"/>
        <w:rPr>
          <w:rFonts w:hint="eastAsia" w:ascii="Times New Roman" w:hAnsi="Times New Roman" w:eastAsia="宋体" w:cs="Times New Roman"/>
          <w:color w:val="auto"/>
          <w:sz w:val="24"/>
          <w:szCs w:val="24"/>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eastAsia" w:ascii="Times New Roman" w:hAnsi="Times New Roman" w:eastAsia="宋体" w:cs="Times New Roman"/>
          <w:color w:val="auto"/>
          <w:sz w:val="24"/>
          <w:szCs w:val="24"/>
          <w:highlight w:val="none"/>
          <w:lang w:val="en-US" w:eastAsia="zh-CN"/>
        </w:rPr>
        <w:t xml:space="preserve"> </w:t>
      </w:r>
    </w:p>
    <w:p>
      <w:pPr>
        <w:keepNext w:val="0"/>
        <w:keepLines w:val="0"/>
        <w:pageBreakBefore w:val="0"/>
        <w:widowControl/>
        <w:suppressLineNumbers w:val="0"/>
        <w:kinsoku/>
        <w:wordWrap/>
        <w:overflowPunct/>
        <w:topLinePunct w:val="0"/>
        <w:autoSpaceDE/>
        <w:autoSpaceDN/>
        <w:bidi w:val="0"/>
        <w:adjustRightInd/>
        <w:snapToGrid/>
        <w:spacing w:line="560" w:lineRule="exact"/>
        <w:jc w:val="left"/>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① 有组织排放源参数</w:t>
      </w:r>
    </w:p>
    <w:p>
      <w:pPr>
        <w:pStyle w:val="11"/>
        <w:keepNext w:val="0"/>
        <w:keepLines w:val="0"/>
        <w:pageBreakBefore w:val="0"/>
        <w:widowControl w:val="0"/>
        <w:kinsoku/>
        <w:wordWrap/>
        <w:overflowPunct/>
        <w:topLinePunct w:val="0"/>
        <w:autoSpaceDE/>
        <w:autoSpaceDN/>
        <w:bidi w:val="0"/>
        <w:adjustRightInd/>
        <w:snapToGrid/>
        <w:jc w:val="center"/>
        <w:textAlignment w:val="auto"/>
        <w:rPr>
          <w:rFonts w:hint="default" w:ascii="宋体" w:hAnsi="宋体" w:eastAsia="宋体" w:cs="宋体"/>
          <w:b/>
          <w:bCs/>
          <w:color w:val="auto"/>
          <w:sz w:val="24"/>
          <w:szCs w:val="24"/>
          <w:lang w:val="en-US" w:eastAsia="zh-CN"/>
        </w:rPr>
      </w:pPr>
      <w:r>
        <w:rPr>
          <w:rFonts w:hint="default" w:ascii="Times New Roman" w:hAnsi="Times New Roman" w:cs="Times New Roman"/>
          <w:b/>
          <w:bCs/>
          <w:color w:val="auto"/>
          <w:sz w:val="24"/>
          <w:szCs w:val="24"/>
          <w:lang w:val="en-US" w:eastAsia="zh-CN"/>
        </w:rPr>
        <w:t>表 2.3.1-3    正常工况污染源源强排放情况一览表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3"/>
        <w:gridCol w:w="885"/>
        <w:gridCol w:w="720"/>
        <w:gridCol w:w="581"/>
        <w:gridCol w:w="933"/>
        <w:gridCol w:w="703"/>
        <w:gridCol w:w="842"/>
        <w:gridCol w:w="695"/>
        <w:gridCol w:w="1296"/>
        <w:gridCol w:w="888"/>
        <w:gridCol w:w="584"/>
        <w:gridCol w:w="899"/>
        <w:gridCol w:w="1118"/>
        <w:gridCol w:w="1326"/>
        <w:gridCol w:w="1030"/>
        <w:gridCol w:w="12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编号</w:t>
            </w:r>
          </w:p>
        </w:tc>
        <w:tc>
          <w:tcPr>
            <w:tcW w:w="312"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点源名称</w:t>
            </w:r>
          </w:p>
        </w:tc>
        <w:tc>
          <w:tcPr>
            <w:tcW w:w="459" w:type="pct"/>
            <w:gridSpan w:val="2"/>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排气筒底部中心坐标/m</w:t>
            </w:r>
          </w:p>
        </w:tc>
        <w:tc>
          <w:tcPr>
            <w:tcW w:w="329"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排气筒底海拔高度/m</w:t>
            </w:r>
          </w:p>
        </w:tc>
        <w:tc>
          <w:tcPr>
            <w:tcW w:w="248"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排气筒高度/m</w:t>
            </w:r>
          </w:p>
        </w:tc>
        <w:tc>
          <w:tcPr>
            <w:tcW w:w="297"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排气筒出口内径/m</w:t>
            </w:r>
          </w:p>
        </w:tc>
        <w:tc>
          <w:tcPr>
            <w:tcW w:w="245"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烟气温度/℃</w:t>
            </w:r>
          </w:p>
        </w:tc>
        <w:tc>
          <w:tcPr>
            <w:tcW w:w="457"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烟气流量/（m3/h）</w:t>
            </w:r>
          </w:p>
        </w:tc>
        <w:tc>
          <w:tcPr>
            <w:tcW w:w="313"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年排放小时数/h</w:t>
            </w:r>
          </w:p>
        </w:tc>
        <w:tc>
          <w:tcPr>
            <w:tcW w:w="206"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排放工况</w:t>
            </w:r>
          </w:p>
        </w:tc>
        <w:tc>
          <w:tcPr>
            <w:tcW w:w="1960" w:type="pct"/>
            <w:gridSpan w:val="5"/>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54"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X</w:t>
            </w:r>
          </w:p>
        </w:tc>
        <w:tc>
          <w:tcPr>
            <w:tcW w:w="204"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Y</w:t>
            </w:r>
          </w:p>
        </w:tc>
        <w:tc>
          <w:tcPr>
            <w:tcW w:w="329"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48"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9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45"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45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13"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06"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17"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非甲烷总烃</w:t>
            </w:r>
          </w:p>
        </w:tc>
        <w:tc>
          <w:tcPr>
            <w:tcW w:w="390"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NH</w:t>
            </w:r>
            <w:r>
              <w:rPr>
                <w:rFonts w:hint="default" w:ascii="Times New Roman" w:hAnsi="Times New Roman" w:eastAsia="宋体" w:cs="Times New Roman"/>
                <w:color w:val="auto"/>
                <w:sz w:val="21"/>
                <w:szCs w:val="21"/>
                <w:vertAlign w:val="subscript"/>
                <w:lang w:val="en-US" w:eastAsia="zh-CN"/>
              </w:rPr>
              <w:t>3</w:t>
            </w:r>
          </w:p>
        </w:tc>
        <w:tc>
          <w:tcPr>
            <w:tcW w:w="467"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H</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vertAlign w:val="baseline"/>
                <w:lang w:val="en-US" w:eastAsia="zh-CN"/>
              </w:rPr>
              <w:t>S</w:t>
            </w:r>
          </w:p>
        </w:tc>
        <w:tc>
          <w:tcPr>
            <w:tcW w:w="363"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油脂烟气</w:t>
            </w:r>
          </w:p>
        </w:tc>
        <w:tc>
          <w:tcPr>
            <w:tcW w:w="42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PM10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885"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DA001</w:t>
            </w:r>
          </w:p>
        </w:tc>
        <w:tc>
          <w:tcPr>
            <w:tcW w:w="720"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26</w:t>
            </w:r>
          </w:p>
        </w:tc>
        <w:tc>
          <w:tcPr>
            <w:tcW w:w="58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w:t>
            </w:r>
          </w:p>
        </w:tc>
        <w:tc>
          <w:tcPr>
            <w:tcW w:w="933"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473</w:t>
            </w:r>
          </w:p>
        </w:tc>
        <w:tc>
          <w:tcPr>
            <w:tcW w:w="703"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15</w:t>
            </w:r>
          </w:p>
        </w:tc>
        <w:tc>
          <w:tcPr>
            <w:tcW w:w="842"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0.8</w:t>
            </w:r>
          </w:p>
        </w:tc>
        <w:tc>
          <w:tcPr>
            <w:tcW w:w="695"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20</w:t>
            </w:r>
          </w:p>
        </w:tc>
        <w:tc>
          <w:tcPr>
            <w:tcW w:w="1296"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r>
              <w:rPr>
                <w:rFonts w:hint="default" w:ascii="Times New Roman" w:hAnsi="Times New Roman" w:eastAsia="宋体" w:cs="Times New Roman"/>
                <w:color w:val="auto"/>
                <w:sz w:val="21"/>
                <w:szCs w:val="21"/>
                <w:vertAlign w:val="baseline"/>
                <w:lang w:val="en-US" w:eastAsia="zh-CN"/>
              </w:rPr>
              <w:t>5000</w:t>
            </w:r>
          </w:p>
        </w:tc>
        <w:tc>
          <w:tcPr>
            <w:tcW w:w="888"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5760</w:t>
            </w:r>
          </w:p>
        </w:tc>
        <w:tc>
          <w:tcPr>
            <w:tcW w:w="584"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正常</w:t>
            </w:r>
          </w:p>
        </w:tc>
        <w:tc>
          <w:tcPr>
            <w:tcW w:w="899"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0.092</w:t>
            </w:r>
          </w:p>
        </w:tc>
        <w:tc>
          <w:tcPr>
            <w:tcW w:w="1118"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0.012</w:t>
            </w:r>
          </w:p>
        </w:tc>
        <w:tc>
          <w:tcPr>
            <w:tcW w:w="1326"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0.023</w:t>
            </w:r>
          </w:p>
        </w:tc>
        <w:tc>
          <w:tcPr>
            <w:tcW w:w="1030"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1.12</w:t>
            </w:r>
            <w:r>
              <w:rPr>
                <w:rFonts w:hint="default" w:ascii="Times New Roman" w:hAnsi="Times New Roman" w:eastAsia="宋体" w:cs="Times New Roman"/>
                <w:color w:val="auto"/>
                <w:sz w:val="21"/>
                <w:szCs w:val="21"/>
                <w:vertAlign w:val="baseline"/>
                <w:lang w:val="en-US" w:eastAsia="zh-CN"/>
              </w:rPr>
              <w:t>×10</w:t>
            </w:r>
            <w:r>
              <w:rPr>
                <w:rFonts w:hint="default" w:ascii="Times New Roman" w:hAnsi="Times New Roman" w:eastAsia="宋体" w:cs="Times New Roman"/>
                <w:color w:val="auto"/>
                <w:sz w:val="21"/>
                <w:szCs w:val="21"/>
                <w:vertAlign w:val="superscript"/>
                <w:lang w:val="en-US" w:eastAsia="zh-CN"/>
              </w:rPr>
              <w:t>-</w:t>
            </w:r>
            <w:r>
              <w:rPr>
                <w:rFonts w:hint="eastAsia" w:ascii="Times New Roman" w:hAnsi="Times New Roman" w:eastAsia="宋体" w:cs="Times New Roman"/>
                <w:color w:val="auto"/>
                <w:sz w:val="21"/>
                <w:szCs w:val="21"/>
                <w:vertAlign w:val="superscript"/>
                <w:lang w:val="en-US" w:eastAsia="zh-CN"/>
              </w:rPr>
              <w:t>3</w:t>
            </w:r>
          </w:p>
        </w:tc>
        <w:tc>
          <w:tcPr>
            <w:tcW w:w="120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3.47×10</w:t>
            </w:r>
            <w:r>
              <w:rPr>
                <w:rFonts w:hint="eastAsia" w:ascii="Times New Roman" w:hAnsi="Times New Roman" w:eastAsia="宋体" w:cs="Times New Roman"/>
                <w:color w:val="auto"/>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885"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DA002</w:t>
            </w:r>
          </w:p>
        </w:tc>
        <w:tc>
          <w:tcPr>
            <w:tcW w:w="720"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w:t>
            </w:r>
          </w:p>
        </w:tc>
        <w:tc>
          <w:tcPr>
            <w:tcW w:w="58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28</w:t>
            </w:r>
          </w:p>
        </w:tc>
        <w:tc>
          <w:tcPr>
            <w:tcW w:w="933"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473</w:t>
            </w:r>
          </w:p>
        </w:tc>
        <w:tc>
          <w:tcPr>
            <w:tcW w:w="703"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15</w:t>
            </w:r>
          </w:p>
        </w:tc>
        <w:tc>
          <w:tcPr>
            <w:tcW w:w="842"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0.4</w:t>
            </w:r>
          </w:p>
        </w:tc>
        <w:tc>
          <w:tcPr>
            <w:tcW w:w="695"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20</w:t>
            </w:r>
          </w:p>
        </w:tc>
        <w:tc>
          <w:tcPr>
            <w:tcW w:w="1296"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5000</w:t>
            </w:r>
          </w:p>
        </w:tc>
        <w:tc>
          <w:tcPr>
            <w:tcW w:w="888"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5760</w:t>
            </w:r>
          </w:p>
        </w:tc>
        <w:tc>
          <w:tcPr>
            <w:tcW w:w="584"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正常</w:t>
            </w:r>
          </w:p>
        </w:tc>
        <w:tc>
          <w:tcPr>
            <w:tcW w:w="899"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118"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4.34×10</w:t>
            </w:r>
            <w:r>
              <w:rPr>
                <w:rFonts w:hint="eastAsia" w:ascii="Times New Roman" w:hAnsi="Times New Roman" w:eastAsia="宋体" w:cs="Times New Roman"/>
                <w:color w:val="auto"/>
                <w:sz w:val="21"/>
                <w:szCs w:val="21"/>
                <w:vertAlign w:val="superscript"/>
                <w:lang w:val="en-US" w:eastAsia="zh-CN"/>
              </w:rPr>
              <w:t>-3</w:t>
            </w:r>
          </w:p>
        </w:tc>
        <w:tc>
          <w:tcPr>
            <w:tcW w:w="1326"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5.69×10</w:t>
            </w:r>
            <w:r>
              <w:rPr>
                <w:rFonts w:hint="eastAsia" w:ascii="Times New Roman" w:hAnsi="Times New Roman" w:eastAsia="宋体" w:cs="Times New Roman"/>
                <w:color w:val="auto"/>
                <w:sz w:val="21"/>
                <w:szCs w:val="21"/>
                <w:vertAlign w:val="superscript"/>
                <w:lang w:val="en-US" w:eastAsia="zh-CN"/>
              </w:rPr>
              <w:t>-5</w:t>
            </w:r>
          </w:p>
        </w:tc>
        <w:tc>
          <w:tcPr>
            <w:tcW w:w="1030"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20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w:t>
            </w:r>
          </w:p>
        </w:tc>
      </w:tr>
    </w:tbl>
    <w:p>
      <w:pPr>
        <w:keepNext w:val="0"/>
        <w:keepLines w:val="0"/>
        <w:pageBreakBefore w:val="0"/>
        <w:widowControl/>
        <w:numPr>
          <w:ilvl w:val="0"/>
          <w:numId w:val="0"/>
        </w:numPr>
        <w:suppressLineNumbers w:val="0"/>
        <w:kinsoku/>
        <w:overflowPunct/>
        <w:topLinePunct w:val="0"/>
        <w:bidi w:val="0"/>
        <w:spacing w:line="240" w:lineRule="auto"/>
        <w:jc w:val="center"/>
        <w:textAlignment w:val="auto"/>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cs="Times New Roman"/>
          <w:b/>
          <w:bCs/>
          <w:color w:val="auto"/>
          <w:sz w:val="24"/>
          <w:szCs w:val="24"/>
          <w:lang w:val="en-US" w:eastAsia="zh-CN"/>
        </w:rPr>
        <w:t>表 2.3.1-</w:t>
      </w:r>
      <w:r>
        <w:rPr>
          <w:rFonts w:hint="eastAsia" w:ascii="Times New Roman" w:hAnsi="Times New Roman" w:cs="Times New Roman"/>
          <w:b/>
          <w:bCs/>
          <w:color w:val="auto"/>
          <w:sz w:val="24"/>
          <w:szCs w:val="24"/>
          <w:lang w:val="en-US" w:eastAsia="zh-CN"/>
        </w:rPr>
        <w:t>4</w:t>
      </w:r>
      <w:r>
        <w:rPr>
          <w:rFonts w:hint="default" w:ascii="Times New Roman" w:hAnsi="Times New Roman" w:cs="Times New Roman"/>
          <w:b/>
          <w:bCs/>
          <w:color w:val="auto"/>
          <w:sz w:val="24"/>
          <w:szCs w:val="24"/>
          <w:lang w:val="en-US" w:eastAsia="zh-CN"/>
        </w:rPr>
        <w:t xml:space="preserve">    </w:t>
      </w:r>
      <w:r>
        <w:rPr>
          <w:rFonts w:hint="eastAsia" w:ascii="Times New Roman" w:hAnsi="Times New Roman" w:cs="Times New Roman"/>
          <w:b/>
          <w:bCs/>
          <w:color w:val="auto"/>
          <w:sz w:val="24"/>
          <w:szCs w:val="24"/>
          <w:lang w:val="en-US" w:eastAsia="zh-CN"/>
        </w:rPr>
        <w:t>非</w:t>
      </w:r>
      <w:r>
        <w:rPr>
          <w:rFonts w:hint="default" w:ascii="Times New Roman" w:hAnsi="Times New Roman" w:cs="Times New Roman"/>
          <w:b/>
          <w:bCs/>
          <w:color w:val="auto"/>
          <w:sz w:val="24"/>
          <w:szCs w:val="24"/>
          <w:lang w:val="en-US" w:eastAsia="zh-CN"/>
        </w:rPr>
        <w:t>正常工况污染源源强排放情况一览表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9"/>
        <w:gridCol w:w="891"/>
        <w:gridCol w:w="726"/>
        <w:gridCol w:w="585"/>
        <w:gridCol w:w="939"/>
        <w:gridCol w:w="709"/>
        <w:gridCol w:w="846"/>
        <w:gridCol w:w="701"/>
        <w:gridCol w:w="1300"/>
        <w:gridCol w:w="894"/>
        <w:gridCol w:w="587"/>
        <w:gridCol w:w="846"/>
        <w:gridCol w:w="1110"/>
        <w:gridCol w:w="1328"/>
        <w:gridCol w:w="1033"/>
        <w:gridCol w:w="1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编号</w:t>
            </w:r>
          </w:p>
        </w:tc>
        <w:tc>
          <w:tcPr>
            <w:tcW w:w="314"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点源名称</w:t>
            </w:r>
          </w:p>
        </w:tc>
        <w:tc>
          <w:tcPr>
            <w:tcW w:w="462" w:type="pct"/>
            <w:gridSpan w:val="2"/>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排气筒底部中心坐标/m</w:t>
            </w:r>
          </w:p>
        </w:tc>
        <w:tc>
          <w:tcPr>
            <w:tcW w:w="331"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排气筒底海拔高度/m</w:t>
            </w:r>
          </w:p>
        </w:tc>
        <w:tc>
          <w:tcPr>
            <w:tcW w:w="250"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排气筒高度/m</w:t>
            </w:r>
          </w:p>
        </w:tc>
        <w:tc>
          <w:tcPr>
            <w:tcW w:w="298"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排气筒出口内径/m</w:t>
            </w:r>
          </w:p>
        </w:tc>
        <w:tc>
          <w:tcPr>
            <w:tcW w:w="247"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烟气温度/℃</w:t>
            </w:r>
          </w:p>
        </w:tc>
        <w:tc>
          <w:tcPr>
            <w:tcW w:w="458"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烟气流量/（m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vertAlign w:val="baseline"/>
                <w:lang w:val="en-US" w:eastAsia="zh-CN"/>
              </w:rPr>
              <w:t>/h）</w:t>
            </w:r>
          </w:p>
        </w:tc>
        <w:tc>
          <w:tcPr>
            <w:tcW w:w="315"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年排放小时数/h</w:t>
            </w:r>
          </w:p>
        </w:tc>
        <w:tc>
          <w:tcPr>
            <w:tcW w:w="207"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排放工况</w:t>
            </w:r>
          </w:p>
        </w:tc>
        <w:tc>
          <w:tcPr>
            <w:tcW w:w="1944" w:type="pct"/>
            <w:gridSpan w:val="5"/>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14"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56"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X</w:t>
            </w:r>
          </w:p>
        </w:tc>
        <w:tc>
          <w:tcPr>
            <w:tcW w:w="205"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Y</w:t>
            </w:r>
          </w:p>
        </w:tc>
        <w:tc>
          <w:tcPr>
            <w:tcW w:w="331"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50"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98"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4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458"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15"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0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98"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非甲烷总烃</w:t>
            </w:r>
          </w:p>
        </w:tc>
        <w:tc>
          <w:tcPr>
            <w:tcW w:w="391"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NH</w:t>
            </w:r>
            <w:r>
              <w:rPr>
                <w:rFonts w:hint="default" w:ascii="Times New Roman" w:hAnsi="Times New Roman" w:eastAsia="宋体" w:cs="Times New Roman"/>
                <w:color w:val="auto"/>
                <w:sz w:val="21"/>
                <w:szCs w:val="21"/>
                <w:vertAlign w:val="subscript"/>
                <w:lang w:val="en-US" w:eastAsia="zh-CN"/>
              </w:rPr>
              <w:t>3</w:t>
            </w:r>
          </w:p>
        </w:tc>
        <w:tc>
          <w:tcPr>
            <w:tcW w:w="468"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H</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vertAlign w:val="baseline"/>
                <w:lang w:val="en-US" w:eastAsia="zh-CN"/>
              </w:rPr>
              <w:t>S</w:t>
            </w:r>
          </w:p>
        </w:tc>
        <w:tc>
          <w:tcPr>
            <w:tcW w:w="364"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油脂烟气</w:t>
            </w:r>
          </w:p>
        </w:tc>
        <w:tc>
          <w:tcPr>
            <w:tcW w:w="421"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PM10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89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DA001</w:t>
            </w:r>
          </w:p>
        </w:tc>
        <w:tc>
          <w:tcPr>
            <w:tcW w:w="726"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26</w:t>
            </w:r>
          </w:p>
        </w:tc>
        <w:tc>
          <w:tcPr>
            <w:tcW w:w="585"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w:t>
            </w:r>
          </w:p>
        </w:tc>
        <w:tc>
          <w:tcPr>
            <w:tcW w:w="939"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473</w:t>
            </w:r>
          </w:p>
        </w:tc>
        <w:tc>
          <w:tcPr>
            <w:tcW w:w="709"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15</w:t>
            </w:r>
          </w:p>
        </w:tc>
        <w:tc>
          <w:tcPr>
            <w:tcW w:w="846"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0.8</w:t>
            </w:r>
          </w:p>
        </w:tc>
        <w:tc>
          <w:tcPr>
            <w:tcW w:w="70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20</w:t>
            </w:r>
          </w:p>
        </w:tc>
        <w:tc>
          <w:tcPr>
            <w:tcW w:w="1300"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r>
              <w:rPr>
                <w:rFonts w:hint="default" w:ascii="Times New Roman" w:hAnsi="Times New Roman" w:eastAsia="宋体" w:cs="Times New Roman"/>
                <w:color w:val="auto"/>
                <w:sz w:val="21"/>
                <w:szCs w:val="21"/>
                <w:vertAlign w:val="baseline"/>
                <w:lang w:val="en-US" w:eastAsia="zh-CN"/>
              </w:rPr>
              <w:t>5000</w:t>
            </w:r>
          </w:p>
        </w:tc>
        <w:tc>
          <w:tcPr>
            <w:tcW w:w="894"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5760</w:t>
            </w:r>
          </w:p>
        </w:tc>
        <w:tc>
          <w:tcPr>
            <w:tcW w:w="587"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正常</w:t>
            </w:r>
          </w:p>
        </w:tc>
        <w:tc>
          <w:tcPr>
            <w:tcW w:w="846"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2.1</w:t>
            </w:r>
          </w:p>
        </w:tc>
        <w:tc>
          <w:tcPr>
            <w:tcW w:w="1110"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0.28</w:t>
            </w:r>
          </w:p>
        </w:tc>
        <w:tc>
          <w:tcPr>
            <w:tcW w:w="1328"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w:t>
            </w:r>
          </w:p>
        </w:tc>
        <w:tc>
          <w:tcPr>
            <w:tcW w:w="1033"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7.47</w:t>
            </w:r>
            <w:r>
              <w:rPr>
                <w:rFonts w:hint="default" w:ascii="Times New Roman" w:hAnsi="Times New Roman" w:eastAsia="宋体" w:cs="Times New Roman"/>
                <w:color w:val="auto"/>
                <w:sz w:val="21"/>
                <w:szCs w:val="21"/>
                <w:vertAlign w:val="baseline"/>
                <w:lang w:val="en-US" w:eastAsia="zh-CN"/>
              </w:rPr>
              <w:t>×10</w:t>
            </w:r>
            <w:r>
              <w:rPr>
                <w:rFonts w:hint="default" w:ascii="Times New Roman" w:hAnsi="Times New Roman" w:eastAsia="宋体" w:cs="Times New Roman"/>
                <w:color w:val="auto"/>
                <w:sz w:val="21"/>
                <w:szCs w:val="21"/>
                <w:vertAlign w:val="superscript"/>
                <w:lang w:val="en-US" w:eastAsia="zh-CN"/>
              </w:rPr>
              <w:t>-3</w:t>
            </w:r>
          </w:p>
        </w:tc>
        <w:tc>
          <w:tcPr>
            <w:tcW w:w="1200"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89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DA002</w:t>
            </w:r>
          </w:p>
        </w:tc>
        <w:tc>
          <w:tcPr>
            <w:tcW w:w="726"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w:t>
            </w:r>
          </w:p>
        </w:tc>
        <w:tc>
          <w:tcPr>
            <w:tcW w:w="585"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28</w:t>
            </w:r>
          </w:p>
        </w:tc>
        <w:tc>
          <w:tcPr>
            <w:tcW w:w="939"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473</w:t>
            </w:r>
          </w:p>
        </w:tc>
        <w:tc>
          <w:tcPr>
            <w:tcW w:w="709"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15</w:t>
            </w:r>
          </w:p>
        </w:tc>
        <w:tc>
          <w:tcPr>
            <w:tcW w:w="846"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0.4</w:t>
            </w:r>
          </w:p>
        </w:tc>
        <w:tc>
          <w:tcPr>
            <w:tcW w:w="70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20</w:t>
            </w:r>
          </w:p>
        </w:tc>
        <w:tc>
          <w:tcPr>
            <w:tcW w:w="1300"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5000</w:t>
            </w:r>
          </w:p>
        </w:tc>
        <w:tc>
          <w:tcPr>
            <w:tcW w:w="894"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5760</w:t>
            </w:r>
          </w:p>
        </w:tc>
        <w:tc>
          <w:tcPr>
            <w:tcW w:w="587"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正常</w:t>
            </w:r>
          </w:p>
        </w:tc>
        <w:tc>
          <w:tcPr>
            <w:tcW w:w="846"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110"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0.006</w:t>
            </w:r>
          </w:p>
        </w:tc>
        <w:tc>
          <w:tcPr>
            <w:tcW w:w="1328"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7.5×10</w:t>
            </w:r>
            <w:r>
              <w:rPr>
                <w:rFonts w:hint="eastAsia" w:ascii="Times New Roman" w:hAnsi="Times New Roman" w:eastAsia="宋体" w:cs="Times New Roman"/>
                <w:color w:val="auto"/>
                <w:sz w:val="21"/>
                <w:szCs w:val="21"/>
                <w:vertAlign w:val="superscript"/>
                <w:lang w:val="en-US" w:eastAsia="zh-CN"/>
              </w:rPr>
              <w:t>-5</w:t>
            </w:r>
          </w:p>
        </w:tc>
        <w:tc>
          <w:tcPr>
            <w:tcW w:w="1033"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200"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1.16</w:t>
            </w:r>
          </w:p>
        </w:tc>
      </w:tr>
    </w:tbl>
    <w:p>
      <w:pPr>
        <w:keepNext w:val="0"/>
        <w:keepLines w:val="0"/>
        <w:pageBreakBefore w:val="0"/>
        <w:widowControl/>
        <w:suppressLineNumbers w:val="0"/>
        <w:tabs>
          <w:tab w:val="left" w:pos="6123"/>
        </w:tabs>
        <w:kinsoku/>
        <w:wordWrap/>
        <w:overflowPunct/>
        <w:topLinePunct w:val="0"/>
        <w:autoSpaceDE/>
        <w:autoSpaceDN/>
        <w:bidi w:val="0"/>
        <w:adjustRightInd/>
        <w:snapToGrid/>
        <w:spacing w:line="560" w:lineRule="exact"/>
        <w:ind w:firstLine="0" w:firstLineChars="0"/>
        <w:jc w:val="left"/>
        <w:textAlignment w:val="auto"/>
        <w:rPr>
          <w:rFonts w:hint="default" w:ascii="Times New Roman" w:hAnsi="Times New Roman" w:eastAsia="宋体" w:cs="Times New Roman"/>
          <w:b/>
          <w:bCs/>
          <w:color w:val="auto"/>
          <w:kern w:val="0"/>
          <w:sz w:val="24"/>
          <w:szCs w:val="24"/>
          <w:lang w:val="en-US" w:eastAsia="zh-CN" w:bidi="ar"/>
        </w:rPr>
      </w:pPr>
      <w:r>
        <w:rPr>
          <w:rFonts w:hint="eastAsia" w:ascii="Times New Roman" w:hAnsi="Times New Roman" w:eastAsia="宋体" w:cs="Times New Roman"/>
          <w:b/>
          <w:bCs/>
          <w:color w:val="auto"/>
          <w:kern w:val="0"/>
          <w:sz w:val="24"/>
          <w:szCs w:val="24"/>
          <w:lang w:val="en-US" w:eastAsia="zh-CN" w:bidi="ar"/>
        </w:rPr>
        <w:t xml:space="preserve">② </w:t>
      </w:r>
      <w:r>
        <w:rPr>
          <w:rFonts w:hint="default" w:ascii="Times New Roman" w:hAnsi="Times New Roman" w:eastAsia="宋体" w:cs="Times New Roman"/>
          <w:b/>
          <w:bCs/>
          <w:color w:val="auto"/>
          <w:kern w:val="0"/>
          <w:sz w:val="24"/>
          <w:szCs w:val="24"/>
          <w:lang w:val="en-US" w:eastAsia="zh-CN" w:bidi="ar"/>
        </w:rPr>
        <w:t>无组织排放源参数</w:t>
      </w:r>
    </w:p>
    <w:p>
      <w:pPr>
        <w:keepNext w:val="0"/>
        <w:keepLines w:val="0"/>
        <w:pageBreakBefore w:val="0"/>
        <w:widowControl/>
        <w:suppressLineNumbers w:val="0"/>
        <w:tabs>
          <w:tab w:val="left" w:pos="6123"/>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cs="Times New Roman"/>
          <w:b/>
          <w:bCs/>
          <w:color w:val="auto"/>
          <w:sz w:val="24"/>
          <w:szCs w:val="24"/>
          <w:lang w:val="en-US" w:eastAsia="zh-CN"/>
        </w:rPr>
        <w:t>表 2.3.1-</w:t>
      </w:r>
      <w:r>
        <w:rPr>
          <w:rFonts w:hint="eastAsia" w:ascii="Times New Roman" w:hAnsi="Times New Roman" w:cs="Times New Roman"/>
          <w:b/>
          <w:bCs/>
          <w:color w:val="auto"/>
          <w:sz w:val="24"/>
          <w:szCs w:val="24"/>
          <w:lang w:val="en-US" w:eastAsia="zh-CN"/>
        </w:rPr>
        <w:t>5</w:t>
      </w:r>
      <w:r>
        <w:rPr>
          <w:rFonts w:hint="default" w:ascii="Times New Roman" w:hAnsi="Times New Roman" w:cs="Times New Roman"/>
          <w:b/>
          <w:bCs/>
          <w:color w:val="auto"/>
          <w:sz w:val="24"/>
          <w:szCs w:val="24"/>
          <w:lang w:val="en-US" w:eastAsia="zh-CN"/>
        </w:rPr>
        <w:t xml:space="preserve">    </w:t>
      </w:r>
      <w:r>
        <w:rPr>
          <w:rFonts w:hint="eastAsia" w:ascii="Times New Roman" w:hAnsi="Times New Roman" w:cs="Times New Roman"/>
          <w:b/>
          <w:bCs/>
          <w:color w:val="auto"/>
          <w:sz w:val="24"/>
          <w:szCs w:val="24"/>
          <w:lang w:val="en-US" w:eastAsia="zh-CN"/>
        </w:rPr>
        <w:t>无组织</w:t>
      </w:r>
      <w:r>
        <w:rPr>
          <w:rFonts w:hint="default" w:ascii="Times New Roman" w:hAnsi="Times New Roman" w:cs="Times New Roman"/>
          <w:b/>
          <w:bCs/>
          <w:color w:val="auto"/>
          <w:sz w:val="24"/>
          <w:szCs w:val="24"/>
          <w:lang w:val="en-US" w:eastAsia="zh-CN"/>
        </w:rPr>
        <w:t>污染源源强排放情况一览表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0"/>
        <w:gridCol w:w="1233"/>
        <w:gridCol w:w="688"/>
        <w:gridCol w:w="691"/>
        <w:gridCol w:w="884"/>
        <w:gridCol w:w="720"/>
        <w:gridCol w:w="652"/>
        <w:gridCol w:w="871"/>
        <w:gridCol w:w="893"/>
        <w:gridCol w:w="584"/>
        <w:gridCol w:w="893"/>
        <w:gridCol w:w="1117"/>
        <w:gridCol w:w="1231"/>
        <w:gridCol w:w="1027"/>
        <w:gridCol w:w="1188"/>
        <w:gridCol w:w="10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编号</w:t>
            </w:r>
          </w:p>
        </w:tc>
        <w:tc>
          <w:tcPr>
            <w:tcW w:w="437"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点源名称</w:t>
            </w:r>
          </w:p>
        </w:tc>
        <w:tc>
          <w:tcPr>
            <w:tcW w:w="491" w:type="pct"/>
            <w:gridSpan w:val="2"/>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排气筒底部中心坐标/m</w:t>
            </w:r>
          </w:p>
        </w:tc>
        <w:tc>
          <w:tcPr>
            <w:tcW w:w="314"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面源底海拔高度/m</w:t>
            </w:r>
          </w:p>
        </w:tc>
        <w:tc>
          <w:tcPr>
            <w:tcW w:w="256"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面源宽度/m</w:t>
            </w:r>
          </w:p>
        </w:tc>
        <w:tc>
          <w:tcPr>
            <w:tcW w:w="232"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面源长度/m</w:t>
            </w:r>
          </w:p>
        </w:tc>
        <w:tc>
          <w:tcPr>
            <w:tcW w:w="309"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面源有效排放高度/m</w:t>
            </w:r>
          </w:p>
        </w:tc>
        <w:tc>
          <w:tcPr>
            <w:tcW w:w="317"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年排放小时数/h</w:t>
            </w:r>
          </w:p>
        </w:tc>
        <w:tc>
          <w:tcPr>
            <w:tcW w:w="208"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排放工况</w:t>
            </w:r>
          </w:p>
        </w:tc>
        <w:tc>
          <w:tcPr>
            <w:tcW w:w="2265" w:type="pct"/>
            <w:gridSpan w:val="6"/>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43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45"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X</w:t>
            </w:r>
          </w:p>
        </w:tc>
        <w:tc>
          <w:tcPr>
            <w:tcW w:w="246"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Y</w:t>
            </w:r>
          </w:p>
        </w:tc>
        <w:tc>
          <w:tcPr>
            <w:tcW w:w="314"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56"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32"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09"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1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08"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17"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非甲烷总烃</w:t>
            </w:r>
          </w:p>
        </w:tc>
        <w:tc>
          <w:tcPr>
            <w:tcW w:w="361"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NH</w:t>
            </w:r>
            <w:r>
              <w:rPr>
                <w:rFonts w:hint="default" w:ascii="Times New Roman" w:hAnsi="Times New Roman" w:eastAsia="宋体" w:cs="Times New Roman"/>
                <w:color w:val="auto"/>
                <w:sz w:val="21"/>
                <w:szCs w:val="21"/>
                <w:vertAlign w:val="subscript"/>
                <w:lang w:val="en-US" w:eastAsia="zh-CN"/>
              </w:rPr>
              <w:t>3</w:t>
            </w:r>
          </w:p>
        </w:tc>
        <w:tc>
          <w:tcPr>
            <w:tcW w:w="436"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H</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vertAlign w:val="baseline"/>
                <w:lang w:val="en-US" w:eastAsia="zh-CN"/>
              </w:rPr>
              <w:t>S</w:t>
            </w:r>
          </w:p>
        </w:tc>
        <w:tc>
          <w:tcPr>
            <w:tcW w:w="364"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油脂烟气</w:t>
            </w:r>
          </w:p>
        </w:tc>
        <w:tc>
          <w:tcPr>
            <w:tcW w:w="421"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TSP</w:t>
            </w:r>
          </w:p>
        </w:tc>
        <w:tc>
          <w:tcPr>
            <w:tcW w:w="364"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甲醇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437"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动植物油回收</w:t>
            </w:r>
            <w:r>
              <w:rPr>
                <w:rFonts w:hint="eastAsia" w:ascii="Times New Roman" w:hAnsi="Times New Roman" w:eastAsia="宋体" w:cs="Times New Roman"/>
                <w:color w:val="auto"/>
                <w:sz w:val="21"/>
                <w:szCs w:val="21"/>
                <w:vertAlign w:val="baseline"/>
                <w:lang w:val="en-US" w:eastAsia="zh-CN"/>
              </w:rPr>
              <w:t>、</w:t>
            </w:r>
            <w:r>
              <w:rPr>
                <w:rFonts w:hint="eastAsia" w:ascii="Times New Roman" w:hAnsi="Times New Roman" w:eastAsia="宋体" w:cs="Times New Roman"/>
                <w:color w:val="auto"/>
                <w:sz w:val="21"/>
                <w:szCs w:val="21"/>
                <w:lang w:val="en-US" w:eastAsia="zh-CN"/>
              </w:rPr>
              <w:t>生物燃料</w:t>
            </w:r>
            <w:r>
              <w:rPr>
                <w:rFonts w:hint="default" w:ascii="Times New Roman" w:hAnsi="Times New Roman" w:eastAsia="宋体" w:cs="Times New Roman"/>
                <w:color w:val="auto"/>
                <w:sz w:val="21"/>
                <w:szCs w:val="21"/>
                <w:vertAlign w:val="baseline"/>
                <w:lang w:val="en-US" w:eastAsia="zh-CN"/>
              </w:rPr>
              <w:t>车间</w:t>
            </w:r>
          </w:p>
        </w:tc>
        <w:tc>
          <w:tcPr>
            <w:tcW w:w="688"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33</w:t>
            </w:r>
          </w:p>
        </w:tc>
        <w:tc>
          <w:tcPr>
            <w:tcW w:w="69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w:t>
            </w:r>
          </w:p>
        </w:tc>
        <w:tc>
          <w:tcPr>
            <w:tcW w:w="884"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474</w:t>
            </w:r>
          </w:p>
        </w:tc>
        <w:tc>
          <w:tcPr>
            <w:tcW w:w="720"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100</w:t>
            </w:r>
          </w:p>
        </w:tc>
        <w:tc>
          <w:tcPr>
            <w:tcW w:w="652"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20</w:t>
            </w:r>
          </w:p>
        </w:tc>
        <w:tc>
          <w:tcPr>
            <w:tcW w:w="87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10</w:t>
            </w:r>
          </w:p>
        </w:tc>
        <w:tc>
          <w:tcPr>
            <w:tcW w:w="893"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5760</w:t>
            </w:r>
          </w:p>
        </w:tc>
        <w:tc>
          <w:tcPr>
            <w:tcW w:w="584"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正常</w:t>
            </w:r>
          </w:p>
        </w:tc>
        <w:tc>
          <w:tcPr>
            <w:tcW w:w="893"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0.14</w:t>
            </w:r>
          </w:p>
        </w:tc>
        <w:tc>
          <w:tcPr>
            <w:tcW w:w="1117"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0.029</w:t>
            </w:r>
          </w:p>
        </w:tc>
        <w:tc>
          <w:tcPr>
            <w:tcW w:w="123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2.45</w:t>
            </w:r>
            <w:r>
              <w:rPr>
                <w:rFonts w:hint="default" w:ascii="Times New Roman" w:hAnsi="Times New Roman" w:eastAsia="宋体" w:cs="Times New Roman"/>
                <w:color w:val="auto"/>
                <w:sz w:val="21"/>
                <w:szCs w:val="21"/>
                <w:vertAlign w:val="baseline"/>
                <w:lang w:val="en-US" w:eastAsia="zh-CN"/>
              </w:rPr>
              <w:t>×10</w:t>
            </w:r>
            <w:r>
              <w:rPr>
                <w:rFonts w:hint="default" w:ascii="Times New Roman" w:hAnsi="Times New Roman" w:eastAsia="宋体" w:cs="Times New Roman"/>
                <w:color w:val="auto"/>
                <w:sz w:val="21"/>
                <w:szCs w:val="21"/>
                <w:vertAlign w:val="superscript"/>
                <w:lang w:val="en-US" w:eastAsia="zh-CN"/>
              </w:rPr>
              <w:t>-3</w:t>
            </w:r>
          </w:p>
        </w:tc>
        <w:tc>
          <w:tcPr>
            <w:tcW w:w="1027"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3.47</w:t>
            </w:r>
            <w:r>
              <w:rPr>
                <w:rFonts w:hint="default" w:ascii="Times New Roman" w:hAnsi="Times New Roman" w:eastAsia="宋体" w:cs="Times New Roman"/>
                <w:color w:val="auto"/>
                <w:sz w:val="21"/>
                <w:szCs w:val="21"/>
                <w:vertAlign w:val="baseline"/>
                <w:lang w:val="en-US" w:eastAsia="zh-CN"/>
              </w:rPr>
              <w:t>×10</w:t>
            </w:r>
            <w:r>
              <w:rPr>
                <w:rFonts w:hint="default" w:ascii="Times New Roman" w:hAnsi="Times New Roman" w:eastAsia="宋体" w:cs="Times New Roman"/>
                <w:color w:val="auto"/>
                <w:sz w:val="21"/>
                <w:szCs w:val="21"/>
                <w:vertAlign w:val="superscript"/>
                <w:lang w:val="en-US" w:eastAsia="zh-CN"/>
              </w:rPr>
              <w:t>-4</w:t>
            </w:r>
          </w:p>
        </w:tc>
        <w:tc>
          <w:tcPr>
            <w:tcW w:w="1188"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0.03</w:t>
            </w:r>
          </w:p>
        </w:tc>
        <w:tc>
          <w:tcPr>
            <w:tcW w:w="1032"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8.68</w:t>
            </w:r>
            <w:r>
              <w:rPr>
                <w:rFonts w:hint="default" w:ascii="Times New Roman" w:hAnsi="Times New Roman" w:eastAsia="宋体" w:cs="Times New Roman"/>
                <w:color w:val="auto"/>
                <w:sz w:val="21"/>
                <w:szCs w:val="21"/>
                <w:vertAlign w:val="baseline"/>
                <w:lang w:val="en-US" w:eastAsia="zh-CN"/>
              </w:rPr>
              <w:t>×10</w:t>
            </w:r>
            <w:r>
              <w:rPr>
                <w:rFonts w:hint="default" w:ascii="Times New Roman" w:hAnsi="Times New Roman" w:eastAsia="宋体" w:cs="Times New Roman"/>
                <w:color w:val="auto"/>
                <w:sz w:val="21"/>
                <w:szCs w:val="21"/>
                <w:vertAlign w:val="superscript"/>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437"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水溶肥、有机肥车间</w:t>
            </w:r>
          </w:p>
        </w:tc>
        <w:tc>
          <w:tcPr>
            <w:tcW w:w="688"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c>
          <w:tcPr>
            <w:tcW w:w="69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-11</w:t>
            </w:r>
          </w:p>
        </w:tc>
        <w:tc>
          <w:tcPr>
            <w:tcW w:w="884"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474</w:t>
            </w:r>
          </w:p>
        </w:tc>
        <w:tc>
          <w:tcPr>
            <w:tcW w:w="720"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100</w:t>
            </w:r>
          </w:p>
        </w:tc>
        <w:tc>
          <w:tcPr>
            <w:tcW w:w="652"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30</w:t>
            </w:r>
          </w:p>
        </w:tc>
        <w:tc>
          <w:tcPr>
            <w:tcW w:w="87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10</w:t>
            </w:r>
          </w:p>
        </w:tc>
        <w:tc>
          <w:tcPr>
            <w:tcW w:w="893"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5760</w:t>
            </w:r>
          </w:p>
        </w:tc>
        <w:tc>
          <w:tcPr>
            <w:tcW w:w="584"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正常</w:t>
            </w:r>
          </w:p>
        </w:tc>
        <w:tc>
          <w:tcPr>
            <w:tcW w:w="893"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117"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6.41×10</w:t>
            </w:r>
            <w:r>
              <w:rPr>
                <w:rFonts w:hint="eastAsia" w:ascii="Times New Roman" w:hAnsi="Times New Roman" w:eastAsia="宋体" w:cs="Times New Roman"/>
                <w:color w:val="auto"/>
                <w:sz w:val="21"/>
                <w:szCs w:val="21"/>
                <w:vertAlign w:val="superscript"/>
                <w:lang w:val="en-US" w:eastAsia="zh-CN"/>
              </w:rPr>
              <w:t>-4</w:t>
            </w:r>
          </w:p>
        </w:tc>
        <w:tc>
          <w:tcPr>
            <w:tcW w:w="123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8.33×10</w:t>
            </w:r>
            <w:r>
              <w:rPr>
                <w:rFonts w:hint="eastAsia" w:ascii="Times New Roman" w:hAnsi="Times New Roman" w:eastAsia="宋体" w:cs="Times New Roman"/>
                <w:color w:val="auto"/>
                <w:sz w:val="21"/>
                <w:szCs w:val="21"/>
                <w:vertAlign w:val="superscript"/>
                <w:lang w:val="en-US" w:eastAsia="zh-CN"/>
              </w:rPr>
              <w:t>-6</w:t>
            </w:r>
          </w:p>
        </w:tc>
        <w:tc>
          <w:tcPr>
            <w:tcW w:w="1027"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188"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0.13</w:t>
            </w:r>
          </w:p>
        </w:tc>
        <w:tc>
          <w:tcPr>
            <w:tcW w:w="1032"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w:t>
            </w:r>
          </w:p>
        </w:tc>
        <w:tc>
          <w:tcPr>
            <w:tcW w:w="437"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罐区</w:t>
            </w:r>
          </w:p>
        </w:tc>
        <w:tc>
          <w:tcPr>
            <w:tcW w:w="688"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-40</w:t>
            </w:r>
          </w:p>
        </w:tc>
        <w:tc>
          <w:tcPr>
            <w:tcW w:w="69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11</w:t>
            </w:r>
          </w:p>
        </w:tc>
        <w:tc>
          <w:tcPr>
            <w:tcW w:w="884"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474</w:t>
            </w:r>
          </w:p>
        </w:tc>
        <w:tc>
          <w:tcPr>
            <w:tcW w:w="720"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45</w:t>
            </w:r>
          </w:p>
        </w:tc>
        <w:tc>
          <w:tcPr>
            <w:tcW w:w="652"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65</w:t>
            </w:r>
          </w:p>
        </w:tc>
        <w:tc>
          <w:tcPr>
            <w:tcW w:w="87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10</w:t>
            </w:r>
          </w:p>
        </w:tc>
        <w:tc>
          <w:tcPr>
            <w:tcW w:w="893"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5760</w:t>
            </w:r>
          </w:p>
        </w:tc>
        <w:tc>
          <w:tcPr>
            <w:tcW w:w="584"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正常</w:t>
            </w:r>
          </w:p>
        </w:tc>
        <w:tc>
          <w:tcPr>
            <w:tcW w:w="893"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0.04</w:t>
            </w:r>
          </w:p>
        </w:tc>
        <w:tc>
          <w:tcPr>
            <w:tcW w:w="1117"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23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027"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188"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032"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bl>
    <w:p>
      <w:pPr>
        <w:keepNext w:val="0"/>
        <w:keepLines w:val="0"/>
        <w:pageBreakBefore w:val="0"/>
        <w:widowControl w:val="0"/>
        <w:shd w:val="clear" w:color="auto" w:fill="auto"/>
        <w:kinsoku/>
        <w:wordWrap w:val="0"/>
        <w:overflowPunct/>
        <w:topLinePunct w:val="0"/>
        <w:autoSpaceDE/>
        <w:autoSpaceDN/>
        <w:bidi w:val="0"/>
        <w:adjustRightInd w:val="0"/>
        <w:snapToGrid w:val="0"/>
        <w:spacing w:beforeAutospacing="0" w:line="560" w:lineRule="exact"/>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估算结果</w:t>
      </w:r>
    </w:p>
    <w:p>
      <w:pPr>
        <w:keepNext w:val="0"/>
        <w:keepLines w:val="0"/>
        <w:pageBreakBefore w:val="0"/>
        <w:widowControl w:val="0"/>
        <w:shd w:val="clear" w:color="auto" w:fill="auto"/>
        <w:kinsoku/>
        <w:wordWrap w:val="0"/>
        <w:overflowPunct/>
        <w:topLinePunct w:val="0"/>
        <w:autoSpaceDE/>
        <w:autoSpaceDN/>
        <w:bidi w:val="0"/>
        <w:adjustRightInd w:val="0"/>
        <w:snapToGrid w:val="0"/>
        <w:spacing w:beforeAutospacing="0" w:line="560" w:lineRule="exact"/>
        <w:ind w:left="0" w:leftChars="0" w:right="0" w:rightChars="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本项目所有污染源的正常排放的污染物的 Pmax 和 D10%预测结果见下表。</w:t>
      </w:r>
    </w:p>
    <w:p>
      <w:pPr>
        <w:keepNext w:val="0"/>
        <w:keepLines w:val="0"/>
        <w:pageBreakBefore w:val="0"/>
        <w:widowControl w:val="0"/>
        <w:shd w:val="clear" w:color="auto" w:fill="auto"/>
        <w:kinsoku/>
        <w:wordWrap w:val="0"/>
        <w:overflowPunct/>
        <w:topLinePunct w:val="0"/>
        <w:autoSpaceDE/>
        <w:autoSpaceDN/>
        <w:bidi w:val="0"/>
        <w:adjustRightInd w:val="0"/>
        <w:snapToGrid w:val="0"/>
        <w:spacing w:beforeAutospacing="0" w:line="240" w:lineRule="auto"/>
        <w:ind w:right="0" w:rightChars="0"/>
        <w:jc w:val="center"/>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表 2.3.1-6    Pmax 和 D10%预测和计算结果一览表</w:t>
      </w:r>
    </w:p>
    <w:tbl>
      <w:tblPr>
        <w:tblStyle w:val="2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38"/>
        <w:gridCol w:w="1019"/>
        <w:gridCol w:w="1273"/>
        <w:gridCol w:w="1273"/>
        <w:gridCol w:w="1613"/>
        <w:gridCol w:w="1613"/>
        <w:gridCol w:w="1361"/>
        <w:gridCol w:w="12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2" w:type="pct"/>
            <w:vAlign w:val="center"/>
          </w:tcPr>
          <w:p>
            <w:pPr>
              <w:pStyle w:val="3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vertAlign w:val="baseline"/>
                <w:lang w:val="en-US" w:eastAsia="zh-CN"/>
              </w:rPr>
              <w:t>污染源名称</w:t>
            </w:r>
          </w:p>
        </w:tc>
        <w:tc>
          <w:tcPr>
            <w:tcW w:w="360" w:type="pct"/>
            <w:vAlign w:val="center"/>
          </w:tcPr>
          <w:p>
            <w:pPr>
              <w:pStyle w:val="3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vertAlign w:val="baseline"/>
                <w:lang w:val="en-US" w:eastAsia="zh-CN"/>
              </w:rPr>
              <w:t>距离（m）</w:t>
            </w:r>
          </w:p>
        </w:tc>
        <w:tc>
          <w:tcPr>
            <w:tcW w:w="449" w:type="pct"/>
            <w:vAlign w:val="center"/>
          </w:tcPr>
          <w:p>
            <w:pPr>
              <w:pStyle w:val="3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vertAlign w:val="baseline"/>
                <w:lang w:val="en-US" w:eastAsia="zh-CN"/>
              </w:rPr>
              <w:t>TSP</w:t>
            </w:r>
            <w:r>
              <w:rPr>
                <w:rFonts w:hint="default" w:ascii="Times New Roman" w:hAnsi="Times New Roman" w:cs="Times New Roman" w:eastAsiaTheme="minorEastAsia"/>
                <w:color w:val="auto"/>
                <w:sz w:val="21"/>
                <w:szCs w:val="21"/>
                <w:highlight w:val="none"/>
                <w:lang w:val="en-US" w:eastAsia="zh-CN"/>
              </w:rPr>
              <w:t xml:space="preserve"> </w:t>
            </w:r>
          </w:p>
          <w:p>
            <w:pPr>
              <w:pStyle w:val="3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lang w:val="en-US" w:eastAsia="zh-CN"/>
              </w:rPr>
              <w:t>D</w:t>
            </w:r>
            <w:r>
              <w:rPr>
                <w:rFonts w:hint="default" w:ascii="Times New Roman" w:hAnsi="Times New Roman" w:cs="Times New Roman" w:eastAsiaTheme="minorEastAsia"/>
                <w:color w:val="auto"/>
                <w:sz w:val="21"/>
                <w:szCs w:val="21"/>
                <w:highlight w:val="none"/>
                <w:vertAlign w:val="subscript"/>
                <w:lang w:val="en-US" w:eastAsia="zh-CN"/>
              </w:rPr>
              <w:t>10%</w:t>
            </w:r>
            <w:r>
              <w:rPr>
                <w:rFonts w:hint="default" w:ascii="Times New Roman" w:hAnsi="Times New Roman" w:cs="Times New Roman" w:eastAsiaTheme="minorEastAsia"/>
                <w:color w:val="auto"/>
                <w:sz w:val="21"/>
                <w:szCs w:val="21"/>
                <w:highlight w:val="none"/>
                <w:lang w:val="en-US" w:eastAsia="zh-CN"/>
              </w:rPr>
              <w:t>（m）</w:t>
            </w:r>
          </w:p>
        </w:tc>
        <w:tc>
          <w:tcPr>
            <w:tcW w:w="449" w:type="pct"/>
            <w:vAlign w:val="center"/>
          </w:tcPr>
          <w:p>
            <w:pPr>
              <w:pStyle w:val="3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vertAlign w:val="baseline"/>
                <w:lang w:val="en-US" w:eastAsia="zh-CN"/>
              </w:rPr>
              <w:t>PM10</w:t>
            </w:r>
          </w:p>
          <w:p>
            <w:pPr>
              <w:pStyle w:val="3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lang w:val="en-US" w:eastAsia="zh-CN"/>
              </w:rPr>
              <w:t>D</w:t>
            </w:r>
            <w:r>
              <w:rPr>
                <w:rFonts w:hint="default" w:ascii="Times New Roman" w:hAnsi="Times New Roman" w:cs="Times New Roman" w:eastAsiaTheme="minorEastAsia"/>
                <w:color w:val="auto"/>
                <w:sz w:val="21"/>
                <w:szCs w:val="21"/>
                <w:highlight w:val="none"/>
                <w:vertAlign w:val="subscript"/>
                <w:lang w:val="en-US" w:eastAsia="zh-CN"/>
              </w:rPr>
              <w:t>10%</w:t>
            </w:r>
            <w:r>
              <w:rPr>
                <w:rFonts w:hint="default" w:ascii="Times New Roman" w:hAnsi="Times New Roman" w:cs="Times New Roman" w:eastAsiaTheme="minorEastAsia"/>
                <w:color w:val="auto"/>
                <w:sz w:val="21"/>
                <w:szCs w:val="21"/>
                <w:highlight w:val="none"/>
                <w:lang w:val="en-US" w:eastAsia="zh-CN"/>
              </w:rPr>
              <w:t>（m）</w:t>
            </w:r>
          </w:p>
        </w:tc>
        <w:tc>
          <w:tcPr>
            <w:tcW w:w="569" w:type="pct"/>
            <w:vAlign w:val="center"/>
          </w:tcPr>
          <w:p>
            <w:pPr>
              <w:pStyle w:val="3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vertAlign w:val="baseline"/>
                <w:lang w:val="en-US" w:eastAsia="zh-CN"/>
              </w:rPr>
              <w:t>氨气</w:t>
            </w:r>
          </w:p>
          <w:p>
            <w:pPr>
              <w:pStyle w:val="3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lang w:val="en-US" w:eastAsia="zh-CN"/>
              </w:rPr>
              <w:t>D</w:t>
            </w:r>
            <w:r>
              <w:rPr>
                <w:rFonts w:hint="default" w:ascii="Times New Roman" w:hAnsi="Times New Roman" w:cs="Times New Roman" w:eastAsiaTheme="minorEastAsia"/>
                <w:color w:val="auto"/>
                <w:sz w:val="21"/>
                <w:szCs w:val="21"/>
                <w:highlight w:val="none"/>
                <w:vertAlign w:val="subscript"/>
                <w:lang w:val="en-US" w:eastAsia="zh-CN"/>
              </w:rPr>
              <w:t>10%</w:t>
            </w:r>
            <w:r>
              <w:rPr>
                <w:rFonts w:hint="default" w:ascii="Times New Roman" w:hAnsi="Times New Roman" w:cs="Times New Roman" w:eastAsiaTheme="minorEastAsia"/>
                <w:color w:val="auto"/>
                <w:sz w:val="21"/>
                <w:szCs w:val="21"/>
                <w:highlight w:val="none"/>
                <w:lang w:val="en-US" w:eastAsia="zh-CN"/>
              </w:rPr>
              <w:t>（m）</w:t>
            </w:r>
          </w:p>
        </w:tc>
        <w:tc>
          <w:tcPr>
            <w:tcW w:w="569" w:type="pct"/>
            <w:vAlign w:val="center"/>
          </w:tcPr>
          <w:p>
            <w:pPr>
              <w:pStyle w:val="3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vertAlign w:val="baseline"/>
                <w:lang w:val="en-US" w:eastAsia="zh-CN"/>
              </w:rPr>
              <w:t>硫化氢</w:t>
            </w:r>
          </w:p>
          <w:p>
            <w:pPr>
              <w:pStyle w:val="3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lang w:val="en-US" w:eastAsia="zh-CN"/>
              </w:rPr>
              <w:t>D</w:t>
            </w:r>
            <w:r>
              <w:rPr>
                <w:rFonts w:hint="default" w:ascii="Times New Roman" w:hAnsi="Times New Roman" w:cs="Times New Roman" w:eastAsiaTheme="minorEastAsia"/>
                <w:color w:val="auto"/>
                <w:sz w:val="21"/>
                <w:szCs w:val="21"/>
                <w:highlight w:val="none"/>
                <w:vertAlign w:val="subscript"/>
                <w:lang w:val="en-US" w:eastAsia="zh-CN"/>
              </w:rPr>
              <w:t>10%</w:t>
            </w:r>
            <w:r>
              <w:rPr>
                <w:rFonts w:hint="default" w:ascii="Times New Roman" w:hAnsi="Times New Roman" w:cs="Times New Roman" w:eastAsiaTheme="minorEastAsia"/>
                <w:color w:val="auto"/>
                <w:sz w:val="21"/>
                <w:szCs w:val="21"/>
                <w:highlight w:val="none"/>
                <w:lang w:val="en-US" w:eastAsia="zh-CN"/>
              </w:rPr>
              <w:t>（m）</w:t>
            </w:r>
          </w:p>
        </w:tc>
        <w:tc>
          <w:tcPr>
            <w:tcW w:w="480" w:type="pct"/>
            <w:vAlign w:val="center"/>
          </w:tcPr>
          <w:p>
            <w:pPr>
              <w:pStyle w:val="3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vertAlign w:val="baseline"/>
                <w:lang w:val="en-US" w:eastAsia="zh-CN"/>
              </w:rPr>
              <w:t>NMHC</w:t>
            </w:r>
          </w:p>
          <w:p>
            <w:pPr>
              <w:pStyle w:val="3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lang w:val="en-US" w:eastAsia="zh-CN"/>
              </w:rPr>
              <w:t>D</w:t>
            </w:r>
            <w:r>
              <w:rPr>
                <w:rFonts w:hint="default" w:ascii="Times New Roman" w:hAnsi="Times New Roman" w:cs="Times New Roman" w:eastAsiaTheme="minorEastAsia"/>
                <w:color w:val="auto"/>
                <w:sz w:val="21"/>
                <w:szCs w:val="21"/>
                <w:highlight w:val="none"/>
                <w:vertAlign w:val="subscript"/>
                <w:lang w:val="en-US" w:eastAsia="zh-CN"/>
              </w:rPr>
              <w:t>10%</w:t>
            </w:r>
            <w:r>
              <w:rPr>
                <w:rFonts w:hint="default" w:ascii="Times New Roman" w:hAnsi="Times New Roman" w:cs="Times New Roman" w:eastAsiaTheme="minorEastAsia"/>
                <w:color w:val="auto"/>
                <w:sz w:val="21"/>
                <w:szCs w:val="21"/>
                <w:highlight w:val="none"/>
                <w:lang w:val="en-US" w:eastAsia="zh-CN"/>
              </w:rPr>
              <w:t>（m）</w:t>
            </w:r>
          </w:p>
        </w:tc>
        <w:tc>
          <w:tcPr>
            <w:tcW w:w="449" w:type="pct"/>
            <w:vAlign w:val="center"/>
          </w:tcPr>
          <w:p>
            <w:pPr>
              <w:pStyle w:val="3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vertAlign w:val="baseline"/>
                <w:lang w:val="en-US" w:eastAsia="zh-CN"/>
              </w:rPr>
              <w:t>甲醇</w:t>
            </w:r>
          </w:p>
          <w:p>
            <w:pPr>
              <w:pStyle w:val="3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lang w:val="en-US" w:eastAsia="zh-CN"/>
              </w:rPr>
              <w:t>D</w:t>
            </w:r>
            <w:r>
              <w:rPr>
                <w:rFonts w:hint="default" w:ascii="Times New Roman" w:hAnsi="Times New Roman" w:cs="Times New Roman" w:eastAsiaTheme="minorEastAsia"/>
                <w:color w:val="auto"/>
                <w:sz w:val="21"/>
                <w:szCs w:val="21"/>
                <w:highlight w:val="none"/>
                <w:vertAlign w:val="subscript"/>
                <w:lang w:val="en-US" w:eastAsia="zh-CN"/>
              </w:rPr>
              <w:t>10%</w:t>
            </w:r>
            <w:r>
              <w:rPr>
                <w:rFonts w:hint="default" w:ascii="Times New Roman" w:hAnsi="Times New Roman" w:cs="Times New Roman" w:eastAsiaTheme="minorEastAsia"/>
                <w:color w:val="auto"/>
                <w:sz w:val="21"/>
                <w:szCs w:val="21"/>
                <w:highlight w:val="none"/>
                <w:lang w:val="en-US" w:eastAsia="zh-CN"/>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vertAlign w:val="baseline"/>
                <w:lang w:val="en-US" w:eastAsia="zh-CN"/>
              </w:rPr>
              <w:t>DA001</w:t>
            </w:r>
          </w:p>
        </w:tc>
        <w:tc>
          <w:tcPr>
            <w:tcW w:w="10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vertAlign w:val="baseline"/>
                <w:lang w:val="en-US" w:eastAsia="zh-CN"/>
              </w:rPr>
              <w:t>171</w:t>
            </w:r>
          </w:p>
        </w:tc>
        <w:tc>
          <w:tcPr>
            <w:tcW w:w="127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rPr>
              <w:t>0.040</w:t>
            </w:r>
          </w:p>
        </w:tc>
        <w:tc>
          <w:tcPr>
            <w:tcW w:w="127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rPr>
              <w:t>0.080</w:t>
            </w:r>
          </w:p>
        </w:tc>
        <w:tc>
          <w:tcPr>
            <w:tcW w:w="161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rPr>
              <w:t>0.630</w:t>
            </w:r>
          </w:p>
        </w:tc>
        <w:tc>
          <w:tcPr>
            <w:tcW w:w="161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rPr>
              <w:t>23.98</w:t>
            </w:r>
          </w:p>
        </w:tc>
        <w:tc>
          <w:tcPr>
            <w:tcW w:w="136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rPr>
              <w:t>0.480</w:t>
            </w:r>
          </w:p>
        </w:tc>
        <w:tc>
          <w:tcPr>
            <w:tcW w:w="127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rPr>
              <w:t>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67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vertAlign w:val="baseline"/>
                <w:lang w:val="en-US" w:eastAsia="zh-CN"/>
              </w:rPr>
              <w:t>DA002</w:t>
            </w:r>
          </w:p>
        </w:tc>
        <w:tc>
          <w:tcPr>
            <w:tcW w:w="10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vertAlign w:val="baseline"/>
                <w:lang w:val="en-US" w:eastAsia="zh-CN"/>
              </w:rPr>
              <w:t>171</w:t>
            </w:r>
          </w:p>
        </w:tc>
        <w:tc>
          <w:tcPr>
            <w:tcW w:w="127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rPr>
              <w:t>0.120</w:t>
            </w:r>
          </w:p>
        </w:tc>
        <w:tc>
          <w:tcPr>
            <w:tcW w:w="127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rPr>
              <w:t>0.230</w:t>
            </w:r>
          </w:p>
        </w:tc>
        <w:tc>
          <w:tcPr>
            <w:tcW w:w="161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rPr>
              <w:t>0.230</w:t>
            </w:r>
          </w:p>
        </w:tc>
        <w:tc>
          <w:tcPr>
            <w:tcW w:w="161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rPr>
              <w:t>0.060</w:t>
            </w:r>
          </w:p>
        </w:tc>
        <w:tc>
          <w:tcPr>
            <w:tcW w:w="136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rPr>
              <w:t>0.000</w:t>
            </w:r>
          </w:p>
        </w:tc>
        <w:tc>
          <w:tcPr>
            <w:tcW w:w="127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rPr>
              <w:t>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vertAlign w:val="baseline"/>
                <w:lang w:val="en-US" w:eastAsia="zh-CN"/>
              </w:rPr>
              <w:t>动植物油回收、</w:t>
            </w:r>
            <w:r>
              <w:rPr>
                <w:rFonts w:hint="default" w:ascii="Times New Roman" w:hAnsi="Times New Roman" w:cs="Times New Roman" w:eastAsiaTheme="minorEastAsia"/>
                <w:color w:val="auto"/>
                <w:sz w:val="21"/>
                <w:szCs w:val="21"/>
                <w:lang w:val="en-US" w:eastAsia="zh-CN"/>
              </w:rPr>
              <w:t>生物燃料</w:t>
            </w:r>
            <w:r>
              <w:rPr>
                <w:rFonts w:hint="default" w:ascii="Times New Roman" w:hAnsi="Times New Roman" w:cs="Times New Roman" w:eastAsiaTheme="minorEastAsia"/>
                <w:color w:val="auto"/>
                <w:sz w:val="21"/>
                <w:szCs w:val="21"/>
                <w:vertAlign w:val="baseline"/>
                <w:lang w:val="en-US" w:eastAsia="zh-CN"/>
              </w:rPr>
              <w:t>车间</w:t>
            </w:r>
          </w:p>
        </w:tc>
        <w:tc>
          <w:tcPr>
            <w:tcW w:w="10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vertAlign w:val="baseline"/>
                <w:lang w:val="en-US" w:eastAsia="zh-CN"/>
              </w:rPr>
              <w:t>51</w:t>
            </w:r>
          </w:p>
        </w:tc>
        <w:tc>
          <w:tcPr>
            <w:tcW w:w="127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rPr>
              <w:t>2.210</w:t>
            </w:r>
          </w:p>
        </w:tc>
        <w:tc>
          <w:tcPr>
            <w:tcW w:w="127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rPr>
              <w:t>0.000</w:t>
            </w:r>
          </w:p>
        </w:tc>
        <w:tc>
          <w:tcPr>
            <w:tcW w:w="161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rPr>
              <w:t>9.600</w:t>
            </w:r>
          </w:p>
        </w:tc>
        <w:tc>
          <w:tcPr>
            <w:tcW w:w="161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rPr>
              <w:t>16.2175</w:t>
            </w:r>
          </w:p>
        </w:tc>
        <w:tc>
          <w:tcPr>
            <w:tcW w:w="136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rPr>
              <w:t>4.630</w:t>
            </w:r>
          </w:p>
        </w:tc>
        <w:tc>
          <w:tcPr>
            <w:tcW w:w="127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rPr>
              <w:t>0.020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vertAlign w:val="baseline"/>
                <w:lang w:val="en-US" w:eastAsia="zh-CN"/>
              </w:rPr>
              <w:t>水溶肥、有机肥车间</w:t>
            </w:r>
          </w:p>
        </w:tc>
        <w:tc>
          <w:tcPr>
            <w:tcW w:w="10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vertAlign w:val="baseline"/>
                <w:lang w:val="en-US" w:eastAsia="zh-CN"/>
              </w:rPr>
              <w:t>51</w:t>
            </w:r>
          </w:p>
        </w:tc>
        <w:tc>
          <w:tcPr>
            <w:tcW w:w="127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rPr>
              <w:t>8.300</w:t>
            </w:r>
          </w:p>
        </w:tc>
        <w:tc>
          <w:tcPr>
            <w:tcW w:w="127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rPr>
              <w:t>0.000</w:t>
            </w:r>
          </w:p>
        </w:tc>
        <w:tc>
          <w:tcPr>
            <w:tcW w:w="161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rPr>
              <w:t>0.180</w:t>
            </w:r>
          </w:p>
        </w:tc>
        <w:tc>
          <w:tcPr>
            <w:tcW w:w="161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rPr>
              <w:t>0.050</w:t>
            </w:r>
          </w:p>
        </w:tc>
        <w:tc>
          <w:tcPr>
            <w:tcW w:w="136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rPr>
              <w:t>0.000</w:t>
            </w:r>
          </w:p>
        </w:tc>
        <w:tc>
          <w:tcPr>
            <w:tcW w:w="127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rPr>
              <w:t>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vertAlign w:val="baseline"/>
                <w:lang w:val="en-US" w:eastAsia="zh-CN"/>
              </w:rPr>
              <w:t>罐区</w:t>
            </w:r>
          </w:p>
        </w:tc>
        <w:tc>
          <w:tcPr>
            <w:tcW w:w="10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vertAlign w:val="baseline"/>
                <w:lang w:val="en-US" w:eastAsia="zh-CN"/>
              </w:rPr>
              <w:t>43</w:t>
            </w:r>
          </w:p>
        </w:tc>
        <w:tc>
          <w:tcPr>
            <w:tcW w:w="127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rPr>
              <w:t>0.000</w:t>
            </w:r>
          </w:p>
        </w:tc>
        <w:tc>
          <w:tcPr>
            <w:tcW w:w="127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rPr>
              <w:t>0.000</w:t>
            </w:r>
          </w:p>
        </w:tc>
        <w:tc>
          <w:tcPr>
            <w:tcW w:w="161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rPr>
              <w:t>0.000</w:t>
            </w:r>
          </w:p>
        </w:tc>
        <w:tc>
          <w:tcPr>
            <w:tcW w:w="161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rPr>
              <w:t>0.000</w:t>
            </w:r>
          </w:p>
        </w:tc>
        <w:tc>
          <w:tcPr>
            <w:tcW w:w="136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rPr>
              <w:t>1.140</w:t>
            </w:r>
          </w:p>
        </w:tc>
        <w:tc>
          <w:tcPr>
            <w:tcW w:w="127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rPr>
              <w:t>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2" w:type="pct"/>
            <w:vAlign w:val="center"/>
          </w:tcPr>
          <w:p>
            <w:pPr>
              <w:pStyle w:val="3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vertAlign w:val="baseline"/>
                <w:lang w:val="en-US" w:eastAsia="zh-CN"/>
              </w:rPr>
              <w:t>各源最大值</w:t>
            </w:r>
          </w:p>
        </w:tc>
        <w:tc>
          <w:tcPr>
            <w:tcW w:w="10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vertAlign w:val="baseline"/>
                <w:lang w:val="en-US" w:eastAsia="zh-CN"/>
              </w:rPr>
              <w:t>--</w:t>
            </w:r>
          </w:p>
        </w:tc>
        <w:tc>
          <w:tcPr>
            <w:tcW w:w="127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rPr>
              <w:t>8.30</w:t>
            </w:r>
          </w:p>
        </w:tc>
        <w:tc>
          <w:tcPr>
            <w:tcW w:w="127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rPr>
              <w:t>0.23</w:t>
            </w:r>
          </w:p>
        </w:tc>
        <w:tc>
          <w:tcPr>
            <w:tcW w:w="161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rPr>
              <w:t>9.60</w:t>
            </w:r>
          </w:p>
        </w:tc>
        <w:tc>
          <w:tcPr>
            <w:tcW w:w="161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rPr>
              <w:t>23.98</w:t>
            </w:r>
          </w:p>
        </w:tc>
        <w:tc>
          <w:tcPr>
            <w:tcW w:w="136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rPr>
              <w:t>4.63</w:t>
            </w:r>
          </w:p>
        </w:tc>
        <w:tc>
          <w:tcPr>
            <w:tcW w:w="127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rPr>
              <w:t>0.02</w:t>
            </w:r>
          </w:p>
        </w:tc>
      </w:tr>
    </w:tbl>
    <w:p>
      <w:pPr>
        <w:keepNext w:val="0"/>
        <w:keepLines w:val="0"/>
        <w:pageBreakBefore w:val="0"/>
        <w:widowControl w:val="0"/>
        <w:shd w:val="clear" w:color="auto" w:fill="auto"/>
        <w:kinsoku/>
        <w:wordWrap w:val="0"/>
        <w:overflowPunct/>
        <w:topLinePunct w:val="0"/>
        <w:autoSpaceDE/>
        <w:autoSpaceDN/>
        <w:bidi w:val="0"/>
        <w:adjustRightInd w:val="0"/>
        <w:snapToGrid w:val="0"/>
        <w:spacing w:beforeAutospacing="0" w:line="560" w:lineRule="exact"/>
        <w:ind w:left="0" w:leftChars="0" w:right="0" w:rightChars="0" w:firstLine="480" w:firstLineChars="200"/>
        <w:textAlignment w:val="auto"/>
        <w:rPr>
          <w:rFonts w:hint="eastAsia" w:ascii="Times New Roman" w:hAnsi="Times New Roman" w:eastAsia="宋体" w:cs="Times New Roman"/>
          <w:color w:val="auto"/>
          <w:sz w:val="24"/>
          <w:szCs w:val="24"/>
          <w:highlight w:val="none"/>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eastAsia" w:ascii="Times New Roman" w:hAnsi="Times New Roman" w:eastAsia="宋体" w:cs="Times New Roman"/>
          <w:color w:val="auto"/>
          <w:sz w:val="24"/>
          <w:szCs w:val="24"/>
          <w:highlight w:val="none"/>
          <w:lang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highlight w:val="none"/>
          <w:lang w:val="en-US" w:eastAsia="zh-CN"/>
        </w:rPr>
        <w:t>根据估算结果表明，项目排放的废气中各污染物最大地面空气质量浓度占标率为 23.98%（动植物油回收、生物燃料车间排放的硫化氢）。本项目运营期间排放的主要大气污染物中最大地面质量浓度占标率（Pi）为 23.98%＞10%，根据《环境影响评价技术导则 大气环境》（HJ 2.2-2018）中的大气环境影响评价工作等级分级判据，确定本项目大气环境影响评价工作等级为一级。</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2.3.1.2 水环境影响评价工作等级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（1）地表水评价工作等级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根据《环境影响评价技术导则 地表水环境》（HJ2.3-2018）的规定，本项目属于污染影响型建设项目，建设项目地表水环境影响评价等级按照排放方式、排放量划分等级，见表 2.3.1-7。</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2.3.1-7   地表水评价工作等级一览表</w:t>
      </w:r>
    </w:p>
    <w:tbl>
      <w:tblPr>
        <w:tblStyle w:val="2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1"/>
        <w:gridCol w:w="1202"/>
        <w:gridCol w:w="61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评价等级</w:t>
            </w:r>
          </w:p>
        </w:tc>
        <w:tc>
          <w:tcPr>
            <w:tcW w:w="429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判定依据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排放方式</w:t>
            </w:r>
          </w:p>
        </w:tc>
        <w:tc>
          <w:tcPr>
            <w:tcW w:w="35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废水排放量Q/（m3/d）；水污染物当量数/W（无量纲）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一级</w:t>
            </w:r>
          </w:p>
        </w:tc>
        <w:tc>
          <w:tcPr>
            <w:tcW w:w="7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直排</w:t>
            </w:r>
          </w:p>
        </w:tc>
        <w:tc>
          <w:tcPr>
            <w:tcW w:w="35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Q≥20000或W≥600000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二级</w:t>
            </w:r>
          </w:p>
        </w:tc>
        <w:tc>
          <w:tcPr>
            <w:tcW w:w="7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直排</w:t>
            </w:r>
          </w:p>
        </w:tc>
        <w:tc>
          <w:tcPr>
            <w:tcW w:w="35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三级A</w:t>
            </w:r>
          </w:p>
        </w:tc>
        <w:tc>
          <w:tcPr>
            <w:tcW w:w="7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直排</w:t>
            </w:r>
          </w:p>
        </w:tc>
        <w:tc>
          <w:tcPr>
            <w:tcW w:w="35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Q＜200且W＜6000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三级B</w:t>
            </w:r>
          </w:p>
        </w:tc>
        <w:tc>
          <w:tcPr>
            <w:tcW w:w="7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间接排放</w:t>
            </w:r>
          </w:p>
        </w:tc>
        <w:tc>
          <w:tcPr>
            <w:tcW w:w="35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本项目产生废水包括生产废水和生活污水，生产废水回用于水溶肥及生物有机肥生产线，生活污水直接排入园区下水管网，最终进入园区污水处理厂处理。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根据《环境影响评价技术导则 地表水环境》（HJ2.3-2018）中的相关规定本次地表水环境影响评价等级定为三级 B。</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（2）地下水评价工作等级</w:t>
      </w:r>
    </w:p>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560" w:lineRule="exact"/>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①项目类别</w:t>
      </w:r>
    </w:p>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560" w:lineRule="exact"/>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根据《环境影响评价导则 地下水环境》（HJ610-2016）附录</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A</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地下水环境影响评价行业分类表，本项目行业类别为“</w:t>
      </w:r>
      <w:r>
        <w:rPr>
          <w:rFonts w:hint="eastAsia" w:ascii="Times New Roman" w:hAnsi="Times New Roman" w:eastAsia="宋体" w:cs="Times New Roman"/>
          <w:color w:val="auto"/>
          <w:sz w:val="24"/>
          <w:szCs w:val="24"/>
          <w:highlight w:val="none"/>
          <w:lang w:val="en-US" w:eastAsia="zh-CN"/>
        </w:rPr>
        <w:t>石化、化工-85、专用化学品制造</w:t>
      </w:r>
      <w:r>
        <w:rPr>
          <w:rFonts w:hint="default" w:ascii="Times New Roman" w:hAnsi="Times New Roman" w:eastAsia="宋体" w:cs="Times New Roman"/>
          <w:color w:val="auto"/>
          <w:sz w:val="24"/>
          <w:szCs w:val="24"/>
          <w:highlight w:val="none"/>
        </w:rPr>
        <w:t>”，属于</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I</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类建设项目。</w:t>
      </w:r>
    </w:p>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560" w:lineRule="exact"/>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②敏感程度</w:t>
      </w:r>
    </w:p>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560" w:lineRule="exact"/>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建设项目的地下水环境敏感程度可分为敏感、较敏感、不敏感三级，分级原则见表</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2</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3.1-8</w:t>
      </w:r>
      <w:r>
        <w:rPr>
          <w:rFonts w:hint="default" w:ascii="Times New Roman" w:hAnsi="Times New Roman" w:eastAsia="宋体" w:cs="Times New Roman"/>
          <w:color w:val="auto"/>
          <w:sz w:val="24"/>
          <w:szCs w:val="24"/>
          <w:highlight w:val="none"/>
          <w:lang w:eastAsia="zh-CN"/>
        </w:rPr>
        <w:t>。</w:t>
      </w:r>
    </w:p>
    <w:p>
      <w:pPr>
        <w:pStyle w:val="33"/>
        <w:bidi w:val="0"/>
        <w:rPr>
          <w:rFonts w:hint="default"/>
          <w:color w:val="auto"/>
        </w:rPr>
      </w:pPr>
      <w:r>
        <w:rPr>
          <w:rFonts w:hint="default"/>
          <w:color w:val="auto"/>
          <w:sz w:val="24"/>
          <w:szCs w:val="24"/>
        </w:rPr>
        <w:t>表</w:t>
      </w:r>
      <w:r>
        <w:rPr>
          <w:rFonts w:hint="eastAsia"/>
          <w:color w:val="auto"/>
          <w:sz w:val="24"/>
          <w:szCs w:val="24"/>
          <w:lang w:val="en-US" w:eastAsia="zh-CN"/>
        </w:rPr>
        <w:t xml:space="preserve"> </w:t>
      </w:r>
      <w:r>
        <w:rPr>
          <w:rFonts w:hint="default"/>
          <w:color w:val="auto"/>
          <w:sz w:val="24"/>
          <w:szCs w:val="24"/>
        </w:rPr>
        <w:t>2</w:t>
      </w:r>
      <w:r>
        <w:rPr>
          <w:rFonts w:hint="eastAsia"/>
          <w:color w:val="auto"/>
          <w:sz w:val="24"/>
          <w:szCs w:val="24"/>
          <w:lang w:val="en-US" w:eastAsia="zh-CN"/>
        </w:rPr>
        <w:t xml:space="preserve">.3.1-8    </w:t>
      </w:r>
      <w:r>
        <w:rPr>
          <w:rFonts w:hint="default"/>
          <w:color w:val="auto"/>
          <w:sz w:val="24"/>
          <w:szCs w:val="24"/>
        </w:rPr>
        <w:t xml:space="preserve"> 地下水环境敏感程度分级</w:t>
      </w:r>
    </w:p>
    <w:tbl>
      <w:tblPr>
        <w:tblStyle w:val="2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3"/>
        <w:gridCol w:w="74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2" w:type="pct"/>
            <w:tcBorders>
              <w:tl2br w:val="nil"/>
              <w:tr2bl w:val="nil"/>
            </w:tcBorders>
            <w:noWrap w:val="0"/>
            <w:vAlign w:val="center"/>
          </w:tcPr>
          <w:p>
            <w:pPr>
              <w:pStyle w:val="34"/>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分级</w:t>
            </w:r>
          </w:p>
        </w:tc>
        <w:tc>
          <w:tcPr>
            <w:tcW w:w="4387" w:type="pct"/>
            <w:tcBorders>
              <w:tl2br w:val="nil"/>
              <w:tr2bl w:val="nil"/>
            </w:tcBorders>
            <w:noWrap w:val="0"/>
            <w:vAlign w:val="center"/>
          </w:tcPr>
          <w:p>
            <w:pPr>
              <w:pStyle w:val="34"/>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项目场地的地下水环境敏感特征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2"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敏感</w:t>
            </w:r>
          </w:p>
        </w:tc>
        <w:tc>
          <w:tcPr>
            <w:tcW w:w="4387"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集中式饮用水水源（包括已建成的在用、备用、应急水源地，在建和规划的饮用水水源）准保护区；除集中式饮用水水源以外的国家或地方政府设定的与地下水环境相关的其它保护区，如热水、矿泉水、温泉等特殊地下水资源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2"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较敏感</w:t>
            </w:r>
          </w:p>
        </w:tc>
        <w:tc>
          <w:tcPr>
            <w:tcW w:w="4387"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集中式饮用水水源（包括已建成的在用、备用、应急水源，在建和规划的饮用水水源）准保护区以外的补给径流区；未划定准保护区的集中式饮用水水源，其保护区以外的补给径流区；分散式饮用水水源地；特殊地下水资源（矿泉水、温泉等）保护区以外的分布区等其它未列入上述敏感分级的环境敏感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2"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不敏感</w:t>
            </w:r>
          </w:p>
        </w:tc>
        <w:tc>
          <w:tcPr>
            <w:tcW w:w="4387"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上述地区之外的其它地区。</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拟建</w:t>
      </w:r>
      <w:r>
        <w:rPr>
          <w:rFonts w:hint="default" w:ascii="Times New Roman" w:hAnsi="Times New Roman" w:eastAsia="宋体" w:cs="Times New Roman"/>
          <w:color w:val="auto"/>
          <w:sz w:val="24"/>
          <w:szCs w:val="24"/>
          <w:lang w:val="en-US" w:eastAsia="zh-CN"/>
        </w:rPr>
        <w:t>项目位于</w:t>
      </w:r>
      <w:r>
        <w:rPr>
          <w:rFonts w:hint="eastAsia" w:ascii="Times New Roman" w:hAnsi="Times New Roman" w:eastAsia="宋体" w:cs="Times New Roman"/>
          <w:color w:val="auto"/>
          <w:sz w:val="24"/>
          <w:szCs w:val="24"/>
          <w:lang w:val="en-US" w:eastAsia="zh-CN"/>
        </w:rPr>
        <w:t>呼图壁工业园区</w:t>
      </w:r>
      <w:r>
        <w:rPr>
          <w:rFonts w:hint="default" w:ascii="Times New Roman" w:hAnsi="Times New Roman" w:eastAsia="宋体" w:cs="Times New Roman"/>
          <w:color w:val="auto"/>
          <w:sz w:val="24"/>
          <w:szCs w:val="24"/>
          <w:lang w:val="en-US" w:eastAsia="zh-CN"/>
        </w:rPr>
        <w:t>，根据现场调查，项目区周边无居住区、集中式饮用水水源及补给径流区、无特殊地下水资源保护区、无分散式饮用水水源地，根据表</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val="en-US" w:eastAsia="zh-CN"/>
        </w:rPr>
        <w:t>3.1</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 xml:space="preserve">8 </w:t>
      </w:r>
      <w:r>
        <w:rPr>
          <w:rFonts w:hint="default" w:ascii="Times New Roman" w:hAnsi="Times New Roman" w:eastAsia="宋体" w:cs="Times New Roman"/>
          <w:color w:val="auto"/>
          <w:sz w:val="24"/>
          <w:szCs w:val="24"/>
          <w:lang w:val="en-US" w:eastAsia="zh-CN"/>
        </w:rPr>
        <w:t>判定，本项目地下水环境敏感程度为不敏感。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③评价等级判定</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color w:val="auto"/>
          <w:lang w:val="en-US" w:eastAsia="zh-CN"/>
        </w:rPr>
      </w:pPr>
      <w:r>
        <w:rPr>
          <w:rFonts w:hint="default" w:ascii="Times New Roman" w:hAnsi="Times New Roman" w:eastAsia="宋体" w:cs="Times New Roman"/>
          <w:color w:val="auto"/>
          <w:sz w:val="24"/>
          <w:szCs w:val="24"/>
          <w:lang w:val="en-US" w:eastAsia="zh-CN"/>
        </w:rPr>
        <w:t>评价工作等级分级表见表</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val="en-US" w:eastAsia="zh-CN"/>
        </w:rPr>
        <w:t>3.1</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9</w:t>
      </w:r>
      <w:r>
        <w:rPr>
          <w:rFonts w:hint="default" w:ascii="Times New Roman" w:hAnsi="Times New Roman" w:eastAsia="宋体" w:cs="Times New Roman"/>
          <w:color w:val="auto"/>
          <w:sz w:val="24"/>
          <w:szCs w:val="24"/>
          <w:lang w:val="en-US" w:eastAsia="zh-CN"/>
        </w:rPr>
        <w:t>。</w:t>
      </w:r>
    </w:p>
    <w:p>
      <w:pPr>
        <w:pStyle w:val="33"/>
        <w:bidi w:val="0"/>
        <w:rPr>
          <w:rFonts w:hint="default"/>
          <w:color w:val="auto"/>
        </w:rPr>
      </w:pPr>
      <w:r>
        <w:rPr>
          <w:rFonts w:hint="default"/>
          <w:color w:val="auto"/>
          <w:sz w:val="24"/>
          <w:szCs w:val="24"/>
        </w:rPr>
        <w:t>表</w:t>
      </w:r>
      <w:r>
        <w:rPr>
          <w:rFonts w:hint="eastAsia"/>
          <w:color w:val="auto"/>
          <w:sz w:val="24"/>
          <w:szCs w:val="24"/>
          <w:lang w:val="en-US" w:eastAsia="zh-CN"/>
        </w:rPr>
        <w:t xml:space="preserve"> </w:t>
      </w:r>
      <w:r>
        <w:rPr>
          <w:rFonts w:hint="default"/>
          <w:color w:val="auto"/>
          <w:sz w:val="24"/>
          <w:szCs w:val="24"/>
        </w:rPr>
        <w:t>2</w:t>
      </w:r>
      <w:r>
        <w:rPr>
          <w:rFonts w:hint="eastAsia"/>
          <w:color w:val="auto"/>
          <w:sz w:val="24"/>
          <w:szCs w:val="24"/>
          <w:lang w:val="en-US" w:eastAsia="zh-CN"/>
        </w:rPr>
        <w:t xml:space="preserve">.3.1-9 </w:t>
      </w:r>
      <w:r>
        <w:rPr>
          <w:rFonts w:hint="default"/>
          <w:color w:val="auto"/>
          <w:sz w:val="24"/>
          <w:szCs w:val="24"/>
        </w:rPr>
        <w:t xml:space="preserve">    地下水环境影响评价工作等级划分表</w:t>
      </w:r>
    </w:p>
    <w:tbl>
      <w:tblPr>
        <w:tblStyle w:val="21"/>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482"/>
        <w:gridCol w:w="1943"/>
        <w:gridCol w:w="2063"/>
        <w:gridCol w:w="203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64" w:hRule="atLeast"/>
          <w:jc w:val="center"/>
        </w:trPr>
        <w:tc>
          <w:tcPr>
            <w:tcW w:w="1456" w:type="pct"/>
            <w:tcBorders>
              <w:tl2br w:val="nil"/>
              <w:tr2bl w:val="nil"/>
            </w:tcBorders>
            <w:noWrap w:val="0"/>
            <w:vAlign w:val="top"/>
            <mc:AlternateContent>
              <mc:Choice Requires="wpsCustomData">
                <wpsCustomData:diagonals>
                  <wpsCustomData:diagonal from="10000" to="30000">
                    <wpsCustomData:border w:val="single" w:color="000000" w:sz="4" w:space="0"/>
                  </wpsCustomData:diagonal>
                </wpsCustomData:diagonals>
              </mc:Choice>
            </mc:AlternateContent>
          </w:tcPr>
          <w:p>
            <w:pPr>
              <w:pStyle w:val="34"/>
              <w:bidi w:val="0"/>
              <mc:AlternateContent>
                <mc:Choice Requires="wpsCustomData">
                  <wpsCustomData:diagonalParaType/>
                </mc:Choice>
              </mc:AlternateContent>
              <w:rPr>
                <w:rFonts w:hint="default"/>
                <w:b/>
                <w:bCs/>
                <w:color w:val="auto"/>
              </w:rPr>
            </w:pPr>
            <w:r>
              <w:rPr>
                <w:rFonts w:hint="eastAsia"/>
                <w:b/>
                <w:bCs/>
                <w:color w:val="auto"/>
                <w:lang w:val="en-US" w:eastAsia="zh-CN"/>
              </w:rPr>
              <w:t xml:space="preserve">                          敏</w:t>
            </w:r>
            <w:r>
              <w:rPr>
                <w:rFonts w:hint="default"/>
                <w:b/>
                <w:bCs/>
                <w:color w:val="auto"/>
              </w:rPr>
              <w:t>感程度</w:t>
            </w:r>
          </w:p>
          <w:p>
            <w:pPr>
              <w:pStyle w:val="34"/>
              <w:bidi w:val="0"/>
              <w:jc w:val="both"/>
              <w:rPr>
                <w:rFonts w:hint="default"/>
                <w:b/>
                <w:bCs/>
                <w:color w:val="auto"/>
              </w:rPr>
            </w:pPr>
            <w:r>
              <w:rPr>
                <w:rFonts w:hint="default"/>
                <w:b/>
                <w:bCs/>
                <w:color w:val="auto"/>
              </w:rPr>
              <w:t>项目类别</w:t>
            </w:r>
          </w:p>
        </w:tc>
        <w:tc>
          <w:tcPr>
            <w:tcW w:w="1140" w:type="pct"/>
            <w:tcBorders>
              <w:tl2br w:val="nil"/>
              <w:tr2bl w:val="nil"/>
            </w:tcBorders>
            <w:noWrap w:val="0"/>
            <w:vAlign w:val="center"/>
          </w:tcPr>
          <w:p>
            <w:pPr>
              <w:pStyle w:val="34"/>
              <w:bidi w:val="0"/>
              <w:rPr>
                <w:rFonts w:hint="default"/>
                <w:b/>
                <w:bCs/>
                <w:color w:val="auto"/>
              </w:rPr>
            </w:pPr>
            <w:r>
              <w:rPr>
                <w:rFonts w:hint="default"/>
                <w:b/>
                <w:bCs/>
                <w:color w:val="auto"/>
              </w:rPr>
              <w:t>I类项目</w:t>
            </w:r>
          </w:p>
        </w:tc>
        <w:tc>
          <w:tcPr>
            <w:tcW w:w="1210" w:type="pct"/>
            <w:tcBorders>
              <w:tl2br w:val="nil"/>
              <w:tr2bl w:val="nil"/>
            </w:tcBorders>
            <w:noWrap w:val="0"/>
            <w:vAlign w:val="center"/>
          </w:tcPr>
          <w:p>
            <w:pPr>
              <w:pStyle w:val="34"/>
              <w:bidi w:val="0"/>
              <w:rPr>
                <w:rFonts w:hint="default"/>
                <w:b/>
                <w:bCs/>
                <w:color w:val="auto"/>
              </w:rPr>
            </w:pPr>
            <w:r>
              <w:rPr>
                <w:rFonts w:hint="default"/>
                <w:b/>
                <w:bCs/>
                <w:color w:val="auto"/>
              </w:rPr>
              <w:t>II类项目</w:t>
            </w:r>
          </w:p>
        </w:tc>
        <w:tc>
          <w:tcPr>
            <w:tcW w:w="1192" w:type="pct"/>
            <w:tcBorders>
              <w:tl2br w:val="nil"/>
              <w:tr2bl w:val="nil"/>
            </w:tcBorders>
            <w:noWrap w:val="0"/>
            <w:vAlign w:val="center"/>
          </w:tcPr>
          <w:p>
            <w:pPr>
              <w:pStyle w:val="34"/>
              <w:bidi w:val="0"/>
              <w:rPr>
                <w:rFonts w:hint="default"/>
                <w:b/>
                <w:bCs/>
                <w:color w:val="auto"/>
              </w:rPr>
            </w:pPr>
            <w:r>
              <w:rPr>
                <w:rFonts w:hint="default"/>
                <w:b/>
                <w:bCs/>
                <w:color w:val="auto"/>
              </w:rPr>
              <w:t>III类项目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456" w:type="pct"/>
            <w:tcBorders>
              <w:tl2br w:val="nil"/>
              <w:tr2bl w:val="nil"/>
            </w:tcBorders>
            <w:noWrap w:val="0"/>
            <w:vAlign w:val="center"/>
          </w:tcPr>
          <w:p>
            <w:pPr>
              <w:pStyle w:val="34"/>
              <w:bidi w:val="0"/>
              <w:rPr>
                <w:rFonts w:hint="default"/>
                <w:color w:val="auto"/>
              </w:rPr>
            </w:pPr>
            <w:r>
              <w:rPr>
                <w:rFonts w:hint="default"/>
                <w:color w:val="auto"/>
              </w:rPr>
              <w:t>敏感</w:t>
            </w:r>
          </w:p>
        </w:tc>
        <w:tc>
          <w:tcPr>
            <w:tcW w:w="1140" w:type="pct"/>
            <w:tcBorders>
              <w:tl2br w:val="nil"/>
              <w:tr2bl w:val="nil"/>
            </w:tcBorders>
            <w:noWrap w:val="0"/>
            <w:vAlign w:val="center"/>
          </w:tcPr>
          <w:p>
            <w:pPr>
              <w:pStyle w:val="34"/>
              <w:bidi w:val="0"/>
              <w:rPr>
                <w:rFonts w:hint="default"/>
                <w:color w:val="auto"/>
              </w:rPr>
            </w:pPr>
            <w:r>
              <w:rPr>
                <w:rFonts w:hint="default"/>
                <w:color w:val="auto"/>
              </w:rPr>
              <w:t>一</w:t>
            </w:r>
          </w:p>
        </w:tc>
        <w:tc>
          <w:tcPr>
            <w:tcW w:w="1210" w:type="pct"/>
            <w:tcBorders>
              <w:tl2br w:val="nil"/>
              <w:tr2bl w:val="nil"/>
            </w:tcBorders>
            <w:noWrap w:val="0"/>
            <w:vAlign w:val="center"/>
          </w:tcPr>
          <w:p>
            <w:pPr>
              <w:pStyle w:val="34"/>
              <w:bidi w:val="0"/>
              <w:rPr>
                <w:rFonts w:hint="default"/>
                <w:color w:val="auto"/>
              </w:rPr>
            </w:pPr>
            <w:r>
              <w:rPr>
                <w:rFonts w:hint="default"/>
                <w:color w:val="auto"/>
              </w:rPr>
              <w:t>一</w:t>
            </w:r>
          </w:p>
        </w:tc>
        <w:tc>
          <w:tcPr>
            <w:tcW w:w="1192" w:type="pct"/>
            <w:tcBorders>
              <w:tl2br w:val="nil"/>
              <w:tr2bl w:val="nil"/>
            </w:tcBorders>
            <w:noWrap w:val="0"/>
            <w:vAlign w:val="center"/>
          </w:tcPr>
          <w:p>
            <w:pPr>
              <w:pStyle w:val="34"/>
              <w:bidi w:val="0"/>
              <w:rPr>
                <w:rFonts w:hint="default"/>
                <w:color w:val="auto"/>
              </w:rPr>
            </w:pPr>
            <w:r>
              <w:rPr>
                <w:rFonts w:hint="default"/>
                <w:color w:val="auto"/>
              </w:rPr>
              <w:t>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456" w:type="pct"/>
            <w:tcBorders>
              <w:tl2br w:val="nil"/>
              <w:tr2bl w:val="nil"/>
            </w:tcBorders>
            <w:noWrap w:val="0"/>
            <w:vAlign w:val="center"/>
          </w:tcPr>
          <w:p>
            <w:pPr>
              <w:pStyle w:val="34"/>
              <w:bidi w:val="0"/>
              <w:rPr>
                <w:rFonts w:hint="default"/>
                <w:color w:val="auto"/>
              </w:rPr>
            </w:pPr>
            <w:r>
              <w:rPr>
                <w:rFonts w:hint="default"/>
                <w:color w:val="auto"/>
              </w:rPr>
              <w:t>较敏感</w:t>
            </w:r>
          </w:p>
        </w:tc>
        <w:tc>
          <w:tcPr>
            <w:tcW w:w="1140" w:type="pct"/>
            <w:tcBorders>
              <w:tl2br w:val="nil"/>
              <w:tr2bl w:val="nil"/>
            </w:tcBorders>
            <w:noWrap w:val="0"/>
            <w:vAlign w:val="center"/>
          </w:tcPr>
          <w:p>
            <w:pPr>
              <w:pStyle w:val="34"/>
              <w:bidi w:val="0"/>
              <w:rPr>
                <w:rFonts w:hint="default"/>
                <w:color w:val="auto"/>
              </w:rPr>
            </w:pPr>
            <w:r>
              <w:rPr>
                <w:rFonts w:hint="default"/>
                <w:color w:val="auto"/>
              </w:rPr>
              <w:t>一</w:t>
            </w:r>
          </w:p>
        </w:tc>
        <w:tc>
          <w:tcPr>
            <w:tcW w:w="1210" w:type="pct"/>
            <w:tcBorders>
              <w:tl2br w:val="nil"/>
              <w:tr2bl w:val="nil"/>
            </w:tcBorders>
            <w:noWrap w:val="0"/>
            <w:vAlign w:val="center"/>
          </w:tcPr>
          <w:p>
            <w:pPr>
              <w:pStyle w:val="34"/>
              <w:bidi w:val="0"/>
              <w:rPr>
                <w:rFonts w:hint="default"/>
                <w:color w:val="auto"/>
              </w:rPr>
            </w:pPr>
            <w:r>
              <w:rPr>
                <w:rFonts w:hint="default"/>
                <w:color w:val="auto"/>
              </w:rPr>
              <w:t>二</w:t>
            </w:r>
          </w:p>
        </w:tc>
        <w:tc>
          <w:tcPr>
            <w:tcW w:w="1192" w:type="pct"/>
            <w:tcBorders>
              <w:tl2br w:val="nil"/>
              <w:tr2bl w:val="nil"/>
            </w:tcBorders>
            <w:noWrap w:val="0"/>
            <w:vAlign w:val="center"/>
          </w:tcPr>
          <w:p>
            <w:pPr>
              <w:pStyle w:val="34"/>
              <w:bidi w:val="0"/>
              <w:rPr>
                <w:rFonts w:hint="default"/>
                <w:color w:val="auto"/>
              </w:rPr>
            </w:pPr>
            <w:r>
              <w:rPr>
                <w:rFonts w:hint="default"/>
                <w:color w:val="auto"/>
              </w:rPr>
              <w:t>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456" w:type="pct"/>
            <w:tcBorders>
              <w:tl2br w:val="nil"/>
              <w:tr2bl w:val="nil"/>
            </w:tcBorders>
            <w:noWrap w:val="0"/>
            <w:vAlign w:val="center"/>
          </w:tcPr>
          <w:p>
            <w:pPr>
              <w:pStyle w:val="34"/>
              <w:bidi w:val="0"/>
              <w:rPr>
                <w:rFonts w:hint="default"/>
                <w:color w:val="auto"/>
              </w:rPr>
            </w:pPr>
            <w:r>
              <w:rPr>
                <w:rFonts w:hint="default"/>
                <w:color w:val="auto"/>
              </w:rPr>
              <w:t>不敏感</w:t>
            </w:r>
          </w:p>
        </w:tc>
        <w:tc>
          <w:tcPr>
            <w:tcW w:w="1140" w:type="pct"/>
            <w:tcBorders>
              <w:tl2br w:val="nil"/>
              <w:tr2bl w:val="nil"/>
            </w:tcBorders>
            <w:noWrap w:val="0"/>
            <w:vAlign w:val="center"/>
          </w:tcPr>
          <w:p>
            <w:pPr>
              <w:pStyle w:val="34"/>
              <w:bidi w:val="0"/>
              <w:rPr>
                <w:rFonts w:hint="default"/>
                <w:color w:val="auto"/>
              </w:rPr>
            </w:pPr>
            <w:r>
              <w:rPr>
                <w:rFonts w:hint="default"/>
                <w:color w:val="auto"/>
              </w:rPr>
              <w:t>二</w:t>
            </w:r>
          </w:p>
        </w:tc>
        <w:tc>
          <w:tcPr>
            <w:tcW w:w="1210" w:type="pct"/>
            <w:tcBorders>
              <w:tl2br w:val="nil"/>
              <w:tr2bl w:val="nil"/>
            </w:tcBorders>
            <w:noWrap w:val="0"/>
            <w:vAlign w:val="center"/>
          </w:tcPr>
          <w:p>
            <w:pPr>
              <w:pStyle w:val="34"/>
              <w:bidi w:val="0"/>
              <w:rPr>
                <w:rFonts w:hint="default"/>
                <w:color w:val="auto"/>
              </w:rPr>
            </w:pPr>
            <w:r>
              <w:rPr>
                <w:rFonts w:hint="default"/>
                <w:color w:val="auto"/>
              </w:rPr>
              <w:t>三</w:t>
            </w:r>
          </w:p>
        </w:tc>
        <w:tc>
          <w:tcPr>
            <w:tcW w:w="1192" w:type="pct"/>
            <w:tcBorders>
              <w:tl2br w:val="nil"/>
              <w:tr2bl w:val="nil"/>
            </w:tcBorders>
            <w:noWrap w:val="0"/>
            <w:vAlign w:val="center"/>
          </w:tcPr>
          <w:p>
            <w:pPr>
              <w:pStyle w:val="34"/>
              <w:bidi w:val="0"/>
              <w:rPr>
                <w:rFonts w:hint="default"/>
                <w:color w:val="auto"/>
              </w:rPr>
            </w:pPr>
            <w:r>
              <w:rPr>
                <w:rFonts w:hint="default"/>
                <w:color w:val="auto"/>
              </w:rPr>
              <w:t>三</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highlight w:val="none"/>
          <w:lang w:val="en-US" w:eastAsia="zh-CN"/>
        </w:rPr>
        <w:t>综上，本项目属于</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lang w:val="en-US" w:eastAsia="zh-CN"/>
        </w:rPr>
        <w:t>I</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lang w:val="en-US" w:eastAsia="zh-CN"/>
        </w:rPr>
        <w:t>类建设项目，所处区域地下水环境敏感程度为不敏感，结合地下水环境影响评价工作等级划分表可知，本项目地下水环境影响评价工作等级为二级。</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2.3.1.3 声环境影响评价工作等级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本项目所在区域为工业园区，根据《声环境质量标准》（GB3096-2008）可知，该区域为 3 类声环境功能区。评价范围内没有噪声敏感目标，周围受影响人口数量变化不大，因此，按《环境影响评价技术导则 声环境》（HJ2.4-2021）中的评价等级确定原则，声环境评价等级为三级，主要预测厂界达标状况及噪声对周围环境的影响。</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2.3.1-10   环境噪声影响评价工作等级判定依据表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68"/>
        <w:gridCol w:w="1531"/>
        <w:gridCol w:w="3272"/>
        <w:gridCol w:w="17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判定依据</w:t>
            </w:r>
          </w:p>
        </w:tc>
        <w:tc>
          <w:tcPr>
            <w:tcW w:w="8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声环境功能区类别</w:t>
            </w:r>
          </w:p>
        </w:tc>
        <w:tc>
          <w:tcPr>
            <w:tcW w:w="191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环境敏感目标噪声级增量</w:t>
            </w:r>
          </w:p>
        </w:tc>
        <w:tc>
          <w:tcPr>
            <w:tcW w:w="10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影响人口数量变化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三级评价标准判据</w:t>
            </w:r>
          </w:p>
        </w:tc>
        <w:tc>
          <w:tcPr>
            <w:tcW w:w="8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3、4类地区</w:t>
            </w:r>
          </w:p>
        </w:tc>
        <w:tc>
          <w:tcPr>
            <w:tcW w:w="191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小于 3dB（A）（不含 3dB（A））</w:t>
            </w:r>
          </w:p>
        </w:tc>
        <w:tc>
          <w:tcPr>
            <w:tcW w:w="10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变化不大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拟建项目</w:t>
            </w:r>
          </w:p>
        </w:tc>
        <w:tc>
          <w:tcPr>
            <w:tcW w:w="8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3类区</w:t>
            </w:r>
          </w:p>
        </w:tc>
        <w:tc>
          <w:tcPr>
            <w:tcW w:w="191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小于 3dB（A）</w:t>
            </w:r>
          </w:p>
        </w:tc>
        <w:tc>
          <w:tcPr>
            <w:tcW w:w="10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变化不大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评价等级</w:t>
            </w:r>
          </w:p>
        </w:tc>
        <w:tc>
          <w:tcPr>
            <w:tcW w:w="3844"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三级评价</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2.3.1.4 土壤环境影响评价工作等级</w:t>
      </w:r>
    </w:p>
    <w:p>
      <w:pPr>
        <w:keepNext w:val="0"/>
        <w:keepLines w:val="0"/>
        <w:pageBreakBefore w:val="0"/>
        <w:widowControl w:val="0"/>
        <w:numPr>
          <w:ilvl w:val="0"/>
          <w:numId w:val="0"/>
        </w:numPr>
        <w:shd w:val="clear" w:color="auto" w:fill="auto"/>
        <w:kinsoku/>
        <w:wordWrap w:val="0"/>
        <w:overflowPunct/>
        <w:topLinePunct w:val="0"/>
        <w:autoSpaceDE/>
        <w:autoSpaceDN/>
        <w:bidi w:val="0"/>
        <w:adjustRightInd/>
        <w:snapToGrid/>
        <w:spacing w:beforeAutospacing="0" w:line="560" w:lineRule="exact"/>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（1）项目类别</w:t>
      </w:r>
    </w:p>
    <w:p>
      <w:pPr>
        <w:keepNext w:val="0"/>
        <w:keepLines w:val="0"/>
        <w:pageBreakBefore w:val="0"/>
        <w:widowControl w:val="0"/>
        <w:numPr>
          <w:ilvl w:val="0"/>
          <w:numId w:val="0"/>
        </w:numPr>
        <w:shd w:val="clear" w:color="auto" w:fill="auto"/>
        <w:kinsoku/>
        <w:wordWrap w:val="0"/>
        <w:overflowPunct/>
        <w:topLinePunct w:val="0"/>
        <w:autoSpaceDE/>
        <w:autoSpaceDN/>
        <w:bidi w:val="0"/>
        <w:adjustRightInd/>
        <w:snapToGrid/>
        <w:spacing w:beforeAutospacing="0" w:line="560" w:lineRule="exact"/>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本项目属于污染影响型项目，根据《环境影响评价技术导则</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土壤环境（试行）》（HJ964-2018）附录A 表A.1土壤环境影响评价项目类别，</w:t>
      </w:r>
      <w:r>
        <w:rPr>
          <w:rFonts w:hint="default" w:ascii="Times New Roman" w:hAnsi="Times New Roman" w:eastAsia="宋体" w:cs="Times New Roman"/>
          <w:color w:val="auto"/>
          <w:sz w:val="24"/>
          <w:szCs w:val="24"/>
          <w:highlight w:val="none"/>
          <w:lang w:val="en-US" w:eastAsia="zh-CN"/>
        </w:rPr>
        <w:t>拟建项目建设性质为“化学原料和化学制品制造”属于“Ⅰ类”项目</w:t>
      </w:r>
      <w:r>
        <w:rPr>
          <w:rFonts w:hint="default" w:ascii="Times New Roman" w:hAnsi="Times New Roman" w:eastAsia="宋体" w:cs="Times New Roman"/>
          <w:color w:val="auto"/>
          <w:sz w:val="24"/>
          <w:szCs w:val="24"/>
          <w:highlight w:val="none"/>
        </w:rPr>
        <w:t>。</w:t>
      </w:r>
    </w:p>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560" w:lineRule="exact"/>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）占地规模</w:t>
      </w:r>
    </w:p>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560" w:lineRule="exact"/>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建设项目占地规模分为大型（</w:t>
      </w:r>
      <w:r>
        <w:rPr>
          <w:rFonts w:hint="default" w:ascii="Times New Roman" w:hAnsi="Times New Roman" w:eastAsia="宋体" w:cs="Times New Roman"/>
          <w:color w:val="auto"/>
          <w:sz w:val="24"/>
          <w:szCs w:val="24"/>
          <w:highlight w:val="none"/>
          <w:lang w:val="zh-TW" w:eastAsia="zh-TW"/>
        </w:rPr>
        <w:t>≥50h</w:t>
      </w:r>
      <w:r>
        <w:rPr>
          <w:rFonts w:hint="default" w:ascii="Times New Roman" w:hAnsi="Times New Roman" w:eastAsia="宋体" w:cs="Times New Roman"/>
          <w:color w:val="auto"/>
          <w:sz w:val="24"/>
          <w:szCs w:val="24"/>
          <w:highlight w:val="none"/>
          <w:vertAlign w:val="baseline"/>
          <w:lang w:val="zh-TW" w:eastAsia="zh-CN"/>
        </w:rPr>
        <w:t>m</w:t>
      </w:r>
      <w:r>
        <w:rPr>
          <w:rFonts w:hint="default" w:ascii="Times New Roman" w:hAnsi="Times New Roman" w:eastAsia="宋体" w:cs="Times New Roman"/>
          <w:color w:val="auto"/>
          <w:sz w:val="24"/>
          <w:szCs w:val="24"/>
          <w:highlight w:val="none"/>
          <w:vertAlign w:val="superscript"/>
          <w:lang w:val="zh-TW" w:eastAsia="zh-CN"/>
        </w:rPr>
        <w:t>2</w:t>
      </w:r>
      <w:r>
        <w:rPr>
          <w:rFonts w:hint="default" w:ascii="Times New Roman" w:hAnsi="Times New Roman" w:eastAsia="宋体" w:cs="Times New Roman"/>
          <w:color w:val="auto"/>
          <w:sz w:val="24"/>
          <w:szCs w:val="24"/>
          <w:highlight w:val="none"/>
        </w:rPr>
        <w:t>）、中型（5</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50h</w:t>
      </w:r>
      <w:r>
        <w:rPr>
          <w:rFonts w:hint="default" w:ascii="Times New Roman" w:hAnsi="Times New Roman" w:eastAsia="宋体" w:cs="Times New Roman"/>
          <w:color w:val="auto"/>
          <w:sz w:val="24"/>
          <w:szCs w:val="24"/>
          <w:highlight w:val="none"/>
          <w:vertAlign w:val="baseline"/>
          <w:lang w:eastAsia="zh-CN"/>
        </w:rPr>
        <w:t>m</w:t>
      </w:r>
      <w:r>
        <w:rPr>
          <w:rFonts w:hint="default" w:ascii="Times New Roman" w:hAnsi="Times New Roman" w:eastAsia="宋体" w:cs="Times New Roman"/>
          <w:color w:val="auto"/>
          <w:sz w:val="24"/>
          <w:szCs w:val="24"/>
          <w:highlight w:val="none"/>
          <w:vertAlign w:val="superscript"/>
          <w:lang w:eastAsia="zh-CN"/>
        </w:rPr>
        <w:t>2</w:t>
      </w:r>
      <w:r>
        <w:rPr>
          <w:rFonts w:hint="default" w:ascii="Times New Roman" w:hAnsi="Times New Roman" w:eastAsia="宋体" w:cs="Times New Roman"/>
          <w:color w:val="auto"/>
          <w:sz w:val="24"/>
          <w:szCs w:val="24"/>
          <w:highlight w:val="none"/>
        </w:rPr>
        <w:t>）、小型（</w:t>
      </w:r>
      <w:r>
        <w:rPr>
          <w:rFonts w:hint="default" w:ascii="Times New Roman" w:hAnsi="Times New Roman" w:eastAsia="宋体" w:cs="Times New Roman"/>
          <w:color w:val="auto"/>
          <w:sz w:val="24"/>
          <w:szCs w:val="24"/>
          <w:highlight w:val="none"/>
          <w:lang w:val="zh-TW" w:eastAsia="zh-TW"/>
        </w:rPr>
        <w:t>≤5h</w:t>
      </w:r>
      <w:r>
        <w:rPr>
          <w:rFonts w:hint="default" w:ascii="Times New Roman" w:hAnsi="Times New Roman" w:eastAsia="宋体" w:cs="Times New Roman"/>
          <w:color w:val="auto"/>
          <w:sz w:val="24"/>
          <w:szCs w:val="24"/>
          <w:highlight w:val="none"/>
          <w:vertAlign w:val="baseline"/>
          <w:lang w:val="zh-TW" w:eastAsia="zh-CN"/>
        </w:rPr>
        <w:t>m</w:t>
      </w:r>
      <w:r>
        <w:rPr>
          <w:rFonts w:hint="default" w:ascii="Times New Roman" w:hAnsi="Times New Roman" w:eastAsia="宋体" w:cs="Times New Roman"/>
          <w:color w:val="auto"/>
          <w:sz w:val="24"/>
          <w:szCs w:val="24"/>
          <w:highlight w:val="none"/>
          <w:vertAlign w:val="superscript"/>
          <w:lang w:val="zh-TW" w:eastAsia="zh-CN"/>
        </w:rPr>
        <w:t>2</w:t>
      </w:r>
      <w:r>
        <w:rPr>
          <w:rFonts w:hint="default" w:ascii="Times New Roman" w:hAnsi="Times New Roman" w:eastAsia="宋体" w:cs="Times New Roman"/>
          <w:color w:val="auto"/>
          <w:sz w:val="24"/>
          <w:szCs w:val="24"/>
          <w:highlight w:val="none"/>
        </w:rPr>
        <w:t>），本项目占地</w:t>
      </w:r>
      <w:r>
        <w:rPr>
          <w:rFonts w:hint="default" w:ascii="Times New Roman" w:hAnsi="Times New Roman" w:eastAsia="宋体" w:cs="Times New Roman"/>
          <w:color w:val="auto"/>
          <w:sz w:val="24"/>
          <w:szCs w:val="24"/>
          <w:highlight w:val="none"/>
          <w:lang w:val="en-US" w:eastAsia="zh-CN"/>
        </w:rPr>
        <w:t>约</w:t>
      </w:r>
      <w:r>
        <w:rPr>
          <w:rFonts w:hint="eastAsia" w:ascii="Times New Roman" w:hAnsi="Times New Roman" w:eastAsia="宋体" w:cs="Times New Roman"/>
          <w:color w:val="auto"/>
          <w:sz w:val="24"/>
          <w:szCs w:val="24"/>
          <w:highlight w:val="none"/>
          <w:lang w:val="en-US" w:eastAsia="zh-CN"/>
        </w:rPr>
        <w:t>280</w:t>
      </w:r>
      <w:r>
        <w:rPr>
          <w:rFonts w:hint="default" w:ascii="Times New Roman" w:hAnsi="Times New Roman" w:eastAsia="宋体" w:cs="Times New Roman"/>
          <w:color w:val="auto"/>
          <w:sz w:val="24"/>
          <w:szCs w:val="24"/>
          <w:highlight w:val="none"/>
          <w:lang w:val="en-US" w:eastAsia="zh-CN"/>
        </w:rPr>
        <w:t>00</w:t>
      </w:r>
      <w:r>
        <w:rPr>
          <w:rFonts w:hint="default" w:ascii="Times New Roman" w:hAnsi="Times New Roman" w:eastAsia="宋体" w:cs="Times New Roman"/>
          <w:color w:val="auto"/>
          <w:sz w:val="24"/>
          <w:szCs w:val="24"/>
          <w:highlight w:val="none"/>
          <w:vertAlign w:val="baseline"/>
          <w:lang w:eastAsia="zh-CN"/>
        </w:rPr>
        <w:t>m</w:t>
      </w:r>
      <w:r>
        <w:rPr>
          <w:rFonts w:hint="default" w:ascii="Times New Roman" w:hAnsi="Times New Roman" w:eastAsia="宋体" w:cs="Times New Roman"/>
          <w:color w:val="auto"/>
          <w:sz w:val="24"/>
          <w:szCs w:val="24"/>
          <w:highlight w:val="none"/>
          <w:vertAlign w:val="superscript"/>
          <w:lang w:eastAsia="zh-CN"/>
        </w:rPr>
        <w:t>2</w:t>
      </w:r>
      <w:r>
        <w:rPr>
          <w:rFonts w:hint="default" w:ascii="Times New Roman" w:hAnsi="Times New Roman" w:eastAsia="宋体" w:cs="Times New Roman"/>
          <w:color w:val="auto"/>
          <w:sz w:val="24"/>
          <w:szCs w:val="24"/>
          <w:highlight w:val="none"/>
        </w:rPr>
        <w:t>，占地规模为小型。</w:t>
      </w:r>
    </w:p>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560" w:lineRule="exact"/>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）敏感程度</w:t>
      </w:r>
    </w:p>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560" w:lineRule="exact"/>
        <w:ind w:left="0" w:leftChars="0" w:right="0" w:rightChars="0" w:firstLine="480" w:firstLineChars="200"/>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color w:val="auto"/>
          <w:sz w:val="24"/>
          <w:szCs w:val="24"/>
          <w:highlight w:val="none"/>
        </w:rPr>
        <w:t>建设项目所在地周边土壤环境敏感程度分为敏感、较敏感、不敏感，判别依据见表</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val="en-US" w:eastAsia="zh-CN"/>
        </w:rPr>
        <w:t>3.1</w:t>
      </w:r>
      <w:r>
        <w:rPr>
          <w:rFonts w:hint="default"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w:t>
      </w:r>
    </w:p>
    <w:p>
      <w:pPr>
        <w:pStyle w:val="33"/>
        <w:bidi w:val="0"/>
        <w:rPr>
          <w:rFonts w:hint="default"/>
          <w:color w:val="auto"/>
        </w:rPr>
      </w:pPr>
      <w:r>
        <w:rPr>
          <w:rFonts w:hint="default"/>
          <w:color w:val="auto"/>
          <w:sz w:val="24"/>
          <w:szCs w:val="24"/>
        </w:rPr>
        <w:t>表</w:t>
      </w:r>
      <w:r>
        <w:rPr>
          <w:rFonts w:hint="eastAsia"/>
          <w:color w:val="auto"/>
          <w:sz w:val="24"/>
          <w:szCs w:val="24"/>
          <w:lang w:val="en-US" w:eastAsia="zh-CN"/>
        </w:rPr>
        <w:t xml:space="preserve"> 2.3.1-11  </w:t>
      </w:r>
      <w:r>
        <w:rPr>
          <w:rFonts w:hint="default"/>
          <w:color w:val="auto"/>
          <w:sz w:val="24"/>
          <w:szCs w:val="24"/>
        </w:rPr>
        <w:t xml:space="preserve">  污染影响型敏感程度分级表</w:t>
      </w:r>
    </w:p>
    <w:tbl>
      <w:tblPr>
        <w:tblStyle w:val="2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7"/>
        <w:gridCol w:w="69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1" w:type="pct"/>
            <w:tcBorders>
              <w:tl2br w:val="nil"/>
              <w:tr2bl w:val="nil"/>
            </w:tcBorders>
            <w:noWrap w:val="0"/>
            <w:vAlign w:val="center"/>
          </w:tcPr>
          <w:p>
            <w:pPr>
              <w:pStyle w:val="34"/>
              <w:bidi w:val="0"/>
              <w:rPr>
                <w:rFonts w:hint="default"/>
                <w:b/>
                <w:bCs/>
                <w:color w:val="auto"/>
              </w:rPr>
            </w:pPr>
            <w:r>
              <w:rPr>
                <w:rFonts w:hint="default"/>
                <w:b/>
                <w:bCs/>
                <w:color w:val="auto"/>
              </w:rPr>
              <w:t>敏感程度</w:t>
            </w:r>
          </w:p>
        </w:tc>
        <w:tc>
          <w:tcPr>
            <w:tcW w:w="4068" w:type="pct"/>
            <w:tcBorders>
              <w:tl2br w:val="nil"/>
              <w:tr2bl w:val="nil"/>
            </w:tcBorders>
            <w:noWrap w:val="0"/>
            <w:vAlign w:val="center"/>
          </w:tcPr>
          <w:p>
            <w:pPr>
              <w:pStyle w:val="34"/>
              <w:bidi w:val="0"/>
              <w:rPr>
                <w:rFonts w:hint="default"/>
                <w:b/>
                <w:bCs/>
                <w:color w:val="auto"/>
              </w:rPr>
            </w:pPr>
            <w:r>
              <w:rPr>
                <w:rFonts w:hint="default"/>
                <w:b/>
                <w:bCs/>
                <w:color w:val="auto"/>
              </w:rPr>
              <w:t>判别依据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1" w:type="pct"/>
            <w:tcBorders>
              <w:tl2br w:val="nil"/>
              <w:tr2bl w:val="nil"/>
            </w:tcBorders>
            <w:noWrap w:val="0"/>
            <w:vAlign w:val="center"/>
          </w:tcPr>
          <w:p>
            <w:pPr>
              <w:pStyle w:val="34"/>
              <w:bidi w:val="0"/>
              <w:rPr>
                <w:rFonts w:hint="default"/>
                <w:color w:val="auto"/>
              </w:rPr>
            </w:pPr>
            <w:r>
              <w:rPr>
                <w:rFonts w:hint="default"/>
                <w:color w:val="auto"/>
              </w:rPr>
              <w:t>敏感</w:t>
            </w:r>
          </w:p>
        </w:tc>
        <w:tc>
          <w:tcPr>
            <w:tcW w:w="4068" w:type="pct"/>
            <w:tcBorders>
              <w:tl2br w:val="nil"/>
              <w:tr2bl w:val="nil"/>
            </w:tcBorders>
            <w:noWrap w:val="0"/>
            <w:vAlign w:val="center"/>
          </w:tcPr>
          <w:p>
            <w:pPr>
              <w:pStyle w:val="34"/>
              <w:bidi w:val="0"/>
              <w:rPr>
                <w:rFonts w:hint="default"/>
                <w:color w:val="auto"/>
              </w:rPr>
            </w:pPr>
            <w:r>
              <w:rPr>
                <w:rFonts w:hint="default"/>
                <w:color w:val="auto"/>
              </w:rPr>
              <w:t>建设项目周边存在耕地、园地、牧草地、饮用水水源地或居民区、学校、医院、疗养院、养老院等土壤环境敏感目标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1" w:type="pct"/>
            <w:tcBorders>
              <w:tl2br w:val="nil"/>
              <w:tr2bl w:val="nil"/>
            </w:tcBorders>
            <w:noWrap w:val="0"/>
            <w:vAlign w:val="center"/>
          </w:tcPr>
          <w:p>
            <w:pPr>
              <w:pStyle w:val="34"/>
              <w:bidi w:val="0"/>
              <w:rPr>
                <w:rFonts w:hint="default"/>
                <w:color w:val="auto"/>
              </w:rPr>
            </w:pPr>
            <w:r>
              <w:rPr>
                <w:rFonts w:hint="default"/>
                <w:color w:val="auto"/>
              </w:rPr>
              <w:t>较敏感</w:t>
            </w:r>
          </w:p>
        </w:tc>
        <w:tc>
          <w:tcPr>
            <w:tcW w:w="4068" w:type="pct"/>
            <w:tcBorders>
              <w:tl2br w:val="nil"/>
              <w:tr2bl w:val="nil"/>
            </w:tcBorders>
            <w:noWrap w:val="0"/>
            <w:vAlign w:val="center"/>
          </w:tcPr>
          <w:p>
            <w:pPr>
              <w:pStyle w:val="34"/>
              <w:bidi w:val="0"/>
              <w:rPr>
                <w:rFonts w:hint="default"/>
                <w:color w:val="auto"/>
              </w:rPr>
            </w:pPr>
            <w:r>
              <w:rPr>
                <w:rFonts w:hint="default"/>
                <w:color w:val="auto"/>
              </w:rPr>
              <w:t>建设项目周边存在其他土壤环境敏感目标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1" w:type="pct"/>
            <w:tcBorders>
              <w:tl2br w:val="nil"/>
              <w:tr2bl w:val="nil"/>
            </w:tcBorders>
            <w:noWrap w:val="0"/>
            <w:vAlign w:val="center"/>
          </w:tcPr>
          <w:p>
            <w:pPr>
              <w:pStyle w:val="34"/>
              <w:bidi w:val="0"/>
              <w:rPr>
                <w:rFonts w:hint="default"/>
                <w:color w:val="auto"/>
              </w:rPr>
            </w:pPr>
            <w:r>
              <w:rPr>
                <w:rFonts w:hint="default"/>
                <w:color w:val="auto"/>
              </w:rPr>
              <w:t>不敏感</w:t>
            </w:r>
          </w:p>
        </w:tc>
        <w:tc>
          <w:tcPr>
            <w:tcW w:w="4068" w:type="pct"/>
            <w:tcBorders>
              <w:tl2br w:val="nil"/>
              <w:tr2bl w:val="nil"/>
            </w:tcBorders>
            <w:noWrap w:val="0"/>
            <w:vAlign w:val="center"/>
          </w:tcPr>
          <w:p>
            <w:pPr>
              <w:pStyle w:val="34"/>
              <w:bidi w:val="0"/>
              <w:rPr>
                <w:rFonts w:hint="default"/>
                <w:color w:val="auto"/>
              </w:rPr>
            </w:pPr>
            <w:r>
              <w:rPr>
                <w:rFonts w:hint="default"/>
                <w:color w:val="auto"/>
              </w:rPr>
              <w:t>其他情况</w:t>
            </w:r>
          </w:p>
        </w:tc>
      </w:tr>
    </w:tbl>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560" w:lineRule="exact"/>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根据现场调查，拟建项目</w:t>
      </w:r>
      <w:r>
        <w:rPr>
          <w:rFonts w:hint="eastAsia" w:ascii="Times New Roman" w:hAnsi="Times New Roman" w:eastAsia="宋体" w:cs="Times New Roman"/>
          <w:color w:val="auto"/>
          <w:sz w:val="24"/>
          <w:szCs w:val="24"/>
          <w:highlight w:val="none"/>
          <w:lang w:val="en-US" w:eastAsia="zh-CN"/>
        </w:rPr>
        <w:t>位于呼图壁工业园区内，项目区周边 200m范围内无耕地、园地、饮用水水源地、居民区、学校、医院等土壤环境敏感目标。因此拟建项目所在地</w:t>
      </w:r>
      <w:r>
        <w:rPr>
          <w:rFonts w:hint="default" w:ascii="Times New Roman" w:hAnsi="Times New Roman" w:eastAsia="宋体" w:cs="Times New Roman"/>
          <w:color w:val="auto"/>
          <w:sz w:val="24"/>
          <w:szCs w:val="24"/>
          <w:highlight w:val="none"/>
        </w:rPr>
        <w:t>土壤环境敏感程度判定为</w:t>
      </w:r>
      <w:r>
        <w:rPr>
          <w:rFonts w:hint="eastAsia" w:ascii="Times New Roman" w:hAnsi="Times New Roman" w:eastAsia="宋体" w:cs="Times New Roman"/>
          <w:color w:val="auto"/>
          <w:sz w:val="24"/>
          <w:szCs w:val="24"/>
          <w:highlight w:val="none"/>
          <w:lang w:val="en-US" w:eastAsia="zh-CN"/>
        </w:rPr>
        <w:t>不</w:t>
      </w:r>
      <w:r>
        <w:rPr>
          <w:rFonts w:hint="default" w:ascii="Times New Roman" w:hAnsi="Times New Roman" w:eastAsia="宋体" w:cs="Times New Roman"/>
          <w:color w:val="auto"/>
          <w:sz w:val="24"/>
          <w:szCs w:val="24"/>
          <w:highlight w:val="none"/>
        </w:rPr>
        <w:t>敏感。</w:t>
      </w:r>
    </w:p>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560" w:lineRule="exact"/>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评价</w:t>
      </w:r>
      <w:r>
        <w:rPr>
          <w:rFonts w:hint="default" w:ascii="Times New Roman" w:hAnsi="Times New Roman" w:eastAsia="宋体" w:cs="Times New Roman"/>
          <w:color w:val="auto"/>
          <w:sz w:val="24"/>
          <w:szCs w:val="24"/>
          <w:highlight w:val="none"/>
        </w:rPr>
        <w:t>等级</w:t>
      </w:r>
      <w:r>
        <w:rPr>
          <w:rFonts w:hint="default" w:ascii="Times New Roman" w:hAnsi="Times New Roman" w:eastAsia="宋体" w:cs="Times New Roman"/>
          <w:color w:val="auto"/>
          <w:sz w:val="24"/>
          <w:szCs w:val="24"/>
          <w:highlight w:val="none"/>
          <w:lang w:val="en-US" w:eastAsia="zh-CN"/>
        </w:rPr>
        <w:t>判定</w:t>
      </w:r>
    </w:p>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560" w:lineRule="exact"/>
        <w:ind w:left="0" w:leftChars="0" w:right="0" w:rightChars="0" w:firstLine="480" w:firstLineChars="200"/>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color w:val="auto"/>
          <w:sz w:val="24"/>
          <w:szCs w:val="24"/>
          <w:highlight w:val="none"/>
        </w:rPr>
        <w:t>根据土壤环境影响评价项目类别、占地规模与敏感程度划分评价工作等级，详见表</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val="en-US" w:eastAsia="zh-CN"/>
        </w:rPr>
        <w:t>3.1</w:t>
      </w:r>
      <w:r>
        <w:rPr>
          <w:rFonts w:hint="default"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p>
    <w:p>
      <w:pPr>
        <w:pStyle w:val="33"/>
        <w:bidi w:val="0"/>
        <w:rPr>
          <w:rFonts w:hint="default" w:ascii="Times New Roman" w:hAnsi="Times New Roman" w:eastAsia="宋体" w:cs="Times New Roman"/>
          <w:b/>
          <w:color w:val="auto"/>
          <w:szCs w:val="24"/>
          <w:highlight w:val="none"/>
        </w:rPr>
      </w:pPr>
      <w:r>
        <w:rPr>
          <w:rFonts w:hint="default"/>
          <w:color w:val="auto"/>
          <w:sz w:val="24"/>
          <w:szCs w:val="24"/>
        </w:rPr>
        <w:t>表</w:t>
      </w:r>
      <w:r>
        <w:rPr>
          <w:rFonts w:hint="eastAsia"/>
          <w:color w:val="auto"/>
          <w:sz w:val="24"/>
          <w:szCs w:val="24"/>
          <w:lang w:val="en-US" w:eastAsia="zh-CN"/>
        </w:rPr>
        <w:t xml:space="preserve"> 2.3.1-12     </w:t>
      </w:r>
      <w:r>
        <w:rPr>
          <w:rFonts w:hint="default"/>
          <w:color w:val="auto"/>
          <w:sz w:val="24"/>
          <w:szCs w:val="24"/>
        </w:rPr>
        <w:t xml:space="preserve"> 污染影响型评价工作等级划分表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52"/>
        <w:gridCol w:w="671"/>
        <w:gridCol w:w="671"/>
        <w:gridCol w:w="678"/>
        <w:gridCol w:w="671"/>
        <w:gridCol w:w="671"/>
        <w:gridCol w:w="678"/>
        <w:gridCol w:w="671"/>
        <w:gridCol w:w="672"/>
        <w:gridCol w:w="6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1439" w:type="pct"/>
            <w:vMerge w:val="restart"/>
            <w:tcBorders>
              <w:tl2br w:val="nil"/>
              <w:tr2bl w:val="nil"/>
            </w:tcBorders>
            <w:noWrap w:val="0"/>
            <w:vAlign w:val="center"/>
            <mc:AlternateContent>
              <mc:Choice Requires="wpsCustomData">
                <wpsCustomData:diagonals>
                  <wpsCustomData:diagonal from="5000" to="30000">
                    <wpsCustomData:border w:val="single" w:color="auto" w:sz="4" w:space="0"/>
                  </wpsCustomData:diagonal>
                  <wpsCustomData:diagonal from="15000" to="30000">
                    <wpsCustomData:border w:val="single" w:color="auto" w:sz="4" w:space="0"/>
                  </wpsCustomData:diagonal>
                </wpsCustomData:diagonals>
              </mc:Choice>
            </mc:AlternateContent>
          </w:tcPr>
          <w:p>
            <w:pPr>
              <w:pStyle w:val="34"/>
              <w:bidi w:val="0"/>
              <w:snapToGrid w:val="0"/>
              <w:jc w:val="both"/>
              <mc:AlternateContent>
                <mc:Choice Requires="wpsCustomData">
                  <wpsCustomData:diagonalParaType/>
                </mc:Choice>
              </mc:AlternateContent>
              <w:rPr>
                <w:rFonts w:hint="default"/>
                <w:b/>
                <w:bCs/>
                <w:color w:val="auto"/>
              </w:rPr>
            </w:pPr>
            <w:r>
              <w:rPr>
                <w:rFonts w:hint="default"/>
                <w:b/>
                <w:bCs/>
                <w:color w:val="auto"/>
              </w:rPr>
              <w:t>敏感程度</w:t>
            </w:r>
          </w:p>
          <w:p>
            <w:pPr>
              <w:pStyle w:val="34"/>
              <w:bidi w:val="0"/>
              <w:jc w:val="both"/>
              <mc:AlternateContent>
                <mc:Choice Requires="wpsCustomData">
                  <wpsCustomData:diagonalParaType/>
                </mc:Choice>
              </mc:AlternateContent>
              <w:rPr>
                <w:rFonts w:hint="default"/>
                <w:b/>
                <w:bCs/>
                <w:color w:val="auto"/>
              </w:rPr>
            </w:pPr>
            <w:r>
              <w:rPr>
                <w:rFonts w:hint="default"/>
                <w:b/>
                <w:bCs/>
                <w:color w:val="auto"/>
              </w:rPr>
              <w:t>占地规模</w:t>
            </w:r>
          </w:p>
          <w:p>
            <w:pPr>
              <w:pStyle w:val="34"/>
              <w:bidi w:val="0"/>
              <w:jc w:val="both"/>
              <w:rPr>
                <w:rFonts w:hint="default"/>
                <w:b/>
                <w:bCs/>
                <w:color w:val="auto"/>
              </w:rPr>
            </w:pPr>
            <w:r>
              <w:rPr>
                <w:rFonts w:hint="default"/>
                <w:b/>
                <w:bCs/>
                <w:color w:val="auto"/>
              </w:rPr>
              <w:t>工作等级</w:t>
            </w:r>
          </w:p>
        </w:tc>
        <w:tc>
          <w:tcPr>
            <w:tcW w:w="1186" w:type="pct"/>
            <w:gridSpan w:val="3"/>
            <w:tcBorders>
              <w:tl2br w:val="nil"/>
              <w:tr2bl w:val="nil"/>
            </w:tcBorders>
            <w:noWrap w:val="0"/>
            <w:vAlign w:val="center"/>
          </w:tcPr>
          <w:p>
            <w:pPr>
              <w:pStyle w:val="34"/>
              <w:bidi w:val="0"/>
              <w:rPr>
                <w:rFonts w:hint="default"/>
                <w:b/>
                <w:bCs/>
                <w:color w:val="auto"/>
              </w:rPr>
            </w:pPr>
            <w:r>
              <w:rPr>
                <w:rFonts w:hint="default"/>
                <w:b/>
                <w:bCs/>
                <w:color w:val="auto"/>
              </w:rPr>
              <w:t>Ⅰ类</w:t>
            </w:r>
          </w:p>
        </w:tc>
        <w:tc>
          <w:tcPr>
            <w:tcW w:w="1186" w:type="pct"/>
            <w:gridSpan w:val="3"/>
            <w:tcBorders>
              <w:tl2br w:val="nil"/>
              <w:tr2bl w:val="nil"/>
            </w:tcBorders>
            <w:noWrap w:val="0"/>
            <w:vAlign w:val="center"/>
          </w:tcPr>
          <w:p>
            <w:pPr>
              <w:pStyle w:val="34"/>
              <w:bidi w:val="0"/>
              <w:rPr>
                <w:rFonts w:hint="default"/>
                <w:b/>
                <w:bCs/>
                <w:color w:val="auto"/>
              </w:rPr>
            </w:pPr>
            <w:r>
              <w:rPr>
                <w:rFonts w:hint="default"/>
                <w:b/>
                <w:bCs/>
                <w:color w:val="auto"/>
              </w:rPr>
              <w:t>Ⅱ类</w:t>
            </w:r>
          </w:p>
        </w:tc>
        <w:tc>
          <w:tcPr>
            <w:tcW w:w="1188" w:type="pct"/>
            <w:gridSpan w:val="3"/>
            <w:tcBorders>
              <w:tl2br w:val="nil"/>
              <w:tr2bl w:val="nil"/>
            </w:tcBorders>
            <w:noWrap w:val="0"/>
            <w:vAlign w:val="center"/>
          </w:tcPr>
          <w:p>
            <w:pPr>
              <w:pStyle w:val="34"/>
              <w:bidi w:val="0"/>
              <w:rPr>
                <w:rFonts w:hint="default"/>
                <w:b/>
                <w:bCs/>
                <w:color w:val="auto"/>
              </w:rPr>
            </w:pPr>
            <w:r>
              <w:rPr>
                <w:rFonts w:hint="default"/>
                <w:b/>
                <w:bCs/>
                <w:color w:val="auto"/>
              </w:rPr>
              <w:t>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39" w:type="pct"/>
            <w:vMerge w:val="continue"/>
            <w:tcBorders>
              <w:tl2br w:val="nil"/>
              <w:tr2bl w:val="nil"/>
            </w:tcBorders>
            <w:noWrap w:val="0"/>
            <w:vAlign w:val="center"/>
          </w:tcPr>
          <w:p>
            <w:pPr>
              <w:pStyle w:val="34"/>
              <w:bidi w:val="0"/>
              <w:rPr>
                <w:rFonts w:hint="default"/>
                <w:b/>
                <w:bCs/>
                <w:color w:val="auto"/>
              </w:rPr>
            </w:pPr>
          </w:p>
        </w:tc>
        <w:tc>
          <w:tcPr>
            <w:tcW w:w="394" w:type="pct"/>
            <w:tcBorders>
              <w:tl2br w:val="nil"/>
              <w:tr2bl w:val="nil"/>
            </w:tcBorders>
            <w:noWrap w:val="0"/>
            <w:vAlign w:val="center"/>
          </w:tcPr>
          <w:p>
            <w:pPr>
              <w:pStyle w:val="34"/>
              <w:bidi w:val="0"/>
              <w:rPr>
                <w:rFonts w:hint="default"/>
                <w:b/>
                <w:bCs/>
                <w:color w:val="auto"/>
              </w:rPr>
            </w:pPr>
            <w:r>
              <w:rPr>
                <w:rFonts w:hint="default"/>
                <w:b/>
                <w:bCs/>
                <w:color w:val="auto"/>
              </w:rPr>
              <w:t>大</w:t>
            </w:r>
          </w:p>
        </w:tc>
        <w:tc>
          <w:tcPr>
            <w:tcW w:w="394" w:type="pct"/>
            <w:tcBorders>
              <w:tl2br w:val="nil"/>
              <w:tr2bl w:val="nil"/>
            </w:tcBorders>
            <w:noWrap w:val="0"/>
            <w:vAlign w:val="center"/>
          </w:tcPr>
          <w:p>
            <w:pPr>
              <w:pStyle w:val="34"/>
              <w:bidi w:val="0"/>
              <w:rPr>
                <w:rFonts w:hint="default"/>
                <w:b/>
                <w:bCs/>
                <w:color w:val="auto"/>
              </w:rPr>
            </w:pPr>
            <w:r>
              <w:rPr>
                <w:rFonts w:hint="default"/>
                <w:b/>
                <w:bCs/>
                <w:color w:val="auto"/>
              </w:rPr>
              <w:t>中</w:t>
            </w:r>
          </w:p>
        </w:tc>
        <w:tc>
          <w:tcPr>
            <w:tcW w:w="396" w:type="pct"/>
            <w:tcBorders>
              <w:tl2br w:val="nil"/>
              <w:tr2bl w:val="nil"/>
            </w:tcBorders>
            <w:noWrap w:val="0"/>
            <w:vAlign w:val="center"/>
          </w:tcPr>
          <w:p>
            <w:pPr>
              <w:pStyle w:val="34"/>
              <w:bidi w:val="0"/>
              <w:rPr>
                <w:rFonts w:hint="default"/>
                <w:b/>
                <w:bCs/>
                <w:color w:val="auto"/>
              </w:rPr>
            </w:pPr>
            <w:r>
              <w:rPr>
                <w:rFonts w:hint="default"/>
                <w:b/>
                <w:bCs/>
                <w:color w:val="auto"/>
              </w:rPr>
              <w:t>小</w:t>
            </w:r>
          </w:p>
        </w:tc>
        <w:tc>
          <w:tcPr>
            <w:tcW w:w="394" w:type="pct"/>
            <w:tcBorders>
              <w:tl2br w:val="nil"/>
              <w:tr2bl w:val="nil"/>
            </w:tcBorders>
            <w:noWrap w:val="0"/>
            <w:vAlign w:val="center"/>
          </w:tcPr>
          <w:p>
            <w:pPr>
              <w:pStyle w:val="34"/>
              <w:bidi w:val="0"/>
              <w:rPr>
                <w:rFonts w:hint="default"/>
                <w:b/>
                <w:bCs/>
                <w:color w:val="auto"/>
              </w:rPr>
            </w:pPr>
            <w:r>
              <w:rPr>
                <w:rFonts w:hint="default"/>
                <w:b/>
                <w:bCs/>
                <w:color w:val="auto"/>
              </w:rPr>
              <w:t>大</w:t>
            </w:r>
          </w:p>
        </w:tc>
        <w:tc>
          <w:tcPr>
            <w:tcW w:w="394" w:type="pct"/>
            <w:tcBorders>
              <w:tl2br w:val="nil"/>
              <w:tr2bl w:val="nil"/>
            </w:tcBorders>
            <w:noWrap w:val="0"/>
            <w:vAlign w:val="center"/>
          </w:tcPr>
          <w:p>
            <w:pPr>
              <w:pStyle w:val="34"/>
              <w:bidi w:val="0"/>
              <w:rPr>
                <w:rFonts w:hint="default"/>
                <w:b/>
                <w:bCs/>
                <w:color w:val="auto"/>
              </w:rPr>
            </w:pPr>
            <w:r>
              <w:rPr>
                <w:rFonts w:hint="default"/>
                <w:b/>
                <w:bCs/>
                <w:color w:val="auto"/>
              </w:rPr>
              <w:t>中</w:t>
            </w:r>
          </w:p>
        </w:tc>
        <w:tc>
          <w:tcPr>
            <w:tcW w:w="396" w:type="pct"/>
            <w:tcBorders>
              <w:tl2br w:val="nil"/>
              <w:tr2bl w:val="nil"/>
            </w:tcBorders>
            <w:noWrap w:val="0"/>
            <w:vAlign w:val="center"/>
          </w:tcPr>
          <w:p>
            <w:pPr>
              <w:pStyle w:val="34"/>
              <w:bidi w:val="0"/>
              <w:rPr>
                <w:rFonts w:hint="default"/>
                <w:b/>
                <w:bCs/>
                <w:color w:val="auto"/>
              </w:rPr>
            </w:pPr>
            <w:r>
              <w:rPr>
                <w:rFonts w:hint="default"/>
                <w:b/>
                <w:bCs/>
                <w:color w:val="auto"/>
              </w:rPr>
              <w:t>小</w:t>
            </w:r>
          </w:p>
        </w:tc>
        <w:tc>
          <w:tcPr>
            <w:tcW w:w="394" w:type="pct"/>
            <w:tcBorders>
              <w:tl2br w:val="nil"/>
              <w:tr2bl w:val="nil"/>
            </w:tcBorders>
            <w:noWrap w:val="0"/>
            <w:vAlign w:val="center"/>
          </w:tcPr>
          <w:p>
            <w:pPr>
              <w:pStyle w:val="34"/>
              <w:bidi w:val="0"/>
              <w:rPr>
                <w:rFonts w:hint="default"/>
                <w:b/>
                <w:bCs/>
                <w:color w:val="auto"/>
              </w:rPr>
            </w:pPr>
            <w:r>
              <w:rPr>
                <w:rFonts w:hint="default"/>
                <w:b/>
                <w:bCs/>
                <w:color w:val="auto"/>
              </w:rPr>
              <w:t>大</w:t>
            </w:r>
          </w:p>
        </w:tc>
        <w:tc>
          <w:tcPr>
            <w:tcW w:w="394" w:type="pct"/>
            <w:tcBorders>
              <w:tl2br w:val="nil"/>
              <w:tr2bl w:val="nil"/>
            </w:tcBorders>
            <w:noWrap w:val="0"/>
            <w:vAlign w:val="center"/>
          </w:tcPr>
          <w:p>
            <w:pPr>
              <w:pStyle w:val="34"/>
              <w:bidi w:val="0"/>
              <w:rPr>
                <w:rFonts w:hint="default"/>
                <w:b/>
                <w:bCs/>
                <w:color w:val="auto"/>
              </w:rPr>
            </w:pPr>
            <w:r>
              <w:rPr>
                <w:rFonts w:hint="default"/>
                <w:b/>
                <w:bCs/>
                <w:color w:val="auto"/>
              </w:rPr>
              <w:t>中</w:t>
            </w:r>
          </w:p>
        </w:tc>
        <w:tc>
          <w:tcPr>
            <w:tcW w:w="398" w:type="pct"/>
            <w:tcBorders>
              <w:tl2br w:val="nil"/>
              <w:tr2bl w:val="nil"/>
            </w:tcBorders>
            <w:noWrap w:val="0"/>
            <w:vAlign w:val="center"/>
          </w:tcPr>
          <w:p>
            <w:pPr>
              <w:pStyle w:val="34"/>
              <w:bidi w:val="0"/>
              <w:rPr>
                <w:rFonts w:hint="default"/>
                <w:b/>
                <w:bCs/>
                <w:color w:val="auto"/>
              </w:rPr>
            </w:pPr>
            <w:r>
              <w:rPr>
                <w:rFonts w:hint="default"/>
                <w:b/>
                <w:bCs/>
                <w:color w:val="auto"/>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39" w:type="pct"/>
            <w:tcBorders>
              <w:tl2br w:val="nil"/>
              <w:tr2bl w:val="nil"/>
            </w:tcBorders>
            <w:noWrap w:val="0"/>
            <w:vAlign w:val="center"/>
          </w:tcPr>
          <w:p>
            <w:pPr>
              <w:pStyle w:val="34"/>
              <w:bidi w:val="0"/>
              <w:rPr>
                <w:rFonts w:hint="default"/>
                <w:color w:val="auto"/>
              </w:rPr>
            </w:pPr>
            <w:r>
              <w:rPr>
                <w:rFonts w:hint="default"/>
                <w:color w:val="auto"/>
              </w:rPr>
              <w:t>敏感</w:t>
            </w:r>
          </w:p>
        </w:tc>
        <w:tc>
          <w:tcPr>
            <w:tcW w:w="394" w:type="pct"/>
            <w:tcBorders>
              <w:tl2br w:val="nil"/>
              <w:tr2bl w:val="nil"/>
            </w:tcBorders>
            <w:noWrap w:val="0"/>
            <w:vAlign w:val="center"/>
          </w:tcPr>
          <w:p>
            <w:pPr>
              <w:pStyle w:val="34"/>
              <w:bidi w:val="0"/>
              <w:rPr>
                <w:rFonts w:hint="default"/>
                <w:color w:val="auto"/>
              </w:rPr>
            </w:pPr>
            <w:r>
              <w:rPr>
                <w:rFonts w:hint="default"/>
                <w:color w:val="auto"/>
              </w:rPr>
              <w:t>一级</w:t>
            </w:r>
          </w:p>
        </w:tc>
        <w:tc>
          <w:tcPr>
            <w:tcW w:w="394" w:type="pct"/>
            <w:tcBorders>
              <w:tl2br w:val="nil"/>
              <w:tr2bl w:val="nil"/>
            </w:tcBorders>
            <w:noWrap w:val="0"/>
            <w:vAlign w:val="center"/>
          </w:tcPr>
          <w:p>
            <w:pPr>
              <w:pStyle w:val="34"/>
              <w:bidi w:val="0"/>
              <w:rPr>
                <w:rFonts w:hint="default"/>
                <w:color w:val="auto"/>
              </w:rPr>
            </w:pPr>
            <w:r>
              <w:rPr>
                <w:rFonts w:hint="default"/>
                <w:color w:val="auto"/>
              </w:rPr>
              <w:t>一级</w:t>
            </w:r>
          </w:p>
        </w:tc>
        <w:tc>
          <w:tcPr>
            <w:tcW w:w="396" w:type="pct"/>
            <w:tcBorders>
              <w:tl2br w:val="nil"/>
              <w:tr2bl w:val="nil"/>
            </w:tcBorders>
            <w:noWrap w:val="0"/>
            <w:vAlign w:val="center"/>
          </w:tcPr>
          <w:p>
            <w:pPr>
              <w:pStyle w:val="34"/>
              <w:bidi w:val="0"/>
              <w:rPr>
                <w:rFonts w:hint="default"/>
                <w:color w:val="auto"/>
              </w:rPr>
            </w:pPr>
            <w:r>
              <w:rPr>
                <w:rFonts w:hint="default"/>
                <w:color w:val="auto"/>
              </w:rPr>
              <w:t>一级</w:t>
            </w:r>
          </w:p>
        </w:tc>
        <w:tc>
          <w:tcPr>
            <w:tcW w:w="394" w:type="pct"/>
            <w:tcBorders>
              <w:tl2br w:val="nil"/>
              <w:tr2bl w:val="nil"/>
            </w:tcBorders>
            <w:noWrap w:val="0"/>
            <w:vAlign w:val="center"/>
          </w:tcPr>
          <w:p>
            <w:pPr>
              <w:pStyle w:val="34"/>
              <w:bidi w:val="0"/>
              <w:rPr>
                <w:rFonts w:hint="default"/>
                <w:color w:val="auto"/>
              </w:rPr>
            </w:pPr>
            <w:r>
              <w:rPr>
                <w:rFonts w:hint="default"/>
                <w:color w:val="auto"/>
              </w:rPr>
              <w:t>二级</w:t>
            </w:r>
          </w:p>
        </w:tc>
        <w:tc>
          <w:tcPr>
            <w:tcW w:w="394" w:type="pct"/>
            <w:tcBorders>
              <w:tl2br w:val="nil"/>
              <w:tr2bl w:val="nil"/>
            </w:tcBorders>
            <w:noWrap w:val="0"/>
            <w:vAlign w:val="center"/>
          </w:tcPr>
          <w:p>
            <w:pPr>
              <w:pStyle w:val="34"/>
              <w:bidi w:val="0"/>
              <w:rPr>
                <w:rFonts w:hint="default"/>
                <w:color w:val="auto"/>
              </w:rPr>
            </w:pPr>
            <w:r>
              <w:rPr>
                <w:rFonts w:hint="default"/>
                <w:color w:val="auto"/>
              </w:rPr>
              <w:t>二级</w:t>
            </w:r>
          </w:p>
        </w:tc>
        <w:tc>
          <w:tcPr>
            <w:tcW w:w="396" w:type="pct"/>
            <w:tcBorders>
              <w:tl2br w:val="nil"/>
              <w:tr2bl w:val="nil"/>
            </w:tcBorders>
            <w:noWrap w:val="0"/>
            <w:vAlign w:val="center"/>
          </w:tcPr>
          <w:p>
            <w:pPr>
              <w:pStyle w:val="34"/>
              <w:bidi w:val="0"/>
              <w:rPr>
                <w:rFonts w:hint="default"/>
                <w:color w:val="auto"/>
              </w:rPr>
            </w:pPr>
            <w:r>
              <w:rPr>
                <w:rFonts w:hint="default"/>
                <w:color w:val="auto"/>
              </w:rPr>
              <w:t>二级</w:t>
            </w:r>
          </w:p>
        </w:tc>
        <w:tc>
          <w:tcPr>
            <w:tcW w:w="394" w:type="pct"/>
            <w:tcBorders>
              <w:tl2br w:val="nil"/>
              <w:tr2bl w:val="nil"/>
            </w:tcBorders>
            <w:noWrap w:val="0"/>
            <w:vAlign w:val="center"/>
          </w:tcPr>
          <w:p>
            <w:pPr>
              <w:pStyle w:val="34"/>
              <w:bidi w:val="0"/>
              <w:rPr>
                <w:rFonts w:hint="default"/>
                <w:color w:val="auto"/>
              </w:rPr>
            </w:pPr>
            <w:r>
              <w:rPr>
                <w:rFonts w:hint="default"/>
                <w:color w:val="auto"/>
              </w:rPr>
              <w:t>三级</w:t>
            </w:r>
          </w:p>
        </w:tc>
        <w:tc>
          <w:tcPr>
            <w:tcW w:w="394" w:type="pct"/>
            <w:tcBorders>
              <w:tl2br w:val="nil"/>
              <w:tr2bl w:val="nil"/>
            </w:tcBorders>
            <w:noWrap w:val="0"/>
            <w:vAlign w:val="center"/>
          </w:tcPr>
          <w:p>
            <w:pPr>
              <w:pStyle w:val="34"/>
              <w:bidi w:val="0"/>
              <w:rPr>
                <w:rFonts w:hint="default"/>
                <w:color w:val="auto"/>
              </w:rPr>
            </w:pPr>
            <w:r>
              <w:rPr>
                <w:rFonts w:hint="default"/>
                <w:color w:val="auto"/>
              </w:rPr>
              <w:t>三级</w:t>
            </w:r>
          </w:p>
        </w:tc>
        <w:tc>
          <w:tcPr>
            <w:tcW w:w="398" w:type="pct"/>
            <w:tcBorders>
              <w:tl2br w:val="nil"/>
              <w:tr2bl w:val="nil"/>
            </w:tcBorders>
            <w:noWrap w:val="0"/>
            <w:vAlign w:val="center"/>
          </w:tcPr>
          <w:p>
            <w:pPr>
              <w:pStyle w:val="34"/>
              <w:bidi w:val="0"/>
              <w:rPr>
                <w:rFonts w:hint="default"/>
                <w:color w:val="auto"/>
              </w:rPr>
            </w:pPr>
            <w:r>
              <w:rPr>
                <w:rFonts w:hint="default"/>
                <w:color w:val="auto"/>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39" w:type="pct"/>
            <w:tcBorders>
              <w:tl2br w:val="nil"/>
              <w:tr2bl w:val="nil"/>
            </w:tcBorders>
            <w:noWrap w:val="0"/>
            <w:vAlign w:val="center"/>
          </w:tcPr>
          <w:p>
            <w:pPr>
              <w:pStyle w:val="34"/>
              <w:bidi w:val="0"/>
              <w:rPr>
                <w:rFonts w:hint="default"/>
                <w:color w:val="auto"/>
              </w:rPr>
            </w:pPr>
            <w:r>
              <w:rPr>
                <w:rFonts w:hint="default"/>
                <w:color w:val="auto"/>
              </w:rPr>
              <w:t>较敏感</w:t>
            </w:r>
          </w:p>
        </w:tc>
        <w:tc>
          <w:tcPr>
            <w:tcW w:w="394" w:type="pct"/>
            <w:tcBorders>
              <w:tl2br w:val="nil"/>
              <w:tr2bl w:val="nil"/>
            </w:tcBorders>
            <w:noWrap w:val="0"/>
            <w:vAlign w:val="center"/>
          </w:tcPr>
          <w:p>
            <w:pPr>
              <w:pStyle w:val="34"/>
              <w:bidi w:val="0"/>
              <w:rPr>
                <w:rFonts w:hint="default"/>
                <w:color w:val="auto"/>
              </w:rPr>
            </w:pPr>
            <w:r>
              <w:rPr>
                <w:rFonts w:hint="default"/>
                <w:color w:val="auto"/>
              </w:rPr>
              <w:t>一级</w:t>
            </w:r>
          </w:p>
        </w:tc>
        <w:tc>
          <w:tcPr>
            <w:tcW w:w="394" w:type="pct"/>
            <w:tcBorders>
              <w:tl2br w:val="nil"/>
              <w:tr2bl w:val="nil"/>
            </w:tcBorders>
            <w:noWrap w:val="0"/>
            <w:vAlign w:val="center"/>
          </w:tcPr>
          <w:p>
            <w:pPr>
              <w:pStyle w:val="34"/>
              <w:bidi w:val="0"/>
              <w:rPr>
                <w:rFonts w:hint="default"/>
                <w:color w:val="auto"/>
              </w:rPr>
            </w:pPr>
            <w:r>
              <w:rPr>
                <w:rFonts w:hint="default"/>
                <w:color w:val="auto"/>
              </w:rPr>
              <w:t>一级</w:t>
            </w:r>
          </w:p>
        </w:tc>
        <w:tc>
          <w:tcPr>
            <w:tcW w:w="396" w:type="pct"/>
            <w:tcBorders>
              <w:tl2br w:val="nil"/>
              <w:tr2bl w:val="nil"/>
            </w:tcBorders>
            <w:noWrap w:val="0"/>
            <w:vAlign w:val="center"/>
          </w:tcPr>
          <w:p>
            <w:pPr>
              <w:pStyle w:val="34"/>
              <w:bidi w:val="0"/>
              <w:rPr>
                <w:rFonts w:hint="default"/>
                <w:color w:val="auto"/>
              </w:rPr>
            </w:pPr>
            <w:r>
              <w:rPr>
                <w:rFonts w:hint="default"/>
                <w:color w:val="auto"/>
              </w:rPr>
              <w:t>二级</w:t>
            </w:r>
          </w:p>
        </w:tc>
        <w:tc>
          <w:tcPr>
            <w:tcW w:w="394" w:type="pct"/>
            <w:tcBorders>
              <w:tl2br w:val="nil"/>
              <w:tr2bl w:val="nil"/>
            </w:tcBorders>
            <w:noWrap w:val="0"/>
            <w:vAlign w:val="center"/>
          </w:tcPr>
          <w:p>
            <w:pPr>
              <w:pStyle w:val="34"/>
              <w:bidi w:val="0"/>
              <w:rPr>
                <w:rFonts w:hint="default"/>
                <w:color w:val="auto"/>
              </w:rPr>
            </w:pPr>
            <w:r>
              <w:rPr>
                <w:rFonts w:hint="default"/>
                <w:color w:val="auto"/>
              </w:rPr>
              <w:t>二级</w:t>
            </w:r>
          </w:p>
        </w:tc>
        <w:tc>
          <w:tcPr>
            <w:tcW w:w="394" w:type="pct"/>
            <w:tcBorders>
              <w:tl2br w:val="nil"/>
              <w:tr2bl w:val="nil"/>
            </w:tcBorders>
            <w:noWrap w:val="0"/>
            <w:vAlign w:val="center"/>
          </w:tcPr>
          <w:p>
            <w:pPr>
              <w:pStyle w:val="34"/>
              <w:bidi w:val="0"/>
              <w:rPr>
                <w:rFonts w:hint="default"/>
                <w:color w:val="auto"/>
              </w:rPr>
            </w:pPr>
            <w:r>
              <w:rPr>
                <w:rFonts w:hint="default"/>
                <w:color w:val="auto"/>
              </w:rPr>
              <w:t>二级</w:t>
            </w:r>
          </w:p>
        </w:tc>
        <w:tc>
          <w:tcPr>
            <w:tcW w:w="396" w:type="pct"/>
            <w:tcBorders>
              <w:tl2br w:val="nil"/>
              <w:tr2bl w:val="nil"/>
            </w:tcBorders>
            <w:noWrap w:val="0"/>
            <w:vAlign w:val="center"/>
          </w:tcPr>
          <w:p>
            <w:pPr>
              <w:pStyle w:val="34"/>
              <w:bidi w:val="0"/>
              <w:rPr>
                <w:rFonts w:hint="default"/>
                <w:color w:val="auto"/>
              </w:rPr>
            </w:pPr>
            <w:r>
              <w:rPr>
                <w:rFonts w:hint="default"/>
                <w:color w:val="auto"/>
              </w:rPr>
              <w:t>三级</w:t>
            </w:r>
          </w:p>
        </w:tc>
        <w:tc>
          <w:tcPr>
            <w:tcW w:w="394" w:type="pct"/>
            <w:tcBorders>
              <w:tl2br w:val="nil"/>
              <w:tr2bl w:val="nil"/>
            </w:tcBorders>
            <w:noWrap w:val="0"/>
            <w:vAlign w:val="center"/>
          </w:tcPr>
          <w:p>
            <w:pPr>
              <w:pStyle w:val="34"/>
              <w:bidi w:val="0"/>
              <w:rPr>
                <w:rFonts w:hint="default"/>
                <w:color w:val="auto"/>
              </w:rPr>
            </w:pPr>
            <w:r>
              <w:rPr>
                <w:rFonts w:hint="default"/>
                <w:color w:val="auto"/>
              </w:rPr>
              <w:t>三级</w:t>
            </w:r>
          </w:p>
        </w:tc>
        <w:tc>
          <w:tcPr>
            <w:tcW w:w="394" w:type="pct"/>
            <w:tcBorders>
              <w:tl2br w:val="nil"/>
              <w:tr2bl w:val="nil"/>
            </w:tcBorders>
            <w:noWrap w:val="0"/>
            <w:vAlign w:val="center"/>
          </w:tcPr>
          <w:p>
            <w:pPr>
              <w:pStyle w:val="34"/>
              <w:bidi w:val="0"/>
              <w:rPr>
                <w:rFonts w:hint="default"/>
                <w:color w:val="auto"/>
              </w:rPr>
            </w:pPr>
            <w:r>
              <w:rPr>
                <w:rFonts w:hint="default"/>
                <w:color w:val="auto"/>
              </w:rPr>
              <w:t>三级</w:t>
            </w:r>
          </w:p>
        </w:tc>
        <w:tc>
          <w:tcPr>
            <w:tcW w:w="398" w:type="pct"/>
            <w:tcBorders>
              <w:tl2br w:val="nil"/>
              <w:tr2bl w:val="nil"/>
            </w:tcBorders>
            <w:noWrap w:val="0"/>
            <w:vAlign w:val="center"/>
          </w:tcPr>
          <w:p>
            <w:pPr>
              <w:pStyle w:val="34"/>
              <w:bidi w:val="0"/>
              <w:rPr>
                <w:rFonts w:hint="default"/>
                <w:color w:val="auto"/>
              </w:rPr>
            </w:pPr>
            <w:r>
              <w:rPr>
                <w:rFonts w:hint="default"/>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39" w:type="pct"/>
            <w:tcBorders>
              <w:tl2br w:val="nil"/>
              <w:tr2bl w:val="nil"/>
            </w:tcBorders>
            <w:noWrap w:val="0"/>
            <w:vAlign w:val="center"/>
          </w:tcPr>
          <w:p>
            <w:pPr>
              <w:pStyle w:val="34"/>
              <w:bidi w:val="0"/>
              <w:rPr>
                <w:rFonts w:hint="default"/>
                <w:color w:val="auto"/>
              </w:rPr>
            </w:pPr>
            <w:r>
              <w:rPr>
                <w:rFonts w:hint="default"/>
                <w:color w:val="auto"/>
              </w:rPr>
              <w:t>不敏感</w:t>
            </w:r>
          </w:p>
        </w:tc>
        <w:tc>
          <w:tcPr>
            <w:tcW w:w="394" w:type="pct"/>
            <w:tcBorders>
              <w:tl2br w:val="nil"/>
              <w:tr2bl w:val="nil"/>
            </w:tcBorders>
            <w:noWrap w:val="0"/>
            <w:vAlign w:val="center"/>
          </w:tcPr>
          <w:p>
            <w:pPr>
              <w:pStyle w:val="34"/>
              <w:bidi w:val="0"/>
              <w:rPr>
                <w:rFonts w:hint="default"/>
                <w:color w:val="auto"/>
              </w:rPr>
            </w:pPr>
            <w:r>
              <w:rPr>
                <w:rFonts w:hint="default"/>
                <w:color w:val="auto"/>
              </w:rPr>
              <w:t>一级</w:t>
            </w:r>
          </w:p>
        </w:tc>
        <w:tc>
          <w:tcPr>
            <w:tcW w:w="394" w:type="pct"/>
            <w:tcBorders>
              <w:tl2br w:val="nil"/>
              <w:tr2bl w:val="nil"/>
            </w:tcBorders>
            <w:noWrap w:val="0"/>
            <w:vAlign w:val="center"/>
          </w:tcPr>
          <w:p>
            <w:pPr>
              <w:pStyle w:val="34"/>
              <w:bidi w:val="0"/>
              <w:rPr>
                <w:rFonts w:hint="default"/>
                <w:color w:val="auto"/>
              </w:rPr>
            </w:pPr>
            <w:r>
              <w:rPr>
                <w:rFonts w:hint="default"/>
                <w:color w:val="auto"/>
              </w:rPr>
              <w:t>二级</w:t>
            </w:r>
          </w:p>
        </w:tc>
        <w:tc>
          <w:tcPr>
            <w:tcW w:w="396" w:type="pct"/>
            <w:tcBorders>
              <w:tl2br w:val="nil"/>
              <w:tr2bl w:val="nil"/>
            </w:tcBorders>
            <w:noWrap w:val="0"/>
            <w:vAlign w:val="center"/>
          </w:tcPr>
          <w:p>
            <w:pPr>
              <w:pStyle w:val="34"/>
              <w:bidi w:val="0"/>
              <w:rPr>
                <w:rFonts w:hint="default"/>
                <w:color w:val="auto"/>
              </w:rPr>
            </w:pPr>
            <w:r>
              <w:rPr>
                <w:rFonts w:hint="default"/>
                <w:color w:val="auto"/>
              </w:rPr>
              <w:t>二级</w:t>
            </w:r>
          </w:p>
        </w:tc>
        <w:tc>
          <w:tcPr>
            <w:tcW w:w="394" w:type="pct"/>
            <w:tcBorders>
              <w:tl2br w:val="nil"/>
              <w:tr2bl w:val="nil"/>
            </w:tcBorders>
            <w:noWrap w:val="0"/>
            <w:vAlign w:val="center"/>
          </w:tcPr>
          <w:p>
            <w:pPr>
              <w:pStyle w:val="34"/>
              <w:bidi w:val="0"/>
              <w:rPr>
                <w:rFonts w:hint="default"/>
                <w:color w:val="auto"/>
              </w:rPr>
            </w:pPr>
            <w:r>
              <w:rPr>
                <w:rFonts w:hint="default"/>
                <w:color w:val="auto"/>
              </w:rPr>
              <w:t>二级</w:t>
            </w:r>
          </w:p>
        </w:tc>
        <w:tc>
          <w:tcPr>
            <w:tcW w:w="394" w:type="pct"/>
            <w:tcBorders>
              <w:tl2br w:val="nil"/>
              <w:tr2bl w:val="nil"/>
            </w:tcBorders>
            <w:noWrap w:val="0"/>
            <w:vAlign w:val="center"/>
          </w:tcPr>
          <w:p>
            <w:pPr>
              <w:pStyle w:val="34"/>
              <w:bidi w:val="0"/>
              <w:rPr>
                <w:rFonts w:hint="default"/>
                <w:color w:val="auto"/>
              </w:rPr>
            </w:pPr>
            <w:r>
              <w:rPr>
                <w:rFonts w:hint="default"/>
                <w:color w:val="auto"/>
              </w:rPr>
              <w:t>三级</w:t>
            </w:r>
          </w:p>
        </w:tc>
        <w:tc>
          <w:tcPr>
            <w:tcW w:w="396" w:type="pct"/>
            <w:tcBorders>
              <w:tl2br w:val="nil"/>
              <w:tr2bl w:val="nil"/>
            </w:tcBorders>
            <w:noWrap w:val="0"/>
            <w:vAlign w:val="center"/>
          </w:tcPr>
          <w:p>
            <w:pPr>
              <w:pStyle w:val="34"/>
              <w:bidi w:val="0"/>
              <w:rPr>
                <w:rFonts w:hint="default"/>
                <w:color w:val="auto"/>
              </w:rPr>
            </w:pPr>
            <w:r>
              <w:rPr>
                <w:rFonts w:hint="default"/>
                <w:color w:val="auto"/>
              </w:rPr>
              <w:t>三级</w:t>
            </w:r>
          </w:p>
        </w:tc>
        <w:tc>
          <w:tcPr>
            <w:tcW w:w="394" w:type="pct"/>
            <w:tcBorders>
              <w:tl2br w:val="nil"/>
              <w:tr2bl w:val="nil"/>
            </w:tcBorders>
            <w:noWrap w:val="0"/>
            <w:vAlign w:val="center"/>
          </w:tcPr>
          <w:p>
            <w:pPr>
              <w:pStyle w:val="34"/>
              <w:bidi w:val="0"/>
              <w:rPr>
                <w:rFonts w:hint="default"/>
                <w:color w:val="auto"/>
              </w:rPr>
            </w:pPr>
            <w:r>
              <w:rPr>
                <w:rFonts w:hint="default"/>
                <w:color w:val="auto"/>
              </w:rPr>
              <w:t>三级</w:t>
            </w:r>
          </w:p>
        </w:tc>
        <w:tc>
          <w:tcPr>
            <w:tcW w:w="394" w:type="pct"/>
            <w:tcBorders>
              <w:tl2br w:val="nil"/>
              <w:tr2bl w:val="nil"/>
            </w:tcBorders>
            <w:noWrap w:val="0"/>
            <w:vAlign w:val="center"/>
          </w:tcPr>
          <w:p>
            <w:pPr>
              <w:pStyle w:val="34"/>
              <w:bidi w:val="0"/>
              <w:rPr>
                <w:rFonts w:hint="default"/>
                <w:color w:val="auto"/>
              </w:rPr>
            </w:pPr>
            <w:r>
              <w:rPr>
                <w:rFonts w:hint="default"/>
                <w:color w:val="auto"/>
              </w:rPr>
              <w:t>-</w:t>
            </w:r>
          </w:p>
        </w:tc>
        <w:tc>
          <w:tcPr>
            <w:tcW w:w="398" w:type="pct"/>
            <w:tcBorders>
              <w:tl2br w:val="nil"/>
              <w:tr2bl w:val="nil"/>
            </w:tcBorders>
            <w:noWrap w:val="0"/>
            <w:vAlign w:val="center"/>
          </w:tcPr>
          <w:p>
            <w:pPr>
              <w:pStyle w:val="34"/>
              <w:bidi w:val="0"/>
              <w:rPr>
                <w:rFonts w:hint="default"/>
                <w:color w:val="auto"/>
              </w:rPr>
            </w:pPr>
            <w:r>
              <w:rPr>
                <w:rFonts w:hint="default"/>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10"/>
            <w:tcBorders>
              <w:tl2br w:val="nil"/>
              <w:tr2bl w:val="nil"/>
            </w:tcBorders>
            <w:noWrap w:val="0"/>
            <w:vAlign w:val="center"/>
          </w:tcPr>
          <w:p>
            <w:pPr>
              <w:pStyle w:val="34"/>
              <w:bidi w:val="0"/>
              <w:rPr>
                <w:rFonts w:hint="default"/>
                <w:color w:val="auto"/>
              </w:rPr>
            </w:pPr>
            <w:r>
              <w:rPr>
                <w:rFonts w:hint="default"/>
                <w:color w:val="auto"/>
              </w:rPr>
              <w:t>注：“-”表示可不开展土壤环境影响评价工作。</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highlight w:val="none"/>
        </w:rPr>
        <w:t>根据表</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2</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3.1</w:t>
      </w:r>
      <w:r>
        <w:rPr>
          <w:rFonts w:hint="default"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val="en-US" w:eastAsia="zh-CN"/>
        </w:rPr>
        <w:t xml:space="preserve">2 </w:t>
      </w:r>
      <w:r>
        <w:rPr>
          <w:rFonts w:hint="default" w:ascii="Times New Roman" w:hAnsi="Times New Roman" w:eastAsia="宋体" w:cs="Times New Roman"/>
          <w:color w:val="auto"/>
          <w:sz w:val="24"/>
          <w:szCs w:val="24"/>
          <w:highlight w:val="none"/>
          <w:lang w:val="en-US" w:eastAsia="zh-CN"/>
        </w:rPr>
        <w:t>判定，</w:t>
      </w:r>
      <w:r>
        <w:rPr>
          <w:rFonts w:hint="default" w:ascii="Times New Roman" w:hAnsi="Times New Roman" w:eastAsia="宋体" w:cs="Times New Roman"/>
          <w:color w:val="auto"/>
          <w:sz w:val="24"/>
          <w:szCs w:val="24"/>
          <w:highlight w:val="none"/>
        </w:rPr>
        <w:t>本项目属于</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Ⅰ</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类项目，占地规模为小型，土壤环境敏感程度为</w:t>
      </w:r>
      <w:r>
        <w:rPr>
          <w:rFonts w:hint="eastAsia" w:ascii="Times New Roman" w:hAnsi="Times New Roman" w:eastAsia="宋体" w:cs="Times New Roman"/>
          <w:color w:val="auto"/>
          <w:sz w:val="24"/>
          <w:szCs w:val="24"/>
          <w:highlight w:val="none"/>
          <w:lang w:val="en-US" w:eastAsia="zh-CN"/>
        </w:rPr>
        <w:t>不</w:t>
      </w:r>
      <w:r>
        <w:rPr>
          <w:rFonts w:hint="default" w:ascii="Times New Roman" w:hAnsi="Times New Roman" w:eastAsia="宋体" w:cs="Times New Roman"/>
          <w:color w:val="auto"/>
          <w:sz w:val="24"/>
          <w:szCs w:val="24"/>
          <w:highlight w:val="none"/>
        </w:rPr>
        <w:t>敏感，</w:t>
      </w:r>
      <w:r>
        <w:rPr>
          <w:rFonts w:hint="default" w:ascii="Times New Roman" w:hAnsi="Times New Roman" w:eastAsia="宋体" w:cs="Times New Roman"/>
          <w:color w:val="auto"/>
          <w:sz w:val="24"/>
          <w:szCs w:val="24"/>
          <w:highlight w:val="none"/>
          <w:lang w:val="en-US" w:eastAsia="zh-CN"/>
        </w:rPr>
        <w:t>故</w:t>
      </w:r>
      <w:r>
        <w:rPr>
          <w:rFonts w:hint="default" w:ascii="Times New Roman" w:hAnsi="Times New Roman" w:eastAsia="宋体" w:cs="Times New Roman"/>
          <w:color w:val="auto"/>
          <w:sz w:val="24"/>
          <w:szCs w:val="24"/>
          <w:highlight w:val="none"/>
        </w:rPr>
        <w:t>本项目土壤环境评价工作等级为</w:t>
      </w:r>
      <w:r>
        <w:rPr>
          <w:rFonts w:hint="eastAsia" w:ascii="Times New Roman" w:hAnsi="Times New Roman" w:eastAsia="宋体" w:cs="Times New Roman"/>
          <w:color w:val="auto"/>
          <w:sz w:val="24"/>
          <w:szCs w:val="24"/>
          <w:highlight w:val="none"/>
          <w:lang w:val="en-US" w:eastAsia="zh-CN"/>
        </w:rPr>
        <w:t>二</w:t>
      </w:r>
      <w:r>
        <w:rPr>
          <w:rFonts w:hint="default" w:ascii="Times New Roman" w:hAnsi="Times New Roman" w:eastAsia="宋体" w:cs="Times New Roman"/>
          <w:color w:val="auto"/>
          <w:sz w:val="24"/>
          <w:szCs w:val="24"/>
          <w:highlight w:val="none"/>
        </w:rPr>
        <w:t>级。</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2.3.1.5 生态影响评价工作等级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根据《环境影响评价技术导则 生态影响》（HJ19-2022）中评价工作分级划分，“6.1.8 位于已批准规划环评的产业园区内且符合规划环评要求、不涉及生态敏感区的污染影响类建设项目，可不确定评价等级，直接进行生态影响简单分析。”本项目位于呼图壁工业园区，因此本项目不确定生态评价等级，直接进行生态影响简单分析。</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2.3.1.6 环境风险评价工作等级</w:t>
      </w:r>
    </w:p>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560" w:lineRule="exact"/>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val="en-US" w:eastAsia="zh-CN"/>
        </w:rPr>
        <w:t>环境风险潜势</w:t>
      </w:r>
    </w:p>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560" w:lineRule="exact"/>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根据《建设项目环境风险评价技术导则》</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HJ169-2018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，项目所涉及的每种危险物质在场界内的最大存在总量与其对应临界量的比值</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Q</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来表征危险性。当只涉及一种危险物质时，计算该物质的总量与其临界值比值，即为</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Q；当存在多种危险物质时，则按下式计算物质总量与其临界量比值（Q）。</w:t>
      </w:r>
    </w:p>
    <w:p>
      <w:pPr>
        <w:keepNext w:val="0"/>
        <w:keepLines w:val="0"/>
        <w:pageBreakBefore w:val="0"/>
        <w:widowControl w:val="0"/>
        <w:shd w:val="clear" w:color="auto" w:fill="auto"/>
        <w:kinsoku/>
        <w:wordWrap w:val="0"/>
        <w:overflowPunct/>
        <w:topLinePunct w:val="0"/>
        <w:autoSpaceDE/>
        <w:autoSpaceDN/>
        <w:bidi w:val="0"/>
        <w:spacing w:beforeAutospacing="0" w:line="360" w:lineRule="auto"/>
        <w:ind w:left="0" w:leftChars="0" w:right="0" w:rightChars="0" w:firstLine="480" w:firstLineChars="200"/>
        <w:jc w:val="center"/>
        <w:rPr>
          <w:rFonts w:hint="default" w:ascii="Times New Roman" w:hAnsi="Times New Roman" w:eastAsia="宋体" w:cs="Times New Roman"/>
          <w:color w:val="auto"/>
          <w:kern w:val="24"/>
          <w:sz w:val="24"/>
          <w:szCs w:val="24"/>
          <w:highlight w:val="none"/>
        </w:rPr>
      </w:pPr>
      <w:r>
        <w:rPr>
          <w:rFonts w:hint="default" w:ascii="Times New Roman" w:hAnsi="Times New Roman" w:eastAsia="宋体" w:cs="Times New Roman"/>
          <w:color w:val="auto"/>
          <w:kern w:val="24"/>
          <w:sz w:val="24"/>
          <w:szCs w:val="24"/>
          <w:highlight w:val="none"/>
        </w:rPr>
        <w:drawing>
          <wp:inline distT="0" distB="0" distL="114300" distR="114300">
            <wp:extent cx="1625600" cy="550545"/>
            <wp:effectExtent l="0" t="0" r="12700" b="1905"/>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11"/>
                    <a:srcRect r="57249"/>
                    <a:stretch>
                      <a:fillRect/>
                    </a:stretch>
                  </pic:blipFill>
                  <pic:spPr>
                    <a:xfrm>
                      <a:off x="0" y="0"/>
                      <a:ext cx="1625600" cy="550545"/>
                    </a:xfrm>
                    <a:prstGeom prst="rect">
                      <a:avLst/>
                    </a:prstGeom>
                    <a:noFill/>
                    <a:ln>
                      <a:noFill/>
                    </a:ln>
                  </pic:spPr>
                </pic:pic>
              </a:graphicData>
            </a:graphic>
          </wp:inline>
        </w:drawing>
      </w:r>
    </w:p>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560" w:lineRule="exact"/>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sz w:val="24"/>
          <w:szCs w:val="24"/>
          <w:highlight w:val="none"/>
        </w:rPr>
        <w:t>式中：q</w:t>
      </w:r>
      <w:r>
        <w:rPr>
          <w:rFonts w:hint="default" w:ascii="Times New Roman" w:hAnsi="Times New Roman" w:eastAsia="宋体" w:cs="Times New Roman"/>
          <w:color w:val="auto"/>
          <w:sz w:val="24"/>
          <w:szCs w:val="24"/>
          <w:highlight w:val="none"/>
          <w:vertAlign w:val="subscript"/>
        </w:rPr>
        <w:t>1</w:t>
      </w:r>
      <w:r>
        <w:rPr>
          <w:rFonts w:hint="default" w:ascii="Times New Roman" w:hAnsi="Times New Roman" w:eastAsia="宋体" w:cs="Times New Roman"/>
          <w:color w:val="auto"/>
          <w:sz w:val="24"/>
          <w:szCs w:val="24"/>
          <w:highlight w:val="none"/>
        </w:rPr>
        <w:t>，q</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…q</w:t>
      </w:r>
      <w:r>
        <w:rPr>
          <w:rFonts w:hint="default" w:ascii="Times New Roman" w:hAnsi="Times New Roman" w:eastAsia="宋体" w:cs="Times New Roman"/>
          <w:color w:val="auto"/>
          <w:sz w:val="24"/>
          <w:szCs w:val="24"/>
          <w:highlight w:val="none"/>
          <w:vertAlign w:val="subscript"/>
        </w:rPr>
        <w:t>n</w:t>
      </w:r>
      <w:r>
        <w:rPr>
          <w:rFonts w:hint="default" w:ascii="Times New Roman" w:hAnsi="Times New Roman" w:eastAsia="宋体" w:cs="Times New Roman"/>
          <w:color w:val="auto"/>
          <w:sz w:val="24"/>
          <w:szCs w:val="24"/>
          <w:highlight w:val="none"/>
        </w:rPr>
        <w:t>——每种危险物质实际存在量，t。</w:t>
      </w:r>
    </w:p>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560" w:lineRule="exact"/>
        <w:ind w:left="0" w:leftChars="0" w:right="0" w:rightChars="0" w:firstLine="1200" w:firstLineChars="5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Q</w:t>
      </w:r>
      <w:r>
        <w:rPr>
          <w:rFonts w:hint="default" w:ascii="Times New Roman" w:hAnsi="Times New Roman" w:eastAsia="宋体" w:cs="Times New Roman"/>
          <w:color w:val="auto"/>
          <w:sz w:val="24"/>
          <w:szCs w:val="24"/>
          <w:highlight w:val="none"/>
          <w:vertAlign w:val="subscript"/>
        </w:rPr>
        <w:t>1</w:t>
      </w:r>
      <w:r>
        <w:rPr>
          <w:rFonts w:hint="default" w:ascii="Times New Roman" w:hAnsi="Times New Roman" w:eastAsia="宋体" w:cs="Times New Roman"/>
          <w:color w:val="auto"/>
          <w:sz w:val="24"/>
          <w:szCs w:val="24"/>
          <w:highlight w:val="none"/>
        </w:rPr>
        <w:t>，Q</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…Q</w:t>
      </w:r>
      <w:r>
        <w:rPr>
          <w:rFonts w:hint="default" w:ascii="Times New Roman" w:hAnsi="Times New Roman" w:eastAsia="宋体" w:cs="Times New Roman"/>
          <w:color w:val="auto"/>
          <w:sz w:val="24"/>
          <w:szCs w:val="24"/>
          <w:highlight w:val="none"/>
          <w:vertAlign w:val="subscript"/>
        </w:rPr>
        <w:t>n</w:t>
      </w:r>
      <w:r>
        <w:rPr>
          <w:rFonts w:hint="default" w:ascii="Times New Roman" w:hAnsi="Times New Roman" w:eastAsia="宋体" w:cs="Times New Roman"/>
          <w:color w:val="auto"/>
          <w:sz w:val="24"/>
          <w:szCs w:val="24"/>
          <w:highlight w:val="none"/>
        </w:rPr>
        <w:t>——各危险物质相对应生产场所或贮存区的临界量，t。</w:t>
      </w:r>
    </w:p>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560" w:lineRule="exact"/>
        <w:ind w:left="0" w:leftChars="0" w:right="0" w:rightChars="0" w:firstLine="1200" w:firstLineChars="5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当</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Q＜1</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时，该项目环境风险潜势为</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Ⅰ。</w:t>
      </w:r>
    </w:p>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560" w:lineRule="exact"/>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sz w:val="24"/>
          <w:szCs w:val="24"/>
          <w:highlight w:val="none"/>
        </w:rPr>
        <w:t>当</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Q≥1</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时，将</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Q</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值划分为：（a）1≤Q＜10；（b）10≤Q＜100；（c）Q≥100。</w:t>
      </w:r>
    </w:p>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560" w:lineRule="exact"/>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本项目</w:t>
      </w:r>
      <w:r>
        <w:rPr>
          <w:rFonts w:hint="eastAsia" w:ascii="Times New Roman" w:hAnsi="Times New Roman" w:eastAsia="宋体" w:cs="Times New Roman"/>
          <w:color w:val="auto"/>
          <w:kern w:val="0"/>
          <w:sz w:val="24"/>
          <w:szCs w:val="24"/>
          <w:highlight w:val="none"/>
          <w:lang w:val="en-US" w:eastAsia="zh-CN" w:bidi="ar"/>
        </w:rPr>
        <w:t>运营期</w:t>
      </w:r>
      <w:r>
        <w:rPr>
          <w:rFonts w:hint="default" w:ascii="Times New Roman" w:hAnsi="Times New Roman" w:eastAsia="宋体" w:cs="Times New Roman"/>
          <w:color w:val="auto"/>
          <w:kern w:val="0"/>
          <w:sz w:val="24"/>
          <w:szCs w:val="24"/>
          <w:highlight w:val="none"/>
          <w:lang w:val="en-US" w:eastAsia="zh-CN" w:bidi="ar"/>
        </w:rPr>
        <w:t>涉及的危险物质主要有</w:t>
      </w:r>
      <w:r>
        <w:rPr>
          <w:rFonts w:hint="eastAsia" w:ascii="Times New Roman" w:hAnsi="Times New Roman" w:eastAsia="宋体" w:cs="Times New Roman"/>
          <w:color w:val="auto"/>
          <w:kern w:val="0"/>
          <w:sz w:val="24"/>
          <w:szCs w:val="24"/>
          <w:highlight w:val="none"/>
          <w:lang w:val="en-US" w:eastAsia="zh-CN" w:bidi="ar"/>
        </w:rPr>
        <w:t>硫酸、氨水、甲醇、废机油等</w:t>
      </w:r>
      <w:r>
        <w:rPr>
          <w:rFonts w:hint="default" w:ascii="Times New Roman" w:hAnsi="Times New Roman" w:eastAsia="宋体" w:cs="Times New Roman"/>
          <w:color w:val="auto"/>
          <w:sz w:val="24"/>
          <w:szCs w:val="24"/>
          <w:highlight w:val="none"/>
        </w:rPr>
        <w:t>。</w:t>
      </w:r>
    </w:p>
    <w:p>
      <w:pPr>
        <w:pStyle w:val="33"/>
        <w:bidi w:val="0"/>
        <w:rPr>
          <w:rFonts w:hint="default"/>
          <w:color w:val="auto"/>
        </w:rPr>
      </w:pPr>
      <w:r>
        <w:rPr>
          <w:rFonts w:hint="default"/>
          <w:color w:val="auto"/>
          <w:sz w:val="24"/>
          <w:szCs w:val="24"/>
        </w:rPr>
        <w:t>表2</w:t>
      </w:r>
      <w:r>
        <w:rPr>
          <w:rFonts w:hint="eastAsia"/>
          <w:color w:val="auto"/>
          <w:sz w:val="24"/>
          <w:szCs w:val="24"/>
          <w:lang w:val="en-US" w:eastAsia="zh-CN"/>
        </w:rPr>
        <w:t xml:space="preserve">.3.1-13     </w:t>
      </w:r>
      <w:r>
        <w:rPr>
          <w:rFonts w:hint="default"/>
          <w:color w:val="auto"/>
          <w:sz w:val="24"/>
          <w:szCs w:val="24"/>
        </w:rPr>
        <w:t xml:space="preserve">  重大危险源识别结果</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2"/>
        <w:gridCol w:w="1612"/>
        <w:gridCol w:w="1191"/>
        <w:gridCol w:w="1905"/>
        <w:gridCol w:w="1449"/>
        <w:gridCol w:w="9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单元</w:t>
            </w:r>
          </w:p>
        </w:tc>
        <w:tc>
          <w:tcPr>
            <w:tcW w:w="94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危险物质类型</w:t>
            </w:r>
          </w:p>
        </w:tc>
        <w:tc>
          <w:tcPr>
            <w:tcW w:w="69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CAS 号</w:t>
            </w:r>
          </w:p>
        </w:tc>
        <w:tc>
          <w:tcPr>
            <w:tcW w:w="11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最大贮存（t）</w:t>
            </w:r>
          </w:p>
        </w:tc>
        <w:tc>
          <w:tcPr>
            <w:tcW w:w="8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临界量（t）</w:t>
            </w:r>
          </w:p>
        </w:tc>
        <w:tc>
          <w:tcPr>
            <w:tcW w:w="5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Q 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138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车间</w:t>
            </w:r>
          </w:p>
        </w:tc>
        <w:tc>
          <w:tcPr>
            <w:tcW w:w="94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硫酸</w:t>
            </w:r>
          </w:p>
        </w:tc>
        <w:tc>
          <w:tcPr>
            <w:tcW w:w="69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7664-38-2</w:t>
            </w:r>
          </w:p>
        </w:tc>
        <w:tc>
          <w:tcPr>
            <w:tcW w:w="11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8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10</w:t>
            </w:r>
          </w:p>
        </w:tc>
        <w:tc>
          <w:tcPr>
            <w:tcW w:w="5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38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车间</w:t>
            </w:r>
          </w:p>
        </w:tc>
        <w:tc>
          <w:tcPr>
            <w:tcW w:w="94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甲醇</w:t>
            </w:r>
          </w:p>
        </w:tc>
        <w:tc>
          <w:tcPr>
            <w:tcW w:w="69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67-56-1</w:t>
            </w:r>
          </w:p>
        </w:tc>
        <w:tc>
          <w:tcPr>
            <w:tcW w:w="11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8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10</w:t>
            </w:r>
          </w:p>
        </w:tc>
        <w:tc>
          <w:tcPr>
            <w:tcW w:w="5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车间</w:t>
            </w:r>
          </w:p>
        </w:tc>
        <w:tc>
          <w:tcPr>
            <w:tcW w:w="94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氨水</w:t>
            </w:r>
          </w:p>
        </w:tc>
        <w:tc>
          <w:tcPr>
            <w:tcW w:w="69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1336-21-6</w:t>
            </w:r>
          </w:p>
        </w:tc>
        <w:tc>
          <w:tcPr>
            <w:tcW w:w="11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8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10</w:t>
            </w:r>
          </w:p>
        </w:tc>
        <w:tc>
          <w:tcPr>
            <w:tcW w:w="5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危废暂存间</w:t>
            </w:r>
          </w:p>
        </w:tc>
        <w:tc>
          <w:tcPr>
            <w:tcW w:w="94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废机油</w:t>
            </w:r>
          </w:p>
        </w:tc>
        <w:tc>
          <w:tcPr>
            <w:tcW w:w="69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11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0.5</w:t>
            </w:r>
          </w:p>
        </w:tc>
        <w:tc>
          <w:tcPr>
            <w:tcW w:w="8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2500</w:t>
            </w:r>
          </w:p>
        </w:tc>
        <w:tc>
          <w:tcPr>
            <w:tcW w:w="5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4" w:type="pct"/>
            <w:gridSpan w:val="5"/>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合计</w:t>
            </w:r>
          </w:p>
        </w:tc>
        <w:tc>
          <w:tcPr>
            <w:tcW w:w="5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0.7002</w:t>
            </w:r>
          </w:p>
        </w:tc>
      </w:tr>
    </w:tbl>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560" w:lineRule="exact"/>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经计算，危险物质数量与临界量比值</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Q=</w:t>
      </w:r>
      <w:r>
        <w:rPr>
          <w:rFonts w:hint="eastAsia" w:ascii="Times New Roman" w:hAnsi="Times New Roman" w:eastAsia="宋体" w:cs="Times New Roman"/>
          <w:color w:val="auto"/>
          <w:sz w:val="24"/>
          <w:szCs w:val="24"/>
          <w:highlight w:val="none"/>
          <w:lang w:val="en-US" w:eastAsia="zh-CN"/>
        </w:rPr>
        <w:t>0.7002</w:t>
      </w:r>
      <w:r>
        <w:rPr>
          <w:rFonts w:hint="default" w:ascii="Times New Roman" w:hAnsi="Times New Roman" w:eastAsia="宋体" w:cs="Times New Roman"/>
          <w:color w:val="auto"/>
          <w:sz w:val="24"/>
          <w:szCs w:val="24"/>
          <w:highlight w:val="none"/>
        </w:rPr>
        <w:t>＜1</w:t>
      </w:r>
      <w:r>
        <w:rPr>
          <w:rFonts w:hint="eastAsia" w:ascii="Times New Roman" w:hAnsi="Times New Roman" w:eastAsia="宋体" w:cs="Times New Roman"/>
          <w:color w:val="auto"/>
          <w:sz w:val="24"/>
          <w:szCs w:val="24"/>
          <w:highlight w:val="none"/>
          <w:lang w:val="en-US" w:eastAsia="zh-CN"/>
        </w:rPr>
        <w:t>00</w:t>
      </w:r>
      <w:r>
        <w:rPr>
          <w:rFonts w:hint="default" w:ascii="Times New Roman" w:hAnsi="Times New Roman" w:eastAsia="宋体" w:cs="Times New Roman"/>
          <w:color w:val="auto"/>
          <w:sz w:val="24"/>
          <w:szCs w:val="24"/>
          <w:highlight w:val="none"/>
        </w:rPr>
        <w:t>。</w:t>
      </w:r>
    </w:p>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560" w:lineRule="exact"/>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）评价等级判定</w:t>
      </w:r>
    </w:p>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560" w:lineRule="exact"/>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《建设项目环境风险评价技术导则》（HJ169-2018）中环境风险评价工作等级划分依据见表</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2</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3.1</w:t>
      </w:r>
      <w:r>
        <w:rPr>
          <w:rFonts w:hint="default"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w:t>
      </w:r>
    </w:p>
    <w:p>
      <w:pPr>
        <w:pStyle w:val="33"/>
        <w:bidi w:val="0"/>
        <w:rPr>
          <w:rFonts w:hint="default"/>
          <w:color w:val="auto"/>
          <w:sz w:val="24"/>
          <w:szCs w:val="24"/>
        </w:rPr>
      </w:pPr>
      <w:r>
        <w:rPr>
          <w:rFonts w:hint="default"/>
          <w:color w:val="auto"/>
          <w:sz w:val="24"/>
          <w:szCs w:val="24"/>
        </w:rPr>
        <w:t>表</w:t>
      </w:r>
      <w:r>
        <w:rPr>
          <w:rFonts w:hint="eastAsia"/>
          <w:color w:val="auto"/>
          <w:sz w:val="24"/>
          <w:szCs w:val="24"/>
          <w:lang w:val="en-US" w:eastAsia="zh-CN"/>
        </w:rPr>
        <w:t xml:space="preserve"> 2.3.1-174 </w:t>
      </w:r>
      <w:r>
        <w:rPr>
          <w:rFonts w:hint="default"/>
          <w:color w:val="auto"/>
          <w:sz w:val="24"/>
          <w:szCs w:val="24"/>
        </w:rPr>
        <w:t xml:space="preserve">    环境风险评价工作等级划分表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4"/>
        <w:gridCol w:w="1513"/>
        <w:gridCol w:w="1808"/>
        <w:gridCol w:w="1808"/>
        <w:gridCol w:w="15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059" w:type="pct"/>
            <w:tcBorders>
              <w:tl2br w:val="nil"/>
              <w:tr2bl w:val="nil"/>
            </w:tcBorders>
            <w:noWrap w:val="0"/>
            <w:vAlign w:val="center"/>
          </w:tcPr>
          <w:p>
            <w:pPr>
              <w:pStyle w:val="34"/>
              <w:bidi w:val="0"/>
              <w:rPr>
                <w:rFonts w:hint="default"/>
                <w:b/>
                <w:bCs/>
                <w:color w:val="auto"/>
              </w:rPr>
            </w:pPr>
            <w:r>
              <w:rPr>
                <w:rFonts w:hint="default"/>
                <w:b/>
                <w:bCs/>
                <w:color w:val="auto"/>
              </w:rPr>
              <w:t>环境风险潜势</w:t>
            </w:r>
          </w:p>
        </w:tc>
        <w:tc>
          <w:tcPr>
            <w:tcW w:w="888" w:type="pct"/>
            <w:tcBorders>
              <w:tl2br w:val="nil"/>
              <w:tr2bl w:val="nil"/>
            </w:tcBorders>
            <w:noWrap w:val="0"/>
            <w:vAlign w:val="center"/>
          </w:tcPr>
          <w:p>
            <w:pPr>
              <w:pStyle w:val="34"/>
              <w:bidi w:val="0"/>
              <w:rPr>
                <w:rFonts w:hint="default"/>
                <w:b/>
                <w:bCs/>
                <w:color w:val="auto"/>
              </w:rPr>
            </w:pPr>
            <w:r>
              <w:rPr>
                <w:rFonts w:hint="default"/>
                <w:b/>
                <w:bCs/>
                <w:color w:val="auto"/>
              </w:rPr>
              <w:t>IV、IV+</w:t>
            </w:r>
          </w:p>
        </w:tc>
        <w:tc>
          <w:tcPr>
            <w:tcW w:w="1061" w:type="pct"/>
            <w:tcBorders>
              <w:tl2br w:val="nil"/>
              <w:tr2bl w:val="nil"/>
            </w:tcBorders>
            <w:noWrap w:val="0"/>
            <w:vAlign w:val="center"/>
          </w:tcPr>
          <w:p>
            <w:pPr>
              <w:pStyle w:val="34"/>
              <w:bidi w:val="0"/>
              <w:rPr>
                <w:rFonts w:hint="default"/>
                <w:b/>
                <w:bCs/>
                <w:color w:val="auto"/>
              </w:rPr>
            </w:pPr>
            <w:r>
              <w:rPr>
                <w:rFonts w:hint="default"/>
                <w:b/>
                <w:bCs/>
                <w:color w:val="auto"/>
              </w:rPr>
              <w:t>III</w:t>
            </w:r>
          </w:p>
        </w:tc>
        <w:tc>
          <w:tcPr>
            <w:tcW w:w="1061" w:type="pct"/>
            <w:tcBorders>
              <w:tl2br w:val="nil"/>
              <w:tr2bl w:val="nil"/>
            </w:tcBorders>
            <w:noWrap w:val="0"/>
            <w:vAlign w:val="center"/>
          </w:tcPr>
          <w:p>
            <w:pPr>
              <w:pStyle w:val="34"/>
              <w:bidi w:val="0"/>
              <w:rPr>
                <w:rFonts w:hint="default"/>
                <w:b/>
                <w:bCs/>
                <w:color w:val="auto"/>
              </w:rPr>
            </w:pPr>
            <w:r>
              <w:rPr>
                <w:rFonts w:hint="default"/>
                <w:b/>
                <w:bCs/>
                <w:color w:val="auto"/>
              </w:rPr>
              <w:t>Ⅱ</w:t>
            </w:r>
          </w:p>
        </w:tc>
        <w:tc>
          <w:tcPr>
            <w:tcW w:w="929" w:type="pct"/>
            <w:tcBorders>
              <w:tl2br w:val="nil"/>
              <w:tr2bl w:val="nil"/>
            </w:tcBorders>
            <w:noWrap w:val="0"/>
            <w:vAlign w:val="center"/>
          </w:tcPr>
          <w:p>
            <w:pPr>
              <w:pStyle w:val="34"/>
              <w:bidi w:val="0"/>
              <w:rPr>
                <w:rFonts w:hint="default"/>
                <w:b/>
                <w:bCs/>
                <w:color w:val="auto"/>
              </w:rPr>
            </w:pPr>
            <w:r>
              <w:rPr>
                <w:rFonts w:hint="default"/>
                <w:b/>
                <w:bCs/>
                <w:color w:val="auto"/>
              </w:rPr>
              <w: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9" w:type="pct"/>
            <w:tcBorders>
              <w:tl2br w:val="nil"/>
              <w:tr2bl w:val="nil"/>
            </w:tcBorders>
            <w:noWrap w:val="0"/>
            <w:vAlign w:val="center"/>
          </w:tcPr>
          <w:p>
            <w:pPr>
              <w:pStyle w:val="34"/>
              <w:bidi w:val="0"/>
              <w:rPr>
                <w:rFonts w:hint="default"/>
                <w:color w:val="auto"/>
              </w:rPr>
            </w:pPr>
            <w:r>
              <w:rPr>
                <w:rFonts w:hint="default"/>
                <w:color w:val="auto"/>
              </w:rPr>
              <w:t>评价工作等级</w:t>
            </w:r>
          </w:p>
        </w:tc>
        <w:tc>
          <w:tcPr>
            <w:tcW w:w="888" w:type="pct"/>
            <w:tcBorders>
              <w:tl2br w:val="nil"/>
              <w:tr2bl w:val="nil"/>
            </w:tcBorders>
            <w:noWrap w:val="0"/>
            <w:vAlign w:val="center"/>
          </w:tcPr>
          <w:p>
            <w:pPr>
              <w:pStyle w:val="34"/>
              <w:bidi w:val="0"/>
              <w:rPr>
                <w:rFonts w:hint="default"/>
                <w:color w:val="auto"/>
              </w:rPr>
            </w:pPr>
            <w:r>
              <w:rPr>
                <w:rFonts w:hint="default"/>
                <w:color w:val="auto"/>
              </w:rPr>
              <w:t>一</w:t>
            </w:r>
          </w:p>
        </w:tc>
        <w:tc>
          <w:tcPr>
            <w:tcW w:w="1061" w:type="pct"/>
            <w:tcBorders>
              <w:tl2br w:val="nil"/>
              <w:tr2bl w:val="nil"/>
            </w:tcBorders>
            <w:noWrap w:val="0"/>
            <w:vAlign w:val="center"/>
          </w:tcPr>
          <w:p>
            <w:pPr>
              <w:pStyle w:val="34"/>
              <w:bidi w:val="0"/>
              <w:rPr>
                <w:rFonts w:hint="default"/>
                <w:color w:val="auto"/>
              </w:rPr>
            </w:pPr>
            <w:r>
              <w:rPr>
                <w:rFonts w:hint="default"/>
                <w:color w:val="auto"/>
              </w:rPr>
              <w:t>二</w:t>
            </w:r>
          </w:p>
        </w:tc>
        <w:tc>
          <w:tcPr>
            <w:tcW w:w="1061" w:type="pct"/>
            <w:tcBorders>
              <w:tl2br w:val="nil"/>
              <w:tr2bl w:val="nil"/>
            </w:tcBorders>
            <w:noWrap w:val="0"/>
            <w:vAlign w:val="center"/>
          </w:tcPr>
          <w:p>
            <w:pPr>
              <w:pStyle w:val="34"/>
              <w:bidi w:val="0"/>
              <w:rPr>
                <w:rFonts w:hint="default"/>
                <w:color w:val="auto"/>
              </w:rPr>
            </w:pPr>
            <w:r>
              <w:rPr>
                <w:rFonts w:hint="default"/>
                <w:color w:val="auto"/>
              </w:rPr>
              <w:t>三</w:t>
            </w:r>
          </w:p>
        </w:tc>
        <w:tc>
          <w:tcPr>
            <w:tcW w:w="929" w:type="pct"/>
            <w:tcBorders>
              <w:tl2br w:val="nil"/>
              <w:tr2bl w:val="nil"/>
            </w:tcBorders>
            <w:noWrap w:val="0"/>
            <w:vAlign w:val="center"/>
          </w:tcPr>
          <w:p>
            <w:pPr>
              <w:pStyle w:val="34"/>
              <w:bidi w:val="0"/>
              <w:rPr>
                <w:rFonts w:hint="default"/>
                <w:color w:val="auto"/>
              </w:rPr>
            </w:pPr>
            <w:r>
              <w:rPr>
                <w:rFonts w:hint="default"/>
                <w:color w:val="auto"/>
              </w:rPr>
              <w:t>简单分析a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5000" w:type="pct"/>
            <w:gridSpan w:val="5"/>
            <w:tcBorders>
              <w:tl2br w:val="nil"/>
              <w:tr2bl w:val="nil"/>
            </w:tcBorders>
            <w:noWrap w:val="0"/>
            <w:vAlign w:val="center"/>
          </w:tcPr>
          <w:p>
            <w:pPr>
              <w:pStyle w:val="34"/>
              <w:bidi w:val="0"/>
              <w:rPr>
                <w:rFonts w:hint="default"/>
                <w:color w:val="auto"/>
              </w:rPr>
            </w:pPr>
            <w:r>
              <w:rPr>
                <w:rFonts w:hint="default"/>
                <w:color w:val="auto"/>
              </w:rPr>
              <w:t>a是相对于详细评价工作内容而言，在描述危险物质、环境影响途径、环境危险后果、风险防范措施等方面给出定性的说明。</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highlight w:val="none"/>
        </w:rPr>
        <w:t>根据风险潜势初判，本项目风险潜势为</w:t>
      </w:r>
      <w:r>
        <w:rPr>
          <w:rFonts w:hint="eastAsia" w:ascii="Times New Roman" w:hAnsi="Times New Roman" w:eastAsia="宋体" w:cs="Times New Roman"/>
          <w:color w:val="auto"/>
          <w:sz w:val="24"/>
          <w:szCs w:val="24"/>
          <w:highlight w:val="none"/>
          <w:lang w:val="en-US" w:eastAsia="zh-CN"/>
        </w:rPr>
        <w:t xml:space="preserve"> I</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环境风险评价等级为简单分析</w:t>
      </w:r>
      <w:r>
        <w:rPr>
          <w:rFonts w:hint="default" w:ascii="Times New Roman" w:hAnsi="Times New Roman" w:eastAsia="宋体"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2.3.2 评价范围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根据当地气象、水文、地质条件及拟建厂址工程特性，确定本次评价范围和评价工作等级，见下表 2.3.1-15、</w:t>
      </w:r>
      <w:r>
        <w:rPr>
          <w:rFonts w:hint="eastAsia" w:ascii="Times New Roman" w:hAnsi="Times New Roman" w:eastAsia="宋体" w:cs="Times New Roman"/>
          <w:b/>
          <w:bCs/>
          <w:color w:val="auto"/>
          <w:sz w:val="24"/>
          <w:szCs w:val="24"/>
          <w:lang w:val="en-US" w:eastAsia="zh-CN"/>
        </w:rPr>
        <w:t>附图 2.3-1</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2.3.1-15   环境影响预测评价范围表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3"/>
        <w:gridCol w:w="1098"/>
        <w:gridCol w:w="60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环境要素</w:t>
            </w:r>
          </w:p>
        </w:tc>
        <w:tc>
          <w:tcPr>
            <w:tcW w:w="6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评价等级</w:t>
            </w:r>
          </w:p>
        </w:tc>
        <w:tc>
          <w:tcPr>
            <w:tcW w:w="353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评价范围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环境空气</w:t>
            </w:r>
          </w:p>
        </w:tc>
        <w:tc>
          <w:tcPr>
            <w:tcW w:w="6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一级</w:t>
            </w:r>
          </w:p>
        </w:tc>
        <w:tc>
          <w:tcPr>
            <w:tcW w:w="353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以厂界为边界，</w:t>
            </w:r>
            <w:r>
              <w:rPr>
                <w:rFonts w:hint="default" w:ascii="Times New Roman" w:hAnsi="Times New Roman" w:eastAsia="宋体" w:cs="Times New Roman"/>
                <w:color w:val="auto"/>
                <w:sz w:val="21"/>
                <w:szCs w:val="21"/>
                <w:vertAlign w:val="baseline"/>
                <w:lang w:val="en-US" w:eastAsia="zh-CN"/>
              </w:rPr>
              <w:t xml:space="preserve">东西宽 </w:t>
            </w:r>
            <w:r>
              <w:rPr>
                <w:rFonts w:hint="eastAsia" w:ascii="Times New Roman" w:hAnsi="Times New Roman" w:eastAsia="宋体" w:cs="Times New Roman"/>
                <w:color w:val="auto"/>
                <w:sz w:val="21"/>
                <w:szCs w:val="21"/>
                <w:vertAlign w:val="baseline"/>
                <w:lang w:val="en-US" w:eastAsia="zh-CN"/>
              </w:rPr>
              <w:t>5</w:t>
            </w:r>
            <w:r>
              <w:rPr>
                <w:rFonts w:hint="default" w:ascii="Times New Roman" w:hAnsi="Times New Roman" w:eastAsia="宋体" w:cs="Times New Roman"/>
                <w:color w:val="auto"/>
                <w:sz w:val="21"/>
                <w:szCs w:val="21"/>
                <w:vertAlign w:val="baseline"/>
                <w:lang w:val="en-US" w:eastAsia="zh-CN"/>
              </w:rPr>
              <w:t xml:space="preserve">km、南北长 </w:t>
            </w:r>
            <w:r>
              <w:rPr>
                <w:rFonts w:hint="eastAsia" w:ascii="Times New Roman" w:hAnsi="Times New Roman" w:eastAsia="宋体" w:cs="Times New Roman"/>
                <w:color w:val="auto"/>
                <w:sz w:val="21"/>
                <w:szCs w:val="21"/>
                <w:vertAlign w:val="baseline"/>
                <w:lang w:val="en-US" w:eastAsia="zh-CN"/>
              </w:rPr>
              <w:t>5</w:t>
            </w:r>
            <w:r>
              <w:rPr>
                <w:rFonts w:hint="default" w:ascii="Times New Roman" w:hAnsi="Times New Roman" w:eastAsia="宋体" w:cs="Times New Roman"/>
                <w:color w:val="auto"/>
                <w:sz w:val="21"/>
                <w:szCs w:val="21"/>
                <w:vertAlign w:val="baseline"/>
                <w:lang w:val="en-US" w:eastAsia="zh-CN"/>
              </w:rPr>
              <w:t>km 的</w:t>
            </w:r>
            <w:r>
              <w:rPr>
                <w:rFonts w:hint="eastAsia" w:ascii="Times New Roman" w:hAnsi="Times New Roman" w:eastAsia="宋体" w:cs="Times New Roman"/>
                <w:color w:val="auto"/>
                <w:sz w:val="21"/>
                <w:szCs w:val="21"/>
                <w:vertAlign w:val="baseline"/>
                <w:lang w:val="en-US" w:eastAsia="zh-CN"/>
              </w:rPr>
              <w:t>矩形</w:t>
            </w:r>
            <w:r>
              <w:rPr>
                <w:rFonts w:hint="default" w:ascii="Times New Roman" w:hAnsi="Times New Roman" w:eastAsia="宋体" w:cs="Times New Roman"/>
                <w:color w:val="auto"/>
                <w:sz w:val="21"/>
                <w:szCs w:val="21"/>
                <w:vertAlign w:val="baseline"/>
                <w:lang w:val="en-US" w:eastAsia="zh-CN"/>
              </w:rPr>
              <w:t>区域范围。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地表水环境</w:t>
            </w:r>
          </w:p>
        </w:tc>
        <w:tc>
          <w:tcPr>
            <w:tcW w:w="6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三级 B</w:t>
            </w:r>
          </w:p>
        </w:tc>
        <w:tc>
          <w:tcPr>
            <w:tcW w:w="353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简要分析，不设置评价范围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地下水环境</w:t>
            </w:r>
          </w:p>
        </w:tc>
        <w:tc>
          <w:tcPr>
            <w:tcW w:w="6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二级</w:t>
            </w:r>
          </w:p>
        </w:tc>
        <w:tc>
          <w:tcPr>
            <w:tcW w:w="353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厂区为中，</w:t>
            </w:r>
            <w:r>
              <w:rPr>
                <w:rFonts w:hint="eastAsia" w:ascii="Times New Roman" w:hAnsi="Times New Roman" w:eastAsia="宋体" w:cs="Times New Roman"/>
                <w:color w:val="auto"/>
                <w:sz w:val="21"/>
                <w:szCs w:val="21"/>
                <w:vertAlign w:val="baseline"/>
                <w:lang w:val="en-US" w:eastAsia="zh-CN"/>
              </w:rPr>
              <w:t>评价范围为东西边长2km，南北边长3km，方向为东南向西北的</w:t>
            </w:r>
            <w:r>
              <w:rPr>
                <w:rFonts w:hint="default" w:ascii="Times New Roman" w:hAnsi="Times New Roman" w:eastAsia="宋体" w:cs="Times New Roman"/>
                <w:color w:val="auto"/>
                <w:sz w:val="21"/>
                <w:szCs w:val="21"/>
                <w:vertAlign w:val="baseline"/>
                <w:lang w:val="en-US" w:eastAsia="zh-CN"/>
              </w:rPr>
              <w:t>面积为 6km</w:t>
            </w:r>
            <w:r>
              <w:rPr>
                <w:rFonts w:hint="default" w:ascii="Times New Roman" w:hAnsi="Times New Roman" w:eastAsia="宋体" w:cs="Times New Roman"/>
                <w:color w:val="auto"/>
                <w:sz w:val="21"/>
                <w:szCs w:val="21"/>
                <w:vertAlign w:val="superscript"/>
                <w:lang w:val="en-US" w:eastAsia="zh-CN"/>
              </w:rPr>
              <w:t>2</w:t>
            </w:r>
            <w:r>
              <w:rPr>
                <w:rFonts w:hint="default" w:ascii="Times New Roman" w:hAnsi="Times New Roman" w:eastAsia="宋体" w:cs="Times New Roman"/>
                <w:color w:val="auto"/>
                <w:sz w:val="21"/>
                <w:szCs w:val="21"/>
                <w:vertAlign w:val="baseline"/>
                <w:lang w:val="en-US" w:eastAsia="zh-CN"/>
              </w:rPr>
              <w:t xml:space="preserve"> 的</w:t>
            </w:r>
            <w:r>
              <w:rPr>
                <w:rFonts w:hint="eastAsia" w:ascii="Times New Roman" w:hAnsi="Times New Roman" w:eastAsia="宋体" w:cs="Times New Roman"/>
                <w:color w:val="auto"/>
                <w:sz w:val="21"/>
                <w:szCs w:val="21"/>
                <w:vertAlign w:val="baseline"/>
                <w:lang w:val="en-US" w:eastAsia="zh-CN"/>
              </w:rPr>
              <w:t>长方形区域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声环境</w:t>
            </w:r>
          </w:p>
        </w:tc>
        <w:tc>
          <w:tcPr>
            <w:tcW w:w="6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三级</w:t>
            </w:r>
          </w:p>
        </w:tc>
        <w:tc>
          <w:tcPr>
            <w:tcW w:w="353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厂界围墙向外200m范围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土壤环境</w:t>
            </w:r>
          </w:p>
        </w:tc>
        <w:tc>
          <w:tcPr>
            <w:tcW w:w="6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二级</w:t>
            </w:r>
          </w:p>
        </w:tc>
        <w:tc>
          <w:tcPr>
            <w:tcW w:w="353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占地范围内全部及占地范围外 0.2km 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生态环境</w:t>
            </w:r>
          </w:p>
        </w:tc>
        <w:tc>
          <w:tcPr>
            <w:tcW w:w="6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简要分析</w:t>
            </w:r>
          </w:p>
        </w:tc>
        <w:tc>
          <w:tcPr>
            <w:tcW w:w="353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项目占地直接影响区域及污染物排放产生的间接生态影响区域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环境风险</w:t>
            </w:r>
          </w:p>
        </w:tc>
        <w:tc>
          <w:tcPr>
            <w:tcW w:w="6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简单分析</w:t>
            </w:r>
          </w:p>
        </w:tc>
        <w:tc>
          <w:tcPr>
            <w:tcW w:w="353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简单分析，不设置风险评价范围</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b/>
          <w:bCs/>
          <w:color w:val="auto"/>
          <w:sz w:val="30"/>
          <w:szCs w:val="30"/>
          <w:lang w:val="en-US" w:eastAsia="zh-CN"/>
        </w:rPr>
      </w:pPr>
      <w:bookmarkStart w:id="11" w:name="_Toc17533"/>
      <w:r>
        <w:rPr>
          <w:rFonts w:hint="eastAsia" w:ascii="Times New Roman" w:hAnsi="Times New Roman" w:eastAsia="宋体" w:cs="Times New Roman"/>
          <w:b/>
          <w:bCs/>
          <w:color w:val="auto"/>
          <w:sz w:val="30"/>
          <w:szCs w:val="30"/>
          <w:lang w:val="en-US" w:eastAsia="zh-CN"/>
        </w:rPr>
        <w:t>2.4 主要环境保护目标</w:t>
      </w:r>
      <w:bookmarkEnd w:id="11"/>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（1）保证评价区域的环境空气质量稳定在现状基础上，不因项目建设影响区域环境空气质量；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（2）保护厂界声环境质量，采取各种降噪措施将噪声对周边环境的影响降低到最小；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（3）保护厂区的生态环境，将不利生态影响降到最小。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在呼图壁工业园西区建设，周边环境不属于特殊或重要生态敏感区，附近无国家及省级确定的风景名胜区、历史遗迹等保护区，无地表水分布，也无重点保护生态品种及濒危生物物种，文物古迹等。本项目主要环境保护目标详见表2.4-1、</w:t>
      </w:r>
      <w:r>
        <w:rPr>
          <w:rFonts w:hint="eastAsia" w:ascii="Times New Roman" w:hAnsi="Times New Roman" w:eastAsia="宋体" w:cs="Times New Roman"/>
          <w:b/>
          <w:bCs/>
          <w:color w:val="auto"/>
          <w:sz w:val="24"/>
          <w:szCs w:val="24"/>
          <w:lang w:val="en-US" w:eastAsia="zh-CN"/>
        </w:rPr>
        <w:t>附图 2.3-1。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表2.4-1   拟建项目周边主要环境保护目标</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9"/>
        <w:gridCol w:w="850"/>
        <w:gridCol w:w="1467"/>
        <w:gridCol w:w="1467"/>
        <w:gridCol w:w="766"/>
        <w:gridCol w:w="1284"/>
        <w:gridCol w:w="666"/>
        <w:gridCol w:w="854"/>
        <w:gridCol w:w="4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421"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环境要素</w:t>
            </w:r>
          </w:p>
        </w:tc>
        <w:tc>
          <w:tcPr>
            <w:tcW w:w="498"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保护目标</w:t>
            </w:r>
          </w:p>
        </w:tc>
        <w:tc>
          <w:tcPr>
            <w:tcW w:w="1721"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坐标</w:t>
            </w:r>
          </w:p>
        </w:tc>
        <w:tc>
          <w:tcPr>
            <w:tcW w:w="449"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保护对象（人）</w:t>
            </w:r>
          </w:p>
        </w:tc>
        <w:tc>
          <w:tcPr>
            <w:tcW w:w="753"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保护内容</w:t>
            </w:r>
          </w:p>
        </w:tc>
        <w:tc>
          <w:tcPr>
            <w:tcW w:w="39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环境功能区</w:t>
            </w:r>
          </w:p>
        </w:tc>
        <w:tc>
          <w:tcPr>
            <w:tcW w:w="501"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距离（km）</w:t>
            </w:r>
          </w:p>
        </w:tc>
        <w:tc>
          <w:tcPr>
            <w:tcW w:w="263"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98"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8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经度</w:t>
            </w:r>
          </w:p>
        </w:tc>
        <w:tc>
          <w:tcPr>
            <w:tcW w:w="8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纬度</w:t>
            </w:r>
          </w:p>
        </w:tc>
        <w:tc>
          <w:tcPr>
            <w:tcW w:w="44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753"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9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50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3"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大气</w:t>
            </w:r>
          </w:p>
        </w:tc>
        <w:tc>
          <w:tcPr>
            <w:tcW w:w="4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十八户村四组</w:t>
            </w:r>
          </w:p>
        </w:tc>
        <w:tc>
          <w:tcPr>
            <w:tcW w:w="8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86°33'15.268"</w:t>
            </w:r>
          </w:p>
        </w:tc>
        <w:tc>
          <w:tcPr>
            <w:tcW w:w="8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44°16'08.029"</w:t>
            </w:r>
          </w:p>
        </w:tc>
        <w:tc>
          <w:tcPr>
            <w:tcW w:w="4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300</w:t>
            </w:r>
          </w:p>
        </w:tc>
        <w:tc>
          <w:tcPr>
            <w:tcW w:w="753"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《环境空气质量标准》（GB3095-2012）中二级标准</w:t>
            </w:r>
          </w:p>
        </w:tc>
        <w:tc>
          <w:tcPr>
            <w:tcW w:w="3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居民</w:t>
            </w:r>
          </w:p>
        </w:tc>
        <w:tc>
          <w:tcPr>
            <w:tcW w:w="5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2.578</w:t>
            </w:r>
          </w:p>
        </w:tc>
        <w:tc>
          <w:tcPr>
            <w:tcW w:w="26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西南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祁家湖村</w:t>
            </w:r>
          </w:p>
        </w:tc>
        <w:tc>
          <w:tcPr>
            <w:tcW w:w="8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86°31'55.548"</w:t>
            </w:r>
          </w:p>
        </w:tc>
        <w:tc>
          <w:tcPr>
            <w:tcW w:w="8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44°15'43.136"</w:t>
            </w:r>
          </w:p>
        </w:tc>
        <w:tc>
          <w:tcPr>
            <w:tcW w:w="4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400</w:t>
            </w:r>
          </w:p>
        </w:tc>
        <w:tc>
          <w:tcPr>
            <w:tcW w:w="753"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居民</w:t>
            </w:r>
          </w:p>
        </w:tc>
        <w:tc>
          <w:tcPr>
            <w:tcW w:w="5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4.428</w:t>
            </w:r>
          </w:p>
        </w:tc>
        <w:tc>
          <w:tcPr>
            <w:tcW w:w="26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西南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永丰四队</w:t>
            </w:r>
          </w:p>
        </w:tc>
        <w:tc>
          <w:tcPr>
            <w:tcW w:w="8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86°32'43.133"</w:t>
            </w:r>
          </w:p>
        </w:tc>
        <w:tc>
          <w:tcPr>
            <w:tcW w:w="8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44°14'45.151"</w:t>
            </w:r>
          </w:p>
        </w:tc>
        <w:tc>
          <w:tcPr>
            <w:tcW w:w="4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500</w:t>
            </w:r>
          </w:p>
        </w:tc>
        <w:tc>
          <w:tcPr>
            <w:tcW w:w="753"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居民</w:t>
            </w:r>
          </w:p>
        </w:tc>
        <w:tc>
          <w:tcPr>
            <w:tcW w:w="5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4.797</w:t>
            </w:r>
          </w:p>
        </w:tc>
        <w:tc>
          <w:tcPr>
            <w:tcW w:w="26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西南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十八户村</w:t>
            </w:r>
          </w:p>
        </w:tc>
        <w:tc>
          <w:tcPr>
            <w:tcW w:w="8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86°32'49.622"</w:t>
            </w:r>
          </w:p>
        </w:tc>
        <w:tc>
          <w:tcPr>
            <w:tcW w:w="8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44°14'30.541"</w:t>
            </w:r>
          </w:p>
        </w:tc>
        <w:tc>
          <w:tcPr>
            <w:tcW w:w="4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600</w:t>
            </w:r>
          </w:p>
        </w:tc>
        <w:tc>
          <w:tcPr>
            <w:tcW w:w="753"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居民</w:t>
            </w:r>
          </w:p>
        </w:tc>
        <w:tc>
          <w:tcPr>
            <w:tcW w:w="5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4.942</w:t>
            </w:r>
          </w:p>
        </w:tc>
        <w:tc>
          <w:tcPr>
            <w:tcW w:w="26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西南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噪声</w:t>
            </w:r>
          </w:p>
        </w:tc>
        <w:tc>
          <w:tcPr>
            <w:tcW w:w="4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2924" w:type="pct"/>
            <w:gridSpan w:val="4"/>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3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76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地下水环境</w:t>
            </w:r>
          </w:p>
        </w:tc>
        <w:tc>
          <w:tcPr>
            <w:tcW w:w="4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2924" w:type="pct"/>
            <w:gridSpan w:val="4"/>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地下水水质</w:t>
            </w:r>
          </w:p>
        </w:tc>
        <w:tc>
          <w:tcPr>
            <w:tcW w:w="3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III类</w:t>
            </w:r>
          </w:p>
        </w:tc>
        <w:tc>
          <w:tcPr>
            <w:tcW w:w="76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6km</w:t>
            </w:r>
            <w:r>
              <w:rPr>
                <w:rFonts w:hint="eastAsia" w:ascii="Times New Roman" w:hAnsi="Times New Roman" w:eastAsia="宋体" w:cs="Times New Roman"/>
                <w:color w:val="auto"/>
                <w:sz w:val="21"/>
                <w:szCs w:val="21"/>
                <w:vertAlign w:val="superscript"/>
                <w:lang w:val="en-US" w:eastAsia="zh-CN"/>
              </w:rPr>
              <w:t>2</w:t>
            </w:r>
            <w:r>
              <w:rPr>
                <w:rFonts w:hint="eastAsia" w:ascii="Times New Roman" w:hAnsi="Times New Roman" w:eastAsia="宋体" w:cs="Times New Roman"/>
                <w:color w:val="auto"/>
                <w:sz w:val="21"/>
                <w:szCs w:val="21"/>
                <w:vertAlign w:val="baseline"/>
                <w:lang w:val="en-US" w:eastAsia="zh-CN"/>
              </w:rPr>
              <w:t xml:space="preserve"> 评价范围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土壤环境</w:t>
            </w:r>
          </w:p>
        </w:tc>
        <w:tc>
          <w:tcPr>
            <w:tcW w:w="4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荒地</w:t>
            </w:r>
          </w:p>
        </w:tc>
        <w:tc>
          <w:tcPr>
            <w:tcW w:w="2924" w:type="pct"/>
            <w:gridSpan w:val="4"/>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土壤环境</w:t>
            </w:r>
          </w:p>
        </w:tc>
        <w:tc>
          <w:tcPr>
            <w:tcW w:w="3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76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项目及周边200m范围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生态环境</w:t>
            </w:r>
          </w:p>
        </w:tc>
        <w:tc>
          <w:tcPr>
            <w:tcW w:w="4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4079" w:type="pct"/>
            <w:gridSpan w:val="7"/>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eastAsia" w:ascii="Times New Roman" w:hAnsi="Times New Roman" w:eastAsia="宋体" w:cs="Times New Roman"/>
          <w:color w:val="auto"/>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0"/>
        <w:rPr>
          <w:rFonts w:hint="default" w:ascii="Times New Roman" w:hAnsi="Times New Roman" w:eastAsia="宋体" w:cs="Times New Roman"/>
          <w:b/>
          <w:bCs/>
          <w:color w:val="auto"/>
          <w:sz w:val="32"/>
          <w:szCs w:val="32"/>
          <w:lang w:val="en-US" w:eastAsia="zh-CN"/>
        </w:rPr>
      </w:pPr>
      <w:bookmarkStart w:id="12" w:name="_Toc7646"/>
      <w:r>
        <w:rPr>
          <w:rFonts w:hint="eastAsia" w:ascii="Times New Roman" w:hAnsi="Times New Roman" w:eastAsia="宋体" w:cs="Times New Roman"/>
          <w:b/>
          <w:bCs/>
          <w:color w:val="auto"/>
          <w:sz w:val="32"/>
          <w:szCs w:val="32"/>
          <w:lang w:val="en-US" w:eastAsia="zh-CN"/>
        </w:rPr>
        <w:t>3 建设项目工程分析</w:t>
      </w:r>
      <w:bookmarkEnd w:id="12"/>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b/>
          <w:bCs/>
          <w:color w:val="auto"/>
          <w:sz w:val="30"/>
          <w:szCs w:val="30"/>
          <w:lang w:val="en-US" w:eastAsia="zh-CN"/>
        </w:rPr>
      </w:pPr>
      <w:bookmarkStart w:id="13" w:name="_Toc19922"/>
      <w:r>
        <w:rPr>
          <w:rFonts w:hint="eastAsia" w:ascii="Times New Roman" w:hAnsi="Times New Roman" w:eastAsia="宋体" w:cs="Times New Roman"/>
          <w:b/>
          <w:bCs/>
          <w:color w:val="auto"/>
          <w:sz w:val="30"/>
          <w:szCs w:val="30"/>
          <w:lang w:val="en-US" w:eastAsia="zh-CN"/>
        </w:rPr>
        <w:t>3.1 现有工程回顾性调查</w:t>
      </w:r>
      <w:bookmarkEnd w:id="13"/>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3.1.1 现有工程基本情况</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呼图壁县宏安化工有限公司成立于 2011年 3 月 7 日，注册地为新疆昌吉州呼图壁县五工台镇工业园精细化工产业区；2017 年 5 月 7 日呼图壁县宏安化工有限公司更名为新疆嘉宏生物科技有限公司。</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呼图壁县宏安化工有限公司于 2011 年委托新疆环境保护科学研究院编制完成了《呼图壁宏安化工有限公司年加工 15 万吨煤焦油项目环境影响报告书》，于 2012 年 6 月 27 日取得了原新疆维吾尔自治区环境保护厅的环境影响评价批复文件，文件名称为《关于呼图壁宏安化工有限公司年加工15万吨煤焦油项目环境影响报告书的批复》（新环评价函〔2012〕641号）。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呼图壁宏安化工有限公司年加工 15 万吨煤焦油项目于 2013 年建设，2017年建设完成，2018 年对该项目的建设开展竣工环境保护验收工作。</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呼图壁县宏安化工有限公司年加工 15 万吨煤焦油项目已于 2018 年建成运行了 1 年，由于《呼图壁工业园区总体规划》进行了修编，现有工程与《呼图壁工业园区总体规划》发展规划不相符，企业已拆除现有工程所有生产设施，只保留了 6 座储罐，容积分别为</w:t>
      </w:r>
      <w:r>
        <w:rPr>
          <w:rFonts w:hint="eastAsia" w:ascii="Times New Roman" w:hAnsi="Times New Roman" w:eastAsia="宋体" w:cs="Times New Roman"/>
          <w:color w:val="auto"/>
          <w:sz w:val="24"/>
          <w:szCs w:val="24"/>
          <w:vertAlign w:val="baseline"/>
          <w:lang w:val="en-US" w:eastAsia="zh-CN"/>
        </w:rPr>
        <w:t>2个1500m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储罐、3个1000m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储罐及1个500m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w:t>
      </w:r>
      <w:r>
        <w:rPr>
          <w:rFonts w:hint="eastAsia" w:ascii="Times New Roman" w:hAnsi="Times New Roman" w:eastAsia="宋体" w:cs="Times New Roman"/>
          <w:color w:val="auto"/>
          <w:sz w:val="24"/>
          <w:szCs w:val="24"/>
          <w:lang w:val="en-US" w:eastAsia="zh-CN"/>
        </w:rPr>
        <w:t>1 座容积为 400m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 xml:space="preserve"> 的事故应急池及 1 座容积为 900m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 xml:space="preserve"> 的消防水池。 </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3.1.2 现有工程工程概况</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3.1.2.1 现有工程建设规模、产品方案及产品标准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根据现场核查，现有工程已拆除。</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（1）现有工程建设规模</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年加工 15 万吨煤焦油生产线一条。</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（2）原料及产品方案</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现有工程加工原料为低温煤焦油，产品为煤焦油分离出的轻油和重油。现有工程规模为年加工无水煤焦油 15 万吨，由于目前焦化企业煤焦油产品中含水率基本控制在 3%-4%，现有工程实际加工能力为年加工含水煤焦油 156250t。年生产轻油燃料 46935t，重油燃料 102836t。</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3.1.2.2 现有工程建设内容</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现有工程建设年加工 15 万吨煤焦油生产线一条，主要建设内容报告主体工程、公用工程、辅助工程、储运工程以及环保工程等。项目组成见下表 3.1.2-1。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3.1.2-1   项目组成一览表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1146"/>
        <w:gridCol w:w="5853"/>
        <w:gridCol w:w="8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项目</w:t>
            </w: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装置名称</w:t>
            </w:r>
          </w:p>
        </w:tc>
        <w:tc>
          <w:tcPr>
            <w:tcW w:w="34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建设规模</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主体工程</w:t>
            </w: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精馏塔</w:t>
            </w:r>
          </w:p>
        </w:tc>
        <w:tc>
          <w:tcPr>
            <w:tcW w:w="34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年加工无水煤焦油15万吨，抗腐蚀低碳合金钢材质</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管式炉</w:t>
            </w:r>
          </w:p>
        </w:tc>
        <w:tc>
          <w:tcPr>
            <w:tcW w:w="34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热负荷为4MW的辐射-对流型圆筒炉，燃料为煤制气炉产生的煤气，消耗量2500m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/h</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煤制气炉</w:t>
            </w:r>
          </w:p>
        </w:tc>
        <w:tc>
          <w:tcPr>
            <w:tcW w:w="34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两段式煤气发生炉一套，型号为CG3Q2.0-1，煤气产量2500m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/h，耗煤量750kg/h</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导热油炉</w:t>
            </w:r>
          </w:p>
        </w:tc>
        <w:tc>
          <w:tcPr>
            <w:tcW w:w="34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额定功率1900kW，型号为YLW-1900MA，供热量160×10</w:t>
            </w:r>
            <w:r>
              <w:rPr>
                <w:rFonts w:hint="eastAsia" w:ascii="Times New Roman" w:hAnsi="Times New Roman" w:eastAsia="宋体" w:cs="Times New Roman"/>
                <w:color w:val="auto"/>
                <w:sz w:val="21"/>
                <w:szCs w:val="21"/>
                <w:vertAlign w:val="superscript"/>
                <w:lang w:val="en-US" w:eastAsia="zh-CN"/>
              </w:rPr>
              <w:t>4</w:t>
            </w:r>
            <w:r>
              <w:rPr>
                <w:rFonts w:hint="eastAsia" w:ascii="Times New Roman" w:hAnsi="Times New Roman" w:eastAsia="宋体" w:cs="Times New Roman"/>
                <w:color w:val="auto"/>
                <w:sz w:val="21"/>
                <w:szCs w:val="21"/>
                <w:vertAlign w:val="baseline"/>
                <w:lang w:val="en-US" w:eastAsia="zh-CN"/>
              </w:rPr>
              <w:t>kcal/h，耗煤量360kg/h</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辅助工程</w:t>
            </w: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仪表检测</w:t>
            </w:r>
          </w:p>
        </w:tc>
        <w:tc>
          <w:tcPr>
            <w:tcW w:w="34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采用DCS显示和控制，其他参数就地显示</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空气压缩</w:t>
            </w:r>
          </w:p>
        </w:tc>
        <w:tc>
          <w:tcPr>
            <w:tcW w:w="34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0.6Nm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/min中压空气压缩机一台，年产压缩空气285120m</w:t>
            </w:r>
            <w:r>
              <w:rPr>
                <w:rFonts w:hint="eastAsia" w:ascii="Times New Roman" w:hAnsi="Times New Roman" w:eastAsia="宋体" w:cs="Times New Roman"/>
                <w:color w:val="auto"/>
                <w:sz w:val="21"/>
                <w:szCs w:val="21"/>
                <w:vertAlign w:val="superscript"/>
                <w:lang w:val="en-US" w:eastAsia="zh-CN"/>
              </w:rPr>
              <w:t>3</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中央化验室</w:t>
            </w:r>
          </w:p>
        </w:tc>
        <w:tc>
          <w:tcPr>
            <w:tcW w:w="34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负责全厂进出原料、燃料、成品、半成品的分析及生产过程的中间控制、环保安全监测工作，环境监测装置水平及化学分析为主，配置必要的仪器</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维修检修</w:t>
            </w:r>
          </w:p>
        </w:tc>
        <w:tc>
          <w:tcPr>
            <w:tcW w:w="34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不考虑较大型设备的加工修理，只在辅助用房内建一个小型的维修间及设专职维修人员负责生产设备的维修保养，电焊、台钻等设备，作为应急性事故检修</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办公及生活设施</w:t>
            </w:r>
          </w:p>
        </w:tc>
        <w:tc>
          <w:tcPr>
            <w:tcW w:w="34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办公楼、食堂以及职工宿舍</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储运工程</w:t>
            </w: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原料油罐</w:t>
            </w:r>
          </w:p>
        </w:tc>
        <w:tc>
          <w:tcPr>
            <w:tcW w:w="34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2×1500m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原料煤焦油罐</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产品油罐</w:t>
            </w:r>
          </w:p>
        </w:tc>
        <w:tc>
          <w:tcPr>
            <w:tcW w:w="34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3×1000m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，1×500m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的产品油罐</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煤堆场</w:t>
            </w:r>
          </w:p>
        </w:tc>
        <w:tc>
          <w:tcPr>
            <w:tcW w:w="34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干煤棚储存，地面硬化处理</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公用工程</w:t>
            </w: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供水</w:t>
            </w:r>
          </w:p>
        </w:tc>
        <w:tc>
          <w:tcPr>
            <w:tcW w:w="34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来自园区供水系统</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排水</w:t>
            </w:r>
          </w:p>
        </w:tc>
        <w:tc>
          <w:tcPr>
            <w:tcW w:w="34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清洁下水直接排放，生产废水和生活污水厂内处理后用于绿化</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供电</w:t>
            </w:r>
          </w:p>
        </w:tc>
        <w:tc>
          <w:tcPr>
            <w:tcW w:w="34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由园区10kV电网供应</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蒸汽</w:t>
            </w:r>
          </w:p>
        </w:tc>
        <w:tc>
          <w:tcPr>
            <w:tcW w:w="34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1台DZL2-1.25-AII型燃煤蒸汽锅炉，耗煤量330kg/h</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循环水</w:t>
            </w:r>
          </w:p>
        </w:tc>
        <w:tc>
          <w:tcPr>
            <w:tcW w:w="34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设置冷却塔和循环水池，定时补充新水</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除盐水</w:t>
            </w:r>
          </w:p>
        </w:tc>
        <w:tc>
          <w:tcPr>
            <w:tcW w:w="34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自动切换钠离子交换器</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采暖</w:t>
            </w:r>
          </w:p>
        </w:tc>
        <w:tc>
          <w:tcPr>
            <w:tcW w:w="34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由厂区循环水换热后供应</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环保工程</w:t>
            </w: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污水处理站</w:t>
            </w:r>
          </w:p>
        </w:tc>
        <w:tc>
          <w:tcPr>
            <w:tcW w:w="34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/d，采用“预处理+生化处理+后混凝处理+污泥处理”的工艺</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烟气处理</w:t>
            </w:r>
          </w:p>
        </w:tc>
        <w:tc>
          <w:tcPr>
            <w:tcW w:w="34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蒸汽锅炉、导热油炉烟气采用XD-2型高效旋风除尘器处理，煤制气炉产生的烟尘由自带的旋风除尘器收集，所有废气均能达标排放</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噪声治理</w:t>
            </w:r>
          </w:p>
        </w:tc>
        <w:tc>
          <w:tcPr>
            <w:tcW w:w="34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采用低噪声设备、减振、隔声等措施治理，实现厂界达标</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8"/>
          <w:szCs w:val="28"/>
          <w:lang w:val="en-US" w:eastAsia="zh-CN"/>
        </w:rPr>
      </w:pPr>
      <w:r>
        <w:rPr>
          <w:rFonts w:hint="eastAsia" w:ascii="Times New Roman" w:hAnsi="Times New Roman" w:eastAsia="宋体" w:cs="Times New Roman"/>
          <w:b/>
          <w:bCs/>
          <w:color w:val="auto"/>
          <w:sz w:val="28"/>
          <w:szCs w:val="28"/>
          <w:lang w:val="en-US" w:eastAsia="zh-CN"/>
        </w:rPr>
        <w:t>3.1.3 现有工程原辅材料消耗</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现有工程所需的原辅材料消耗情况见下表。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3.1.3-1   现有工程原辅材料消耗情况一览表</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6"/>
        <w:gridCol w:w="1585"/>
        <w:gridCol w:w="796"/>
        <w:gridCol w:w="1125"/>
        <w:gridCol w:w="42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序号</w:t>
            </w:r>
          </w:p>
        </w:tc>
        <w:tc>
          <w:tcPr>
            <w:tcW w:w="9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名称</w:t>
            </w:r>
          </w:p>
        </w:tc>
        <w:tc>
          <w:tcPr>
            <w:tcW w:w="4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单位</w:t>
            </w:r>
          </w:p>
        </w:tc>
        <w:tc>
          <w:tcPr>
            <w:tcW w:w="6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消耗量</w:t>
            </w:r>
          </w:p>
        </w:tc>
        <w:tc>
          <w:tcPr>
            <w:tcW w:w="247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9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含水煤焦油</w:t>
            </w:r>
          </w:p>
        </w:tc>
        <w:tc>
          <w:tcPr>
            <w:tcW w:w="4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t/a</w:t>
            </w:r>
          </w:p>
        </w:tc>
        <w:tc>
          <w:tcPr>
            <w:tcW w:w="6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156250</w:t>
            </w:r>
          </w:p>
        </w:tc>
        <w:tc>
          <w:tcPr>
            <w:tcW w:w="247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由疆内半焦（兰炭）加工企业提供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9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燃料煤</w:t>
            </w:r>
          </w:p>
        </w:tc>
        <w:tc>
          <w:tcPr>
            <w:tcW w:w="4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t/a</w:t>
            </w:r>
          </w:p>
        </w:tc>
        <w:tc>
          <w:tcPr>
            <w:tcW w:w="6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10216.8</w:t>
            </w:r>
          </w:p>
        </w:tc>
        <w:tc>
          <w:tcPr>
            <w:tcW w:w="247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由呼图壁县红三沟煤矿提供</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8"/>
          <w:szCs w:val="28"/>
          <w:lang w:val="en-US" w:eastAsia="zh-CN"/>
        </w:rPr>
      </w:pPr>
      <w:r>
        <w:rPr>
          <w:rFonts w:hint="eastAsia" w:ascii="Times New Roman" w:hAnsi="Times New Roman" w:eastAsia="宋体" w:cs="Times New Roman"/>
          <w:b/>
          <w:bCs/>
          <w:color w:val="auto"/>
          <w:sz w:val="28"/>
          <w:szCs w:val="28"/>
          <w:lang w:val="en-US" w:eastAsia="zh-CN"/>
        </w:rPr>
        <w:t>3.1.4 现有工程主要设备</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现有工程加工原料为低温煤焦油，采用管式炉加热式常压蒸馏工艺，现有工程主要生产设备见表。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3.1.4-1    现有工程主要生产设备一览表</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
        <w:gridCol w:w="1715"/>
        <w:gridCol w:w="3368"/>
        <w:gridCol w:w="1430"/>
        <w:gridCol w:w="1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序号</w:t>
            </w:r>
          </w:p>
        </w:tc>
        <w:tc>
          <w:tcPr>
            <w:tcW w:w="100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设备名称</w:t>
            </w:r>
          </w:p>
        </w:tc>
        <w:tc>
          <w:tcPr>
            <w:tcW w:w="19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设备型号</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台（座）</w:t>
            </w: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100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蒸汽锅炉</w:t>
            </w:r>
          </w:p>
        </w:tc>
        <w:tc>
          <w:tcPr>
            <w:tcW w:w="19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2t/h</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100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导热油炉</w:t>
            </w:r>
          </w:p>
        </w:tc>
        <w:tc>
          <w:tcPr>
            <w:tcW w:w="19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1900kW</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100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空压机</w:t>
            </w:r>
          </w:p>
        </w:tc>
        <w:tc>
          <w:tcPr>
            <w:tcW w:w="19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10Nm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/min离心式</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100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柴油发电机</w:t>
            </w:r>
          </w:p>
        </w:tc>
        <w:tc>
          <w:tcPr>
            <w:tcW w:w="19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50kW</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w:t>
            </w:r>
          </w:p>
        </w:tc>
        <w:tc>
          <w:tcPr>
            <w:tcW w:w="100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油罐</w:t>
            </w:r>
          </w:p>
        </w:tc>
        <w:tc>
          <w:tcPr>
            <w:tcW w:w="19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1500m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，1000m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，500m</w:t>
            </w:r>
            <w:r>
              <w:rPr>
                <w:rFonts w:hint="eastAsia" w:ascii="Times New Roman" w:hAnsi="Times New Roman" w:eastAsia="宋体" w:cs="Times New Roman"/>
                <w:color w:val="auto"/>
                <w:sz w:val="21"/>
                <w:szCs w:val="21"/>
                <w:vertAlign w:val="superscript"/>
                <w:lang w:val="en-US" w:eastAsia="zh-CN"/>
              </w:rPr>
              <w:t>3</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w:t>
            </w: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w:t>
            </w:r>
          </w:p>
        </w:tc>
        <w:tc>
          <w:tcPr>
            <w:tcW w:w="100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煤制气炉</w:t>
            </w:r>
          </w:p>
        </w:tc>
        <w:tc>
          <w:tcPr>
            <w:tcW w:w="19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Φ</w:t>
            </w:r>
            <w:r>
              <w:rPr>
                <w:rFonts w:hint="eastAsia" w:ascii="Times New Roman" w:hAnsi="Times New Roman" w:eastAsia="宋体" w:cs="Times New Roman"/>
                <w:color w:val="auto"/>
                <w:sz w:val="21"/>
                <w:szCs w:val="21"/>
                <w:vertAlign w:val="baseline"/>
                <w:lang w:val="en-US" w:eastAsia="zh-CN"/>
              </w:rPr>
              <w:t>=2000mm</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w:t>
            </w:r>
          </w:p>
        </w:tc>
        <w:tc>
          <w:tcPr>
            <w:tcW w:w="100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管式炉</w:t>
            </w:r>
          </w:p>
        </w:tc>
        <w:tc>
          <w:tcPr>
            <w:tcW w:w="19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4MW</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w:t>
            </w:r>
          </w:p>
        </w:tc>
        <w:tc>
          <w:tcPr>
            <w:tcW w:w="100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分离塔</w:t>
            </w:r>
          </w:p>
        </w:tc>
        <w:tc>
          <w:tcPr>
            <w:tcW w:w="19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w:t>
            </w:r>
          </w:p>
        </w:tc>
        <w:tc>
          <w:tcPr>
            <w:tcW w:w="100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换热器</w:t>
            </w:r>
          </w:p>
        </w:tc>
        <w:tc>
          <w:tcPr>
            <w:tcW w:w="19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w:t>
            </w: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w:t>
            </w:r>
          </w:p>
        </w:tc>
        <w:tc>
          <w:tcPr>
            <w:tcW w:w="100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机泵</w:t>
            </w:r>
          </w:p>
        </w:tc>
        <w:tc>
          <w:tcPr>
            <w:tcW w:w="19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w:t>
            </w: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w:t>
            </w:r>
          </w:p>
        </w:tc>
        <w:tc>
          <w:tcPr>
            <w:tcW w:w="100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地磅</w:t>
            </w:r>
          </w:p>
        </w:tc>
        <w:tc>
          <w:tcPr>
            <w:tcW w:w="19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80T</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6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已拆除</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3.1.5 现有工程污染源及环保措施</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3.1.5.1 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现有工程有组织废气排放源包括蒸汽锅炉燃煤烟气、导热油炉燃煤烟气和管式炉煤气燃烧烟气。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现有工程已拆除，现有工程产生的废气对环境的影响也随之结束。</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3.1.5.2 废水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现有工程产生的废水包括生产废水和生活污水。现有工程已拆除，现有工程产生的废水对环境的影响也随之结束。</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3.1.5.3 固体废物</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现有工程产生的固体废弃物主要包括：燃煤产生的灰渣、煤焦油预处理时产生的油泥、隔油池产生的浮渣、污水处理站产生的污泥和生活垃圾等。</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现有工程已拆除停产，不产生固体废物，经现场核查，项目现有工程无遗留的固体废物堆放。</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3.1.6 现有工程污染物排放统计</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现有工程已拆除，现场无污染物排放。根据现有工程环评批复，现有工程污染物批复总量指标为 SO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：40.4t/a，NOx：23.4t/a，COD：2.25t/a，NH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-N：0.22t/a。</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3.1.7 现有工程存在的环境问题及“以新带老”措施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呼图壁县宏安化工有限公司年加工15万吨煤焦油项目已于2018年建成运行了1年，由于《呼图壁工业园区总体规划》进行了修编，现有工程与《呼图壁工业园区总体规划》发展规划不相符，企业已拆除现有工程所有生产设施，只保留了 6 座储罐，容积分别为</w:t>
      </w:r>
      <w:r>
        <w:rPr>
          <w:rFonts w:hint="eastAsia" w:ascii="Times New Roman" w:hAnsi="Times New Roman" w:eastAsia="宋体" w:cs="Times New Roman"/>
          <w:color w:val="auto"/>
          <w:sz w:val="24"/>
          <w:szCs w:val="24"/>
          <w:vertAlign w:val="baseline"/>
          <w:lang w:val="en-US" w:eastAsia="zh-CN"/>
        </w:rPr>
        <w:t>2个1500m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储罐、3个1000m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储罐及1个500m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w:t>
      </w:r>
      <w:r>
        <w:rPr>
          <w:rFonts w:hint="eastAsia" w:ascii="Times New Roman" w:hAnsi="Times New Roman" w:eastAsia="宋体" w:cs="Times New Roman"/>
          <w:color w:val="auto"/>
          <w:sz w:val="24"/>
          <w:szCs w:val="24"/>
          <w:lang w:val="en-US" w:eastAsia="zh-CN"/>
        </w:rPr>
        <w:t>1 座容积为 400m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 xml:space="preserve"> 的事故应急池及 1 座容积为 900m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 xml:space="preserve"> 的消防水池。</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现有工程已拆除，项目不涉及土地使用权变更，本次评价期间，对项目区及周边土壤现场进行监测，根据监测结果，项目区土壤环境满足</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根据现场调查，现有工程存在的环境问题及“以新带老”措施：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（1）拟建项目依托现有工程保留的 6 座储罐、事故应急池及消防水池，储罐原先储存的为煤焦油，本次储存酸化油等，需对原储罐进行清洗，并检查保留的设施是否存在“跑、冒、滴、漏”情况。</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b/>
          <w:bCs/>
          <w:color w:val="auto"/>
          <w:sz w:val="30"/>
          <w:szCs w:val="30"/>
          <w:lang w:val="en-US" w:eastAsia="zh-CN"/>
        </w:rPr>
      </w:pPr>
      <w:bookmarkStart w:id="14" w:name="_Toc19037"/>
      <w:r>
        <w:rPr>
          <w:rFonts w:hint="eastAsia" w:ascii="Times New Roman" w:hAnsi="Times New Roman" w:eastAsia="宋体" w:cs="Times New Roman"/>
          <w:b/>
          <w:bCs/>
          <w:color w:val="auto"/>
          <w:sz w:val="30"/>
          <w:szCs w:val="30"/>
          <w:lang w:val="en-US" w:eastAsia="zh-CN"/>
        </w:rPr>
        <w:t>3.2 本项目概况</w:t>
      </w:r>
      <w:bookmarkEnd w:id="14"/>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8"/>
          <w:szCs w:val="28"/>
          <w:lang w:val="en-US" w:eastAsia="zh-CN"/>
        </w:rPr>
      </w:pPr>
      <w:r>
        <w:rPr>
          <w:rFonts w:hint="eastAsia" w:ascii="Times New Roman" w:hAnsi="Times New Roman" w:eastAsia="宋体" w:cs="Times New Roman"/>
          <w:b/>
          <w:bCs/>
          <w:color w:val="auto"/>
          <w:sz w:val="28"/>
          <w:szCs w:val="28"/>
          <w:lang w:val="en-US" w:eastAsia="zh-CN"/>
        </w:rPr>
        <w:t>3.2.1 项目基本情况</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（1）项目名称：</w:t>
      </w:r>
      <w:r>
        <w:rPr>
          <w:rFonts w:hint="eastAsia" w:ascii="Times New Roman" w:hAnsi="Times New Roman" w:eastAsia="宋体" w:cs="Times New Roman"/>
          <w:color w:val="auto"/>
          <w:sz w:val="24"/>
          <w:szCs w:val="24"/>
          <w:lang w:val="en-US" w:eastAsia="zh-CN"/>
        </w:rPr>
        <w:t>新疆嘉宏生物科技有限公司废弃动植物油脂等资源循环再利用项目；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（2）建设单位：</w:t>
      </w:r>
      <w:r>
        <w:rPr>
          <w:rFonts w:hint="eastAsia" w:ascii="Times New Roman" w:hAnsi="Times New Roman" w:eastAsia="宋体" w:cs="Times New Roman"/>
          <w:color w:val="auto"/>
          <w:sz w:val="24"/>
          <w:szCs w:val="24"/>
          <w:lang w:val="en-US" w:eastAsia="zh-CN"/>
        </w:rPr>
        <w:t>新疆嘉宏生物科技有限公司；</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（3）建设性质：新建</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（4）建设规模：拟建生物有机肥生产线</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套、水溶肥生产</w:t>
      </w:r>
      <w:r>
        <w:rPr>
          <w:rFonts w:hint="eastAsia" w:ascii="Times New Roman" w:hAnsi="Times New Roman" w:eastAsia="宋体" w:cs="Times New Roman"/>
          <w:color w:val="auto"/>
          <w:sz w:val="24"/>
          <w:szCs w:val="24"/>
          <w:lang w:val="en-US" w:eastAsia="zh-CN"/>
        </w:rPr>
        <w:t xml:space="preserve">线 </w:t>
      </w:r>
      <w:r>
        <w:rPr>
          <w:rFonts w:hint="default"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套</w:t>
      </w:r>
      <w:r>
        <w:rPr>
          <w:rFonts w:hint="eastAsia"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highlight w:val="none"/>
          <w:lang w:val="en-US" w:eastAsia="zh-CN"/>
        </w:rPr>
        <w:t>生物燃料</w:t>
      </w:r>
      <w:r>
        <w:rPr>
          <w:rFonts w:hint="default" w:ascii="Times New Roman" w:hAnsi="Times New Roman" w:eastAsia="宋体" w:cs="Times New Roman"/>
          <w:color w:val="auto"/>
          <w:sz w:val="24"/>
          <w:szCs w:val="24"/>
          <w:lang w:val="en-US" w:eastAsia="zh-CN"/>
        </w:rPr>
        <w:t>生产线</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套及饲料油、磷脂油加工生产线</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套，新建封闭式钢结构厂房</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2座，其中：有机肥、</w:t>
      </w:r>
      <w:r>
        <w:rPr>
          <w:rFonts w:hint="eastAsia" w:ascii="Times New Roman" w:hAnsi="Times New Roman" w:eastAsia="宋体" w:cs="Times New Roman"/>
          <w:color w:val="auto"/>
          <w:sz w:val="24"/>
          <w:szCs w:val="24"/>
          <w:lang w:val="en-US" w:eastAsia="zh-CN"/>
        </w:rPr>
        <w:t>水溶肥</w:t>
      </w:r>
      <w:r>
        <w:rPr>
          <w:rFonts w:hint="default" w:ascii="Times New Roman" w:hAnsi="Times New Roman" w:eastAsia="宋体" w:cs="Times New Roman"/>
          <w:color w:val="auto"/>
          <w:sz w:val="24"/>
          <w:szCs w:val="24"/>
          <w:lang w:val="en-US" w:eastAsia="zh-CN"/>
        </w:rPr>
        <w:t>加工车间总面积为3000</w:t>
      </w:r>
      <w:r>
        <w:rPr>
          <w:rFonts w:hint="eastAsia" w:ascii="Times New Roman" w:hAnsi="Times New Roman" w:eastAsia="宋体" w:cs="Times New Roman"/>
          <w:color w:val="auto"/>
          <w:sz w:val="24"/>
          <w:szCs w:val="24"/>
          <w:lang w:val="en-US" w:eastAsia="zh-CN"/>
        </w:rPr>
        <w:t>m</w:t>
      </w:r>
      <w:r>
        <w:rPr>
          <w:rFonts w:hint="eastAsia"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lang w:val="en-US" w:eastAsia="zh-CN"/>
        </w:rPr>
        <w:t>。油脂加工车间总面积为2000</w:t>
      </w:r>
      <w:r>
        <w:rPr>
          <w:rFonts w:hint="eastAsia" w:ascii="Times New Roman" w:hAnsi="Times New Roman" w:eastAsia="宋体" w:cs="Times New Roman"/>
          <w:color w:val="auto"/>
          <w:sz w:val="24"/>
          <w:szCs w:val="24"/>
          <w:lang w:val="en-US" w:eastAsia="zh-CN"/>
        </w:rPr>
        <w:t>m</w:t>
      </w:r>
      <w:r>
        <w:rPr>
          <w:rFonts w:hint="eastAsia"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lang w:val="en-US" w:eastAsia="zh-CN"/>
        </w:rPr>
        <w:t>，及配套附属设施建设</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（5）建设地点：项目厂址位于新疆维吾尔自治区昌吉州</w:t>
      </w:r>
      <w:r>
        <w:rPr>
          <w:rFonts w:hint="eastAsia" w:ascii="Times New Roman" w:hAnsi="Times New Roman" w:eastAsia="宋体" w:cs="Times New Roman"/>
          <w:color w:val="auto"/>
          <w:sz w:val="24"/>
          <w:szCs w:val="24"/>
          <w:lang w:val="en-US" w:eastAsia="zh-CN"/>
        </w:rPr>
        <w:t>呼图壁工业园西区内</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厂址东侧为呼图壁县安泰水泥有限责任公司，南侧紧邻爱特路，西侧紧邻园区道路，北侧为新疆助农丰节水管材有限责任公司，</w:t>
      </w:r>
      <w:r>
        <w:rPr>
          <w:rFonts w:hint="default" w:ascii="Times New Roman" w:hAnsi="Times New Roman" w:eastAsia="宋体" w:cs="Times New Roman"/>
          <w:color w:val="auto"/>
          <w:sz w:val="24"/>
          <w:szCs w:val="24"/>
          <w:lang w:val="en-US" w:eastAsia="zh-CN"/>
        </w:rPr>
        <w:t>厂址中心地理坐标为：E86°35'13.264"，N44°16'43.095</w:t>
      </w:r>
      <w:r>
        <w:rPr>
          <w:rFonts w:hint="eastAsia" w:ascii="Times New Roman" w:hAnsi="Times New Roman" w:eastAsia="宋体" w:cs="Times New Roman"/>
          <w:color w:val="auto"/>
          <w:sz w:val="24"/>
          <w:szCs w:val="24"/>
          <w:lang w:val="en-US" w:eastAsia="zh-CN"/>
        </w:rPr>
        <w:t>，拟建项目地理位置图见</w:t>
      </w:r>
      <w:r>
        <w:rPr>
          <w:rFonts w:hint="eastAsia" w:ascii="Times New Roman" w:hAnsi="Times New Roman" w:eastAsia="宋体" w:cs="Times New Roman"/>
          <w:b/>
          <w:bCs/>
          <w:color w:val="auto"/>
          <w:sz w:val="24"/>
          <w:szCs w:val="24"/>
          <w:lang w:val="en-US" w:eastAsia="zh-CN"/>
        </w:rPr>
        <w:t>附图 3.2-1；</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（6）占地面积：</w:t>
      </w:r>
      <w:r>
        <w:rPr>
          <w:rFonts w:hint="eastAsia" w:ascii="Times New Roman" w:hAnsi="Times New Roman" w:eastAsia="宋体" w:cs="Times New Roman"/>
          <w:color w:val="auto"/>
          <w:sz w:val="24"/>
          <w:szCs w:val="24"/>
          <w:lang w:val="en-US" w:eastAsia="zh-CN"/>
        </w:rPr>
        <w:t>28000</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vertAlign w:val="baseline"/>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（7）项目投资：总投资 </w:t>
      </w:r>
      <w:r>
        <w:rPr>
          <w:rFonts w:hint="eastAsia" w:ascii="Times New Roman" w:hAnsi="Times New Roman" w:eastAsia="宋体" w:cs="Times New Roman"/>
          <w:color w:val="auto"/>
          <w:sz w:val="24"/>
          <w:szCs w:val="24"/>
          <w:lang w:val="en-US" w:eastAsia="zh-CN"/>
        </w:rPr>
        <w:t>2000</w:t>
      </w:r>
      <w:r>
        <w:rPr>
          <w:rFonts w:hint="default" w:ascii="Times New Roman" w:hAnsi="Times New Roman" w:eastAsia="宋体" w:cs="Times New Roman"/>
          <w:color w:val="auto"/>
          <w:sz w:val="24"/>
          <w:szCs w:val="24"/>
          <w:lang w:val="en-US" w:eastAsia="zh-CN"/>
        </w:rPr>
        <w:t xml:space="preserve"> 万元</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（8）工作制度：项目生产车间作业人员实行四班三倒制，全年运行 </w:t>
      </w:r>
      <w:r>
        <w:rPr>
          <w:rFonts w:hint="eastAsia" w:ascii="Times New Roman" w:hAnsi="Times New Roman" w:eastAsia="宋体" w:cs="Times New Roman"/>
          <w:color w:val="auto"/>
          <w:sz w:val="24"/>
          <w:szCs w:val="24"/>
          <w:lang w:val="en-US" w:eastAsia="zh-CN"/>
        </w:rPr>
        <w:t>240</w:t>
      </w:r>
      <w:r>
        <w:rPr>
          <w:rFonts w:hint="default" w:ascii="Times New Roman" w:hAnsi="Times New Roman" w:eastAsia="宋体" w:cs="Times New Roman"/>
          <w:color w:val="auto"/>
          <w:sz w:val="24"/>
          <w:szCs w:val="24"/>
          <w:lang w:val="en-US" w:eastAsia="zh-CN"/>
        </w:rPr>
        <w:t xml:space="preserve"> 天，年运行时间 </w:t>
      </w:r>
      <w:r>
        <w:rPr>
          <w:rFonts w:hint="eastAsia" w:ascii="Times New Roman" w:hAnsi="Times New Roman" w:eastAsia="宋体" w:cs="Times New Roman"/>
          <w:color w:val="auto"/>
          <w:sz w:val="24"/>
          <w:szCs w:val="24"/>
          <w:lang w:val="en-US" w:eastAsia="zh-CN"/>
        </w:rPr>
        <w:t>5760</w:t>
      </w:r>
      <w:r>
        <w:rPr>
          <w:rFonts w:hint="default" w:ascii="Times New Roman" w:hAnsi="Times New Roman" w:eastAsia="宋体" w:cs="Times New Roman"/>
          <w:color w:val="auto"/>
          <w:sz w:val="24"/>
          <w:szCs w:val="24"/>
          <w:lang w:val="en-US" w:eastAsia="zh-CN"/>
        </w:rPr>
        <w:t xml:space="preserve"> 小时</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（9）劳动定员：30 人，厂内设食宿</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（10）施工</w:t>
      </w:r>
      <w:r>
        <w:rPr>
          <w:rFonts w:hint="eastAsia" w:ascii="Times New Roman" w:hAnsi="Times New Roman" w:eastAsia="宋体" w:cs="Times New Roman"/>
          <w:color w:val="auto"/>
          <w:sz w:val="24"/>
          <w:szCs w:val="24"/>
          <w:lang w:val="en-US" w:eastAsia="zh-CN"/>
        </w:rPr>
        <w:t>周期</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22个月</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3.2.2 工程组成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本项目主要建设工程组成详见表 3.2.2-1。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3.2.2-1    本项目主要建设工程组成一览表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5"/>
        <w:gridCol w:w="1267"/>
        <w:gridCol w:w="5771"/>
        <w:gridCol w:w="7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工程类型</w:t>
            </w:r>
          </w:p>
        </w:tc>
        <w:tc>
          <w:tcPr>
            <w:tcW w:w="7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工程名称</w:t>
            </w:r>
          </w:p>
        </w:tc>
        <w:tc>
          <w:tcPr>
            <w:tcW w:w="338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主要建设内容</w:t>
            </w:r>
          </w:p>
        </w:tc>
        <w:tc>
          <w:tcPr>
            <w:tcW w:w="4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主体工程</w:t>
            </w:r>
          </w:p>
        </w:tc>
        <w:tc>
          <w:tcPr>
            <w:tcW w:w="7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油脂加工车间</w:t>
            </w:r>
          </w:p>
        </w:tc>
        <w:tc>
          <w:tcPr>
            <w:tcW w:w="338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1栋，钢结构，面积2000m</w:t>
            </w:r>
            <w:r>
              <w:rPr>
                <w:rFonts w:hint="eastAsia" w:ascii="Times New Roman" w:hAnsi="Times New Roman" w:eastAsia="宋体" w:cs="Times New Roman"/>
                <w:color w:val="auto"/>
                <w:sz w:val="21"/>
                <w:szCs w:val="21"/>
                <w:vertAlign w:val="superscript"/>
                <w:lang w:val="en-US" w:eastAsia="zh-CN"/>
              </w:rPr>
              <w:t>2</w:t>
            </w:r>
            <w:r>
              <w:rPr>
                <w:rFonts w:hint="eastAsia" w:ascii="Times New Roman" w:hAnsi="Times New Roman" w:eastAsia="宋体" w:cs="Times New Roman"/>
                <w:color w:val="auto"/>
                <w:sz w:val="21"/>
                <w:szCs w:val="21"/>
                <w:vertAlign w:val="baseline"/>
                <w:lang w:val="en-US" w:eastAsia="zh-CN"/>
              </w:rPr>
              <w:t>，内设饲料油、磷脂油加工生产线1条，饲料油及磷脂油共用1条生产线进行分类生产；生物燃料生产线1条</w:t>
            </w:r>
          </w:p>
        </w:tc>
        <w:tc>
          <w:tcPr>
            <w:tcW w:w="4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有机肥</w:t>
            </w:r>
            <w:r>
              <w:rPr>
                <w:rFonts w:hint="eastAsia" w:ascii="Times New Roman" w:hAnsi="Times New Roman" w:eastAsia="宋体" w:cs="Times New Roman"/>
                <w:color w:val="auto"/>
                <w:sz w:val="21"/>
                <w:szCs w:val="21"/>
                <w:vertAlign w:val="baseline"/>
                <w:lang w:val="en-US" w:eastAsia="zh-CN"/>
              </w:rPr>
              <w:t>、水溶肥加工车间</w:t>
            </w:r>
          </w:p>
        </w:tc>
        <w:tc>
          <w:tcPr>
            <w:tcW w:w="338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1栋，钢结构，面积3000m</w:t>
            </w:r>
            <w:r>
              <w:rPr>
                <w:rFonts w:hint="eastAsia" w:ascii="Times New Roman" w:hAnsi="Times New Roman" w:eastAsia="宋体" w:cs="Times New Roman"/>
                <w:color w:val="auto"/>
                <w:sz w:val="21"/>
                <w:szCs w:val="21"/>
                <w:vertAlign w:val="superscript"/>
                <w:lang w:val="en-US" w:eastAsia="zh-CN"/>
              </w:rPr>
              <w:t>2</w:t>
            </w:r>
            <w:r>
              <w:rPr>
                <w:rFonts w:hint="eastAsia" w:ascii="Times New Roman" w:hAnsi="Times New Roman" w:eastAsia="宋体" w:cs="Times New Roman"/>
                <w:color w:val="auto"/>
                <w:sz w:val="21"/>
                <w:szCs w:val="21"/>
                <w:vertAlign w:val="baseline"/>
                <w:lang w:val="en-US" w:eastAsia="zh-CN"/>
              </w:rPr>
              <w:t>，内设生物有机肥生产线1条，水溶肥生产线一条</w:t>
            </w:r>
          </w:p>
        </w:tc>
        <w:tc>
          <w:tcPr>
            <w:tcW w:w="4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储运工程</w:t>
            </w:r>
          </w:p>
        </w:tc>
        <w:tc>
          <w:tcPr>
            <w:tcW w:w="7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储罐区</w:t>
            </w:r>
          </w:p>
        </w:tc>
        <w:tc>
          <w:tcPr>
            <w:tcW w:w="338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依托原有2个1500m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储罐、3个1000m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储罐及1个500m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储罐，用于储存酸化油</w:t>
            </w:r>
          </w:p>
        </w:tc>
        <w:tc>
          <w:tcPr>
            <w:tcW w:w="4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依托原有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储罐</w:t>
            </w:r>
          </w:p>
        </w:tc>
        <w:tc>
          <w:tcPr>
            <w:tcW w:w="338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储存水溶肥等产品，共6个不锈钢储罐，位于车间内，每个储罐容积61m</w:t>
            </w:r>
            <w:r>
              <w:rPr>
                <w:rFonts w:hint="eastAsia" w:ascii="Times New Roman" w:hAnsi="Times New Roman" w:eastAsia="宋体" w:cs="Times New Roman"/>
                <w:color w:val="auto"/>
                <w:sz w:val="21"/>
                <w:szCs w:val="21"/>
                <w:vertAlign w:val="superscript"/>
                <w:lang w:val="en-US" w:eastAsia="zh-CN"/>
              </w:rPr>
              <w:t>3</w:t>
            </w:r>
          </w:p>
        </w:tc>
        <w:tc>
          <w:tcPr>
            <w:tcW w:w="4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甲醇贮存桶</w:t>
            </w:r>
          </w:p>
        </w:tc>
        <w:tc>
          <w:tcPr>
            <w:tcW w:w="338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甲醇采用专用桶装，一次10个桶，每个桶200kg；</w:t>
            </w:r>
            <w:r>
              <w:rPr>
                <w:rFonts w:hint="eastAsia" w:ascii="Times New Roman" w:hAnsi="Times New Roman" w:eastAsia="宋体" w:cs="Times New Roman"/>
                <w:color w:val="auto"/>
                <w:sz w:val="21"/>
                <w:szCs w:val="21"/>
                <w:vertAlign w:val="baseline"/>
                <w:lang w:val="en-US" w:eastAsia="zh-CN"/>
              </w:rPr>
              <w:t>硫酸</w:t>
            </w:r>
            <w:r>
              <w:rPr>
                <w:rFonts w:hint="default" w:ascii="Times New Roman" w:hAnsi="Times New Roman" w:eastAsia="宋体" w:cs="Times New Roman"/>
                <w:color w:val="auto"/>
                <w:sz w:val="21"/>
                <w:szCs w:val="21"/>
                <w:vertAlign w:val="baseline"/>
                <w:lang w:val="en-US" w:eastAsia="zh-CN"/>
              </w:rPr>
              <w:t>采用专用桶装，一次储存10个桶，每个桶100kg装；氨水采用专用桶装，一次储存10个桶，每个桶400kg装</w:t>
            </w:r>
          </w:p>
        </w:tc>
        <w:tc>
          <w:tcPr>
            <w:tcW w:w="4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冷藏库</w:t>
            </w:r>
          </w:p>
        </w:tc>
        <w:tc>
          <w:tcPr>
            <w:tcW w:w="338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lang w:val="en-US" w:eastAsia="zh-CN"/>
              </w:rPr>
            </w:pPr>
            <w:r>
              <w:rPr>
                <w:rFonts w:hint="eastAsia" w:ascii="Times New Roman" w:hAnsi="Times New Roman" w:eastAsia="宋体" w:cs="Times New Roman"/>
                <w:color w:val="auto"/>
                <w:sz w:val="21"/>
                <w:szCs w:val="21"/>
                <w:vertAlign w:val="baseline"/>
                <w:lang w:val="en-US" w:eastAsia="zh-CN"/>
              </w:rPr>
              <w:t>新建1座20m</w:t>
            </w:r>
            <w:r>
              <w:rPr>
                <w:rFonts w:hint="eastAsia" w:ascii="Times New Roman" w:hAnsi="Times New Roman" w:eastAsia="宋体" w:cs="Times New Roman"/>
                <w:color w:val="auto"/>
                <w:sz w:val="21"/>
                <w:szCs w:val="21"/>
                <w:vertAlign w:val="superscript"/>
                <w:lang w:val="en-US" w:eastAsia="zh-CN"/>
              </w:rPr>
              <w:t>2</w:t>
            </w:r>
            <w:r>
              <w:rPr>
                <w:rFonts w:hint="eastAsia" w:ascii="Times New Roman" w:hAnsi="Times New Roman" w:eastAsia="宋体" w:cs="Times New Roman"/>
                <w:color w:val="auto"/>
                <w:sz w:val="21"/>
                <w:szCs w:val="21"/>
                <w:vertAlign w:val="baseline"/>
                <w:lang w:val="en-US" w:eastAsia="zh-CN"/>
              </w:rPr>
              <w:t>移动式冷藏柜，用于冷藏动物油脂</w:t>
            </w:r>
          </w:p>
        </w:tc>
        <w:tc>
          <w:tcPr>
            <w:tcW w:w="4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配套工程</w:t>
            </w:r>
          </w:p>
        </w:tc>
        <w:tc>
          <w:tcPr>
            <w:tcW w:w="7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办公楼</w:t>
            </w:r>
          </w:p>
        </w:tc>
        <w:tc>
          <w:tcPr>
            <w:tcW w:w="338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1栋，框架结构，建筑面积400m</w:t>
            </w:r>
            <w:r>
              <w:rPr>
                <w:rFonts w:hint="eastAsia" w:ascii="Times New Roman" w:hAnsi="Times New Roman" w:eastAsia="宋体" w:cs="Times New Roman"/>
                <w:color w:val="auto"/>
                <w:sz w:val="21"/>
                <w:szCs w:val="21"/>
                <w:vertAlign w:val="superscript"/>
                <w:lang w:val="en-US" w:eastAsia="zh-CN"/>
              </w:rPr>
              <w:t>2</w:t>
            </w:r>
            <w:r>
              <w:rPr>
                <w:rFonts w:hint="eastAsia" w:ascii="Times New Roman" w:hAnsi="Times New Roman" w:eastAsia="宋体" w:cs="Times New Roman"/>
                <w:color w:val="auto"/>
                <w:sz w:val="21"/>
                <w:szCs w:val="21"/>
                <w:vertAlign w:val="baseline"/>
                <w:lang w:val="en-US" w:eastAsia="zh-CN"/>
              </w:rPr>
              <w:t>，含食堂</w:t>
            </w:r>
          </w:p>
        </w:tc>
        <w:tc>
          <w:tcPr>
            <w:tcW w:w="4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公用工程</w:t>
            </w:r>
          </w:p>
        </w:tc>
        <w:tc>
          <w:tcPr>
            <w:tcW w:w="7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供水</w:t>
            </w:r>
          </w:p>
        </w:tc>
        <w:tc>
          <w:tcPr>
            <w:tcW w:w="338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由园区供水系统提供</w:t>
            </w:r>
          </w:p>
        </w:tc>
        <w:tc>
          <w:tcPr>
            <w:tcW w:w="4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排水</w:t>
            </w:r>
          </w:p>
        </w:tc>
        <w:tc>
          <w:tcPr>
            <w:tcW w:w="338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项目产生的生产废水回用于水溶肥生产线，不外排；生活污水直接排入园区污水管网</w:t>
            </w:r>
          </w:p>
        </w:tc>
        <w:tc>
          <w:tcPr>
            <w:tcW w:w="4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供电</w:t>
            </w:r>
          </w:p>
        </w:tc>
        <w:tc>
          <w:tcPr>
            <w:tcW w:w="338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由园区供电系统提供</w:t>
            </w:r>
          </w:p>
        </w:tc>
        <w:tc>
          <w:tcPr>
            <w:tcW w:w="4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供热</w:t>
            </w:r>
          </w:p>
        </w:tc>
        <w:tc>
          <w:tcPr>
            <w:tcW w:w="338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由自建电锅炉提供，锅炉位于生产车间内，共3台，每台额定功率为60kW</w:t>
            </w:r>
          </w:p>
        </w:tc>
        <w:tc>
          <w:tcPr>
            <w:tcW w:w="4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环保工程</w:t>
            </w:r>
          </w:p>
        </w:tc>
        <w:tc>
          <w:tcPr>
            <w:tcW w:w="7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废气</w:t>
            </w:r>
          </w:p>
        </w:tc>
        <w:tc>
          <w:tcPr>
            <w:tcW w:w="338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①本项目动植物油脂回收生产线产生的油脂烟气、非甲烷总烃及恶臭气体、罐区储罐呼吸产生的非甲烷总烃、生物燃料生产线产生的恶臭及非甲烷总烃共用一套环保设备，经管道收集后采用“净电除油（处理效率85%）+二级碱液喷淋塔+除湿+活性炭吸附箱（处理效率95.6%）”处理后，经1根15m高排气筒（DA001）排放，本项目生物燃料生产线产生的颗粒物经集气罩收集后采用布袋除尘器（处理效率99%）处理后通入DA001排气筒排放；</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②本项目水溶肥生产线产生的颗粒物、NH3、生物有机肥产生的恶臭及颗粒物经集气罩收集后采用“布袋除尘器（处理效率99%）+活性炭吸附（处理效率24%）”处理后，经1 根 15m 高排气筒（DA002）排放；</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 xml:space="preserve">③本项目食堂产生的食堂油烟经油烟净化器处理后引至屋顶排放； </w:t>
            </w:r>
          </w:p>
        </w:tc>
        <w:tc>
          <w:tcPr>
            <w:tcW w:w="4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废水</w:t>
            </w:r>
          </w:p>
        </w:tc>
        <w:tc>
          <w:tcPr>
            <w:tcW w:w="338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本项目产生的废水主要为熔炼废水、皂脚酸化废水及生活污水，生产废水回用于水溶肥生产线，</w:t>
            </w:r>
            <w:r>
              <w:rPr>
                <w:rFonts w:hint="eastAsia" w:ascii="Times New Roman" w:hAnsi="Times New Roman" w:eastAsia="宋体" w:cs="Times New Roman"/>
                <w:color w:val="auto"/>
                <w:sz w:val="21"/>
                <w:szCs w:val="21"/>
                <w:vertAlign w:val="baseline"/>
                <w:lang w:val="en-US" w:eastAsia="zh-CN"/>
              </w:rPr>
              <w:t>不外排</w:t>
            </w:r>
            <w:r>
              <w:rPr>
                <w:rFonts w:hint="default" w:ascii="Times New Roman" w:hAnsi="Times New Roman" w:eastAsia="宋体" w:cs="Times New Roman"/>
                <w:color w:val="auto"/>
                <w:sz w:val="21"/>
                <w:szCs w:val="21"/>
                <w:vertAlign w:val="baseline"/>
                <w:lang w:val="en-US" w:eastAsia="zh-CN"/>
              </w:rPr>
              <w:t>；生活污水直接排入园区污水管网，最终进入园区污水处理厂处理。</w:t>
            </w:r>
          </w:p>
        </w:tc>
        <w:tc>
          <w:tcPr>
            <w:tcW w:w="4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噪声</w:t>
            </w:r>
          </w:p>
        </w:tc>
        <w:tc>
          <w:tcPr>
            <w:tcW w:w="338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采用合理布局、建筑隔声、基础减振、绿化降噪等措施降低噪声影响</w:t>
            </w:r>
          </w:p>
        </w:tc>
        <w:tc>
          <w:tcPr>
            <w:tcW w:w="4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固体废物</w:t>
            </w:r>
          </w:p>
        </w:tc>
        <w:tc>
          <w:tcPr>
            <w:tcW w:w="338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①本项目产生的废机油、废活性炭经分类收集后，分类贮存至新建的20m</w:t>
            </w:r>
            <w:r>
              <w:rPr>
                <w:rFonts w:hint="eastAsia" w:ascii="Times New Roman" w:hAnsi="Times New Roman" w:eastAsia="宋体" w:cs="Times New Roman"/>
                <w:color w:val="auto"/>
                <w:sz w:val="21"/>
                <w:szCs w:val="21"/>
                <w:vertAlign w:val="superscript"/>
                <w:lang w:val="en-US" w:eastAsia="zh-CN"/>
              </w:rPr>
              <w:t>2</w:t>
            </w:r>
            <w:r>
              <w:rPr>
                <w:rFonts w:hint="eastAsia" w:ascii="Times New Roman" w:hAnsi="Times New Roman" w:eastAsia="宋体" w:cs="Times New Roman"/>
                <w:color w:val="auto"/>
                <w:sz w:val="21"/>
                <w:szCs w:val="21"/>
                <w:vertAlign w:val="baseline"/>
                <w:lang w:val="en-US" w:eastAsia="zh-CN"/>
              </w:rPr>
              <w:t>危险废物暂存间内；</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②本项目产生的一般固体废物主要有：水溶肥生产线产生的下脚料、动植物油水解产生的下脚料、皂脚酸化产生的下脚料及生活垃圾等，项目产生的一般固体废物首先考虑综合利用，其中水溶肥生产线产生的下脚料、动植物油水解产生的下脚料、皂脚酸化产生的下脚料回用于生产线，生活垃圾由园区环卫部门统一清运至呼图壁县生活垃圾填埋场。</w:t>
            </w:r>
          </w:p>
        </w:tc>
        <w:tc>
          <w:tcPr>
            <w:tcW w:w="4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风险防范</w:t>
            </w:r>
          </w:p>
        </w:tc>
        <w:tc>
          <w:tcPr>
            <w:tcW w:w="338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依托容积为900m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的消防水池及容积为400m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的事故应急池，新建1座容积为800m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的事故应急池</w:t>
            </w:r>
          </w:p>
        </w:tc>
        <w:tc>
          <w:tcPr>
            <w:tcW w:w="4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其他</w:t>
            </w:r>
          </w:p>
        </w:tc>
        <w:tc>
          <w:tcPr>
            <w:tcW w:w="338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地下水防渗、防漏系统，事故应急等环境风险管理措施，环境监测及环境管理体系建立等。</w:t>
            </w:r>
          </w:p>
        </w:tc>
        <w:tc>
          <w:tcPr>
            <w:tcW w:w="4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清洗工程</w:t>
            </w:r>
          </w:p>
        </w:tc>
        <w:tc>
          <w:tcPr>
            <w:tcW w:w="338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本项目依托现有6个储罐，再利用前需对储罐进行清洗，清洗后的含油废水属危险废物，清洗后交由资质单位处置</w:t>
            </w:r>
          </w:p>
        </w:tc>
        <w:tc>
          <w:tcPr>
            <w:tcW w:w="4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新建</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3.2.3 生产规模及产品方案</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本项目新建四条生产线，分别为生物有机肥生产线、</w:t>
      </w:r>
      <w:r>
        <w:rPr>
          <w:rFonts w:hint="eastAsia" w:ascii="Times New Roman" w:hAnsi="Times New Roman" w:eastAsia="宋体" w:cs="Times New Roman"/>
          <w:color w:val="auto"/>
          <w:sz w:val="24"/>
          <w:szCs w:val="24"/>
          <w:highlight w:val="none"/>
          <w:lang w:val="en-US" w:eastAsia="zh-CN"/>
        </w:rPr>
        <w:t>生物燃料</w:t>
      </w:r>
      <w:r>
        <w:rPr>
          <w:rFonts w:hint="eastAsia" w:ascii="Times New Roman" w:hAnsi="Times New Roman" w:eastAsia="宋体" w:cs="Times New Roman"/>
          <w:color w:val="auto"/>
          <w:sz w:val="24"/>
          <w:szCs w:val="24"/>
          <w:lang w:val="en-US" w:eastAsia="zh-CN"/>
        </w:rPr>
        <w:t>生产线、</w:t>
      </w:r>
      <w:r>
        <w:rPr>
          <w:rFonts w:hint="default" w:ascii="Times New Roman" w:hAnsi="Times New Roman" w:eastAsia="宋体" w:cs="Times New Roman"/>
          <w:color w:val="auto"/>
          <w:sz w:val="24"/>
          <w:szCs w:val="24"/>
          <w:lang w:val="en-US" w:eastAsia="zh-CN"/>
        </w:rPr>
        <w:t>水溶肥生产</w:t>
      </w:r>
      <w:r>
        <w:rPr>
          <w:rFonts w:hint="eastAsia" w:ascii="Times New Roman" w:hAnsi="Times New Roman" w:eastAsia="宋体" w:cs="Times New Roman"/>
          <w:color w:val="auto"/>
          <w:sz w:val="24"/>
          <w:szCs w:val="24"/>
          <w:lang w:val="en-US" w:eastAsia="zh-CN"/>
        </w:rPr>
        <w:t>线 1 套生产线、饲料油及磷脂油加工生产线。本项目主要产品方案见表 3.2.3-1。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3.2.3-1   本项目产品方案一览表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0"/>
        <w:gridCol w:w="1540"/>
        <w:gridCol w:w="722"/>
        <w:gridCol w:w="1566"/>
        <w:gridCol w:w="31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生产线</w:t>
            </w:r>
          </w:p>
        </w:tc>
        <w:tc>
          <w:tcPr>
            <w:tcW w:w="15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产品名称</w:t>
            </w:r>
          </w:p>
        </w:tc>
        <w:tc>
          <w:tcPr>
            <w:tcW w:w="7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单位</w:t>
            </w:r>
          </w:p>
        </w:tc>
        <w:tc>
          <w:tcPr>
            <w:tcW w:w="15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产量</w:t>
            </w:r>
          </w:p>
        </w:tc>
        <w:tc>
          <w:tcPr>
            <w:tcW w:w="31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产品标准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154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生物</w:t>
            </w:r>
            <w:r>
              <w:rPr>
                <w:rFonts w:hint="default" w:ascii="Times New Roman" w:hAnsi="Times New Roman" w:eastAsia="宋体" w:cs="Times New Roman"/>
                <w:color w:val="auto"/>
                <w:sz w:val="21"/>
                <w:szCs w:val="21"/>
                <w:vertAlign w:val="baseline"/>
                <w:lang w:val="en-US" w:eastAsia="zh-CN"/>
              </w:rPr>
              <w:t>有机肥料生产线</w:t>
            </w:r>
          </w:p>
        </w:tc>
        <w:tc>
          <w:tcPr>
            <w:tcW w:w="15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有机无机混合肥</w:t>
            </w:r>
          </w:p>
        </w:tc>
        <w:tc>
          <w:tcPr>
            <w:tcW w:w="7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t/a</w:t>
            </w:r>
          </w:p>
        </w:tc>
        <w:tc>
          <w:tcPr>
            <w:tcW w:w="15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r>
              <w:rPr>
                <w:rFonts w:hint="default" w:ascii="Times New Roman" w:hAnsi="Times New Roman" w:eastAsia="宋体" w:cs="Times New Roman"/>
                <w:color w:val="auto"/>
                <w:sz w:val="21"/>
                <w:szCs w:val="21"/>
                <w:vertAlign w:val="baseline"/>
                <w:lang w:val="en-US" w:eastAsia="zh-CN"/>
              </w:rPr>
              <w:t>0000</w:t>
            </w:r>
          </w:p>
        </w:tc>
        <w:tc>
          <w:tcPr>
            <w:tcW w:w="315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《生物有机肥》（NY884-2012）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15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5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生物有机肥</w:t>
            </w:r>
          </w:p>
        </w:tc>
        <w:tc>
          <w:tcPr>
            <w:tcW w:w="7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t/a</w:t>
            </w:r>
          </w:p>
        </w:tc>
        <w:tc>
          <w:tcPr>
            <w:tcW w:w="15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10000</w:t>
            </w:r>
          </w:p>
        </w:tc>
        <w:tc>
          <w:tcPr>
            <w:tcW w:w="315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水溶肥生产线</w:t>
            </w:r>
          </w:p>
        </w:tc>
        <w:tc>
          <w:tcPr>
            <w:tcW w:w="15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水溶肥</w:t>
            </w:r>
          </w:p>
        </w:tc>
        <w:tc>
          <w:tcPr>
            <w:tcW w:w="7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t/a</w:t>
            </w:r>
          </w:p>
        </w:tc>
        <w:tc>
          <w:tcPr>
            <w:tcW w:w="15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6000</w:t>
            </w:r>
          </w:p>
        </w:tc>
        <w:tc>
          <w:tcPr>
            <w:tcW w:w="31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《液体有机水溶肥料》（DB2110/T 0001-2020）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生物燃料</w:t>
            </w:r>
            <w:r>
              <w:rPr>
                <w:rFonts w:hint="default" w:ascii="Times New Roman" w:hAnsi="Times New Roman" w:eastAsia="宋体" w:cs="Times New Roman"/>
                <w:color w:val="auto"/>
                <w:sz w:val="21"/>
                <w:szCs w:val="21"/>
                <w:vertAlign w:val="baseline"/>
                <w:lang w:val="en-US" w:eastAsia="zh-CN"/>
              </w:rPr>
              <w:t>生产线</w:t>
            </w:r>
          </w:p>
        </w:tc>
        <w:tc>
          <w:tcPr>
            <w:tcW w:w="15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脂肪酸甲酯</w:t>
            </w:r>
          </w:p>
        </w:tc>
        <w:tc>
          <w:tcPr>
            <w:tcW w:w="7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t/a</w:t>
            </w:r>
          </w:p>
        </w:tc>
        <w:tc>
          <w:tcPr>
            <w:tcW w:w="15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2000</w:t>
            </w:r>
          </w:p>
        </w:tc>
        <w:tc>
          <w:tcPr>
            <w:tcW w:w="31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5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钻井石油助剂</w:t>
            </w:r>
          </w:p>
        </w:tc>
        <w:tc>
          <w:tcPr>
            <w:tcW w:w="7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t/a</w:t>
            </w:r>
          </w:p>
        </w:tc>
        <w:tc>
          <w:tcPr>
            <w:tcW w:w="15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5000</w:t>
            </w:r>
          </w:p>
        </w:tc>
        <w:tc>
          <w:tcPr>
            <w:tcW w:w="31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《钻井液用液体润滑剂技术规范》（Q/SY17088-2016）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5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固态生物燃料</w:t>
            </w:r>
          </w:p>
        </w:tc>
        <w:tc>
          <w:tcPr>
            <w:tcW w:w="7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t/a</w:t>
            </w:r>
          </w:p>
        </w:tc>
        <w:tc>
          <w:tcPr>
            <w:tcW w:w="15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3000</w:t>
            </w:r>
          </w:p>
        </w:tc>
        <w:tc>
          <w:tcPr>
            <w:tcW w:w="31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饲料油、磷脂油</w:t>
            </w:r>
          </w:p>
        </w:tc>
        <w:tc>
          <w:tcPr>
            <w:tcW w:w="15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油脂类加工产品</w:t>
            </w:r>
          </w:p>
        </w:tc>
        <w:tc>
          <w:tcPr>
            <w:tcW w:w="7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t/a</w:t>
            </w:r>
          </w:p>
        </w:tc>
        <w:tc>
          <w:tcPr>
            <w:tcW w:w="15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1500</w:t>
            </w:r>
          </w:p>
        </w:tc>
        <w:tc>
          <w:tcPr>
            <w:tcW w:w="31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《磷脂通用技术条件》（SB/T10206-1994）</w:t>
            </w:r>
          </w:p>
        </w:tc>
      </w:tr>
    </w:tbl>
    <w:p>
      <w:pPr>
        <w:keepNext w:val="0"/>
        <w:keepLines w:val="0"/>
        <w:pageBreakBefore w:val="0"/>
        <w:widowControl w:val="0"/>
        <w:kinsoku/>
        <w:wordWrap/>
        <w:overflowPunct/>
        <w:topLinePunct w:val="0"/>
        <w:autoSpaceDE/>
        <w:autoSpaceDN/>
        <w:bidi w:val="0"/>
        <w:adjustRightInd/>
        <w:snapToGrid/>
        <w:spacing w:line="560" w:lineRule="exact"/>
        <w:ind w:firstLine="482"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主要产品理化性质及用途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有机无机复混肥：本项目有机无机复混肥主要通过半成品有机肥（牛羊粪沤肥）进行破碎、筛分、造粒等。有机无机复混肥中含有氮、磷、钾等多种元素，能够经微生物作用缓慢且持续释放养分，并且能够缓解地区土壤碱性，改良土壤结构。</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水溶肥：水溶肥是一种能够完全溶解在水中的富含氮、磷、钾、钙等大量元素的液态肥，它是一种速效性肥料，水溶性较好，液体中无残渣；</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脂肪酸甲酯：无色到微黄色液体，具有特殊的气味。它是脂肪酸和甲醇的酯化产物，具有较低的溶解度、较低的沸点和较高的闪点。</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3.2.4 主要原辅材料及理化性质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本项目主要原辅材料用量见表 3.2.4-1。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3.2.4-1   本项目主要原辅材料消耗情况一览表</w:t>
      </w:r>
    </w:p>
    <w:tbl>
      <w:tblPr>
        <w:tblStyle w:val="22"/>
        <w:tblW w:w="5000"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8"/>
        <w:gridCol w:w="723"/>
        <w:gridCol w:w="2386"/>
        <w:gridCol w:w="577"/>
        <w:gridCol w:w="1005"/>
        <w:gridCol w:w="2363"/>
      </w:tblGrid>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6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序号</w:t>
            </w:r>
          </w:p>
        </w:tc>
        <w:tc>
          <w:tcPr>
            <w:tcW w:w="42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种类</w:t>
            </w: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名称</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单位</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年用量</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来源</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生物有机肥生产线</w:t>
            </w:r>
          </w:p>
        </w:tc>
        <w:tc>
          <w:tcPr>
            <w:tcW w:w="424"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原辅料</w:t>
            </w: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废白土</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t/a</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1500</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周边油脂加工企业</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2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助滤剂</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t/a</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422.41</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周边油脂加工企业</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2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半成品有机肥（牛羊粪沤肥）</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t/a</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13000</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周边企业</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2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植物秸秆</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t/a</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1500</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周边农户</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2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牛羊粪</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t/a</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1500</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周边农户</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2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水溶肥生产线产生的下脚料</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t/a</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25</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水溶肥生产线</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2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动植物油水解产生的下脚料</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t/a</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500</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动植物油回收生产线</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2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皂脚酸化产生的下脚料</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t/a</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1500</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生物燃料生产线</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2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生物菌剂</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t/a</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60</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外购</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61"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水溶肥</w:t>
            </w:r>
          </w:p>
        </w:tc>
        <w:tc>
          <w:tcPr>
            <w:tcW w:w="42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新鲜水</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t/a</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3000</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园区供水管网</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2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含油废水</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t/a</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1568.5</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动植物油回收及生物燃料生产线</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42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氨水（20%）</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t/a</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200</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外购</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42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磷酸二氢钾</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t/a</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30</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外购</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42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含氮磷钾辅料</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t/a</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1206.535</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外购</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42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硫酸</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t/a</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20</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外购</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饲料油加工生产线</w:t>
            </w:r>
          </w:p>
        </w:tc>
        <w:tc>
          <w:tcPr>
            <w:tcW w:w="42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动物油脂</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t/a</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1500</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周边油脂加工企业</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p>
        </w:tc>
        <w:tc>
          <w:tcPr>
            <w:tcW w:w="42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废白土</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t/a</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400.55</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周边油脂加工企业</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p>
        </w:tc>
        <w:tc>
          <w:tcPr>
            <w:tcW w:w="42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助滤剂</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t/a</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368.5</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周边油脂加工企业</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2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罐底植物油</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t/a</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300</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周边企业</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生物燃料</w:t>
            </w:r>
          </w:p>
        </w:tc>
        <w:tc>
          <w:tcPr>
            <w:tcW w:w="42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酸化油</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t/a</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1459.76</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42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皂脚</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t/a</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5000</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周边油脂加工企业</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6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42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工业白油</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t/a</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1600</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外购</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42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二甲基硅油</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t/a</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200</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外购</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42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甲醇</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t/a</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50</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外购</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42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植物秸秆</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t/a</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4000</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周边农户</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42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3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餐厨废油</w:t>
            </w:r>
          </w:p>
        </w:tc>
        <w:tc>
          <w:tcPr>
            <w:tcW w:w="3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t/a</w:t>
            </w:r>
          </w:p>
        </w:tc>
        <w:tc>
          <w:tcPr>
            <w:tcW w:w="5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200</w:t>
            </w:r>
          </w:p>
        </w:tc>
        <w:tc>
          <w:tcPr>
            <w:tcW w:w="1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外购</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本项目生产所需动植物油脂来源于周边企业，采用汽车运输，本项目使用的动植物油脂仅生产工业用油类产品，不作为食用油的原料进行生产或销售。</w:t>
      </w:r>
    </w:p>
    <w:p>
      <w:pPr>
        <w:keepNext w:val="0"/>
        <w:keepLines w:val="0"/>
        <w:pageBreakBefore w:val="0"/>
        <w:widowControl w:val="0"/>
        <w:kinsoku/>
        <w:wordWrap/>
        <w:overflowPunct/>
        <w:topLinePunct w:val="0"/>
        <w:autoSpaceDE/>
        <w:autoSpaceDN/>
        <w:bidi w:val="0"/>
        <w:adjustRightInd/>
        <w:snapToGrid/>
        <w:spacing w:line="560" w:lineRule="exact"/>
        <w:ind w:firstLine="482"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原辅材料理化性质：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（1）皂脚</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皂脚是植物油精炼加工过程的副产物，是在碱炼脱酸步骤中形成的。</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固体废物鉴别标准通则》（GB34330-2017）可知，皂脚为植物油加工过程中产生的下脚料，属于固体废物；根据《危险废物鉴别标准通则》（GB5085.7-2019），皂脚未列入《国家危险废物名录》，且不具有腐蚀性、毒性、易燃性、反应性，判定为一般固体废物；根据《一般固体废物分类与代码》（GB/T39198-2020）可知，皂脚来源于食品等行业产生的一般固体废物，类别代码为 130-001-39。</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皂脚主要有磷脂和中性油组成，其中磷脂含量约在 30~48%，中性油脂含量为 8%~27%，总脂肪酸量 40%~60%，其余为水分、少量类酯物、游离碱及饼屑等。</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）酸化油</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酸化油是指对油脂精炼厂所产生的副产品皂脚、油脚进行酸化处理所得到的油。酸化油本质上是脂肪酸，主要成分为脂肪酸 55%、油脂（</w:t>
      </w:r>
      <w:r>
        <w:rPr>
          <w:rFonts w:hint="eastAsia" w:ascii="Times New Roman" w:hAnsi="Times New Roman" w:eastAsia="宋体" w:cs="Times New Roman"/>
          <w:color w:val="auto"/>
          <w:sz w:val="24"/>
          <w:szCs w:val="24"/>
          <w:lang w:val="en-US" w:eastAsia="zh-CN"/>
        </w:rPr>
        <w:t>甘油三酯</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甘油二酯</w:t>
      </w:r>
      <w:r>
        <w:rPr>
          <w:rFonts w:hint="default" w:ascii="Times New Roman" w:hAnsi="Times New Roman" w:eastAsia="宋体" w:cs="Times New Roman"/>
          <w:color w:val="auto"/>
          <w:sz w:val="24"/>
          <w:szCs w:val="24"/>
          <w:lang w:val="en-US" w:eastAsia="zh-CN"/>
        </w:rPr>
        <w:t>、中性油等）40%、水 2%、色素及其他杂质 3%。酸化油不能食用，但它们可以作为重要的化工原料。对副产品的升值加工是提高酸化油价值的一项重要工作，主要用于生产油酸、生物柴油以及日用化工。</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（3）动物油脂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动物油脂是从动物体内取得的油脂，主要成分是棕榈油、甘油三酸酯。本项目所用动物油脂来自屠宰场，进货时处于冰冻状态。</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（4）罐底植物油</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罐底植物油为植物油精炼厂中植物油储罐的罐底部剩余食用植物油，其组分与平常食用油一致，主要成分为高级脂肪酸和甘油。由于处于储罐底部位置，比起日常成品食用植物油，含有较多的色素沉淀及杂质。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（5）甲醇</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透明、无色、易燃、高度挥发、有毒的液体，略带酒精味。熔点 －97.8 度，沸点 64.8 度，闪点 12.22 度，自燃点 47 度，相对密度 0.7915（20 度/4 度），爆炸极限下限 6%，上限 36.5%，能与水、乙醇、乙醚、苯、丙酮和大多数有机溶剂相混溶。</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（6）硫酸</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化学分子式为 H</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vertAlign w:val="baseline"/>
          <w:lang w:val="en-US" w:eastAsia="zh-CN"/>
        </w:rPr>
        <w:t>S</w:t>
      </w:r>
      <w:r>
        <w:rPr>
          <w:rFonts w:hint="eastAsia" w:ascii="Times New Roman" w:hAnsi="Times New Roman" w:eastAsia="宋体" w:cs="Times New Roman"/>
          <w:color w:val="auto"/>
          <w:sz w:val="24"/>
          <w:szCs w:val="24"/>
          <w:lang w:val="en-US" w:eastAsia="zh-CN"/>
        </w:rPr>
        <w:t>O</w:t>
      </w:r>
      <w:r>
        <w:rPr>
          <w:rFonts w:hint="eastAsia" w:ascii="Times New Roman" w:hAnsi="Times New Roman" w:eastAsia="宋体" w:cs="Times New Roman"/>
          <w:color w:val="auto"/>
          <w:sz w:val="24"/>
          <w:szCs w:val="24"/>
          <w:vertAlign w:val="subscript"/>
          <w:lang w:val="en-US" w:eastAsia="zh-CN"/>
        </w:rPr>
        <w:t>4</w:t>
      </w:r>
      <w:r>
        <w:rPr>
          <w:rFonts w:hint="eastAsia" w:ascii="Times New Roman" w:hAnsi="Times New Roman" w:eastAsia="宋体" w:cs="Times New Roman"/>
          <w:color w:val="auto"/>
          <w:sz w:val="24"/>
          <w:szCs w:val="24"/>
          <w:lang w:val="en-US" w:eastAsia="zh-CN"/>
        </w:rPr>
        <w:t>，无色油状液体，能与水以任意比例互溶，同时放出大量的热，使水沸腾。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（7）磷酸二氢钾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磷酸二氢钾化学式为 KH</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PO</w:t>
      </w:r>
      <w:r>
        <w:rPr>
          <w:rFonts w:hint="eastAsia" w:ascii="Times New Roman" w:hAnsi="Times New Roman" w:eastAsia="宋体" w:cs="Times New Roman"/>
          <w:color w:val="auto"/>
          <w:sz w:val="24"/>
          <w:szCs w:val="24"/>
          <w:vertAlign w:val="subscript"/>
          <w:lang w:val="en-US" w:eastAsia="zh-CN"/>
        </w:rPr>
        <w:t>4</w:t>
      </w:r>
      <w:r>
        <w:rPr>
          <w:rFonts w:hint="eastAsia" w:ascii="Times New Roman" w:hAnsi="Times New Roman" w:eastAsia="宋体" w:cs="Times New Roman"/>
          <w:color w:val="auto"/>
          <w:sz w:val="24"/>
          <w:szCs w:val="24"/>
          <w:lang w:val="en-US" w:eastAsia="zh-CN"/>
        </w:rPr>
        <w:t>，有潮解性。加热至 400℃ 时融化成透明液体。在空气中稳定，且不溶于水。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（8）氨水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氨水为氨的水溶液，无色透明且具有刺激性，易挥发出氨气，有一点腐蚀作用，本项目所用氨水为 20% 浓度的氨溶液，用于调节肥料 pH 值，并添加氮源。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（9）含氮磷钾辅料：指含有氮、磷、钾三要素中两种和两种以上养分标明量的辅料，主要用于提高肥料中的氮、磷、钾的含量。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（10）其他原辅料：水溶肥生产线产生的下脚料，动植物油水解产生的下脚料，皂脚酸化产生的下脚料为项目其他生产线产生的，废白土、助滤剂及半成品有机肥（牛羊粪沤肥）为外购。</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3.2.5 主要生产设备</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本项目主要生产设备情况见表 3.2.5-1。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3.2.5-1    本项目主要生产设备一览表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6"/>
        <w:gridCol w:w="1084"/>
        <w:gridCol w:w="1901"/>
        <w:gridCol w:w="3509"/>
        <w:gridCol w:w="721"/>
        <w:gridCol w:w="6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序号</w:t>
            </w:r>
          </w:p>
        </w:tc>
        <w:tc>
          <w:tcPr>
            <w:tcW w:w="63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生产线</w:t>
            </w: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设备名称</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规格型号</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单位</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636"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动植物油精炼回收</w:t>
            </w: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熔炼釜</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RLF180</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个</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63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油箱</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1500×1250×1250</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个</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63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储气罐</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CCG80</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个</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63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废气冷凝机</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FQLN50</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台</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w:t>
            </w:r>
          </w:p>
        </w:tc>
        <w:tc>
          <w:tcPr>
            <w:tcW w:w="63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水喷射泵</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PSB-320</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台</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w:t>
            </w:r>
          </w:p>
        </w:tc>
        <w:tc>
          <w:tcPr>
            <w:tcW w:w="636"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highlight w:val="none"/>
                <w:lang w:val="en-US" w:eastAsia="zh-CN"/>
              </w:rPr>
              <w:t>生物燃料</w:t>
            </w:r>
            <w:r>
              <w:rPr>
                <w:rFonts w:hint="eastAsia" w:ascii="Times New Roman" w:hAnsi="Times New Roman" w:eastAsia="宋体" w:cs="Times New Roman"/>
                <w:color w:val="auto"/>
                <w:sz w:val="21"/>
                <w:szCs w:val="21"/>
                <w:vertAlign w:val="baseline"/>
                <w:lang w:val="en-US" w:eastAsia="zh-CN"/>
              </w:rPr>
              <w:t>生产线（与钻井石油助剂共用1套设备）</w:t>
            </w: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粗脂酸罐</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60m</w:t>
            </w:r>
            <w:r>
              <w:rPr>
                <w:rFonts w:hint="eastAsia" w:ascii="Times New Roman" w:hAnsi="Times New Roman" w:eastAsia="宋体" w:cs="Times New Roman"/>
                <w:color w:val="auto"/>
                <w:sz w:val="21"/>
                <w:szCs w:val="21"/>
                <w:vertAlign w:val="superscript"/>
                <w:lang w:val="en-US" w:eastAsia="zh-CN"/>
              </w:rPr>
              <w:t>3</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个</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3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酯化釜</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13m</w:t>
            </w:r>
            <w:r>
              <w:rPr>
                <w:rFonts w:hint="eastAsia" w:ascii="Times New Roman" w:hAnsi="Times New Roman" w:eastAsia="宋体" w:cs="Times New Roman"/>
                <w:color w:val="auto"/>
                <w:sz w:val="21"/>
                <w:szCs w:val="21"/>
                <w:vertAlign w:val="superscript"/>
                <w:lang w:val="en-US" w:eastAsia="zh-CN"/>
              </w:rPr>
              <w:t>3</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台</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3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中和罐</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7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台</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w:t>
            </w:r>
          </w:p>
        </w:tc>
        <w:tc>
          <w:tcPr>
            <w:tcW w:w="63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油脂废水罐</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50m</w:t>
            </w:r>
            <w:r>
              <w:rPr>
                <w:rFonts w:hint="eastAsia" w:ascii="Times New Roman" w:hAnsi="Times New Roman" w:eastAsia="宋体" w:cs="Times New Roman"/>
                <w:color w:val="auto"/>
                <w:sz w:val="21"/>
                <w:szCs w:val="21"/>
                <w:vertAlign w:val="superscript"/>
                <w:lang w:val="en-US" w:eastAsia="zh-CN"/>
              </w:rPr>
              <w:t>3</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个</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w:t>
            </w:r>
          </w:p>
        </w:tc>
        <w:tc>
          <w:tcPr>
            <w:tcW w:w="63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中转泵</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5.5kW</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台</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w:t>
            </w:r>
          </w:p>
        </w:tc>
        <w:tc>
          <w:tcPr>
            <w:tcW w:w="63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水解进料泵</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5.5kW</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个</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w:t>
            </w:r>
          </w:p>
        </w:tc>
        <w:tc>
          <w:tcPr>
            <w:tcW w:w="63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水解槽</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1.2×1.2×4</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座</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w:t>
            </w:r>
          </w:p>
        </w:tc>
        <w:tc>
          <w:tcPr>
            <w:tcW w:w="63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尾气回收器</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Φ800×5000</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台</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w:t>
            </w:r>
          </w:p>
        </w:tc>
        <w:tc>
          <w:tcPr>
            <w:tcW w:w="63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中转泵</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4kW</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台</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w:t>
            </w:r>
          </w:p>
        </w:tc>
        <w:tc>
          <w:tcPr>
            <w:tcW w:w="63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回流塔</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Φ500×2000</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座</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w:t>
            </w:r>
          </w:p>
        </w:tc>
        <w:tc>
          <w:tcPr>
            <w:tcW w:w="63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分馏一塔</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Φ1200×7900</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座</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w:t>
            </w:r>
          </w:p>
        </w:tc>
        <w:tc>
          <w:tcPr>
            <w:tcW w:w="63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主循环泵</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11kW</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台</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w:t>
            </w:r>
          </w:p>
        </w:tc>
        <w:tc>
          <w:tcPr>
            <w:tcW w:w="63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再沸器</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13m</w:t>
            </w:r>
            <w:r>
              <w:rPr>
                <w:rFonts w:hint="eastAsia" w:ascii="Times New Roman" w:hAnsi="Times New Roman" w:eastAsia="宋体" w:cs="Times New Roman"/>
                <w:color w:val="auto"/>
                <w:sz w:val="21"/>
                <w:szCs w:val="21"/>
                <w:vertAlign w:val="superscript"/>
                <w:lang w:val="en-US" w:eastAsia="zh-CN"/>
              </w:rPr>
              <w:t>3</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台</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17</w:t>
            </w:r>
          </w:p>
        </w:tc>
        <w:tc>
          <w:tcPr>
            <w:tcW w:w="63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循环泵</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34kW</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台</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18</w:t>
            </w:r>
          </w:p>
        </w:tc>
        <w:tc>
          <w:tcPr>
            <w:tcW w:w="63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冷淋器</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25m</w:t>
            </w:r>
            <w:r>
              <w:rPr>
                <w:rFonts w:hint="eastAsia" w:ascii="Times New Roman" w:hAnsi="Times New Roman" w:eastAsia="宋体" w:cs="Times New Roman"/>
                <w:color w:val="auto"/>
                <w:sz w:val="21"/>
                <w:szCs w:val="21"/>
                <w:vertAlign w:val="superscript"/>
                <w:lang w:val="en-US" w:eastAsia="zh-CN"/>
              </w:rPr>
              <w:t>2</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台</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19</w:t>
            </w:r>
          </w:p>
        </w:tc>
        <w:tc>
          <w:tcPr>
            <w:tcW w:w="63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冷水塔</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36kW</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台</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w:t>
            </w:r>
          </w:p>
        </w:tc>
        <w:tc>
          <w:tcPr>
            <w:tcW w:w="63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热水泵</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15kW</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台</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21</w:t>
            </w:r>
          </w:p>
        </w:tc>
        <w:tc>
          <w:tcPr>
            <w:tcW w:w="636"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水溶肥及有机肥</w:t>
            </w: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溶解槽</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10m</w:t>
            </w:r>
            <w:r>
              <w:rPr>
                <w:rFonts w:hint="eastAsia" w:ascii="Times New Roman" w:hAnsi="Times New Roman" w:eastAsia="宋体" w:cs="Times New Roman"/>
                <w:color w:val="auto"/>
                <w:sz w:val="21"/>
                <w:szCs w:val="21"/>
                <w:vertAlign w:val="superscript"/>
                <w:lang w:val="en-US" w:eastAsia="zh-CN"/>
              </w:rPr>
              <w:t>3</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个</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22</w:t>
            </w:r>
          </w:p>
        </w:tc>
        <w:tc>
          <w:tcPr>
            <w:tcW w:w="63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混合搅拌器</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7.5kW</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台</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23</w:t>
            </w:r>
          </w:p>
        </w:tc>
        <w:tc>
          <w:tcPr>
            <w:tcW w:w="63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造粒机</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35t/d</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台</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24</w:t>
            </w:r>
          </w:p>
        </w:tc>
        <w:tc>
          <w:tcPr>
            <w:tcW w:w="63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卧式破碎机</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卧式80-35</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台</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25</w:t>
            </w:r>
          </w:p>
        </w:tc>
        <w:tc>
          <w:tcPr>
            <w:tcW w:w="63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冷却机</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Φ2.4×24筒体材料816mm，ZQ850型减速机，抄板材料88mm</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台</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26</w:t>
            </w:r>
          </w:p>
        </w:tc>
        <w:tc>
          <w:tcPr>
            <w:tcW w:w="63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筛分机</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35t/d</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台</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w:t>
            </w:r>
          </w:p>
        </w:tc>
        <w:tc>
          <w:tcPr>
            <w:tcW w:w="63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自动包装秤</w:t>
            </w:r>
          </w:p>
        </w:tc>
        <w:tc>
          <w:tcPr>
            <w:tcW w:w="20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DCS-50双称含空压机</w:t>
            </w:r>
          </w:p>
        </w:tc>
        <w:tc>
          <w:tcPr>
            <w:tcW w:w="4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台</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3.2.6 厂区总平面布置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项目总平面布置综合考虑风向、工艺、消防、运输、能耗等多方面要求。各功能区内部布置紧凑、合理并与相邻功能区相协调.各功能区划分明确，工艺流程连贯、紧凑，管线布置集中、顺畅，生产管理方便。各功能区之间物流输送、动力供应便捷合理。工艺流程顺畅、便于作业。</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本项目油脂加工车间位于罐区北侧，罐区位于项目区西北侧，油脂加工车间东侧为水溶肥及有机肥加工车间，危废暂存间位于项目区东北角。油类原料及产品储存在罐区中，其他原辅料储存在生产车间内，便于运输生产。本项目办公生活区位于厂区上风向。</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厂区道路与园区道路相接，满足消防、物流、人流出入的需求。将全厂生产区物料流向合理的组织融汇交织在一起，有利于生产环节的管理，形成简捷方便的物流路线。本项目建构筑物的间距符合相关设计标准规定，有利于各建筑物的采光</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综上所述，本项目各功能区划分明确，工艺流程连贯、紧凑，管线布置集中、顺畅，生产管理方便。各功能区之间物流输送、动力供应便捷合理。工艺流程顺畅、便于作业。动力运输方便短捷，减少损耗，节省能耗。储运设施相对集中布置在运输装卸方便的位置，生产装置集中布置，经济合理有效利用土地。并能结合地形、风向等自然条件，因地制宜进行布置，新建建构筑物均有良好的朝向。因此，本项目的总平面布置合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本项目厂区场地平坦开阔，地形地貌变化不大，竖向设计采用平坡式布置。装置区内地坪高出四周道路路缘石的顶面标高，坡度不小于 0.3%。道路高程基本顺应地形落差，道路坡度小于 2%，以方便非机动车行驶。同时道路坡度至少大于 3%。，以达到污水管的排水最小坡度。拟建项目平面布置图见</w:t>
      </w:r>
      <w:r>
        <w:rPr>
          <w:rFonts w:hint="eastAsia" w:ascii="Times New Roman" w:hAnsi="Times New Roman" w:eastAsia="宋体" w:cs="Times New Roman"/>
          <w:b/>
          <w:bCs/>
          <w:color w:val="auto"/>
          <w:sz w:val="24"/>
          <w:szCs w:val="24"/>
          <w:lang w:val="en-US" w:eastAsia="zh-CN"/>
        </w:rPr>
        <w:t>附图 3.2-2。</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3.2.7 公用工程</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3.2.7.1 供水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项目水源来自园区供水管网，供水水源稳定充足，直接接入便可实现自来水供给，可以满足本项目用水需求。根据建设方提供数据可知，项目主要用水环节包括</w:t>
      </w:r>
      <w:r>
        <w:rPr>
          <w:rFonts w:hint="eastAsia" w:ascii="Times New Roman" w:hAnsi="Times New Roman" w:eastAsia="宋体" w:cs="Times New Roman"/>
          <w:color w:val="auto"/>
          <w:sz w:val="24"/>
          <w:szCs w:val="24"/>
          <w:lang w:val="en-US" w:eastAsia="zh-CN"/>
        </w:rPr>
        <w:t>生产用水、废油桶</w:t>
      </w:r>
      <w:r>
        <w:rPr>
          <w:rFonts w:hint="default" w:ascii="Times New Roman" w:hAnsi="Times New Roman" w:eastAsia="宋体" w:cs="Times New Roman"/>
          <w:color w:val="auto"/>
          <w:sz w:val="24"/>
          <w:szCs w:val="24"/>
          <w:lang w:val="en-US" w:eastAsia="zh-CN"/>
        </w:rPr>
        <w:t>清洗用水、</w:t>
      </w:r>
      <w:r>
        <w:rPr>
          <w:rFonts w:hint="eastAsia" w:ascii="Times New Roman" w:hAnsi="Times New Roman" w:eastAsia="宋体" w:cs="Times New Roman"/>
          <w:color w:val="auto"/>
          <w:sz w:val="24"/>
          <w:szCs w:val="24"/>
          <w:lang w:val="en-US" w:eastAsia="zh-CN"/>
        </w:rPr>
        <w:t>冷却水池补充用水、生活用水、清洗用水及循环冷却用水</w:t>
      </w:r>
      <w:r>
        <w:rPr>
          <w:rFonts w:hint="default" w:ascii="Times New Roman" w:hAnsi="Times New Roman" w:eastAsia="宋体" w:cs="Times New Roman"/>
          <w:color w:val="auto"/>
          <w:sz w:val="24"/>
          <w:szCs w:val="24"/>
          <w:lang w:val="en-US" w:eastAsia="zh-CN"/>
        </w:rPr>
        <w:t>等。</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3.2.7.2 排水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根据清污分流、雨污分流的原则，本项目排水系统划分为生产废水排水系统、生活污水排水系统。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（1）生产废水排水系统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生产废水主要为生产流程中产生富含油脂的含油废水，经收集后回用于水溶肥及生物有机肥生产工艺，不外排。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（2）生活污水排水系统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拟建项目职工人员产生的生活污水直接通过园区管网排入园区污水处理厂处理。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根据废水工程分析，项目用水平衡表详见 3.2.7-1，水平衡图详见图 3.2.7-1。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3.2.7-1     本项目水平衡一览表   单位：m</w:t>
      </w:r>
      <w:r>
        <w:rPr>
          <w:rFonts w:hint="eastAsia" w:ascii="Times New Roman" w:hAnsi="Times New Roman" w:eastAsia="宋体" w:cs="Times New Roman"/>
          <w:b/>
          <w:bCs/>
          <w:color w:val="auto"/>
          <w:sz w:val="24"/>
          <w:szCs w:val="24"/>
          <w:vertAlign w:val="superscript"/>
          <w:lang w:val="en-US" w:eastAsia="zh-CN"/>
        </w:rPr>
        <w:t>3</w:t>
      </w:r>
      <w:r>
        <w:rPr>
          <w:rFonts w:hint="eastAsia" w:ascii="Times New Roman" w:hAnsi="Times New Roman" w:eastAsia="宋体" w:cs="Times New Roman"/>
          <w:b/>
          <w:bCs/>
          <w:color w:val="auto"/>
          <w:sz w:val="24"/>
          <w:szCs w:val="24"/>
          <w:lang w:val="en-US" w:eastAsia="zh-CN"/>
        </w:rPr>
        <w:t>/a</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2"/>
        <w:gridCol w:w="904"/>
        <w:gridCol w:w="794"/>
        <w:gridCol w:w="918"/>
        <w:gridCol w:w="727"/>
        <w:gridCol w:w="1129"/>
        <w:gridCol w:w="709"/>
        <w:gridCol w:w="811"/>
        <w:gridCol w:w="20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序号</w:t>
            </w:r>
          </w:p>
        </w:tc>
        <w:tc>
          <w:tcPr>
            <w:tcW w:w="53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装置用排水</w:t>
            </w:r>
          </w:p>
        </w:tc>
        <w:tc>
          <w:tcPr>
            <w:tcW w:w="1404"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投入</w:t>
            </w:r>
          </w:p>
        </w:tc>
        <w:tc>
          <w:tcPr>
            <w:tcW w:w="667"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蒸发/循环使用</w:t>
            </w:r>
          </w:p>
        </w:tc>
        <w:tc>
          <w:tcPr>
            <w:tcW w:w="2088"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53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4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新鲜水</w:t>
            </w:r>
          </w:p>
        </w:tc>
        <w:tc>
          <w:tcPr>
            <w:tcW w:w="5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原料中的水</w:t>
            </w:r>
          </w:p>
        </w:tc>
        <w:tc>
          <w:tcPr>
            <w:tcW w:w="4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循环水</w:t>
            </w:r>
          </w:p>
        </w:tc>
        <w:tc>
          <w:tcPr>
            <w:tcW w:w="66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42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进入产品</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排放量</w:t>
            </w:r>
          </w:p>
        </w:tc>
        <w:tc>
          <w:tcPr>
            <w:tcW w:w="11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53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生活污水</w:t>
            </w:r>
          </w:p>
        </w:tc>
        <w:tc>
          <w:tcPr>
            <w:tcW w:w="4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1233</w:t>
            </w:r>
          </w:p>
        </w:tc>
        <w:tc>
          <w:tcPr>
            <w:tcW w:w="5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4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6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246.6</w:t>
            </w:r>
          </w:p>
        </w:tc>
        <w:tc>
          <w:tcPr>
            <w:tcW w:w="42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986.4</w:t>
            </w:r>
          </w:p>
        </w:tc>
        <w:tc>
          <w:tcPr>
            <w:tcW w:w="11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园区污水管网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53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动植物油熔炼</w:t>
            </w:r>
          </w:p>
        </w:tc>
        <w:tc>
          <w:tcPr>
            <w:tcW w:w="4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5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690</w:t>
            </w:r>
          </w:p>
        </w:tc>
        <w:tc>
          <w:tcPr>
            <w:tcW w:w="4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6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103.5</w:t>
            </w:r>
          </w:p>
        </w:tc>
        <w:tc>
          <w:tcPr>
            <w:tcW w:w="42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586.5</w:t>
            </w:r>
          </w:p>
        </w:tc>
        <w:tc>
          <w:tcPr>
            <w:tcW w:w="1188"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水溶肥及生物有机肥生产线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53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皂脚酸化</w:t>
            </w:r>
          </w:p>
        </w:tc>
        <w:tc>
          <w:tcPr>
            <w:tcW w:w="4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5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1050</w:t>
            </w:r>
          </w:p>
        </w:tc>
        <w:tc>
          <w:tcPr>
            <w:tcW w:w="4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6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w:t>
            </w:r>
          </w:p>
        </w:tc>
        <w:tc>
          <w:tcPr>
            <w:tcW w:w="42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1000</w:t>
            </w:r>
          </w:p>
        </w:tc>
        <w:tc>
          <w:tcPr>
            <w:tcW w:w="1188"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53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循环冷却</w:t>
            </w:r>
          </w:p>
        </w:tc>
        <w:tc>
          <w:tcPr>
            <w:tcW w:w="4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1500</w:t>
            </w:r>
          </w:p>
        </w:tc>
        <w:tc>
          <w:tcPr>
            <w:tcW w:w="5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4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4000</w:t>
            </w:r>
          </w:p>
        </w:tc>
        <w:tc>
          <w:tcPr>
            <w:tcW w:w="6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5500</w:t>
            </w:r>
          </w:p>
        </w:tc>
        <w:tc>
          <w:tcPr>
            <w:tcW w:w="42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11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w:t>
            </w:r>
          </w:p>
        </w:tc>
        <w:tc>
          <w:tcPr>
            <w:tcW w:w="53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厂区绿化</w:t>
            </w:r>
          </w:p>
        </w:tc>
        <w:tc>
          <w:tcPr>
            <w:tcW w:w="4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w:t>
            </w:r>
          </w:p>
        </w:tc>
        <w:tc>
          <w:tcPr>
            <w:tcW w:w="5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4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6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w:t>
            </w:r>
          </w:p>
        </w:tc>
        <w:tc>
          <w:tcPr>
            <w:tcW w:w="42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11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w:t>
            </w:r>
          </w:p>
        </w:tc>
        <w:tc>
          <w:tcPr>
            <w:tcW w:w="53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清洗用水</w:t>
            </w:r>
          </w:p>
        </w:tc>
        <w:tc>
          <w:tcPr>
            <w:tcW w:w="4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0.3</w:t>
            </w:r>
          </w:p>
        </w:tc>
        <w:tc>
          <w:tcPr>
            <w:tcW w:w="5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4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6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42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0.3</w:t>
            </w:r>
          </w:p>
        </w:tc>
        <w:tc>
          <w:tcPr>
            <w:tcW w:w="11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委托具有相应处理资质的单位进行处置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w:t>
            </w:r>
          </w:p>
        </w:tc>
        <w:tc>
          <w:tcPr>
            <w:tcW w:w="53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水溶肥生产用水</w:t>
            </w:r>
          </w:p>
        </w:tc>
        <w:tc>
          <w:tcPr>
            <w:tcW w:w="4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3000</w:t>
            </w:r>
          </w:p>
        </w:tc>
        <w:tc>
          <w:tcPr>
            <w:tcW w:w="5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4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6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42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3000</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11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gridSpan w:val="2"/>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小计</w:t>
            </w:r>
          </w:p>
        </w:tc>
        <w:tc>
          <w:tcPr>
            <w:tcW w:w="4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5741.3</w:t>
            </w:r>
          </w:p>
        </w:tc>
        <w:tc>
          <w:tcPr>
            <w:tcW w:w="5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1740</w:t>
            </w:r>
          </w:p>
        </w:tc>
        <w:tc>
          <w:tcPr>
            <w:tcW w:w="4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4000</w:t>
            </w:r>
          </w:p>
        </w:tc>
        <w:tc>
          <w:tcPr>
            <w:tcW w:w="6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5908.1</w:t>
            </w:r>
          </w:p>
        </w:tc>
        <w:tc>
          <w:tcPr>
            <w:tcW w:w="42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3000</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2573.2</w:t>
            </w:r>
          </w:p>
        </w:tc>
        <w:tc>
          <w:tcPr>
            <w:tcW w:w="11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gridSpan w:val="2"/>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404"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11481.3</w:t>
            </w:r>
          </w:p>
        </w:tc>
        <w:tc>
          <w:tcPr>
            <w:tcW w:w="1567"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11481.3</w:t>
            </w:r>
          </w:p>
        </w:tc>
        <w:tc>
          <w:tcPr>
            <w:tcW w:w="11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bl>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drawing>
          <wp:inline distT="0" distB="0" distL="114300" distR="114300">
            <wp:extent cx="5272405" cy="3557905"/>
            <wp:effectExtent l="0" t="0" r="0" b="4445"/>
            <wp:docPr id="11" name="图片 11" descr="C:/Users/Administrator/Desktop/动植物油脂水平衡.png动植物油脂水平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Desktop/动植物油脂水平衡.png动植物油脂水平衡"/>
                    <pic:cNvPicPr>
                      <a:picLocks noChangeAspect="1"/>
                    </pic:cNvPicPr>
                  </pic:nvPicPr>
                  <pic:blipFill>
                    <a:blip r:embed="rId12"/>
                    <a:srcRect t="3517" b="3517"/>
                    <a:stretch>
                      <a:fillRect/>
                    </a:stretch>
                  </pic:blipFill>
                  <pic:spPr>
                    <a:xfrm>
                      <a:off x="0" y="0"/>
                      <a:ext cx="5272405" cy="355790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图 3.2.7-1    项目水平衡图     单位：m</w:t>
      </w:r>
      <w:r>
        <w:rPr>
          <w:rFonts w:hint="eastAsia" w:ascii="Times New Roman" w:hAnsi="Times New Roman" w:eastAsia="宋体" w:cs="Times New Roman"/>
          <w:b/>
          <w:bCs/>
          <w:color w:val="auto"/>
          <w:sz w:val="24"/>
          <w:szCs w:val="24"/>
          <w:vertAlign w:val="superscript"/>
          <w:lang w:val="en-US" w:eastAsia="zh-CN"/>
        </w:rPr>
        <w:t>3</w:t>
      </w:r>
      <w:r>
        <w:rPr>
          <w:rFonts w:hint="eastAsia" w:ascii="Times New Roman" w:hAnsi="Times New Roman" w:eastAsia="宋体" w:cs="Times New Roman"/>
          <w:b/>
          <w:bCs/>
          <w:color w:val="auto"/>
          <w:sz w:val="24"/>
          <w:szCs w:val="24"/>
          <w:lang w:val="en-US" w:eastAsia="zh-CN"/>
        </w:rPr>
        <w:t xml:space="preserve">/a </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3.2.7.3 供电</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拟建项目所需电力由园区供电系统进线送至厂区配电房，厂区配电房设一台800kVA 箱式变压器，保证该生产线供电要求。</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3.2.7.4 供暖</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拟建项目供暖由电锅炉提供，锅炉位于生产车间内，共 3 台，每台额定功率为 60kW。</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3.2.7.5 消防</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（1）火灾危险性类别及建筑耐火等级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根据物质特性，依据《建筑设计防火规范（2018 年版）》（GB50016-2014），根据项目生产及储存物品的性质，拟建工程火灾危险性分类为丁类，建筑耐火等级按二级设计。</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（2）防火分区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拟建项目建筑为耐火等级二级。整体建筑为一个防火分区，所有墙体及装修均采用阻燃材料，满足《建筑设计防火规范》（GB50016-2014）（2018 年版）及《建筑内部装修设计防火规范》的要求平面中各房间门向疏散口开启，房间门至安全出口的距离和门的疏散宽度均符合建筑的防火安全疏散要求。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（3）消防系统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本工程采用临时高压的消防给水系统，设置消防给水泵和消防水池，在建筑物内设置消火栓消防系统。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（一）消火栓消防系统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1、系统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在室外总体内设消防水池。容积为 900m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在消防水泵房内，设各功能分区室内消火栓消防水泵，消防水泵从消防贮水池吸水，供至室内消火栓消防环状管网；</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设厂房消火栓箱，且保证火灾时能有两支水枪同时到达厂房任何部位；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在室外给水管道上设室外消火栓，室内消火栓的间距不大于 120m，保护半径不大于 150m。</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2、消防供电</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火灾报警控制器供电电源按二级负荷考虑。</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电缆敷设完毕后，对所有电缆穿越孔洞用阻燃材料进行封堵，以防火灾蔓延，对于电缆桥架，每隔一定距离设置一段阻燃桥架，同时在此段电缆上涂刷阻燃涂料;高温区域使用耐高温电缆且外涂防火涂料或缠绕防火包带;室内大型变压器下设有事故油池。</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在上述场所及易发生火灾的场所配置适量的手提式或推车式可移动灭火器。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3、消防通讯</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在主控制室设置行政电话分机，兼做消防电话。</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4、照明</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各电气室及操作室等重要作业场所为防止火灾发生，设有应急照明。</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（二）消防贮水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拟建工程设有消防水池，水池容积 900m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，贮存火灾延续时间（室内外消火栓消防系统为 2h；自动喷水灭火系统为 1h）内的消防用水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车间主厂房周围设有环形道路并与厂区道路网连接，车间周围道路宽度为6m 可确保消防车辆通行。 </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3.2.8 储运工程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（1）物料储存</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本项目有机肥采用包装袋盛装，放置生产车间内；水溶肥、油类加工产品采用不锈钢储罐储存，置于生产车间内，酸化油依托6座罐区储罐进行储存。</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（2）物料运输</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本项目原辅材料按照相关要求，工厂原材料的进厂和产品的外运的运输方式均采用陆路汽车运输。运输车辆类型为重型、中型运输车辆，在运输过程中设有防泄漏、散逸、破损的措施。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本项目产生的危险废物暂存于厂区危废暂存间，</w:t>
      </w:r>
      <w:r>
        <w:rPr>
          <w:rFonts w:hint="eastAsia" w:ascii="Times New Roman" w:hAnsi="Times New Roman" w:eastAsia="宋体" w:cs="Times New Roman"/>
          <w:color w:val="auto"/>
          <w:sz w:val="24"/>
          <w:szCs w:val="24"/>
          <w:lang w:val="en-US" w:eastAsia="zh-CN"/>
        </w:rPr>
        <w:t>危废暂存间的建设按照《危险废物贮存污染控制标准》（GB18597-2023）的要求进行建设，</w:t>
      </w:r>
      <w:r>
        <w:rPr>
          <w:rFonts w:hint="default" w:ascii="Times New Roman" w:hAnsi="Times New Roman" w:eastAsia="宋体" w:cs="Times New Roman"/>
          <w:color w:val="auto"/>
          <w:sz w:val="24"/>
          <w:szCs w:val="24"/>
          <w:lang w:val="en-US" w:eastAsia="zh-CN"/>
        </w:rPr>
        <w:t>按照《建设项目危险废物环境影响评价指南》的要求管理运行，转移过程按《危险废物转移管理办法》（部令第 23 号，2021 年 11 月 30 日）执行，以符合要求的专用车辆运输至危废接收单位。</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color w:val="auto"/>
          <w:sz w:val="24"/>
          <w:szCs w:val="24"/>
          <w:lang w:val="en-US" w:eastAsia="zh-CN"/>
        </w:rPr>
      </w:pPr>
      <w:bookmarkStart w:id="15" w:name="_Toc11641"/>
      <w:r>
        <w:rPr>
          <w:rFonts w:hint="eastAsia" w:ascii="Times New Roman" w:hAnsi="Times New Roman" w:eastAsia="宋体" w:cs="Times New Roman"/>
          <w:b/>
          <w:bCs/>
          <w:color w:val="auto"/>
          <w:sz w:val="30"/>
          <w:szCs w:val="30"/>
          <w:lang w:val="en-US" w:eastAsia="zh-CN"/>
        </w:rPr>
        <w:t>3.3 环境影响因素分析</w:t>
      </w:r>
      <w:bookmarkEnd w:id="15"/>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3.3.1 生产工艺流程及产污环节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拟建项目新建 4 条生产线，主要为生物有机肥生产线、水溶肥生产线、</w:t>
      </w:r>
      <w:r>
        <w:rPr>
          <w:rFonts w:hint="eastAsia" w:ascii="Times New Roman" w:hAnsi="Times New Roman" w:eastAsia="宋体" w:cs="Times New Roman"/>
          <w:color w:val="auto"/>
          <w:sz w:val="24"/>
          <w:szCs w:val="24"/>
          <w:highlight w:val="none"/>
          <w:lang w:val="en-US" w:eastAsia="zh-CN"/>
        </w:rPr>
        <w:t>生物燃料</w:t>
      </w:r>
      <w:r>
        <w:rPr>
          <w:rFonts w:hint="eastAsia" w:ascii="Times New Roman" w:hAnsi="Times New Roman" w:eastAsia="宋体" w:cs="Times New Roman"/>
          <w:color w:val="auto"/>
          <w:sz w:val="24"/>
          <w:szCs w:val="24"/>
          <w:lang w:val="en-US" w:eastAsia="zh-CN"/>
        </w:rPr>
        <w:t>生产线、及饲料油、磷脂油加工生产线。</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3.3.1.1 生物有机肥生产工艺流程</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4"/>
          <w:szCs w:val="24"/>
          <w:lang w:val="en-US" w:eastAsia="zh-CN"/>
        </w:rPr>
      </w:pPr>
      <w:r>
        <w:rPr>
          <w:color w:val="auto"/>
        </w:rPr>
        <w:drawing>
          <wp:inline distT="0" distB="0" distL="114300" distR="114300">
            <wp:extent cx="5567680" cy="1377950"/>
            <wp:effectExtent l="0" t="0" r="0" b="12700"/>
            <wp:docPr id="5" name="图片 5" descr="C:/Users/Administrator/Desktop/未命名文件(57).png未命名文件(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Desktop/未命名文件(57).png未命名文件(57)"/>
                    <pic:cNvPicPr>
                      <a:picLocks noChangeAspect="1"/>
                    </pic:cNvPicPr>
                  </pic:nvPicPr>
                  <pic:blipFill>
                    <a:blip r:embed="rId13"/>
                    <a:srcRect t="6079" b="6079"/>
                    <a:stretch>
                      <a:fillRect/>
                    </a:stretch>
                  </pic:blipFill>
                  <pic:spPr>
                    <a:xfrm>
                      <a:off x="0" y="0"/>
                      <a:ext cx="5567680" cy="13779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图 3.3.1-1   生物有机肥生产工艺流程图（G：废气、N：噪声）</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本项目生物有机肥生产线原料是以外购的半成品有机肥（牛羊粪沤肥）、水溶肥生产线产生的下脚料、废白土及助滤剂压榨产生的油渣、动植物油水解产生的下脚料及皂脚酸化产生的下脚料。</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（1）发酵</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本项目牛羊粪发酵在发酵罐内进行，发酵罐容积为 100m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项目发酵工艺采用好氧发酵，好氧发酵是在通气条件好，氧气充足的条件下，好氧菌对废物进行吸收、氧化以及分解的过程。好氧微生物通过自身的生命活动，把一部分被吸收的有机物氧化成简单的无机物，同时释放可供微生物生长活动所需的能量，而另一部分有机物则被合成新的细胞质，使生物不断生长繁殖，产生出更多生物体。</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靠自然通风和翻堆物料与空气接触提供的氧气进行连续好氧发酵，发酵周期约 3-5d。</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（2）半成品加工处理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发酵好的牛羊粪及植物秸秆、外购的半成品有机肥（牛羊粪沤肥）、水溶肥生产线产生的下脚料、废白土及助滤剂压榨产生的油渣、动植物油水解产生的下脚料及皂脚酸化产生的下脚料投入破碎机进行破碎处理，将块状原料破碎后投入筛分机进行筛分，将大块颗粒筛下运至破碎机重新打碎，筛分后的小颗粒进入造粒工序，造粒出的颗粒肥料进入筛分机进行第二次筛分，不合格粒径的小颗粒返回造粒工序重新造粒，合格粒径的肥料送至包装设备包装处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（2）包装</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有机肥包装成袋，放入生产车间中待售，包装规格为40kg/袋及1t/袋。 </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3.3.1.2 生物燃料及钻井石油助剂生产工艺流程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w:t>
      </w:r>
      <w:r>
        <w:rPr>
          <w:rFonts w:hint="eastAsia" w:ascii="Times New Roman" w:hAnsi="Times New Roman" w:eastAsia="宋体" w:cs="Times New Roman"/>
          <w:color w:val="auto"/>
          <w:sz w:val="24"/>
          <w:szCs w:val="24"/>
          <w:highlight w:val="none"/>
          <w:lang w:val="en-US" w:eastAsia="zh-CN"/>
        </w:rPr>
        <w:t>生物燃料</w:t>
      </w:r>
      <w:r>
        <w:rPr>
          <w:rFonts w:hint="eastAsia" w:ascii="Times New Roman" w:hAnsi="Times New Roman" w:eastAsia="宋体" w:cs="Times New Roman"/>
          <w:color w:val="auto"/>
          <w:sz w:val="24"/>
          <w:szCs w:val="24"/>
          <w:lang w:val="en-US" w:eastAsia="zh-CN"/>
        </w:rPr>
        <w:t>生产线是</w:t>
      </w:r>
      <w:r>
        <w:rPr>
          <w:rFonts w:hint="default" w:ascii="Times New Roman" w:hAnsi="Times New Roman" w:eastAsia="宋体" w:cs="Times New Roman"/>
          <w:color w:val="auto"/>
          <w:sz w:val="24"/>
          <w:szCs w:val="24"/>
          <w:lang w:val="en-US" w:eastAsia="zh-CN"/>
        </w:rPr>
        <w:t>将皂脚酸化产生的皂脚酸化油，</w:t>
      </w:r>
      <w:r>
        <w:rPr>
          <w:rFonts w:hint="eastAsia" w:ascii="Times New Roman" w:hAnsi="Times New Roman" w:eastAsia="宋体" w:cs="Times New Roman"/>
          <w:color w:val="auto"/>
          <w:sz w:val="24"/>
          <w:szCs w:val="24"/>
          <w:lang w:val="en-US" w:eastAsia="zh-CN"/>
        </w:rPr>
        <w:t>在加入动物油、甲醇、硫酸等，</w:t>
      </w:r>
      <w:r>
        <w:rPr>
          <w:rFonts w:hint="default" w:ascii="Times New Roman" w:hAnsi="Times New Roman" w:eastAsia="宋体" w:cs="Times New Roman"/>
          <w:color w:val="auto"/>
          <w:sz w:val="24"/>
          <w:szCs w:val="24"/>
          <w:lang w:val="en-US" w:eastAsia="zh-CN"/>
        </w:rPr>
        <w:t>采用酸化、</w:t>
      </w:r>
      <w:r>
        <w:rPr>
          <w:rFonts w:hint="eastAsia" w:ascii="Times New Roman" w:hAnsi="Times New Roman" w:eastAsia="宋体" w:cs="Times New Roman"/>
          <w:color w:val="auto"/>
          <w:sz w:val="24"/>
          <w:szCs w:val="24"/>
          <w:lang w:val="en-US" w:eastAsia="zh-CN"/>
        </w:rPr>
        <w:t>酯化</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酯</w:t>
      </w:r>
      <w:r>
        <w:rPr>
          <w:rFonts w:hint="default" w:ascii="Times New Roman" w:hAnsi="Times New Roman" w:eastAsia="宋体" w:cs="Times New Roman"/>
          <w:color w:val="auto"/>
          <w:sz w:val="24"/>
          <w:szCs w:val="24"/>
          <w:lang w:val="en-US" w:eastAsia="zh-CN"/>
        </w:rPr>
        <w:t>交换的方法来制取生物燃料</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本项目生物燃料及钻井石油助剂生产工艺流程详见下图。</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drawing>
          <wp:inline distT="0" distB="0" distL="114300" distR="114300">
            <wp:extent cx="5768975" cy="2440940"/>
            <wp:effectExtent l="0" t="0" r="3175" b="0"/>
            <wp:docPr id="59" name="图片 59" descr="C:/Users/Administrator/Desktop/未命名文件(69).png未命名文件(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Users/Administrator/Desktop/未命名文件(69).png未命名文件(69)"/>
                    <pic:cNvPicPr>
                      <a:picLocks noChangeAspect="1"/>
                    </pic:cNvPicPr>
                  </pic:nvPicPr>
                  <pic:blipFill>
                    <a:blip r:embed="rId14"/>
                    <a:srcRect l="1158" r="1158"/>
                    <a:stretch>
                      <a:fillRect/>
                    </a:stretch>
                  </pic:blipFill>
                  <pic:spPr>
                    <a:xfrm>
                      <a:off x="0" y="0"/>
                      <a:ext cx="5768975" cy="244094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482"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图3.3.1-2  生物燃料及钻井石油助剂生产线工艺流程图（G：废气、N：噪声）</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本项目皂脚从周边企业购买，皂脚运输至车间内储存在皂脚储存池内，皂脚储存池容积为 1000m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，在皂脚储存过程中会产生恶臭。</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皂脚酸化反应在封闭的</w:t>
      </w:r>
      <w:r>
        <w:rPr>
          <w:rFonts w:hint="eastAsia" w:ascii="Times New Roman" w:hAnsi="Times New Roman" w:eastAsia="宋体" w:cs="Times New Roman"/>
          <w:color w:val="auto"/>
          <w:sz w:val="24"/>
          <w:szCs w:val="24"/>
          <w:lang w:val="en-US" w:eastAsia="zh-CN"/>
        </w:rPr>
        <w:t>皂脚酸化池</w:t>
      </w:r>
      <w:r>
        <w:rPr>
          <w:rFonts w:hint="default" w:ascii="Times New Roman" w:hAnsi="Times New Roman" w:eastAsia="宋体" w:cs="Times New Roman"/>
          <w:color w:val="auto"/>
          <w:sz w:val="24"/>
          <w:szCs w:val="24"/>
          <w:lang w:val="en-US" w:eastAsia="zh-CN"/>
        </w:rPr>
        <w:t>中进行。皂脚呈碱性，为了让产品呈中性，通过管送方式往皂脚加入一定量的</w:t>
      </w:r>
      <w:r>
        <w:rPr>
          <w:rFonts w:hint="eastAsia" w:ascii="Times New Roman" w:hAnsi="Times New Roman" w:eastAsia="宋体" w:cs="Times New Roman"/>
          <w:color w:val="auto"/>
          <w:sz w:val="24"/>
          <w:szCs w:val="24"/>
          <w:lang w:val="en-US" w:eastAsia="zh-CN"/>
        </w:rPr>
        <w:t>硫酸</w:t>
      </w:r>
      <w:r>
        <w:rPr>
          <w:rFonts w:hint="default" w:ascii="Times New Roman" w:hAnsi="Times New Roman" w:eastAsia="宋体" w:cs="Times New Roman"/>
          <w:color w:val="auto"/>
          <w:sz w:val="24"/>
          <w:szCs w:val="24"/>
          <w:lang w:val="en-US" w:eastAsia="zh-CN"/>
        </w:rPr>
        <w:t>进行酸化并将皂脚中杂质分解，再</w:t>
      </w:r>
      <w:r>
        <w:rPr>
          <w:rFonts w:hint="eastAsia" w:ascii="Times New Roman" w:hAnsi="Times New Roman" w:eastAsia="宋体" w:cs="Times New Roman"/>
          <w:color w:val="auto"/>
          <w:sz w:val="24"/>
          <w:szCs w:val="24"/>
          <w:lang w:val="en-US" w:eastAsia="zh-CN"/>
        </w:rPr>
        <w:t>进行搅拌反应</w:t>
      </w:r>
      <w:r>
        <w:rPr>
          <w:rFonts w:hint="default" w:ascii="Times New Roman" w:hAnsi="Times New Roman" w:eastAsia="宋体" w:cs="Times New Roman"/>
          <w:color w:val="auto"/>
          <w:sz w:val="24"/>
          <w:szCs w:val="24"/>
          <w:lang w:val="en-US" w:eastAsia="zh-CN"/>
        </w:rPr>
        <w:t>，以加快油水分离，此时，植物油成分和水将逐渐分层</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皂脚中皂钠与</w:t>
      </w:r>
      <w:r>
        <w:rPr>
          <w:rFonts w:hint="eastAsia" w:ascii="Times New Roman" w:hAnsi="Times New Roman" w:eastAsia="宋体" w:cs="Times New Roman"/>
          <w:color w:val="auto"/>
          <w:sz w:val="24"/>
          <w:szCs w:val="24"/>
          <w:lang w:val="en-US" w:eastAsia="zh-CN"/>
        </w:rPr>
        <w:t>硫酸</w:t>
      </w:r>
      <w:r>
        <w:rPr>
          <w:rFonts w:hint="default" w:ascii="Times New Roman" w:hAnsi="Times New Roman" w:eastAsia="宋体" w:cs="Times New Roman"/>
          <w:color w:val="auto"/>
          <w:sz w:val="24"/>
          <w:szCs w:val="24"/>
          <w:lang w:val="en-US" w:eastAsia="zh-CN"/>
        </w:rPr>
        <w:t>的反应方程式如下：</w:t>
      </w:r>
    </w:p>
    <w:p>
      <w:pPr>
        <w:keepNext w:val="0"/>
        <w:keepLines w:val="0"/>
        <w:pageBreakBefore w:val="0"/>
        <w:widowControl w:val="0"/>
        <w:kinsoku/>
        <w:wordWrap/>
        <w:overflowPunct/>
        <w:topLinePunct w:val="0"/>
        <w:autoSpaceDE/>
        <w:autoSpaceDN/>
        <w:bidi w:val="0"/>
        <w:adjustRightInd/>
        <w:snapToGrid/>
        <w:spacing w:line="560" w:lineRule="exact"/>
        <w:ind w:firstLine="0" w:firstLineChars="0"/>
        <w:jc w:val="center"/>
        <w:textAlignment w:val="auto"/>
        <w:outlineLvl w:val="9"/>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RCOONa+</w:t>
      </w:r>
      <w:r>
        <w:rPr>
          <w:rFonts w:hint="eastAsia" w:ascii="Times New Roman" w:hAnsi="Times New Roman" w:eastAsia="宋体" w:cs="Times New Roman"/>
          <w:color w:val="auto"/>
          <w:sz w:val="24"/>
          <w:szCs w:val="24"/>
          <w:lang w:val="en-US" w:eastAsia="zh-CN"/>
        </w:rPr>
        <w:t>H</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vertAlign w:val="baseline"/>
          <w:lang w:val="en-US" w:eastAsia="zh-CN"/>
        </w:rPr>
        <w:t>S</w:t>
      </w:r>
      <w:r>
        <w:rPr>
          <w:rFonts w:hint="default" w:ascii="Times New Roman" w:hAnsi="Times New Roman" w:eastAsia="宋体" w:cs="Times New Roman"/>
          <w:color w:val="auto"/>
          <w:sz w:val="24"/>
          <w:szCs w:val="24"/>
          <w:lang w:val="en-US" w:eastAsia="zh-CN"/>
        </w:rPr>
        <w:t>O</w:t>
      </w:r>
      <w:r>
        <w:rPr>
          <w:rFonts w:hint="default" w:ascii="Times New Roman" w:hAnsi="Times New Roman" w:eastAsia="宋体" w:cs="Times New Roman"/>
          <w:color w:val="auto"/>
          <w:sz w:val="24"/>
          <w:szCs w:val="24"/>
          <w:vertAlign w:val="subscript"/>
          <w:lang w:val="en-US" w:eastAsia="zh-CN"/>
        </w:rPr>
        <w:t>4</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RCOOH+Na</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vertAlign w:val="baseline"/>
          <w:lang w:val="en-US" w:eastAsia="zh-CN"/>
        </w:rPr>
        <w:t>S</w:t>
      </w:r>
      <w:r>
        <w:rPr>
          <w:rFonts w:hint="default" w:ascii="Times New Roman" w:hAnsi="Times New Roman" w:eastAsia="宋体" w:cs="Times New Roman"/>
          <w:color w:val="auto"/>
          <w:sz w:val="24"/>
          <w:szCs w:val="24"/>
          <w:lang w:val="en-US" w:eastAsia="zh-CN"/>
        </w:rPr>
        <w:t>O</w:t>
      </w:r>
      <w:r>
        <w:rPr>
          <w:rFonts w:hint="default" w:ascii="Times New Roman" w:hAnsi="Times New Roman" w:eastAsia="宋体" w:cs="Times New Roman"/>
          <w:color w:val="auto"/>
          <w:sz w:val="24"/>
          <w:szCs w:val="24"/>
          <w:vertAlign w:val="subscript"/>
          <w:lang w:val="en-US" w:eastAsia="zh-CN"/>
        </w:rPr>
        <w:t>4</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皂脚和油脚中少量的碱与</w:t>
      </w:r>
      <w:r>
        <w:rPr>
          <w:rFonts w:hint="eastAsia" w:ascii="Times New Roman" w:hAnsi="Times New Roman" w:eastAsia="宋体" w:cs="Times New Roman"/>
          <w:color w:val="auto"/>
          <w:sz w:val="24"/>
          <w:szCs w:val="24"/>
          <w:lang w:val="en-US" w:eastAsia="zh-CN"/>
        </w:rPr>
        <w:t>硫酸</w:t>
      </w:r>
      <w:r>
        <w:rPr>
          <w:rFonts w:hint="default" w:ascii="Times New Roman" w:hAnsi="Times New Roman" w:eastAsia="宋体" w:cs="Times New Roman"/>
          <w:color w:val="auto"/>
          <w:sz w:val="24"/>
          <w:szCs w:val="24"/>
          <w:lang w:val="en-US" w:eastAsia="zh-CN"/>
        </w:rPr>
        <w:t>的反应方程式如下：</w:t>
      </w:r>
    </w:p>
    <w:p>
      <w:pPr>
        <w:keepNext w:val="0"/>
        <w:keepLines w:val="0"/>
        <w:pageBreakBefore w:val="0"/>
        <w:widowControl w:val="0"/>
        <w:kinsoku/>
        <w:wordWrap/>
        <w:overflowPunct/>
        <w:topLinePunct w:val="0"/>
        <w:autoSpaceDE/>
        <w:autoSpaceDN/>
        <w:bidi w:val="0"/>
        <w:adjustRightInd/>
        <w:snapToGrid/>
        <w:spacing w:line="560" w:lineRule="exact"/>
        <w:ind w:firstLine="0" w:firstLineChars="0"/>
        <w:jc w:val="center"/>
        <w:textAlignment w:val="auto"/>
        <w:outlineLvl w:val="9"/>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NaOH+H</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S</w:t>
      </w:r>
      <w:r>
        <w:rPr>
          <w:rFonts w:hint="default" w:ascii="Times New Roman" w:hAnsi="Times New Roman" w:eastAsia="宋体" w:cs="Times New Roman"/>
          <w:color w:val="auto"/>
          <w:sz w:val="24"/>
          <w:szCs w:val="24"/>
          <w:lang w:val="en-US" w:eastAsia="zh-CN"/>
        </w:rPr>
        <w:t>O</w:t>
      </w:r>
      <w:r>
        <w:rPr>
          <w:rFonts w:hint="default" w:ascii="Times New Roman" w:hAnsi="Times New Roman" w:eastAsia="宋体" w:cs="Times New Roman"/>
          <w:color w:val="auto"/>
          <w:sz w:val="24"/>
          <w:szCs w:val="24"/>
          <w:vertAlign w:val="subscript"/>
          <w:lang w:val="en-US" w:eastAsia="zh-CN"/>
        </w:rPr>
        <w:t>4</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H</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O+Na</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S</w:t>
      </w:r>
      <w:r>
        <w:rPr>
          <w:rFonts w:hint="default" w:ascii="Times New Roman" w:hAnsi="Times New Roman" w:eastAsia="宋体" w:cs="Times New Roman"/>
          <w:color w:val="auto"/>
          <w:sz w:val="24"/>
          <w:szCs w:val="24"/>
          <w:lang w:val="en-US" w:eastAsia="zh-CN"/>
        </w:rPr>
        <w:t>O</w:t>
      </w:r>
      <w:r>
        <w:rPr>
          <w:rFonts w:hint="eastAsia" w:ascii="Times New Roman" w:hAnsi="Times New Roman" w:eastAsia="宋体" w:cs="Times New Roman"/>
          <w:color w:val="auto"/>
          <w:sz w:val="24"/>
          <w:szCs w:val="24"/>
          <w:vertAlign w:val="subscript"/>
          <w:lang w:val="en-US" w:eastAsia="zh-CN"/>
        </w:rPr>
        <w:t>4</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outlineLvl w:val="9"/>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highlight w:val="none"/>
          <w:lang w:val="en-US" w:eastAsia="zh-CN"/>
        </w:rPr>
        <w:t>生物燃料</w:t>
      </w:r>
      <w:r>
        <w:rPr>
          <w:rFonts w:hint="eastAsia" w:ascii="Times New Roman" w:hAnsi="Times New Roman" w:eastAsia="宋体" w:cs="Times New Roman"/>
          <w:color w:val="auto"/>
          <w:sz w:val="24"/>
          <w:szCs w:val="24"/>
          <w:lang w:val="en-US" w:eastAsia="zh-CN"/>
        </w:rPr>
        <w:t>生产</w:t>
      </w:r>
      <w:r>
        <w:rPr>
          <w:rFonts w:hint="default" w:ascii="Times New Roman" w:hAnsi="Times New Roman" w:eastAsia="宋体" w:cs="Times New Roman"/>
          <w:color w:val="auto"/>
          <w:sz w:val="24"/>
          <w:szCs w:val="24"/>
          <w:lang w:val="en-US" w:eastAsia="zh-CN"/>
        </w:rPr>
        <w:t>过程中由于加入一定量的</w:t>
      </w:r>
      <w:r>
        <w:rPr>
          <w:rFonts w:hint="eastAsia" w:ascii="Times New Roman" w:hAnsi="Times New Roman" w:eastAsia="宋体" w:cs="Times New Roman"/>
          <w:color w:val="auto"/>
          <w:sz w:val="24"/>
          <w:szCs w:val="24"/>
          <w:lang w:val="en-US" w:eastAsia="zh-CN"/>
        </w:rPr>
        <w:t>甲醇</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会挥发出少部分的甲醇气，通过在酯化釜上方设置甲醇分离器回收甲醇</w:t>
      </w:r>
      <w:r>
        <w:rPr>
          <w:rFonts w:hint="default" w:ascii="Times New Roman" w:hAnsi="Times New Roman" w:eastAsia="宋体" w:cs="Times New Roman"/>
          <w:color w:val="auto"/>
          <w:sz w:val="24"/>
          <w:szCs w:val="24"/>
          <w:lang w:val="en-US" w:eastAsia="zh-CN"/>
        </w:rPr>
        <w:t>。此外，皂脚和油脚在生产过程中会有</w:t>
      </w:r>
      <w:r>
        <w:rPr>
          <w:rFonts w:hint="eastAsia" w:ascii="Times New Roman" w:hAnsi="Times New Roman" w:eastAsia="宋体" w:cs="Times New Roman"/>
          <w:color w:val="auto"/>
          <w:sz w:val="24"/>
          <w:szCs w:val="24"/>
          <w:lang w:val="en-US" w:eastAsia="zh-CN"/>
        </w:rPr>
        <w:t>微量</w:t>
      </w:r>
      <w:r>
        <w:rPr>
          <w:rFonts w:hint="default" w:ascii="Times New Roman" w:hAnsi="Times New Roman" w:eastAsia="宋体" w:cs="Times New Roman"/>
          <w:color w:val="auto"/>
          <w:sz w:val="24"/>
          <w:szCs w:val="24"/>
          <w:lang w:val="en-US" w:eastAsia="zh-CN"/>
        </w:rPr>
        <w:t>的有机废气。</w:t>
      </w:r>
      <w:r>
        <w:rPr>
          <w:rFonts w:hint="eastAsia" w:ascii="Times New Roman" w:hAnsi="Times New Roman" w:eastAsia="宋体" w:cs="Times New Roman"/>
          <w:color w:val="auto"/>
          <w:sz w:val="24"/>
          <w:szCs w:val="24"/>
          <w:lang w:val="en-US" w:eastAsia="zh-CN"/>
        </w:rPr>
        <w:t>皂脚酸化产生的的酸化油作为</w:t>
      </w:r>
      <w:r>
        <w:rPr>
          <w:rFonts w:hint="eastAsia" w:ascii="Times New Roman" w:hAnsi="Times New Roman" w:eastAsia="宋体" w:cs="Times New Roman"/>
          <w:color w:val="auto"/>
          <w:sz w:val="24"/>
          <w:szCs w:val="24"/>
          <w:highlight w:val="none"/>
          <w:lang w:val="en-US" w:eastAsia="zh-CN"/>
        </w:rPr>
        <w:t>生物燃料</w:t>
      </w:r>
      <w:r>
        <w:rPr>
          <w:rFonts w:hint="eastAsia" w:ascii="Times New Roman" w:hAnsi="Times New Roman" w:eastAsia="宋体" w:cs="Times New Roman"/>
          <w:color w:val="auto"/>
          <w:sz w:val="24"/>
          <w:szCs w:val="24"/>
          <w:lang w:val="en-US" w:eastAsia="zh-CN"/>
        </w:rPr>
        <w:t>生产线原料，皂脚酸化产生的下脚料外售。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outlineLvl w:val="9"/>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通过皂脚酸化反应得到的皂脚酸化油、动物油</w:t>
      </w:r>
      <w:r>
        <w:rPr>
          <w:rFonts w:hint="eastAsia" w:ascii="Times New Roman" w:hAnsi="Times New Roman" w:eastAsia="宋体" w:cs="Times New Roman"/>
          <w:color w:val="auto"/>
          <w:sz w:val="24"/>
          <w:szCs w:val="24"/>
          <w:lang w:val="en-US" w:eastAsia="zh-CN"/>
        </w:rPr>
        <w:t>、饲料油、磷脂油、餐厨废油</w:t>
      </w:r>
      <w:r>
        <w:rPr>
          <w:rFonts w:hint="default" w:ascii="Times New Roman" w:hAnsi="Times New Roman" w:eastAsia="宋体" w:cs="Times New Roman"/>
          <w:color w:val="auto"/>
          <w:sz w:val="24"/>
          <w:szCs w:val="24"/>
          <w:lang w:val="en-US" w:eastAsia="zh-CN"/>
        </w:rPr>
        <w:t>与甲醇按一定比例混合，加入</w:t>
      </w:r>
      <w:r>
        <w:rPr>
          <w:rFonts w:hint="eastAsia" w:ascii="Times New Roman" w:hAnsi="Times New Roman" w:eastAsia="宋体" w:cs="Times New Roman"/>
          <w:color w:val="auto"/>
          <w:sz w:val="24"/>
          <w:szCs w:val="24"/>
          <w:lang w:val="en-US" w:eastAsia="zh-CN"/>
        </w:rPr>
        <w:t>硫酸</w:t>
      </w:r>
      <w:r>
        <w:rPr>
          <w:rFonts w:hint="default" w:ascii="Times New Roman" w:hAnsi="Times New Roman" w:eastAsia="宋体" w:cs="Times New Roman"/>
          <w:color w:val="auto"/>
          <w:sz w:val="24"/>
          <w:szCs w:val="24"/>
          <w:lang w:val="en-US" w:eastAsia="zh-CN"/>
        </w:rPr>
        <w:t>催化剂，然后</w:t>
      </w:r>
      <w:r>
        <w:rPr>
          <w:rFonts w:hint="eastAsia" w:ascii="Times New Roman" w:hAnsi="Times New Roman" w:eastAsia="宋体" w:cs="Times New Roman"/>
          <w:color w:val="auto"/>
          <w:sz w:val="24"/>
          <w:szCs w:val="24"/>
          <w:lang w:val="en-US" w:eastAsia="zh-CN"/>
        </w:rPr>
        <w:t>通过酯化釜进行搅拌反应</w:t>
      </w:r>
      <w:r>
        <w:rPr>
          <w:rFonts w:hint="default" w:ascii="Times New Roman" w:hAnsi="Times New Roman" w:eastAsia="宋体" w:cs="Times New Roman"/>
          <w:color w:val="auto"/>
          <w:sz w:val="24"/>
          <w:szCs w:val="24"/>
          <w:lang w:val="en-US" w:eastAsia="zh-CN"/>
        </w:rPr>
        <w:t>，最后得到脂肪酸甲酯。催化剂用量</w:t>
      </w:r>
      <w:r>
        <w:rPr>
          <w:rFonts w:hint="eastAsia" w:ascii="Times New Roman" w:hAnsi="Times New Roman" w:eastAsia="宋体" w:cs="Times New Roman"/>
          <w:color w:val="auto"/>
          <w:sz w:val="24"/>
          <w:szCs w:val="24"/>
          <w:lang w:val="en-US" w:eastAsia="zh-CN"/>
        </w:rPr>
        <w:t>为总量的</w:t>
      </w:r>
      <w:r>
        <w:rPr>
          <w:rFonts w:hint="default" w:ascii="Times New Roman" w:hAnsi="Times New Roman" w:eastAsia="宋体" w:cs="Times New Roman"/>
          <w:color w:val="auto"/>
          <w:sz w:val="24"/>
          <w:szCs w:val="24"/>
          <w:lang w:val="en-US" w:eastAsia="zh-CN"/>
        </w:rPr>
        <w:t xml:space="preserve"> </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%，反应温度</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80℃，反应时间 4h 时，脂肪酸</w:t>
      </w:r>
      <w:r>
        <w:rPr>
          <w:rFonts w:hint="eastAsia" w:ascii="Times New Roman" w:hAnsi="Times New Roman" w:eastAsia="宋体" w:cs="Times New Roman"/>
          <w:color w:val="auto"/>
          <w:sz w:val="24"/>
          <w:szCs w:val="24"/>
          <w:lang w:val="en-US" w:eastAsia="zh-CN"/>
        </w:rPr>
        <w:t>甲酯</w:t>
      </w:r>
      <w:r>
        <w:rPr>
          <w:rFonts w:hint="default" w:ascii="Times New Roman" w:hAnsi="Times New Roman" w:eastAsia="宋体" w:cs="Times New Roman"/>
          <w:color w:val="auto"/>
          <w:sz w:val="24"/>
          <w:szCs w:val="24"/>
          <w:lang w:val="en-US" w:eastAsia="zh-CN"/>
        </w:rPr>
        <w:t xml:space="preserve">的得率达到 </w:t>
      </w:r>
      <w:r>
        <w:rPr>
          <w:rFonts w:hint="eastAsia" w:ascii="Times New Roman" w:hAnsi="Times New Roman" w:eastAsia="宋体" w:cs="Times New Roman"/>
          <w:color w:val="auto"/>
          <w:sz w:val="24"/>
          <w:szCs w:val="24"/>
          <w:lang w:val="en-US" w:eastAsia="zh-CN"/>
        </w:rPr>
        <w:t>75</w:t>
      </w:r>
      <w:r>
        <w:rPr>
          <w:rFonts w:hint="default" w:ascii="Times New Roman" w:hAnsi="Times New Roman" w:eastAsia="宋体" w:cs="Times New Roman"/>
          <w:color w:val="auto"/>
          <w:sz w:val="24"/>
          <w:szCs w:val="24"/>
          <w:lang w:val="en-US" w:eastAsia="zh-CN"/>
        </w:rPr>
        <w:t>%。在反应过程中，催化剂起到了加速反应的作用，同时也可以</w:t>
      </w:r>
      <w:r>
        <w:rPr>
          <w:rFonts w:hint="eastAsia" w:ascii="Times New Roman" w:hAnsi="Times New Roman" w:eastAsia="宋体" w:cs="Times New Roman"/>
          <w:color w:val="auto"/>
          <w:sz w:val="24"/>
          <w:szCs w:val="24"/>
          <w:lang w:val="en-US" w:eastAsia="zh-CN"/>
        </w:rPr>
        <w:t>阻止逆反应</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outlineLvl w:val="9"/>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将产生的脂肪酸甲酯一部分通入车间内的储罐内等待外售，一部分与酸化油、罐底植物油、工业白油、二甲基硅油通入中和罐内进行搅拌，搅拌完成后出来的产品为钻井石油助剂，该产品采用镀锌桶装等待外售。</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3.3.1.3 水溶肥生产工艺流程</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4"/>
          <w:szCs w:val="24"/>
          <w:lang w:val="en-US" w:eastAsia="zh-CN"/>
        </w:rPr>
      </w:pPr>
      <w:r>
        <w:rPr>
          <w:color w:val="auto"/>
        </w:rPr>
        <w:drawing>
          <wp:inline distT="0" distB="0" distL="114300" distR="114300">
            <wp:extent cx="5469255" cy="2938145"/>
            <wp:effectExtent l="0" t="0" r="0" b="0"/>
            <wp:docPr id="3" name="图片 3" descr="C:/Users/Administrator/Desktop/未命名文件(70).png未命名文件(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Desktop/未命名文件(70).png未命名文件(70)"/>
                    <pic:cNvPicPr>
                      <a:picLocks noChangeAspect="1"/>
                    </pic:cNvPicPr>
                  </pic:nvPicPr>
                  <pic:blipFill>
                    <a:blip r:embed="rId15"/>
                    <a:srcRect t="2897" b="2897"/>
                    <a:stretch>
                      <a:fillRect/>
                    </a:stretch>
                  </pic:blipFill>
                  <pic:spPr>
                    <a:xfrm>
                      <a:off x="0" y="0"/>
                      <a:ext cx="5469255" cy="293814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图3.3.1-3    水溶肥生产工艺流程图（G：废气）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（1）pH值</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水溶肥产品为纯液态有机水溶肥，产品主要原料为新鲜水、含氮磷钾辅料及动植物油熔炼回收工艺、油酸生产工艺所产生的含油废水。将新鲜水、含氮磷钾辅料及含油废水通入溶解槽，本项目溶解槽是一地上罐状容器，在通入原料和添加辅料环节中会有一部分氨气由呼吸口排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由于现有皂脚酸化工艺中加入了硫酸，产生的油脂废水一般呈酸性，需要向溶解槽内加入 20% 浓度的氨水调节 pH 值至弱酸性，并且可以通过此步骤向水溶肥商品中增加氮源，通过硫酸与氨水间的化学反应将会产生硫酸氨和水，其中硫酸氨是一种优良的氮肥成分，适用于一般土壤和农作物，能使作物生长旺盛反应釜化学反应式为：</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color w:val="auto"/>
          <w:position w:val="-12"/>
        </w:rPr>
        <w:object>
          <v:shape id="_x0000_i1026" o:spt="75" type="#_x0000_t75" style="height:19pt;width:227pt;" o:ole="t" filled="f" o:preferrelative="t" stroked="f" coordsize="21600,21600">
            <v:path/>
            <v:fill on="f" focussize="0,0"/>
            <v:stroke on="f"/>
            <v:imagedata r:id="rId17" o:title=""/>
            <o:lock v:ext="edit" aspectratio="t"/>
            <w10:wrap type="none"/>
            <w10:anchorlock/>
          </v:shape>
          <o:OLEObject Type="Embed" ProgID="Equation.KSEE3" ShapeID="_x0000_i1026" DrawAspect="Content" ObjectID="_1468075726" r:id="rId16">
            <o:LockedField>false</o:LockedField>
          </o:OLEObject>
        </w:objec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（2）添加磷酸二氢钾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调好pH的水溶肥需要再添加磷酸二氢钾（KHPO</w:t>
      </w:r>
      <w:r>
        <w:rPr>
          <w:rFonts w:hint="eastAsia" w:ascii="Times New Roman" w:hAnsi="Times New Roman" w:eastAsia="宋体" w:cs="Times New Roman"/>
          <w:color w:val="auto"/>
          <w:sz w:val="24"/>
          <w:szCs w:val="24"/>
          <w:vertAlign w:val="subscript"/>
          <w:lang w:val="en-US" w:eastAsia="zh-CN"/>
        </w:rPr>
        <w:t>4</w:t>
      </w:r>
      <w:r>
        <w:rPr>
          <w:rFonts w:hint="eastAsia" w:ascii="Times New Roman" w:hAnsi="Times New Roman" w:eastAsia="宋体" w:cs="Times New Roman"/>
          <w:color w:val="auto"/>
          <w:sz w:val="24"/>
          <w:szCs w:val="24"/>
          <w:lang w:val="en-US" w:eastAsia="zh-CN"/>
        </w:rPr>
        <w:t>），本工艺所用磷酸二氢钾为袋装固体粉末，投料时通过溶解槽投料口倒入，期间会产生粉尘。磷酸二氢钾作为一种常见的肥料成分可以快速补充作物所需营养、促进植物吸收，本项目添加的磷酸二氢钾不与釜中物质进行反应，仅作为商品水溶肥中一种提供钾源、磷源的成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（3）储存</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加入辅料后的含氮、磷、钾的液态水溶液即为本项目外售水溶肥，混合完成后通过管道通入车间内不锈钢储罐中储存，等待出售。</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3.3.1.4 饲料油、磷脂油加工工艺流程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饲料油、磷脂油加工生产线以废白土及助滤剂、动物油脂及罐底油为原料，经过熟化压榨产生产品油、动植物油水解下脚料。</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当原料为罐底植物油时，饲料油及磷脂油共用 1 套生产设备.饲料油和磷脂油的种类由投料决定，棉油、菜籽油精炼出饲料油、大豆植物油可精炼出磷脂油。根据市场需求分批次生产，在生产过程中，当饲料油生产完毕后，对调质罐进行清理，保证设备内无残留后，再进行磷脂油的生产处理；其工艺流程图如图 3.3.1-4 所示。</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color w:val="auto"/>
        </w:rPr>
        <w:drawing>
          <wp:inline distT="0" distB="0" distL="114300" distR="114300">
            <wp:extent cx="5218430" cy="3836670"/>
            <wp:effectExtent l="0" t="0" r="1270" b="0"/>
            <wp:docPr id="1" name="图片 1" descr="C:/Users/Administrator/Desktop/未命名文件(64).png未命名文件(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未命名文件(64).png未命名文件(64)"/>
                    <pic:cNvPicPr>
                      <a:picLocks noChangeAspect="1"/>
                    </pic:cNvPicPr>
                  </pic:nvPicPr>
                  <pic:blipFill>
                    <a:blip r:embed="rId18"/>
                    <a:srcRect l="4019" r="4019"/>
                    <a:stretch>
                      <a:fillRect/>
                    </a:stretch>
                  </pic:blipFill>
                  <pic:spPr>
                    <a:xfrm>
                      <a:off x="0" y="0"/>
                      <a:ext cx="5218430" cy="38366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图 3.3.1-4   饲料油、磷脂油加工工艺流程图（G：废气、N：噪声）</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（1）调质罐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将罐底植物油投入调质罐中，在密闭负压状态下高温熬制，通过电锅炉对调质罐进行间接加热，加热温度在 125℃~140℃。此步骤会产生油脂烟气（油蒸汽及水蒸气）及噪声。</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（2）离心分离/沉降分离</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当炼制完成后进行离心分离/沉降分离后，打开下料口，调质罐底部沉降的油泥及油渣返回有机肥生产线，上清液打入车间内的不锈钢储罐中外售。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当原料为废白土、助滤剂及动物油脂时，这几种原料在生产时后续工序及设备相同，用同一套设备。区别主要为动物油脂在拉运进场时为冷冻块状，需要先进行预处理工序。其工艺流程详见下图 3.3.1-5。</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drawing>
          <wp:inline distT="0" distB="0" distL="114300" distR="114300">
            <wp:extent cx="5200650" cy="4886960"/>
            <wp:effectExtent l="0" t="0" r="0" b="0"/>
            <wp:docPr id="12" name="图片 12" descr="未命名文件(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未命名文件(65)"/>
                    <pic:cNvPicPr>
                      <a:picLocks noChangeAspect="1"/>
                    </pic:cNvPicPr>
                  </pic:nvPicPr>
                  <pic:blipFill>
                    <a:blip r:embed="rId19"/>
                    <a:stretch>
                      <a:fillRect/>
                    </a:stretch>
                  </pic:blipFill>
                  <pic:spPr>
                    <a:xfrm>
                      <a:off x="0" y="0"/>
                      <a:ext cx="5200650" cy="488696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图 3.3.1-5   饲料油生产工艺流程图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（1）预处理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用封闭运输车到屠宰场购入并运入厂区移动式冷库进行暂存，动物油为冰冻状态，进入车间后需先进行预处理先将冻成大块状的动物油脂放入破碎机中，将油脂切碎为小块。此过程污染物主要为废气、噪声。</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（2）熔炸</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之后将破碎后的动植物油脂块通过吊拦放入熔炸釜中，通过电锅炉对熔炸釜进行加热，加热温度在 125℃~140℃。此步骤会产生油脂烟气（油蒸汽及水蒸气），气体沿密闭管道送入废气搜捕器后进行冷却处理，气体中的大部分动植物油与水蒸气冷凝后存于搜捕器中，之后回用于工艺中，少部分不凝气经密闭管道送入废气处理设备。</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（3）液压榨油机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当熔炸完成后，采用行吊将吊拦送至螺旋榨油机中，压榨出的油打入车间内的不锈钢储罐中，压榨分离剩下的油渣富含蛋白质，一部分返回有机物生产线，一部分作为一种饲料添加剂外售。</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3.3.1.5 清洗工程工艺流程</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drawing>
          <wp:inline distT="0" distB="0" distL="114300" distR="114300">
            <wp:extent cx="5271770" cy="3042920"/>
            <wp:effectExtent l="0" t="0" r="0" b="0"/>
            <wp:docPr id="62" name="图片 62" descr="未命名文件(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未命名文件(66)"/>
                    <pic:cNvPicPr>
                      <a:picLocks noChangeAspect="1"/>
                    </pic:cNvPicPr>
                  </pic:nvPicPr>
                  <pic:blipFill>
                    <a:blip r:embed="rId20"/>
                    <a:stretch>
                      <a:fillRect/>
                    </a:stretch>
                  </pic:blipFill>
                  <pic:spPr>
                    <a:xfrm>
                      <a:off x="0" y="0"/>
                      <a:ext cx="5271770" cy="304292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图 3.3.1-6    清洗工程工艺流程</w:t>
      </w:r>
    </w:p>
    <w:p>
      <w:pPr>
        <w:keepNext w:val="0"/>
        <w:keepLines w:val="0"/>
        <w:pageBreakBefore w:val="0"/>
        <w:widowControl w:val="0"/>
        <w:kinsoku/>
        <w:wordWrap/>
        <w:overflowPunct/>
        <w:topLinePunct w:val="0"/>
        <w:autoSpaceDE/>
        <w:autoSpaceDN/>
        <w:bidi w:val="0"/>
        <w:adjustRightInd/>
        <w:snapToGrid/>
        <w:spacing w:line="560" w:lineRule="exact"/>
        <w:ind w:firstLine="482" w:firstLineChars="200"/>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工艺说明：</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本项目储罐委托专业团队进行清洗，清洗设备进入厂区后，在密闭的情况下，在专用运输车接入废油输送管。利用高压水枪对储罐进行冲洗，清洗的同时打开出水口的阀门。每座储罐冲洗时间为 60min，冲洗废水利用罐体自身的斜度，使吹扫后罐内的油水通过废油输送管，输送至专用运输车内，输送后罐体内不残留液体。清洗过程中会产生含油废水，清洗完成后委托具有相应处理资质的单位进行处置。</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3.3.2 产污环节及污染治理措施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本项目产污环节及污染治理措施详见下表。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3.3.2-1    拟建项目污染物产生环节一览表</w:t>
      </w:r>
    </w:p>
    <w:tbl>
      <w:tblPr>
        <w:tblStyle w:val="22"/>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16"/>
        <w:gridCol w:w="3087"/>
        <w:gridCol w:w="471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0" w:type="pct"/>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bookmarkStart w:id="16" w:name="_Hlk514588327"/>
            <w:r>
              <w:rPr>
                <w:rFonts w:hint="default" w:ascii="Times New Roman" w:hAnsi="Times New Roman" w:eastAsia="宋体" w:cs="Times New Roman"/>
                <w:color w:val="auto"/>
                <w:sz w:val="21"/>
                <w:szCs w:val="21"/>
              </w:rPr>
              <w:t>类别</w:t>
            </w:r>
          </w:p>
        </w:tc>
        <w:tc>
          <w:tcPr>
            <w:tcW w:w="1811" w:type="pct"/>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产生源</w:t>
            </w:r>
          </w:p>
        </w:tc>
        <w:tc>
          <w:tcPr>
            <w:tcW w:w="2767" w:type="pct"/>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主要污染物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0" w:type="pct"/>
            <w:vMerge w:val="restart"/>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废气</w:t>
            </w:r>
          </w:p>
        </w:tc>
        <w:tc>
          <w:tcPr>
            <w:tcW w:w="1811" w:type="pct"/>
            <w:vMerge w:val="restart"/>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动植物油脂回收生产线废气</w:t>
            </w:r>
          </w:p>
        </w:tc>
        <w:tc>
          <w:tcPr>
            <w:tcW w:w="2767" w:type="pct"/>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VOCs</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0" w:type="pct"/>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1811" w:type="pct"/>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p>
        </w:tc>
        <w:tc>
          <w:tcPr>
            <w:tcW w:w="2767" w:type="pct"/>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油脂烟气</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0" w:type="pct"/>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1811" w:type="pct"/>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p>
        </w:tc>
        <w:tc>
          <w:tcPr>
            <w:tcW w:w="2767" w:type="pct"/>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恶臭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0" w:type="pct"/>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1811" w:type="pct"/>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储罐废气</w:t>
            </w:r>
          </w:p>
        </w:tc>
        <w:tc>
          <w:tcPr>
            <w:tcW w:w="2767" w:type="pct"/>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VOCs</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0" w:type="pct"/>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1811" w:type="pct"/>
            <w:vMerge w:val="restart"/>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水溶肥生产线废气</w:t>
            </w:r>
          </w:p>
        </w:tc>
        <w:tc>
          <w:tcPr>
            <w:tcW w:w="2767" w:type="pct"/>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颗粒物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0" w:type="pct"/>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1811" w:type="pct"/>
            <w:vMerge w:val="continue"/>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2767" w:type="pct"/>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NH</w:t>
            </w:r>
            <w:r>
              <w:rPr>
                <w:rFonts w:hint="default" w:ascii="Times New Roman" w:hAnsi="Times New Roman" w:eastAsia="宋体" w:cs="Times New Roman"/>
                <w:color w:val="auto"/>
                <w:sz w:val="21"/>
                <w:szCs w:val="21"/>
                <w:vertAlign w:val="sub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0" w:type="pct"/>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1811" w:type="pct"/>
            <w:vMerge w:val="restart"/>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生物</w:t>
            </w:r>
            <w:r>
              <w:rPr>
                <w:rFonts w:hint="default" w:ascii="Times New Roman" w:hAnsi="Times New Roman" w:eastAsia="宋体" w:cs="Times New Roman"/>
                <w:color w:val="auto"/>
                <w:sz w:val="21"/>
                <w:szCs w:val="21"/>
                <w:lang w:val="en-US" w:eastAsia="zh-CN"/>
              </w:rPr>
              <w:t>有机肥生产线废气</w:t>
            </w:r>
          </w:p>
        </w:tc>
        <w:tc>
          <w:tcPr>
            <w:tcW w:w="2767" w:type="pct"/>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颗粒物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0" w:type="pct"/>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1811" w:type="pct"/>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sz w:val="21"/>
                <w:szCs w:val="21"/>
                <w:lang w:val="en-US" w:eastAsia="zh-CN"/>
              </w:rPr>
            </w:pPr>
          </w:p>
        </w:tc>
        <w:tc>
          <w:tcPr>
            <w:tcW w:w="2767" w:type="pct"/>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恶臭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0" w:type="pct"/>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1811" w:type="pct"/>
            <w:vMerge w:val="restart"/>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生物燃料生产线废气</w:t>
            </w:r>
          </w:p>
        </w:tc>
        <w:tc>
          <w:tcPr>
            <w:tcW w:w="2767" w:type="pct"/>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VOCs</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0" w:type="pct"/>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1811" w:type="pct"/>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p>
        </w:tc>
        <w:tc>
          <w:tcPr>
            <w:tcW w:w="2767" w:type="pct"/>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恶臭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0" w:type="pct"/>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1811" w:type="pct"/>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p>
        </w:tc>
        <w:tc>
          <w:tcPr>
            <w:tcW w:w="2767" w:type="pct"/>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甲醇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0" w:type="pct"/>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1811" w:type="pct"/>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p>
        </w:tc>
        <w:tc>
          <w:tcPr>
            <w:tcW w:w="2767" w:type="pct"/>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颗粒物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0" w:type="pct"/>
            <w:vMerge w:val="restart"/>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w:t>
            </w:r>
          </w:p>
        </w:tc>
        <w:tc>
          <w:tcPr>
            <w:tcW w:w="1811" w:type="pct"/>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生活污水</w:t>
            </w:r>
          </w:p>
        </w:tc>
        <w:tc>
          <w:tcPr>
            <w:tcW w:w="2767" w:type="pct"/>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COD</w:t>
            </w:r>
            <w:r>
              <w:rPr>
                <w:rFonts w:hint="default" w:ascii="Times New Roman" w:hAnsi="Times New Roman" w:eastAsia="宋体" w:cs="Times New Roman"/>
                <w:color w:val="auto"/>
                <w:sz w:val="21"/>
                <w:szCs w:val="21"/>
                <w:vertAlign w:val="subscript"/>
              </w:rPr>
              <w:t>Cr</w:t>
            </w:r>
            <w:r>
              <w:rPr>
                <w:rFonts w:hint="default" w:ascii="Times New Roman" w:hAnsi="Times New Roman" w:eastAsia="宋体" w:cs="Times New Roman"/>
                <w:color w:val="auto"/>
                <w:sz w:val="21"/>
                <w:szCs w:val="21"/>
              </w:rPr>
              <w:t>、氨氮、SS</w:t>
            </w:r>
            <w:r>
              <w:rPr>
                <w:rFonts w:hint="default" w:ascii="Times New Roman" w:hAnsi="Times New Roman" w:eastAsia="宋体" w:cs="Times New Roman"/>
                <w:color w:val="auto"/>
                <w:sz w:val="21"/>
                <w:szCs w:val="21"/>
                <w:lang w:eastAsia="zh-CN"/>
              </w:rPr>
              <w:t>、总磷、总氮</w:t>
            </w:r>
            <w:r>
              <w:rPr>
                <w:rFonts w:hint="default" w:ascii="Times New Roman" w:hAnsi="Times New Roman" w:eastAsia="宋体" w:cs="Times New Roman"/>
                <w:color w:val="auto"/>
                <w:sz w:val="21"/>
                <w:szCs w:val="21"/>
                <w:lang w:val="en-US" w:eastAsia="zh-CN"/>
              </w:rPr>
              <w:t>、动植物油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0" w:type="pct"/>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1811" w:type="pct"/>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Style w:val="50"/>
                <w:rFonts w:hint="default" w:ascii="Times New Roman" w:hAnsi="Times New Roman" w:eastAsia="宋体" w:cs="Times New Roman"/>
                <w:color w:val="auto"/>
                <w:lang w:val="en-US" w:eastAsia="zh-CN"/>
              </w:rPr>
              <w:t>生产废水</w:t>
            </w:r>
          </w:p>
        </w:tc>
        <w:tc>
          <w:tcPr>
            <w:tcW w:w="2767" w:type="pct"/>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COD</w:t>
            </w:r>
            <w:r>
              <w:rPr>
                <w:rFonts w:hint="default" w:ascii="Times New Roman" w:hAnsi="Times New Roman" w:eastAsia="宋体" w:cs="Times New Roman"/>
                <w:color w:val="auto"/>
                <w:sz w:val="21"/>
                <w:szCs w:val="21"/>
                <w:vertAlign w:val="subscript"/>
              </w:rPr>
              <w:t>Cr</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SS、BOD</w:t>
            </w:r>
            <w:r>
              <w:rPr>
                <w:rFonts w:hint="default" w:ascii="Times New Roman" w:hAnsi="Times New Roman" w:eastAsia="宋体" w:cs="Times New Roman"/>
                <w:color w:val="auto"/>
                <w:sz w:val="21"/>
                <w:szCs w:val="21"/>
                <w:vertAlign w:val="subscript"/>
                <w:lang w:val="en-US" w:eastAsia="zh-CN"/>
              </w:rPr>
              <w:t>5</w:t>
            </w:r>
            <w:r>
              <w:rPr>
                <w:rFonts w:hint="default" w:ascii="Times New Roman" w:hAnsi="Times New Roman" w:eastAsia="宋体" w:cs="Times New Roman"/>
                <w:color w:val="auto"/>
                <w:sz w:val="21"/>
                <w:szCs w:val="21"/>
                <w:lang w:val="en-US" w:eastAsia="zh-CN"/>
              </w:rPr>
              <w:t>、油脂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0" w:type="pct"/>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w:t>
            </w:r>
          </w:p>
        </w:tc>
        <w:tc>
          <w:tcPr>
            <w:tcW w:w="1811" w:type="pct"/>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生产设备</w:t>
            </w:r>
          </w:p>
        </w:tc>
        <w:tc>
          <w:tcPr>
            <w:tcW w:w="2767" w:type="pct"/>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生产设备、风机等运行</w:t>
            </w:r>
            <w:r>
              <w:rPr>
                <w:rFonts w:hint="default" w:ascii="Times New Roman" w:hAnsi="Times New Roman" w:eastAsia="宋体" w:cs="Times New Roman"/>
                <w:color w:val="auto"/>
                <w:sz w:val="21"/>
                <w:szCs w:val="21"/>
              </w:rPr>
              <w:t>噪声等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0" w:type="pct"/>
            <w:vMerge w:val="restart"/>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固废</w:t>
            </w:r>
          </w:p>
        </w:tc>
        <w:tc>
          <w:tcPr>
            <w:tcW w:w="1811"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sz w:val="21"/>
                <w:lang w:val="en-US" w:eastAsia="zh-CN"/>
              </w:rPr>
              <w:t>职工生活</w:t>
            </w:r>
          </w:p>
        </w:tc>
        <w:tc>
          <w:tcPr>
            <w:tcW w:w="2767"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sz w:val="21"/>
                <w:lang w:val="en-US" w:eastAsia="zh-CN"/>
              </w:rPr>
              <w:t>生活垃圾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0" w:type="pct"/>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1811"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sz w:val="21"/>
                <w:lang w:val="en-US" w:eastAsia="zh-CN"/>
              </w:rPr>
              <w:t>生产线</w:t>
            </w:r>
          </w:p>
        </w:tc>
        <w:tc>
          <w:tcPr>
            <w:tcW w:w="2767"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sz w:val="21"/>
                <w:lang w:val="en-US" w:eastAsia="zh-CN"/>
              </w:rPr>
              <w:t>工艺下脚料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0" w:type="pct"/>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1811"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废气处理设施</w:t>
            </w:r>
          </w:p>
        </w:tc>
        <w:tc>
          <w:tcPr>
            <w:tcW w:w="2767"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sz w:val="21"/>
                <w:lang w:val="en-US" w:eastAsia="zh-CN"/>
              </w:rPr>
              <w:t>废活性炭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0" w:type="pct"/>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1811"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sz w:val="21"/>
                <w:lang w:val="en-US" w:eastAsia="zh-CN"/>
              </w:rPr>
              <w:t>机械维修</w:t>
            </w:r>
          </w:p>
        </w:tc>
        <w:tc>
          <w:tcPr>
            <w:tcW w:w="2767"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sz w:val="21"/>
                <w:lang w:val="en-US" w:eastAsia="zh-CN"/>
              </w:rPr>
              <w:t>废机油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0" w:type="pct"/>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1811"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清洗现有储罐</w:t>
            </w:r>
          </w:p>
        </w:tc>
        <w:tc>
          <w:tcPr>
            <w:tcW w:w="2767"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含油废水</w:t>
            </w:r>
          </w:p>
        </w:tc>
      </w:tr>
      <w:bookmarkEnd w:id="16"/>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3.3.3 物料平衡</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本项目动植物油脂回收生产线物料平衡详见下表。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3.3.3-1  动植物油脂回收生产线物料平衡一览表   单位：t/a</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6"/>
        <w:gridCol w:w="985"/>
        <w:gridCol w:w="816"/>
        <w:gridCol w:w="2236"/>
        <w:gridCol w:w="900"/>
        <w:gridCol w:w="22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3"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物料投入</w:t>
            </w:r>
          </w:p>
        </w:tc>
        <w:tc>
          <w:tcPr>
            <w:tcW w:w="3136"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物料产出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物料名称</w:t>
            </w:r>
          </w:p>
        </w:tc>
        <w:tc>
          <w:tcPr>
            <w:tcW w:w="57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投入量</w:t>
            </w:r>
          </w:p>
        </w:tc>
        <w:tc>
          <w:tcPr>
            <w:tcW w:w="47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来源</w:t>
            </w:r>
          </w:p>
        </w:tc>
        <w:tc>
          <w:tcPr>
            <w:tcW w:w="13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物料名称</w:t>
            </w:r>
          </w:p>
        </w:tc>
        <w:tc>
          <w:tcPr>
            <w:tcW w:w="5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产出量</w:t>
            </w:r>
          </w:p>
        </w:tc>
        <w:tc>
          <w:tcPr>
            <w:tcW w:w="129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动植物油脂</w:t>
            </w:r>
          </w:p>
        </w:tc>
        <w:tc>
          <w:tcPr>
            <w:tcW w:w="57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1500</w:t>
            </w:r>
          </w:p>
        </w:tc>
        <w:tc>
          <w:tcPr>
            <w:tcW w:w="47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外购</w:t>
            </w:r>
          </w:p>
        </w:tc>
        <w:tc>
          <w:tcPr>
            <w:tcW w:w="13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饲料油、磷脂油</w:t>
            </w:r>
          </w:p>
        </w:tc>
        <w:tc>
          <w:tcPr>
            <w:tcW w:w="5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1500</w:t>
            </w:r>
          </w:p>
        </w:tc>
        <w:tc>
          <w:tcPr>
            <w:tcW w:w="129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废白土</w:t>
            </w:r>
          </w:p>
        </w:tc>
        <w:tc>
          <w:tcPr>
            <w:tcW w:w="57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400.85</w:t>
            </w:r>
          </w:p>
        </w:tc>
        <w:tc>
          <w:tcPr>
            <w:tcW w:w="47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外购</w:t>
            </w:r>
          </w:p>
        </w:tc>
        <w:tc>
          <w:tcPr>
            <w:tcW w:w="13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有组织外排废气</w:t>
            </w:r>
          </w:p>
        </w:tc>
        <w:tc>
          <w:tcPr>
            <w:tcW w:w="5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0.04</w:t>
            </w:r>
          </w:p>
        </w:tc>
        <w:tc>
          <w:tcPr>
            <w:tcW w:w="129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助滤剂</w:t>
            </w:r>
          </w:p>
        </w:tc>
        <w:tc>
          <w:tcPr>
            <w:tcW w:w="57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368.5</w:t>
            </w:r>
          </w:p>
        </w:tc>
        <w:tc>
          <w:tcPr>
            <w:tcW w:w="47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外购</w:t>
            </w:r>
          </w:p>
        </w:tc>
        <w:tc>
          <w:tcPr>
            <w:tcW w:w="13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无组织外排废气</w:t>
            </w:r>
          </w:p>
        </w:tc>
        <w:tc>
          <w:tcPr>
            <w:tcW w:w="5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0.04</w:t>
            </w:r>
          </w:p>
        </w:tc>
        <w:tc>
          <w:tcPr>
            <w:tcW w:w="129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罐底植物油</w:t>
            </w:r>
          </w:p>
        </w:tc>
        <w:tc>
          <w:tcPr>
            <w:tcW w:w="57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300</w:t>
            </w:r>
          </w:p>
        </w:tc>
        <w:tc>
          <w:tcPr>
            <w:tcW w:w="47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外购</w:t>
            </w:r>
          </w:p>
        </w:tc>
        <w:tc>
          <w:tcPr>
            <w:tcW w:w="13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治理设施去除</w:t>
            </w:r>
          </w:p>
        </w:tc>
        <w:tc>
          <w:tcPr>
            <w:tcW w:w="5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0.78</w:t>
            </w:r>
          </w:p>
        </w:tc>
        <w:tc>
          <w:tcPr>
            <w:tcW w:w="129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c>
          <w:tcPr>
            <w:tcW w:w="57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c>
          <w:tcPr>
            <w:tcW w:w="47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c>
          <w:tcPr>
            <w:tcW w:w="13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动植物油脂熔炼废水</w:t>
            </w:r>
          </w:p>
        </w:tc>
        <w:tc>
          <w:tcPr>
            <w:tcW w:w="5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568.5</w:t>
            </w:r>
          </w:p>
        </w:tc>
        <w:tc>
          <w:tcPr>
            <w:tcW w:w="129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返回水溶肥生产线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c>
          <w:tcPr>
            <w:tcW w:w="57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c>
          <w:tcPr>
            <w:tcW w:w="47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c>
          <w:tcPr>
            <w:tcW w:w="13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动植物油脂生产线产生的下脚料</w:t>
            </w:r>
          </w:p>
        </w:tc>
        <w:tc>
          <w:tcPr>
            <w:tcW w:w="5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500</w:t>
            </w:r>
          </w:p>
        </w:tc>
        <w:tc>
          <w:tcPr>
            <w:tcW w:w="129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回用于生物有机肥生产线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合计</w:t>
            </w:r>
          </w:p>
        </w:tc>
        <w:tc>
          <w:tcPr>
            <w:tcW w:w="57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2569.35</w:t>
            </w:r>
          </w:p>
        </w:tc>
        <w:tc>
          <w:tcPr>
            <w:tcW w:w="47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c>
          <w:tcPr>
            <w:tcW w:w="13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c>
          <w:tcPr>
            <w:tcW w:w="5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2569.35</w:t>
            </w:r>
          </w:p>
        </w:tc>
        <w:tc>
          <w:tcPr>
            <w:tcW w:w="129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本项目生物燃料生产线物料平衡详见下表。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3.3.3-2  生物燃料生产线物料平衡一览表   单位：t/a</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0"/>
        <w:gridCol w:w="1081"/>
        <w:gridCol w:w="816"/>
        <w:gridCol w:w="2236"/>
        <w:gridCol w:w="1098"/>
        <w:gridCol w:w="20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3"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物料投入</w:t>
            </w:r>
          </w:p>
        </w:tc>
        <w:tc>
          <w:tcPr>
            <w:tcW w:w="3136"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物料产出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物料名称</w:t>
            </w: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投入量</w:t>
            </w:r>
          </w:p>
        </w:tc>
        <w:tc>
          <w:tcPr>
            <w:tcW w:w="47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来源</w:t>
            </w:r>
          </w:p>
        </w:tc>
        <w:tc>
          <w:tcPr>
            <w:tcW w:w="13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物料名称</w:t>
            </w:r>
          </w:p>
        </w:tc>
        <w:tc>
          <w:tcPr>
            <w:tcW w:w="6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产出量</w:t>
            </w:r>
          </w:p>
        </w:tc>
        <w:tc>
          <w:tcPr>
            <w:tcW w:w="11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酸化油</w:t>
            </w: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1459.68</w:t>
            </w:r>
          </w:p>
        </w:tc>
        <w:tc>
          <w:tcPr>
            <w:tcW w:w="47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皂脚酸化</w:t>
            </w:r>
          </w:p>
        </w:tc>
        <w:tc>
          <w:tcPr>
            <w:tcW w:w="13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脂肪酸甲酯</w:t>
            </w:r>
          </w:p>
        </w:tc>
        <w:tc>
          <w:tcPr>
            <w:tcW w:w="6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2000</w:t>
            </w:r>
          </w:p>
        </w:tc>
        <w:tc>
          <w:tcPr>
            <w:tcW w:w="11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皂脚</w:t>
            </w: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5000</w:t>
            </w:r>
          </w:p>
        </w:tc>
        <w:tc>
          <w:tcPr>
            <w:tcW w:w="47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外购</w:t>
            </w:r>
          </w:p>
        </w:tc>
        <w:tc>
          <w:tcPr>
            <w:tcW w:w="13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钻井石油助剂</w:t>
            </w:r>
          </w:p>
        </w:tc>
        <w:tc>
          <w:tcPr>
            <w:tcW w:w="6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5000</w:t>
            </w:r>
          </w:p>
        </w:tc>
        <w:tc>
          <w:tcPr>
            <w:tcW w:w="11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工业白油</w:t>
            </w: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1600</w:t>
            </w:r>
          </w:p>
        </w:tc>
        <w:tc>
          <w:tcPr>
            <w:tcW w:w="47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外购</w:t>
            </w:r>
          </w:p>
        </w:tc>
        <w:tc>
          <w:tcPr>
            <w:tcW w:w="13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固态生物燃料</w:t>
            </w:r>
          </w:p>
        </w:tc>
        <w:tc>
          <w:tcPr>
            <w:tcW w:w="6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3000</w:t>
            </w:r>
          </w:p>
        </w:tc>
        <w:tc>
          <w:tcPr>
            <w:tcW w:w="11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二甲基硅油</w:t>
            </w: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200</w:t>
            </w:r>
          </w:p>
        </w:tc>
        <w:tc>
          <w:tcPr>
            <w:tcW w:w="47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外购</w:t>
            </w:r>
          </w:p>
        </w:tc>
        <w:tc>
          <w:tcPr>
            <w:tcW w:w="13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有组织外排废气</w:t>
            </w:r>
          </w:p>
        </w:tc>
        <w:tc>
          <w:tcPr>
            <w:tcW w:w="6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0.38</w:t>
            </w:r>
          </w:p>
        </w:tc>
        <w:tc>
          <w:tcPr>
            <w:tcW w:w="11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甲醇</w:t>
            </w: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50</w:t>
            </w:r>
          </w:p>
        </w:tc>
        <w:tc>
          <w:tcPr>
            <w:tcW w:w="47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外购</w:t>
            </w:r>
          </w:p>
        </w:tc>
        <w:tc>
          <w:tcPr>
            <w:tcW w:w="13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无组织外排废气</w:t>
            </w:r>
          </w:p>
        </w:tc>
        <w:tc>
          <w:tcPr>
            <w:tcW w:w="6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1.15</w:t>
            </w:r>
          </w:p>
        </w:tc>
        <w:tc>
          <w:tcPr>
            <w:tcW w:w="11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植物秸秆</w:t>
            </w: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4000</w:t>
            </w:r>
          </w:p>
        </w:tc>
        <w:tc>
          <w:tcPr>
            <w:tcW w:w="47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外购</w:t>
            </w:r>
          </w:p>
        </w:tc>
        <w:tc>
          <w:tcPr>
            <w:tcW w:w="13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治理设施去除</w:t>
            </w:r>
          </w:p>
        </w:tc>
        <w:tc>
          <w:tcPr>
            <w:tcW w:w="6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8.15</w:t>
            </w:r>
          </w:p>
        </w:tc>
        <w:tc>
          <w:tcPr>
            <w:tcW w:w="11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餐厨废油</w:t>
            </w: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200</w:t>
            </w:r>
          </w:p>
        </w:tc>
        <w:tc>
          <w:tcPr>
            <w:tcW w:w="47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外购</w:t>
            </w:r>
          </w:p>
        </w:tc>
        <w:tc>
          <w:tcPr>
            <w:tcW w:w="13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皂脚酸化废水</w:t>
            </w:r>
          </w:p>
        </w:tc>
        <w:tc>
          <w:tcPr>
            <w:tcW w:w="6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1000</w:t>
            </w:r>
          </w:p>
        </w:tc>
        <w:tc>
          <w:tcPr>
            <w:tcW w:w="11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返回水溶肥生产线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c>
          <w:tcPr>
            <w:tcW w:w="47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c>
          <w:tcPr>
            <w:tcW w:w="13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皂脚酸化产生的下脚料</w:t>
            </w:r>
          </w:p>
        </w:tc>
        <w:tc>
          <w:tcPr>
            <w:tcW w:w="6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1500</w:t>
            </w:r>
          </w:p>
        </w:tc>
        <w:tc>
          <w:tcPr>
            <w:tcW w:w="11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回用于生物有机肥生产线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合计</w:t>
            </w: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12509.68</w:t>
            </w:r>
          </w:p>
        </w:tc>
        <w:tc>
          <w:tcPr>
            <w:tcW w:w="47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c>
          <w:tcPr>
            <w:tcW w:w="13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p>
        </w:tc>
        <w:tc>
          <w:tcPr>
            <w:tcW w:w="6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12509.68</w:t>
            </w:r>
          </w:p>
        </w:tc>
        <w:tc>
          <w:tcPr>
            <w:tcW w:w="11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本项目水溶肥生产线物料平衡详见下表。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3.3.3-3  水溶肥生产线物料平衡一览表   单位：t/a</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4"/>
        <w:gridCol w:w="1217"/>
        <w:gridCol w:w="1883"/>
        <w:gridCol w:w="1550"/>
        <w:gridCol w:w="1100"/>
        <w:gridCol w:w="16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0"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物料投入</w:t>
            </w:r>
          </w:p>
        </w:tc>
        <w:tc>
          <w:tcPr>
            <w:tcW w:w="2509"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物料产出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物料名称</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投入量</w:t>
            </w:r>
          </w:p>
        </w:tc>
        <w:tc>
          <w:tcPr>
            <w:tcW w:w="11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来源</w:t>
            </w:r>
          </w:p>
        </w:tc>
        <w:tc>
          <w:tcPr>
            <w:tcW w:w="9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物料名称</w:t>
            </w:r>
          </w:p>
        </w:tc>
        <w:tc>
          <w:tcPr>
            <w:tcW w:w="64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产出量</w:t>
            </w:r>
          </w:p>
        </w:tc>
        <w:tc>
          <w:tcPr>
            <w:tcW w:w="9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新鲜水</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3000</w:t>
            </w:r>
          </w:p>
        </w:tc>
        <w:tc>
          <w:tcPr>
            <w:tcW w:w="11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园区供水管网</w:t>
            </w:r>
          </w:p>
        </w:tc>
        <w:tc>
          <w:tcPr>
            <w:tcW w:w="9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水溶肥</w:t>
            </w:r>
          </w:p>
        </w:tc>
        <w:tc>
          <w:tcPr>
            <w:tcW w:w="64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6000</w:t>
            </w:r>
          </w:p>
        </w:tc>
        <w:tc>
          <w:tcPr>
            <w:tcW w:w="9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含油废水</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1568.5</w:t>
            </w:r>
          </w:p>
        </w:tc>
        <w:tc>
          <w:tcPr>
            <w:tcW w:w="11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来源于其他生产线</w:t>
            </w:r>
          </w:p>
        </w:tc>
        <w:tc>
          <w:tcPr>
            <w:tcW w:w="9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有组织外排废气</w:t>
            </w:r>
          </w:p>
        </w:tc>
        <w:tc>
          <w:tcPr>
            <w:tcW w:w="64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0.022</w:t>
            </w:r>
          </w:p>
        </w:tc>
        <w:tc>
          <w:tcPr>
            <w:tcW w:w="9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氨水（20%）</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200</w:t>
            </w:r>
          </w:p>
        </w:tc>
        <w:tc>
          <w:tcPr>
            <w:tcW w:w="11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外购</w:t>
            </w:r>
          </w:p>
        </w:tc>
        <w:tc>
          <w:tcPr>
            <w:tcW w:w="9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无组织外排废气</w:t>
            </w:r>
          </w:p>
        </w:tc>
        <w:tc>
          <w:tcPr>
            <w:tcW w:w="64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0.004</w:t>
            </w:r>
          </w:p>
        </w:tc>
        <w:tc>
          <w:tcPr>
            <w:tcW w:w="9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磷酸二氢钾</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30</w:t>
            </w:r>
          </w:p>
        </w:tc>
        <w:tc>
          <w:tcPr>
            <w:tcW w:w="11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外购</w:t>
            </w:r>
          </w:p>
        </w:tc>
        <w:tc>
          <w:tcPr>
            <w:tcW w:w="9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治理设施去除</w:t>
            </w:r>
          </w:p>
        </w:tc>
        <w:tc>
          <w:tcPr>
            <w:tcW w:w="64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0.010</w:t>
            </w:r>
          </w:p>
        </w:tc>
        <w:tc>
          <w:tcPr>
            <w:tcW w:w="9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含氮磷钾辅料</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1206.535</w:t>
            </w:r>
          </w:p>
        </w:tc>
        <w:tc>
          <w:tcPr>
            <w:tcW w:w="11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外购</w:t>
            </w:r>
          </w:p>
        </w:tc>
        <w:tc>
          <w:tcPr>
            <w:tcW w:w="9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水溶肥生产线产生的下脚料</w:t>
            </w:r>
          </w:p>
        </w:tc>
        <w:tc>
          <w:tcPr>
            <w:tcW w:w="64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25</w:t>
            </w:r>
          </w:p>
        </w:tc>
        <w:tc>
          <w:tcPr>
            <w:tcW w:w="9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回用于生物有机肥生产线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硫酸</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20</w:t>
            </w:r>
          </w:p>
        </w:tc>
        <w:tc>
          <w:tcPr>
            <w:tcW w:w="11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外购</w:t>
            </w:r>
          </w:p>
        </w:tc>
        <w:tc>
          <w:tcPr>
            <w:tcW w:w="9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p>
        </w:tc>
        <w:tc>
          <w:tcPr>
            <w:tcW w:w="64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p>
        </w:tc>
        <w:tc>
          <w:tcPr>
            <w:tcW w:w="9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合计</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6025.035</w:t>
            </w:r>
          </w:p>
        </w:tc>
        <w:tc>
          <w:tcPr>
            <w:tcW w:w="11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c>
          <w:tcPr>
            <w:tcW w:w="9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p>
        </w:tc>
        <w:tc>
          <w:tcPr>
            <w:tcW w:w="64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6025.035</w:t>
            </w:r>
          </w:p>
        </w:tc>
        <w:tc>
          <w:tcPr>
            <w:tcW w:w="9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本项目生物有机肥生产线物料平衡详见下表。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3.3.3-4  生物有机肥生产线物料平衡一览表   单位：t/a</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60"/>
        <w:gridCol w:w="1004"/>
        <w:gridCol w:w="1714"/>
        <w:gridCol w:w="1530"/>
        <w:gridCol w:w="1004"/>
        <w:gridCol w:w="6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物料投入</w:t>
            </w:r>
          </w:p>
        </w:tc>
        <w:tc>
          <w:tcPr>
            <w:tcW w:w="0" w:type="auto"/>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物料产出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物料名称</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投入量</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来源</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物料名称</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产出量</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废白土</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1500</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外购</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有机无机复混肥</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10000</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助滤剂</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422.41</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外购</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生物有机肥</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10000</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半成品有机肥（牛羊粪沤肥）</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13000</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外购</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有组织外排废气</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0.07</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植物秸秆</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1500</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外购</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无组织外排废气</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0.74</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牛羊粪</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1500</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外购</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治理设施去除</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6.59</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水溶肥生产线产生的下脚料</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25</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来源于其他生产线</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动植物油脂水解产生的下脚料</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500</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来源于其他生产线</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皂脚酸化产生的下脚料</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1500</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来源于其他生产线</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生物菌剂</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60</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外购</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合计</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20007.41</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20007.41</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color w:val="auto"/>
          <w:sz w:val="24"/>
          <w:szCs w:val="24"/>
          <w:lang w:val="en-US" w:eastAsia="zh-CN"/>
        </w:rPr>
      </w:pPr>
      <w:bookmarkStart w:id="17" w:name="_Toc16417"/>
      <w:r>
        <w:rPr>
          <w:rFonts w:hint="eastAsia" w:ascii="Times New Roman" w:hAnsi="Times New Roman" w:eastAsia="宋体" w:cs="Times New Roman"/>
          <w:b/>
          <w:bCs/>
          <w:color w:val="auto"/>
          <w:sz w:val="30"/>
          <w:szCs w:val="30"/>
          <w:lang w:val="en-US" w:eastAsia="zh-CN"/>
        </w:rPr>
        <w:t>3.4 污染源源强分析</w:t>
      </w:r>
      <w:bookmarkEnd w:id="17"/>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3.4.1 施工期污染源源强分析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施工期工程内容主要为厂房的建设及设备的安装，期间产生施工扬尘、装修变气，噪声、建筑垃圾等，其生产工艺流程及产排污节点见图 3.4.1-1。</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color w:val="auto"/>
        </w:rPr>
        <w:drawing>
          <wp:inline distT="0" distB="0" distL="114300" distR="114300">
            <wp:extent cx="5270500" cy="1445260"/>
            <wp:effectExtent l="0" t="0" r="6350" b="254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21"/>
                    <a:stretch>
                      <a:fillRect/>
                    </a:stretch>
                  </pic:blipFill>
                  <pic:spPr>
                    <a:xfrm>
                      <a:off x="0" y="0"/>
                      <a:ext cx="5270500" cy="14452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1"/>
          <w:szCs w:val="21"/>
          <w:lang w:val="en-US" w:eastAsia="zh-CN"/>
        </w:rPr>
        <w:t>图 3.4.1-1   施工期工艺流程及产排污节点图</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3.4.1.1 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（1）施工扬尘</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施工区附近环境空气的主要污染物是扬尘，来源于各种无组织排放源，包括场地清理、挖填方、结构施工和物料装卸、运输、堆存、材料拌和及对土地平整等过程，其结果是造成局部大气污染及降尘量的增加。施工过程中产生的扬尘是对环境空气产生影响的首要因素。由于粉尘污染源多为间歇性分散源，排尘点低，扬尘排放在施工区及其周边距离范围内形成局部污染，对外界环境影响较小。要求建设单位施工期间应严格遵守《防治城市扬尘污染技术规范》（HJ/T393-2007）的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（2）施工机械废气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施工机械废气主要为燃油机械设备运行产生的废气及运输车辆产生的废气，其主要污染物为烃类、一氧化碳及氮氧化物等。这些废气排放特点为无组织低空排放，会造成局部地区环境空气的污染。</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3.4.1.2 施工期水污染源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（1）施工生产废水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施工生产废水包括修建基础设施时地基的开挖、混凝土料的备制、建筑时砂石料冲洗及机械清洗等废水，除悬浮物含量较高外，一般不含其他有毒有害物质，经临时防渗沉淀池收集后排入园区管网，最终进入园区污水处理厂处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（2）生活污水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本项目施工高峰期按施工人数 50 人计，生活用水定额 50L/人·d 计取，生活污水按用水量的 80% 计，则施工期间产生的生活污水为 Q=50 人×50L/人.d×0.80=2.0m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/d，施工期产生的生活污水经临时防渗沉淀池收集后排入园区污水处理厂统一处理，对周边环境影响较小。</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3.4.1.3 噪声</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施工期间的各种施工机械产生的噪声是影响施工区附近声环境质量的重要因素。从施工过程来看，可以把工程施工期分为场地清理阶段、土石方挖掘阶段、结构施工阶段。土石方挖掘阶段主要噪声源为推土机、挖掘机、装载机和各种运输车辆作业时产生的噪声，主要是移动声源，没有明显的方向性；结构施工阶段，主要产噪设备有混凝土搅拌机、振捣器、电锯等，其中还包括一些撞击噪声。各施工阶段中以土石方挖掘阶段的挖掘机及土建施工阶段的振捣器等的噪声对环境影响最大。施工过程中各噪声设备源强调查结果见表 3.4.1-1。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3.4.1-1   施工期主要噪声源调查统计表</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9"/>
        <w:gridCol w:w="2691"/>
        <w:gridCol w:w="2744"/>
        <w:gridCol w:w="19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序号</w:t>
            </w:r>
          </w:p>
        </w:tc>
        <w:tc>
          <w:tcPr>
            <w:tcW w:w="15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施工机械</w:t>
            </w:r>
          </w:p>
        </w:tc>
        <w:tc>
          <w:tcPr>
            <w:tcW w:w="161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声级dB（A）</w:t>
            </w:r>
          </w:p>
        </w:tc>
        <w:tc>
          <w:tcPr>
            <w:tcW w:w="112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声源性质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15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推土机</w:t>
            </w:r>
          </w:p>
        </w:tc>
        <w:tc>
          <w:tcPr>
            <w:tcW w:w="161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88～95</w:t>
            </w:r>
          </w:p>
        </w:tc>
        <w:tc>
          <w:tcPr>
            <w:tcW w:w="1129"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间歇性源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15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挖掘机</w:t>
            </w:r>
          </w:p>
        </w:tc>
        <w:tc>
          <w:tcPr>
            <w:tcW w:w="161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w:t>
            </w:r>
            <w:r>
              <w:rPr>
                <w:rFonts w:hint="default" w:ascii="Times New Roman" w:hAnsi="Times New Roman" w:eastAsia="宋体" w:cs="Times New Roman"/>
                <w:color w:val="auto"/>
                <w:sz w:val="21"/>
                <w:szCs w:val="21"/>
                <w:vertAlign w:val="baseline"/>
                <w:lang w:val="en-US" w:eastAsia="zh-CN"/>
              </w:rPr>
              <w:t>～</w:t>
            </w:r>
            <w:r>
              <w:rPr>
                <w:rFonts w:hint="eastAsia" w:ascii="Times New Roman" w:hAnsi="Times New Roman" w:eastAsia="宋体" w:cs="Times New Roman"/>
                <w:color w:val="auto"/>
                <w:sz w:val="21"/>
                <w:szCs w:val="21"/>
                <w:vertAlign w:val="baseline"/>
                <w:lang w:val="en-US" w:eastAsia="zh-CN"/>
              </w:rPr>
              <w:t>105</w:t>
            </w:r>
          </w:p>
        </w:tc>
        <w:tc>
          <w:tcPr>
            <w:tcW w:w="112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15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装载机</w:t>
            </w:r>
          </w:p>
        </w:tc>
        <w:tc>
          <w:tcPr>
            <w:tcW w:w="161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w:t>
            </w:r>
            <w:r>
              <w:rPr>
                <w:rFonts w:hint="default" w:ascii="Times New Roman" w:hAnsi="Times New Roman" w:eastAsia="宋体" w:cs="Times New Roman"/>
                <w:color w:val="auto"/>
                <w:sz w:val="21"/>
                <w:szCs w:val="21"/>
                <w:vertAlign w:val="baseline"/>
                <w:lang w:val="en-US" w:eastAsia="zh-CN"/>
              </w:rPr>
              <w:t>～</w:t>
            </w:r>
            <w:r>
              <w:rPr>
                <w:rFonts w:hint="eastAsia" w:ascii="Times New Roman" w:hAnsi="Times New Roman" w:eastAsia="宋体" w:cs="Times New Roman"/>
                <w:color w:val="auto"/>
                <w:sz w:val="21"/>
                <w:szCs w:val="21"/>
                <w:vertAlign w:val="baseline"/>
                <w:lang w:val="en-US" w:eastAsia="zh-CN"/>
              </w:rPr>
              <w:t>100</w:t>
            </w:r>
          </w:p>
        </w:tc>
        <w:tc>
          <w:tcPr>
            <w:tcW w:w="112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15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各种车辆</w:t>
            </w:r>
          </w:p>
        </w:tc>
        <w:tc>
          <w:tcPr>
            <w:tcW w:w="161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70</w:t>
            </w:r>
            <w:r>
              <w:rPr>
                <w:rFonts w:hint="default" w:ascii="Times New Roman" w:hAnsi="Times New Roman" w:eastAsia="宋体" w:cs="Times New Roman"/>
                <w:color w:val="auto"/>
                <w:sz w:val="21"/>
                <w:szCs w:val="21"/>
                <w:vertAlign w:val="baseline"/>
                <w:lang w:val="en-US" w:eastAsia="zh-CN"/>
              </w:rPr>
              <w:t>～</w:t>
            </w:r>
            <w:r>
              <w:rPr>
                <w:rFonts w:hint="eastAsia" w:ascii="Times New Roman" w:hAnsi="Times New Roman" w:eastAsia="宋体" w:cs="Times New Roman"/>
                <w:color w:val="auto"/>
                <w:sz w:val="21"/>
                <w:szCs w:val="21"/>
                <w:vertAlign w:val="baseline"/>
                <w:lang w:val="en-US" w:eastAsia="zh-CN"/>
              </w:rPr>
              <w:t>95</w:t>
            </w:r>
          </w:p>
        </w:tc>
        <w:tc>
          <w:tcPr>
            <w:tcW w:w="112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w:t>
            </w:r>
          </w:p>
        </w:tc>
        <w:tc>
          <w:tcPr>
            <w:tcW w:w="15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混凝土搅拌机</w:t>
            </w:r>
          </w:p>
        </w:tc>
        <w:tc>
          <w:tcPr>
            <w:tcW w:w="161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80</w:t>
            </w:r>
            <w:r>
              <w:rPr>
                <w:rFonts w:hint="default" w:ascii="Times New Roman" w:hAnsi="Times New Roman" w:eastAsia="宋体" w:cs="Times New Roman"/>
                <w:color w:val="auto"/>
                <w:sz w:val="21"/>
                <w:szCs w:val="21"/>
                <w:vertAlign w:val="baseline"/>
                <w:lang w:val="en-US" w:eastAsia="zh-CN"/>
              </w:rPr>
              <w:t>～</w:t>
            </w:r>
            <w:r>
              <w:rPr>
                <w:rFonts w:hint="eastAsia" w:ascii="Times New Roman" w:hAnsi="Times New Roman" w:eastAsia="宋体" w:cs="Times New Roman"/>
                <w:color w:val="auto"/>
                <w:sz w:val="21"/>
                <w:szCs w:val="21"/>
                <w:vertAlign w:val="baseline"/>
                <w:lang w:val="en-US" w:eastAsia="zh-CN"/>
              </w:rPr>
              <w:t>95</w:t>
            </w:r>
          </w:p>
        </w:tc>
        <w:tc>
          <w:tcPr>
            <w:tcW w:w="112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w:t>
            </w:r>
          </w:p>
        </w:tc>
        <w:tc>
          <w:tcPr>
            <w:tcW w:w="15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电锯</w:t>
            </w:r>
          </w:p>
        </w:tc>
        <w:tc>
          <w:tcPr>
            <w:tcW w:w="161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w:t>
            </w:r>
            <w:r>
              <w:rPr>
                <w:rFonts w:hint="default" w:ascii="Times New Roman" w:hAnsi="Times New Roman" w:eastAsia="宋体" w:cs="Times New Roman"/>
                <w:color w:val="auto"/>
                <w:sz w:val="21"/>
                <w:szCs w:val="21"/>
                <w:vertAlign w:val="baseline"/>
                <w:lang w:val="en-US" w:eastAsia="zh-CN"/>
              </w:rPr>
              <w:t>～</w:t>
            </w:r>
            <w:r>
              <w:rPr>
                <w:rFonts w:hint="eastAsia" w:ascii="Times New Roman" w:hAnsi="Times New Roman" w:eastAsia="宋体" w:cs="Times New Roman"/>
                <w:color w:val="auto"/>
                <w:sz w:val="21"/>
                <w:szCs w:val="21"/>
                <w:vertAlign w:val="baseline"/>
                <w:lang w:val="en-US" w:eastAsia="zh-CN"/>
              </w:rPr>
              <w:t>110</w:t>
            </w:r>
          </w:p>
        </w:tc>
        <w:tc>
          <w:tcPr>
            <w:tcW w:w="112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3.4.1.4 固废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（1）施工土石方及建筑垃圾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施工期基础开挖产生的土石方，产生量较少，可就地用于场区平整。产生的建筑垃圾，主要包括砂石、石块、碎砖瓦、废木料、废金属、废钢筋等杂物，可回收的应尽量回收，不能回收的经集中收集后由施工单位及时清运，以免影响施工和环境卫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（2）施工人员生活垃圾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施工期间项目施工高峰期施工人员按 50 人计，生活垃圾按 0.50kg/人·d</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 xml:space="preserve">计，则施工期间生活垃圾日产生量约 </w:t>
      </w:r>
      <w:r>
        <w:rPr>
          <w:rFonts w:hint="eastAsia" w:ascii="Times New Roman" w:hAnsi="Times New Roman" w:eastAsia="宋体" w:cs="Times New Roman"/>
          <w:color w:val="auto"/>
          <w:sz w:val="24"/>
          <w:szCs w:val="24"/>
          <w:lang w:val="en-US" w:eastAsia="zh-CN"/>
        </w:rPr>
        <w:t>25</w:t>
      </w:r>
      <w:r>
        <w:rPr>
          <w:rFonts w:hint="default" w:ascii="Times New Roman" w:hAnsi="Times New Roman" w:eastAsia="宋体" w:cs="Times New Roman"/>
          <w:color w:val="auto"/>
          <w:sz w:val="24"/>
          <w:szCs w:val="24"/>
          <w:lang w:val="en-US" w:eastAsia="zh-CN"/>
        </w:rPr>
        <w:t>kg/d。</w:t>
      </w:r>
      <w:r>
        <w:rPr>
          <w:rFonts w:hint="eastAsia" w:ascii="Times New Roman" w:hAnsi="Times New Roman" w:eastAsia="宋体" w:cs="Times New Roman"/>
          <w:color w:val="auto"/>
          <w:sz w:val="24"/>
          <w:szCs w:val="24"/>
          <w:lang w:val="en-US" w:eastAsia="zh-CN"/>
        </w:rPr>
        <w:t>生活</w:t>
      </w:r>
      <w:r>
        <w:rPr>
          <w:rFonts w:hint="default" w:ascii="Times New Roman" w:hAnsi="Times New Roman" w:eastAsia="宋体" w:cs="Times New Roman"/>
          <w:color w:val="auto"/>
          <w:sz w:val="24"/>
          <w:szCs w:val="24"/>
          <w:lang w:val="en-US" w:eastAsia="zh-CN"/>
        </w:rPr>
        <w:t>垃圾经收集后委托环卫部门统一清运至附近生活垃圾填埋场卫生填埋。</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eastAsia"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3.4.2 运营期污染源源强分析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本项目各生产线所对对应的污染源源强核算技术指南详见下表。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3.4.2-1   各生产线污染源源强核算技术指南一览表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1"/>
        <w:gridCol w:w="2700"/>
        <w:gridCol w:w="46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序号</w:t>
            </w:r>
          </w:p>
        </w:tc>
        <w:tc>
          <w:tcPr>
            <w:tcW w:w="27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生产线</w:t>
            </w:r>
          </w:p>
        </w:tc>
        <w:tc>
          <w:tcPr>
            <w:tcW w:w="46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对应的污染源源强核算技术指南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w:t>
            </w:r>
          </w:p>
        </w:tc>
        <w:tc>
          <w:tcPr>
            <w:tcW w:w="27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动植物油脂回收生产线</w:t>
            </w:r>
          </w:p>
        </w:tc>
        <w:tc>
          <w:tcPr>
            <w:tcW w:w="46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《污染源</w:t>
            </w:r>
            <w:r>
              <w:rPr>
                <w:rFonts w:hint="eastAsia" w:cs="Times New Roman"/>
                <w:b w:val="0"/>
                <w:bCs w:val="0"/>
                <w:color w:val="auto"/>
                <w:sz w:val="21"/>
                <w:szCs w:val="21"/>
                <w:vertAlign w:val="baseline"/>
                <w:lang w:val="en-US" w:eastAsia="zh-CN"/>
              </w:rPr>
              <w:t>源强</w:t>
            </w:r>
            <w:r>
              <w:rPr>
                <w:rFonts w:hint="eastAsia" w:ascii="Times New Roman" w:hAnsi="Times New Roman" w:eastAsia="宋体" w:cs="Times New Roman"/>
                <w:b w:val="0"/>
                <w:bCs w:val="0"/>
                <w:color w:val="auto"/>
                <w:sz w:val="21"/>
                <w:szCs w:val="21"/>
                <w:vertAlign w:val="baseline"/>
                <w:lang w:val="en-US" w:eastAsia="zh-CN"/>
              </w:rPr>
              <w:t>核算技术指南 准则》（HJ884-2018）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2</w:t>
            </w:r>
          </w:p>
        </w:tc>
        <w:tc>
          <w:tcPr>
            <w:tcW w:w="27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水溶肥生产线</w:t>
            </w:r>
          </w:p>
        </w:tc>
        <w:tc>
          <w:tcPr>
            <w:tcW w:w="46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《污染源源强核算技术指南 化肥工业》（HJ994-2018）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3</w:t>
            </w:r>
          </w:p>
        </w:tc>
        <w:tc>
          <w:tcPr>
            <w:tcW w:w="27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生物有机肥生产线</w:t>
            </w:r>
          </w:p>
        </w:tc>
        <w:tc>
          <w:tcPr>
            <w:tcW w:w="46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《污染源</w:t>
            </w:r>
            <w:r>
              <w:rPr>
                <w:rFonts w:hint="eastAsia" w:cs="Times New Roman"/>
                <w:b w:val="0"/>
                <w:bCs w:val="0"/>
                <w:color w:val="auto"/>
                <w:sz w:val="21"/>
                <w:szCs w:val="21"/>
                <w:vertAlign w:val="baseline"/>
                <w:lang w:val="en-US" w:eastAsia="zh-CN"/>
              </w:rPr>
              <w:t>源强</w:t>
            </w:r>
            <w:r>
              <w:rPr>
                <w:rFonts w:hint="eastAsia" w:ascii="Times New Roman" w:hAnsi="Times New Roman" w:eastAsia="宋体" w:cs="Times New Roman"/>
                <w:b w:val="0"/>
                <w:bCs w:val="0"/>
                <w:color w:val="auto"/>
                <w:sz w:val="21"/>
                <w:szCs w:val="21"/>
                <w:vertAlign w:val="baseline"/>
                <w:lang w:val="en-US" w:eastAsia="zh-CN"/>
              </w:rPr>
              <w:t>核算技术指南 准则》（HJ884-2018）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4</w:t>
            </w:r>
          </w:p>
        </w:tc>
        <w:tc>
          <w:tcPr>
            <w:tcW w:w="27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生物燃料生产线</w:t>
            </w:r>
          </w:p>
        </w:tc>
        <w:tc>
          <w:tcPr>
            <w:tcW w:w="46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outlineLvl w:val="9"/>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《污染源</w:t>
            </w:r>
            <w:r>
              <w:rPr>
                <w:rFonts w:hint="eastAsia" w:cs="Times New Roman"/>
                <w:b w:val="0"/>
                <w:bCs w:val="0"/>
                <w:color w:val="auto"/>
                <w:sz w:val="21"/>
                <w:szCs w:val="21"/>
                <w:vertAlign w:val="baseline"/>
                <w:lang w:val="en-US" w:eastAsia="zh-CN"/>
              </w:rPr>
              <w:t>源强</w:t>
            </w:r>
            <w:r>
              <w:rPr>
                <w:rFonts w:hint="eastAsia" w:ascii="Times New Roman" w:hAnsi="Times New Roman" w:eastAsia="宋体" w:cs="Times New Roman"/>
                <w:b w:val="0"/>
                <w:bCs w:val="0"/>
                <w:color w:val="auto"/>
                <w:sz w:val="21"/>
                <w:szCs w:val="21"/>
                <w:vertAlign w:val="baseline"/>
                <w:lang w:val="en-US" w:eastAsia="zh-CN"/>
              </w:rPr>
              <w:t>核算技术指南 准则》（HJ884-2018）</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3.4.2.1 废气污染源</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outlineLvl w:val="4"/>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3.4.2.1.1 有组织废气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本项目运营期产生的废气主要为动植物油脂回收生产线、水溶肥生产线、生物有机肥生产线、生物燃料生产线产生的废气。</w:t>
      </w:r>
    </w:p>
    <w:p>
      <w:pPr>
        <w:keepNext w:val="0"/>
        <w:keepLines w:val="0"/>
        <w:pageBreakBefore w:val="0"/>
        <w:widowControl w:val="0"/>
        <w:kinsoku/>
        <w:wordWrap/>
        <w:overflowPunct/>
        <w:topLinePunct w:val="0"/>
        <w:autoSpaceDE/>
        <w:autoSpaceDN/>
        <w:bidi w:val="0"/>
        <w:adjustRightInd/>
        <w:snapToGrid/>
        <w:spacing w:line="560" w:lineRule="exact"/>
        <w:ind w:firstLine="482" w:firstLineChars="200"/>
        <w:jc w:val="both"/>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A.正常工况</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（1）动植物油脂回收生产线产生的废气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本项目动植物油脂回收生产线产生的废气主要为熔炼废气及动植物油精炼产生的恶臭。本次评价污染源源强核算采用物料衡算法及类比法。</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熔炼废气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lang w:val="en-US" w:eastAsia="zh-CN"/>
        </w:rPr>
        <w:t>熔炸釜及调质罐中高温熬制油脂时，会有小部分油脂与水蒸发后混合产生油脂烟气。本项目年产 1500 吨饲料油及磷脂油，根据同行业数据显示，动物油脂在熬制过程中，产生的油烟废气占产排总量的 0.003%，项目年产 1500 吨饲料油及磷脂油，则生产过程中油烟总产生量为 0.045t/a，产生的油烟通过管道收集，收集效率为 95%，则有组织油烟产生量为 0.043t/a。</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植物油、动物油在高温熔炼下会产生脂肪酸类 VOCs。（以非甲烷总烃计）参考二次污染普查《食用植物油加工行业系数手册》中植物油精炼加工挥发性有机物产污系数 1.233 千克/吨-原料，《屠宰及肉类加工行业系数手册》原料肉腌制、干炸工序中挥发性有机物产污系数 0.2 千克/吨-原料，本项目动物油脂年消耗量为 1500t，罐底植物油年消耗量为 300t，则本项目非甲烷总烃总产生量为 0.670 t/a，产生的非甲烷总烃通过管道收集，收集效率为 95%，则有组织非甲烷总烃产生量为0.64t/a。</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动植物油精炼恶臭</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精炼回收原料为植物油、动物油。在动物脂肪预融、刮板分离、离心分离、过滤、压榨的过程中，可能会产生部分异味，主要成分为油脂中的异味物质及游离脂肪酸，具有一定油香味、恶臭等混合气味，对一般人而言可适应，无不良反应；但对于某些过敏体质的人而言，可能会产生不快、不适的感觉。为了解本项目生产恶臭污染源源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本项目收集了与本项目类似四川绿之旺环保科技有限公司年加工2000吨废弃动植物油脂项目竣工环保验收的实测数据，进行类比分析，通过对原料、辅料、产品及生产工艺见下表。</w:t>
      </w:r>
    </w:p>
    <w:p>
      <w:pPr>
        <w:pStyle w:val="33"/>
        <w:bidi w:val="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表 3.4.2-</w:t>
      </w:r>
      <w:r>
        <w:rPr>
          <w:rFonts w:hint="eastAsia" w:cs="Times New Roman"/>
          <w:color w:val="auto"/>
          <w:sz w:val="24"/>
          <w:szCs w:val="24"/>
          <w:lang w:val="en-US" w:eastAsia="zh-CN"/>
        </w:rPr>
        <w:t>2</w:t>
      </w:r>
      <w:r>
        <w:rPr>
          <w:rFonts w:hint="default" w:ascii="Times New Roman" w:hAnsi="Times New Roman" w:cs="Times New Roman"/>
          <w:color w:val="auto"/>
          <w:sz w:val="24"/>
          <w:szCs w:val="24"/>
          <w:lang w:val="en-US" w:eastAsia="zh-CN"/>
        </w:rPr>
        <w:t xml:space="preserve">      项目污染源强类比分析表</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27"/>
        <w:gridCol w:w="2442"/>
        <w:gridCol w:w="1558"/>
        <w:gridCol w:w="21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5"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项目</w:t>
            </w:r>
          </w:p>
        </w:tc>
        <w:tc>
          <w:tcPr>
            <w:tcW w:w="1433"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四川绿之旺环保科技有限公司年加工2000吨废弃动植物油脂项目</w:t>
            </w:r>
          </w:p>
        </w:tc>
        <w:tc>
          <w:tcPr>
            <w:tcW w:w="914"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本项目</w:t>
            </w:r>
          </w:p>
        </w:tc>
        <w:tc>
          <w:tcPr>
            <w:tcW w:w="1286"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5"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原料</w:t>
            </w:r>
          </w:p>
        </w:tc>
        <w:tc>
          <w:tcPr>
            <w:tcW w:w="1433"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废弃动植物油脂</w:t>
            </w:r>
          </w:p>
        </w:tc>
        <w:tc>
          <w:tcPr>
            <w:tcW w:w="914"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废弃动植物油脂</w:t>
            </w:r>
          </w:p>
        </w:tc>
        <w:tc>
          <w:tcPr>
            <w:tcW w:w="1286"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原料类别</w:t>
            </w:r>
            <w:r>
              <w:rPr>
                <w:rFonts w:hint="eastAsia" w:ascii="Times New Roman" w:hAnsi="Times New Roman" w:eastAsia="宋体" w:cs="Times New Roman"/>
                <w:color w:val="auto"/>
                <w:kern w:val="0"/>
                <w:sz w:val="21"/>
                <w:szCs w:val="21"/>
                <w:lang w:val="en-US" w:eastAsia="zh-CN" w:bidi="ar-SA"/>
              </w:rPr>
              <w:t>相同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5"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产品</w:t>
            </w:r>
          </w:p>
        </w:tc>
        <w:tc>
          <w:tcPr>
            <w:tcW w:w="1433"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油类加工产品</w:t>
            </w:r>
          </w:p>
        </w:tc>
        <w:tc>
          <w:tcPr>
            <w:tcW w:w="914"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油类加工产品</w:t>
            </w:r>
          </w:p>
        </w:tc>
        <w:tc>
          <w:tcPr>
            <w:tcW w:w="1286"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产品相同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5"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生产规模</w:t>
            </w:r>
          </w:p>
        </w:tc>
        <w:tc>
          <w:tcPr>
            <w:tcW w:w="1433"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2000t/a</w:t>
            </w:r>
          </w:p>
        </w:tc>
        <w:tc>
          <w:tcPr>
            <w:tcW w:w="914"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1500t/a</w:t>
            </w:r>
          </w:p>
        </w:tc>
        <w:tc>
          <w:tcPr>
            <w:tcW w:w="1286"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类比项目规模略大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5"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工艺</w:t>
            </w:r>
          </w:p>
        </w:tc>
        <w:tc>
          <w:tcPr>
            <w:tcW w:w="1433"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破碎+熔炼+压榨</w:t>
            </w:r>
          </w:p>
        </w:tc>
        <w:tc>
          <w:tcPr>
            <w:tcW w:w="914"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破碎+熔炼+压榨</w:t>
            </w:r>
          </w:p>
        </w:tc>
        <w:tc>
          <w:tcPr>
            <w:tcW w:w="1286"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相同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5"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设备类型</w:t>
            </w:r>
          </w:p>
        </w:tc>
        <w:tc>
          <w:tcPr>
            <w:tcW w:w="1433"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破碎机+加热罐+压榨机</w:t>
            </w:r>
          </w:p>
        </w:tc>
        <w:tc>
          <w:tcPr>
            <w:tcW w:w="914"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破碎机+加热罐+压榨机</w:t>
            </w:r>
          </w:p>
        </w:tc>
        <w:tc>
          <w:tcPr>
            <w:tcW w:w="1286"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相同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5"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原材料</w:t>
            </w:r>
          </w:p>
        </w:tc>
        <w:tc>
          <w:tcPr>
            <w:tcW w:w="1433"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周边动植物油厂企业产生的废弃动植物油脂</w:t>
            </w:r>
          </w:p>
        </w:tc>
        <w:tc>
          <w:tcPr>
            <w:tcW w:w="914"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周边动植物油厂企业产生的废弃动植物油脂</w:t>
            </w:r>
          </w:p>
        </w:tc>
        <w:tc>
          <w:tcPr>
            <w:tcW w:w="1286"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相同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5"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废气收集措施</w:t>
            </w:r>
          </w:p>
        </w:tc>
        <w:tc>
          <w:tcPr>
            <w:tcW w:w="1433"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负压收集</w:t>
            </w:r>
          </w:p>
        </w:tc>
        <w:tc>
          <w:tcPr>
            <w:tcW w:w="914"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负压收集</w:t>
            </w:r>
          </w:p>
        </w:tc>
        <w:tc>
          <w:tcPr>
            <w:tcW w:w="1286"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相同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5"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风机风量</w:t>
            </w:r>
          </w:p>
        </w:tc>
        <w:tc>
          <w:tcPr>
            <w:tcW w:w="1433"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5</w:t>
            </w:r>
            <w:r>
              <w:rPr>
                <w:rFonts w:hint="default" w:ascii="Times New Roman" w:hAnsi="Times New Roman" w:eastAsia="宋体" w:cs="Times New Roman"/>
                <w:color w:val="auto"/>
                <w:kern w:val="0"/>
                <w:sz w:val="21"/>
                <w:szCs w:val="21"/>
                <w:lang w:val="en-US" w:eastAsia="zh-CN" w:bidi="ar-SA"/>
              </w:rPr>
              <w:t>000m</w:t>
            </w:r>
            <w:r>
              <w:rPr>
                <w:rFonts w:hint="default" w:ascii="Times New Roman" w:hAnsi="Times New Roman" w:eastAsia="宋体" w:cs="Times New Roman"/>
                <w:color w:val="auto"/>
                <w:kern w:val="0"/>
                <w:sz w:val="21"/>
                <w:szCs w:val="21"/>
                <w:vertAlign w:val="superscript"/>
                <w:lang w:val="en-US" w:eastAsia="zh-CN" w:bidi="ar-SA"/>
              </w:rPr>
              <w:t>3</w:t>
            </w:r>
            <w:r>
              <w:rPr>
                <w:rFonts w:hint="default" w:ascii="Times New Roman" w:hAnsi="Times New Roman" w:eastAsia="宋体" w:cs="Times New Roman"/>
                <w:color w:val="auto"/>
                <w:kern w:val="0"/>
                <w:sz w:val="21"/>
                <w:szCs w:val="21"/>
                <w:lang w:val="en-US" w:eastAsia="zh-CN" w:bidi="ar-SA"/>
              </w:rPr>
              <w:t>/h</w:t>
            </w:r>
          </w:p>
        </w:tc>
        <w:tc>
          <w:tcPr>
            <w:tcW w:w="914"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5</w:t>
            </w:r>
            <w:r>
              <w:rPr>
                <w:rFonts w:hint="default" w:ascii="Times New Roman" w:hAnsi="Times New Roman" w:eastAsia="宋体" w:cs="Times New Roman"/>
                <w:color w:val="auto"/>
                <w:kern w:val="0"/>
                <w:sz w:val="21"/>
                <w:szCs w:val="21"/>
                <w:lang w:val="en-US" w:eastAsia="zh-CN" w:bidi="ar-SA"/>
              </w:rPr>
              <w:t>000m</w:t>
            </w:r>
            <w:r>
              <w:rPr>
                <w:rFonts w:hint="default" w:ascii="Times New Roman" w:hAnsi="Times New Roman" w:eastAsia="宋体" w:cs="Times New Roman"/>
                <w:color w:val="auto"/>
                <w:kern w:val="0"/>
                <w:sz w:val="21"/>
                <w:szCs w:val="21"/>
                <w:vertAlign w:val="superscript"/>
                <w:lang w:val="en-US" w:eastAsia="zh-CN" w:bidi="ar-SA"/>
              </w:rPr>
              <w:t>3</w:t>
            </w:r>
            <w:r>
              <w:rPr>
                <w:rFonts w:hint="default" w:ascii="Times New Roman" w:hAnsi="Times New Roman" w:eastAsia="宋体" w:cs="Times New Roman"/>
                <w:color w:val="auto"/>
                <w:kern w:val="0"/>
                <w:sz w:val="21"/>
                <w:szCs w:val="21"/>
                <w:lang w:val="en-US" w:eastAsia="zh-CN" w:bidi="ar-SA"/>
              </w:rPr>
              <w:t>/h</w:t>
            </w:r>
          </w:p>
        </w:tc>
        <w:tc>
          <w:tcPr>
            <w:tcW w:w="1286"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相同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5"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生产时间</w:t>
            </w:r>
          </w:p>
        </w:tc>
        <w:tc>
          <w:tcPr>
            <w:tcW w:w="1433"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240天，每天24h</w:t>
            </w:r>
          </w:p>
        </w:tc>
        <w:tc>
          <w:tcPr>
            <w:tcW w:w="914"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240天，每天24h</w:t>
            </w:r>
          </w:p>
        </w:tc>
        <w:tc>
          <w:tcPr>
            <w:tcW w:w="1286"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相同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5"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监测时间</w:t>
            </w:r>
          </w:p>
        </w:tc>
        <w:tc>
          <w:tcPr>
            <w:tcW w:w="1433"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2021年3月15日</w:t>
            </w:r>
          </w:p>
        </w:tc>
        <w:tc>
          <w:tcPr>
            <w:tcW w:w="914"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w:t>
            </w:r>
          </w:p>
        </w:tc>
        <w:tc>
          <w:tcPr>
            <w:tcW w:w="1286"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5"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NH</w:t>
            </w:r>
            <w:r>
              <w:rPr>
                <w:rFonts w:hint="eastAsia" w:ascii="Times New Roman" w:hAnsi="Times New Roman" w:eastAsia="宋体" w:cs="Times New Roman"/>
                <w:color w:val="auto"/>
                <w:kern w:val="0"/>
                <w:sz w:val="21"/>
                <w:szCs w:val="21"/>
                <w:vertAlign w:val="subscript"/>
                <w:lang w:val="en-US" w:eastAsia="zh-CN" w:bidi="ar-SA"/>
              </w:rPr>
              <w:t>3</w:t>
            </w:r>
            <w:r>
              <w:rPr>
                <w:rFonts w:hint="eastAsia" w:ascii="Times New Roman" w:hAnsi="Times New Roman" w:eastAsia="宋体" w:cs="Times New Roman"/>
                <w:color w:val="auto"/>
                <w:kern w:val="0"/>
                <w:sz w:val="21"/>
                <w:szCs w:val="21"/>
                <w:lang w:val="en-US" w:eastAsia="zh-CN" w:bidi="ar-SA"/>
              </w:rPr>
              <w:t>处理前最大产生速率/产生量</w:t>
            </w:r>
          </w:p>
        </w:tc>
        <w:tc>
          <w:tcPr>
            <w:tcW w:w="1433"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0.029kg/h，0.17t/a</w:t>
            </w:r>
          </w:p>
        </w:tc>
        <w:tc>
          <w:tcPr>
            <w:tcW w:w="914"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w:t>
            </w:r>
          </w:p>
        </w:tc>
        <w:tc>
          <w:tcPr>
            <w:tcW w:w="1286"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5"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H</w:t>
            </w:r>
            <w:r>
              <w:rPr>
                <w:rFonts w:hint="eastAsia" w:ascii="Times New Roman" w:hAnsi="Times New Roman" w:eastAsia="宋体" w:cs="Times New Roman"/>
                <w:color w:val="auto"/>
                <w:kern w:val="0"/>
                <w:sz w:val="21"/>
                <w:szCs w:val="21"/>
                <w:vertAlign w:val="subscript"/>
                <w:lang w:val="en-US" w:eastAsia="zh-CN" w:bidi="ar-SA"/>
              </w:rPr>
              <w:t>2</w:t>
            </w:r>
            <w:r>
              <w:rPr>
                <w:rFonts w:hint="eastAsia" w:ascii="Times New Roman" w:hAnsi="Times New Roman" w:eastAsia="宋体" w:cs="Times New Roman"/>
                <w:color w:val="auto"/>
                <w:kern w:val="0"/>
                <w:sz w:val="21"/>
                <w:szCs w:val="21"/>
                <w:lang w:val="en-US" w:eastAsia="zh-CN" w:bidi="ar-SA"/>
              </w:rPr>
              <w:t>S处理前最大产生速率/产生量</w:t>
            </w:r>
          </w:p>
        </w:tc>
        <w:tc>
          <w:tcPr>
            <w:tcW w:w="1433"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4.01×10</w:t>
            </w:r>
            <w:r>
              <w:rPr>
                <w:rFonts w:hint="eastAsia" w:ascii="Times New Roman" w:hAnsi="Times New Roman" w:eastAsia="宋体" w:cs="Times New Roman"/>
                <w:color w:val="auto"/>
                <w:kern w:val="0"/>
                <w:sz w:val="21"/>
                <w:szCs w:val="21"/>
                <w:vertAlign w:val="superscript"/>
                <w:lang w:val="en-US" w:eastAsia="zh-CN" w:bidi="ar-SA"/>
              </w:rPr>
              <w:t>-4</w:t>
            </w:r>
            <w:r>
              <w:rPr>
                <w:rFonts w:hint="eastAsia" w:ascii="Times New Roman" w:hAnsi="Times New Roman" w:eastAsia="宋体" w:cs="Times New Roman"/>
                <w:color w:val="auto"/>
                <w:kern w:val="0"/>
                <w:sz w:val="21"/>
                <w:szCs w:val="21"/>
                <w:lang w:val="en-US" w:eastAsia="zh-CN" w:bidi="ar-SA"/>
              </w:rPr>
              <w:t>kg/h，0.0023t/a</w:t>
            </w:r>
          </w:p>
        </w:tc>
        <w:tc>
          <w:tcPr>
            <w:tcW w:w="914"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w:t>
            </w:r>
          </w:p>
        </w:tc>
        <w:tc>
          <w:tcPr>
            <w:tcW w:w="1286" w:type="pct"/>
            <w:tcBorders>
              <w:tl2br w:val="nil"/>
              <w:tr2bl w:val="nil"/>
            </w:tcBorders>
            <w:noWrap w:val="0"/>
            <w:vAlign w:val="center"/>
          </w:tcPr>
          <w:p>
            <w:pPr>
              <w:keepNext w:val="0"/>
              <w:widowControl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四川绿之旺环保科技有限公司年加工 2000 吨废弃动植物油脂项目与本项目产品均为油类加工产品，使用的原料均为周边动植物油厂企业产生的废弃动植物油脂，在生产工艺方面，均采用破碎+熔炼+压榨，在废气收集方面采用负压收集，配套风机风量为 5000m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/h，采用“活性炭吸附”处理后通过 1 根排气筒排放，根据监测数据，类比项目排放口 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 xml:space="preserve"> 产生速率为0.0291kg/h，H</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S 产生速率为 4.01×10</w:t>
      </w:r>
      <w:r>
        <w:rPr>
          <w:rFonts w:hint="eastAsia" w:ascii="Times New Roman" w:hAnsi="Times New Roman" w:eastAsia="宋体" w:cs="Times New Roman"/>
          <w:color w:val="auto"/>
          <w:sz w:val="24"/>
          <w:szCs w:val="24"/>
          <w:vertAlign w:val="superscript"/>
          <w:lang w:val="en-US" w:eastAsia="zh-CN"/>
        </w:rPr>
        <w:t>-4</w:t>
      </w:r>
      <w:r>
        <w:rPr>
          <w:rFonts w:hint="eastAsia" w:ascii="Times New Roman" w:hAnsi="Times New Roman" w:eastAsia="宋体" w:cs="Times New Roman"/>
          <w:color w:val="auto"/>
          <w:sz w:val="24"/>
          <w:szCs w:val="24"/>
          <w:lang w:val="en-US" w:eastAsia="zh-CN"/>
        </w:rPr>
        <w:t>kg/h，本项目在废气收集方面采用负压收集，配套风机风量为5000m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/h，采用“活性炭吸附”处理后通过 1 根排气筒排放，类比项目的生产规模略大于本项目，风机风量相同，废气处理工艺相同，满足《污染源源强核算技术指南 准则》（HJ884-2018）废气产生源强类比条件。</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根据类比同类项目监测数据结合建设单位设计资料，本次评价保守取整，即有组织NH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 xml:space="preserve"> 产生量为 0.17t/a；有组织H</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S 产生量为2.4×10</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t/a。</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该生产线产生的废气与生物燃料生产线产生的废气及储罐呼吸孔产生的废气共用一套”净电除油+二级碱液喷淋塔+除湿+活性炭吸附箱”，配套风机风量25000m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/h，处理后通过 1 根 15m 高排气筒（DA001）排放。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（2）储罐区废气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油脂类加工产品、酸化油等采用储罐存储，储罐在日常储存和装卸过程中会有“大小呼吸作用”，有呼吸废气排放。储罐的“大小呼吸作用”和储罐的类型、物料装卸方式、运行状态及环境因素有关。项目储罐采用固定拱顶罐，根据《工业源挥发性有机物通用源项产排污核算系数手册》省市、物料、罐型、储罐容积、储存温度选择该源项系数，挥发性有机液体储存挥发性有机物产生量计算公式如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position w:val="-14"/>
          <w:sz w:val="24"/>
          <w:szCs w:val="24"/>
          <w:lang w:val="en-US" w:eastAsia="zh-CN"/>
        </w:rPr>
        <w:object>
          <v:shape id="_x0000_i1027" o:spt="75" type="#_x0000_t75" style="height:20pt;width:118pt;" o:ole="t" filled="f" o:preferrelative="t" stroked="f" coordsize="21600,21600">
            <v:path/>
            <v:fill on="f" focussize="0,0"/>
            <v:stroke on="f"/>
            <v:imagedata r:id="rId23" o:title=""/>
            <o:lock v:ext="edit" aspectratio="t"/>
            <w10:wrap type="none"/>
            <w10:anchorlock/>
          </v:shape>
          <o:OLEObject Type="Embed" ProgID="Equation.KSEE3" ShapeID="_x0000_i1027" DrawAspect="Content" ObjectID="_1468075727" r:id="rId22">
            <o:LockedField>false</o:LockedField>
          </o:OLEObject>
        </w:objec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式中：</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D——挥发性有机物年产生量，千克/年；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k</w:t>
      </w:r>
      <w:r>
        <w:rPr>
          <w:rFonts w:hint="eastAsia" w:ascii="Times New Roman" w:hAnsi="Times New Roman" w:eastAsia="宋体" w:cs="Times New Roman"/>
          <w:color w:val="auto"/>
          <w:sz w:val="24"/>
          <w:szCs w:val="24"/>
          <w:vertAlign w:val="subscript"/>
          <w:lang w:val="en-US" w:eastAsia="zh-CN"/>
        </w:rPr>
        <w:t>1</w:t>
      </w:r>
      <w:r>
        <w:rPr>
          <w:rFonts w:hint="eastAsia" w:ascii="Times New Roman" w:hAnsi="Times New Roman" w:eastAsia="宋体" w:cs="Times New Roman"/>
          <w:color w:val="auto"/>
          <w:sz w:val="24"/>
          <w:szCs w:val="24"/>
          <w:lang w:val="en-US" w:eastAsia="zh-CN"/>
        </w:rPr>
        <w:t>——工作损失排放系数，千克/吨-周转量；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k</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——静置损失排放系数，千克/年；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n——相同物料、储罐类型、储罐容积、储存温度下的储罐个数；</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Q</w:t>
      </w:r>
      <w:r>
        <w:rPr>
          <w:rFonts w:hint="eastAsia" w:ascii="Times New Roman" w:hAnsi="Times New Roman" w:eastAsia="宋体" w:cs="Times New Roman"/>
          <w:color w:val="auto"/>
          <w:sz w:val="24"/>
          <w:szCs w:val="24"/>
          <w:vertAlign w:val="subscript"/>
          <w:lang w:val="en-US" w:eastAsia="zh-CN"/>
        </w:rPr>
        <w:t>i</w:t>
      </w:r>
      <w:r>
        <w:rPr>
          <w:rFonts w:hint="eastAsia" w:ascii="Times New Roman" w:hAnsi="Times New Roman" w:eastAsia="宋体" w:cs="Times New Roman"/>
          <w:color w:val="auto"/>
          <w:sz w:val="24"/>
          <w:szCs w:val="24"/>
          <w:lang w:val="en-US" w:eastAsia="zh-CN"/>
        </w:rPr>
        <w:t>——物料的年周转量，吨/年；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则本项目储存挥发性有机物产生情况见下表 3.4.2-3。</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3.4.2-3    储存挥发性有机物产生量一览表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3"/>
        <w:gridCol w:w="658"/>
        <w:gridCol w:w="883"/>
        <w:gridCol w:w="568"/>
        <w:gridCol w:w="1139"/>
        <w:gridCol w:w="471"/>
        <w:gridCol w:w="1449"/>
        <w:gridCol w:w="1374"/>
        <w:gridCol w:w="9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容积（m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w:t>
            </w:r>
          </w:p>
        </w:tc>
        <w:tc>
          <w:tcPr>
            <w:tcW w:w="38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储存介质</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年周转量（t）</w:t>
            </w:r>
          </w:p>
        </w:tc>
        <w:tc>
          <w:tcPr>
            <w:tcW w:w="3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储罐个数</w:t>
            </w:r>
          </w:p>
        </w:tc>
        <w:tc>
          <w:tcPr>
            <w:tcW w:w="6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储罐容积V（m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w:t>
            </w:r>
          </w:p>
        </w:tc>
        <w:tc>
          <w:tcPr>
            <w:tcW w:w="2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温度</w:t>
            </w:r>
          </w:p>
        </w:tc>
        <w:tc>
          <w:tcPr>
            <w:tcW w:w="85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工作损失排放系数（千克/吨-周转量）</w:t>
            </w:r>
          </w:p>
        </w:tc>
        <w:tc>
          <w:tcPr>
            <w:tcW w:w="8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静置损失排放系数千克/年</w:t>
            </w:r>
          </w:p>
        </w:tc>
        <w:tc>
          <w:tcPr>
            <w:tcW w:w="5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产生量（t/a）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1000</w:t>
            </w:r>
          </w:p>
        </w:tc>
        <w:tc>
          <w:tcPr>
            <w:tcW w:w="38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酸化油</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500</w:t>
            </w:r>
          </w:p>
        </w:tc>
        <w:tc>
          <w:tcPr>
            <w:tcW w:w="3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6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800≤V≤1000</w:t>
            </w:r>
          </w:p>
        </w:tc>
        <w:tc>
          <w:tcPr>
            <w:tcW w:w="276"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常温</w:t>
            </w:r>
          </w:p>
        </w:tc>
        <w:tc>
          <w:tcPr>
            <w:tcW w:w="85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0.8221</w:t>
            </w:r>
          </w:p>
        </w:tc>
        <w:tc>
          <w:tcPr>
            <w:tcW w:w="8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1979.686</w:t>
            </w:r>
          </w:p>
        </w:tc>
        <w:tc>
          <w:tcPr>
            <w:tcW w:w="5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2.391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500</w:t>
            </w:r>
          </w:p>
        </w:tc>
        <w:tc>
          <w:tcPr>
            <w:tcW w:w="38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油脂加工产品</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1500</w:t>
            </w:r>
          </w:p>
        </w:tc>
        <w:tc>
          <w:tcPr>
            <w:tcW w:w="3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6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400＜V≤500</w:t>
            </w:r>
          </w:p>
        </w:tc>
        <w:tc>
          <w:tcPr>
            <w:tcW w:w="27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85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0.8221</w:t>
            </w:r>
          </w:p>
        </w:tc>
        <w:tc>
          <w:tcPr>
            <w:tcW w:w="8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1088.173</w:t>
            </w:r>
          </w:p>
        </w:tc>
        <w:tc>
          <w:tcPr>
            <w:tcW w:w="5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2.321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0" w:type="pct"/>
            <w:gridSpan w:val="8"/>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合计</w:t>
            </w:r>
          </w:p>
        </w:tc>
        <w:tc>
          <w:tcPr>
            <w:tcW w:w="5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4.712</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由上表可知，本项目储罐呼吸废气总产生量为 4.712t/a，产生的非甲烷总烃通过管道收集，收集效率为 95%，则有组织非甲烷总烃产生量为 4.48t/a。</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储罐呼吸孔产生的废气与生物燃料生产线产生的废气及动植物油脂回收生产线产生的废气共用一套“净电除油+二级碱液喷淋塔+除湿+活性炭吸附箱”，配套风机风量 25000m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/h，处理后通过 1 根 15m 高排气筒（DA001）排放。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（3）水溶肥生产线废气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本项目水溶肥生产线产生的废气主要为投料废气及呼吸口废气。根据《污染源源强核算技术指南 化肥工业》（HJ994-2018）中污染源强核算方法的选取次序，本次评价污染源源强核算采用物料衡算法。</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① 投料废气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含油废水通入溶解槽后，将通过投料口向溶解槽中加入磷酸二氢钾，本项目所有磷酸二氢钾为袋装粉料，投料时将产生粉尘。参考《逸散性工业粉尘控制技术》（J.A奥里锰编著）第十二章节，混合肥料厂逸散尘排放因子为0.1kg/t-原料，本项目磷酸二氢钾的年用量为 30t。则本项目</w:t>
      </w:r>
      <w:r>
        <w:rPr>
          <w:rFonts w:hint="eastAsia" w:ascii="Times New Roman" w:hAnsi="Times New Roman" w:eastAsia="宋体" w:cs="Times New Roman"/>
          <w:color w:val="auto"/>
          <w:sz w:val="24"/>
          <w:szCs w:val="24"/>
          <w:lang w:val="en-US" w:eastAsia="zh-CN"/>
        </w:rPr>
        <w:t>颗粒物总产生量</w:t>
      </w:r>
      <w:r>
        <w:rPr>
          <w:rFonts w:hint="default" w:ascii="Times New Roman" w:hAnsi="Times New Roman" w:eastAsia="宋体" w:cs="Times New Roman"/>
          <w:color w:val="auto"/>
          <w:sz w:val="24"/>
          <w:szCs w:val="24"/>
          <w:lang w:val="en-US" w:eastAsia="zh-CN"/>
        </w:rPr>
        <w:t>为 3</w:t>
      </w:r>
      <w:r>
        <w:rPr>
          <w:rFonts w:hint="eastAsia" w:ascii="Times New Roman" w:hAnsi="Times New Roman" w:eastAsia="宋体" w:cs="Times New Roman"/>
          <w:color w:val="auto"/>
          <w:sz w:val="24"/>
          <w:szCs w:val="24"/>
          <w:lang w:val="en-US" w:eastAsia="zh-CN"/>
        </w:rPr>
        <w:t>×10</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t</w:t>
      </w:r>
      <w:r>
        <w:rPr>
          <w:rFonts w:hint="default" w:ascii="Times New Roman" w:hAnsi="Times New Roman" w:eastAsia="宋体" w:cs="Times New Roman"/>
          <w:color w:val="auto"/>
          <w:sz w:val="24"/>
          <w:szCs w:val="24"/>
          <w:lang w:val="en-US" w:eastAsia="zh-CN"/>
        </w:rPr>
        <w:t>/a，</w:t>
      </w:r>
      <w:r>
        <w:rPr>
          <w:rFonts w:hint="eastAsia" w:ascii="Times New Roman" w:hAnsi="Times New Roman" w:eastAsia="宋体" w:cs="Times New Roman"/>
          <w:color w:val="auto"/>
          <w:sz w:val="24"/>
          <w:szCs w:val="24"/>
          <w:lang w:val="en-US" w:eastAsia="zh-CN"/>
        </w:rPr>
        <w:t>产生的颗粒物通过集气罩收集，收集效率为 90%，则有组织颗粒物产生量为 2.7×10</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t/a</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② 呼吸</w:t>
      </w:r>
      <w:r>
        <w:rPr>
          <w:rFonts w:hint="eastAsia" w:ascii="Times New Roman" w:hAnsi="Times New Roman" w:eastAsia="宋体" w:cs="Times New Roman"/>
          <w:color w:val="auto"/>
          <w:sz w:val="24"/>
          <w:szCs w:val="24"/>
          <w:lang w:val="en-US" w:eastAsia="zh-CN"/>
        </w:rPr>
        <w:t>口</w:t>
      </w:r>
      <w:r>
        <w:rPr>
          <w:rFonts w:hint="default" w:ascii="Times New Roman" w:hAnsi="Times New Roman" w:eastAsia="宋体" w:cs="Times New Roman"/>
          <w:color w:val="auto"/>
          <w:sz w:val="24"/>
          <w:szCs w:val="24"/>
          <w:lang w:val="en-US" w:eastAsia="zh-CN"/>
        </w:rPr>
        <w:t>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当含油废水经管道通入溶解槽后将有气体由呼吸口排出，在生产过程中需要加入氨水（20% 浓度）调节 pH 并与溶液中</w:t>
      </w:r>
      <w:r>
        <w:rPr>
          <w:rFonts w:hint="eastAsia" w:ascii="Times New Roman" w:hAnsi="Times New Roman" w:eastAsia="宋体" w:cs="Times New Roman"/>
          <w:color w:val="auto"/>
          <w:sz w:val="24"/>
          <w:szCs w:val="24"/>
          <w:lang w:val="en-US" w:eastAsia="zh-CN"/>
        </w:rPr>
        <w:t>硫酸</w:t>
      </w:r>
      <w:r>
        <w:rPr>
          <w:rFonts w:hint="default" w:ascii="Times New Roman" w:hAnsi="Times New Roman" w:eastAsia="宋体" w:cs="Times New Roman"/>
          <w:color w:val="auto"/>
          <w:sz w:val="24"/>
          <w:szCs w:val="24"/>
          <w:lang w:val="en-US" w:eastAsia="zh-CN"/>
        </w:rPr>
        <w:t>生产</w:t>
      </w:r>
      <w:r>
        <w:rPr>
          <w:rFonts w:hint="eastAsia" w:ascii="Times New Roman" w:hAnsi="Times New Roman" w:eastAsia="宋体" w:cs="Times New Roman"/>
          <w:color w:val="auto"/>
          <w:sz w:val="24"/>
          <w:szCs w:val="24"/>
          <w:lang w:val="en-US" w:eastAsia="zh-CN"/>
        </w:rPr>
        <w:t>硫酸</w:t>
      </w:r>
      <w:r>
        <w:rPr>
          <w:rFonts w:hint="default" w:ascii="Times New Roman" w:hAnsi="Times New Roman" w:eastAsia="宋体" w:cs="Times New Roman"/>
          <w:color w:val="auto"/>
          <w:sz w:val="24"/>
          <w:szCs w:val="24"/>
          <w:lang w:val="en-US" w:eastAsia="zh-CN"/>
        </w:rPr>
        <w:t>氨，生产过程中有少量</w:t>
      </w:r>
      <w:r>
        <w:rPr>
          <w:rFonts w:hint="eastAsia" w:ascii="Times New Roman" w:hAnsi="Times New Roman" w:eastAsia="宋体" w:cs="Times New Roman"/>
          <w:color w:val="auto"/>
          <w:sz w:val="24"/>
          <w:szCs w:val="24"/>
          <w:lang w:val="en-US" w:eastAsia="zh-CN"/>
        </w:rPr>
        <w:t xml:space="preserve"> 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挥发，最后经呼吸口排出。</w:t>
      </w:r>
      <w:r>
        <w:rPr>
          <w:rFonts w:hint="eastAsia" w:ascii="Times New Roman" w:hAnsi="Times New Roman" w:eastAsia="宋体" w:cs="Times New Roman"/>
          <w:color w:val="auto"/>
          <w:sz w:val="24"/>
          <w:szCs w:val="24"/>
          <w:lang w:val="en-US" w:eastAsia="zh-CN"/>
        </w:rPr>
        <w:t>通过物料守恒计算，NH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 xml:space="preserve"> 总产生量为 0.032t/a，产生的 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 xml:space="preserve"> 通过集气罩收集，收集效率为90%，则有组织 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 xml:space="preserve"> 产生量为 0.0288t/a。</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该生产线产生的废气与生物有机肥生产线产生的废气共用一套“布袋除尘器+活性炭吸附装置”，配套风机风量5000m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/h，处理后通过 1 根 15m 高排气筒（DA002）排放。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（4）</w:t>
      </w:r>
      <w:r>
        <w:rPr>
          <w:rFonts w:hint="eastAsia" w:ascii="Times New Roman" w:hAnsi="Times New Roman" w:eastAsia="宋体" w:cs="Times New Roman"/>
          <w:color w:val="auto"/>
          <w:sz w:val="24"/>
          <w:szCs w:val="24"/>
          <w:lang w:val="en-US" w:eastAsia="zh-CN"/>
        </w:rPr>
        <w:t>生物</w:t>
      </w:r>
      <w:r>
        <w:rPr>
          <w:rFonts w:hint="default" w:ascii="Times New Roman" w:hAnsi="Times New Roman" w:eastAsia="宋体" w:cs="Times New Roman"/>
          <w:color w:val="auto"/>
          <w:sz w:val="24"/>
          <w:szCs w:val="24"/>
          <w:lang w:val="en-US" w:eastAsia="zh-CN"/>
        </w:rPr>
        <w:t>有机肥生产线</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本项目生物有机肥生产线产生的废气主要为发酵废气及加工废气。本次评价污染源源强核算采用物料衡算法及产排污系数法。</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发酵废气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本项目生物有机肥采用罐式发酵，发酵罐容积为 100m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，发酵工序产生的污染物主要为恶臭。</w:t>
      </w:r>
      <w:r>
        <w:rPr>
          <w:rFonts w:hint="default" w:ascii="Times New Roman" w:hAnsi="Times New Roman" w:eastAsia="宋体" w:cs="Times New Roman"/>
          <w:color w:val="auto"/>
          <w:sz w:val="24"/>
          <w:szCs w:val="24"/>
          <w:lang w:val="en-US" w:eastAsia="zh-CN"/>
        </w:rPr>
        <w:t>参考中国农业科学院 2010 年《规模化畜禽养殖场恶臭污染物扩散规律及其防护距离研究》，好氧堆肥过程中恶臭气体产生量为，每1000t牛</w:t>
      </w:r>
      <w:r>
        <w:rPr>
          <w:rFonts w:hint="eastAsia" w:ascii="Times New Roman" w:hAnsi="Times New Roman" w:eastAsia="宋体" w:cs="Times New Roman"/>
          <w:color w:val="auto"/>
          <w:sz w:val="24"/>
          <w:szCs w:val="24"/>
          <w:lang w:val="en-US" w:eastAsia="zh-CN"/>
        </w:rPr>
        <w:t>羊</w:t>
      </w:r>
      <w:r>
        <w:rPr>
          <w:rFonts w:hint="default" w:ascii="Times New Roman" w:hAnsi="Times New Roman" w:eastAsia="宋体" w:cs="Times New Roman"/>
          <w:color w:val="auto"/>
          <w:sz w:val="24"/>
          <w:szCs w:val="24"/>
          <w:lang w:val="en-US" w:eastAsia="zh-CN"/>
        </w:rPr>
        <w:t>粪 NH</w:t>
      </w:r>
      <w:r>
        <w:rPr>
          <w:rFonts w:hint="default" w:ascii="Times New Roman" w:hAnsi="Times New Roman" w:eastAsia="宋体" w:cs="Times New Roman"/>
          <w:color w:val="auto"/>
          <w:sz w:val="24"/>
          <w:szCs w:val="24"/>
          <w:vertAlign w:val="subscript"/>
          <w:lang w:val="en-US" w:eastAsia="zh-CN"/>
        </w:rPr>
        <w:t>3</w:t>
      </w:r>
      <w:r>
        <w:rPr>
          <w:rFonts w:hint="default" w:ascii="Times New Roman" w:hAnsi="Times New Roman" w:eastAsia="宋体" w:cs="Times New Roman"/>
          <w:color w:val="auto"/>
          <w:sz w:val="24"/>
          <w:szCs w:val="24"/>
          <w:lang w:val="en-US" w:eastAsia="zh-CN"/>
        </w:rPr>
        <w:t xml:space="preserve"> 产生量为2.8~3.3kg，H</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S 产生量为0.26-0.32kg，本次评价按最不利条件考虑，即每发酵 1000t 牛</w:t>
      </w:r>
      <w:r>
        <w:rPr>
          <w:rFonts w:hint="eastAsia" w:ascii="Times New Roman" w:hAnsi="Times New Roman" w:eastAsia="宋体" w:cs="Times New Roman"/>
          <w:color w:val="auto"/>
          <w:sz w:val="24"/>
          <w:szCs w:val="24"/>
          <w:lang w:val="en-US" w:eastAsia="zh-CN"/>
        </w:rPr>
        <w:t>羊</w:t>
      </w:r>
      <w:r>
        <w:rPr>
          <w:rFonts w:hint="default" w:ascii="Times New Roman" w:hAnsi="Times New Roman" w:eastAsia="宋体" w:cs="Times New Roman"/>
          <w:color w:val="auto"/>
          <w:sz w:val="24"/>
          <w:szCs w:val="24"/>
          <w:lang w:val="en-US" w:eastAsia="zh-CN"/>
        </w:rPr>
        <w:t>粪 NH</w:t>
      </w:r>
      <w:r>
        <w:rPr>
          <w:rFonts w:hint="default" w:ascii="Times New Roman" w:hAnsi="Times New Roman" w:eastAsia="宋体" w:cs="Times New Roman"/>
          <w:color w:val="auto"/>
          <w:sz w:val="24"/>
          <w:szCs w:val="24"/>
          <w:vertAlign w:val="subscript"/>
          <w:lang w:val="en-US" w:eastAsia="zh-CN"/>
        </w:rPr>
        <w:t>3</w:t>
      </w:r>
      <w:r>
        <w:rPr>
          <w:rFonts w:hint="default" w:ascii="Times New Roman" w:hAnsi="Times New Roman" w:eastAsia="宋体" w:cs="Times New Roman"/>
          <w:color w:val="auto"/>
          <w:sz w:val="24"/>
          <w:szCs w:val="24"/>
          <w:lang w:val="en-US" w:eastAsia="zh-CN"/>
        </w:rPr>
        <w:t xml:space="preserve"> 产生量为 3.3kg，H</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S 产生量为 0.32kg，</w:t>
      </w:r>
      <w:r>
        <w:rPr>
          <w:rFonts w:hint="eastAsia" w:ascii="Times New Roman" w:hAnsi="Times New Roman" w:eastAsia="宋体" w:cs="Times New Roman"/>
          <w:color w:val="auto"/>
          <w:sz w:val="24"/>
          <w:szCs w:val="24"/>
          <w:lang w:val="en-US" w:eastAsia="zh-CN"/>
        </w:rPr>
        <w:t>本项目牛羊粪使用量为 1500t/a，则发酵工序 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 xml:space="preserve"> 总产生量为 4.95×10</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t/a，</w:t>
      </w:r>
      <w:r>
        <w:rPr>
          <w:rFonts w:hint="default" w:ascii="Times New Roman" w:hAnsi="Times New Roman" w:eastAsia="宋体" w:cs="Times New Roman"/>
          <w:color w:val="auto"/>
          <w:sz w:val="24"/>
          <w:szCs w:val="24"/>
          <w:lang w:val="en-US" w:eastAsia="zh-CN"/>
        </w:rPr>
        <w:t>H</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S</w:t>
      </w:r>
      <w:r>
        <w:rPr>
          <w:rFonts w:hint="eastAsia" w:ascii="Times New Roman" w:hAnsi="Times New Roman" w:eastAsia="宋体" w:cs="Times New Roman"/>
          <w:color w:val="auto"/>
          <w:sz w:val="24"/>
          <w:szCs w:val="24"/>
          <w:lang w:val="en-US" w:eastAsia="zh-CN"/>
        </w:rPr>
        <w:t xml:space="preserve"> 总产生量为0.48×10</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t/a，本项目发酵废气通过集气罩收集，收集效率为 90%，则有组织 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 xml:space="preserve"> 产生量为 4.46×10</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 xml:space="preserve">t/a，有组织 </w:t>
      </w:r>
      <w:r>
        <w:rPr>
          <w:rFonts w:hint="default" w:ascii="Times New Roman" w:hAnsi="Times New Roman" w:eastAsia="宋体" w:cs="Times New Roman"/>
          <w:color w:val="auto"/>
          <w:sz w:val="24"/>
          <w:szCs w:val="24"/>
          <w:lang w:val="en-US" w:eastAsia="zh-CN"/>
        </w:rPr>
        <w:t>H</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S</w:t>
      </w:r>
      <w:r>
        <w:rPr>
          <w:rFonts w:hint="eastAsia" w:ascii="Times New Roman" w:hAnsi="Times New Roman" w:eastAsia="宋体" w:cs="Times New Roman"/>
          <w:color w:val="auto"/>
          <w:sz w:val="24"/>
          <w:szCs w:val="24"/>
          <w:lang w:val="en-US" w:eastAsia="zh-CN"/>
        </w:rPr>
        <w:t xml:space="preserve"> 产生量为4.32×10</w:t>
      </w:r>
      <w:r>
        <w:rPr>
          <w:rFonts w:hint="eastAsia" w:ascii="Times New Roman" w:hAnsi="Times New Roman" w:eastAsia="宋体" w:cs="Times New Roman"/>
          <w:color w:val="auto"/>
          <w:sz w:val="24"/>
          <w:szCs w:val="24"/>
          <w:vertAlign w:val="superscript"/>
          <w:lang w:val="en-US" w:eastAsia="zh-CN"/>
        </w:rPr>
        <w:t>-4</w:t>
      </w:r>
      <w:r>
        <w:rPr>
          <w:rFonts w:hint="eastAsia" w:ascii="Times New Roman" w:hAnsi="Times New Roman" w:eastAsia="宋体" w:cs="Times New Roman"/>
          <w:color w:val="auto"/>
          <w:sz w:val="24"/>
          <w:szCs w:val="24"/>
          <w:lang w:val="en-US" w:eastAsia="zh-CN"/>
        </w:rPr>
        <w:t>t/a。</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w:t>
      </w:r>
      <w:r>
        <w:rPr>
          <w:rFonts w:hint="default" w:ascii="Times New Roman" w:hAnsi="Times New Roman" w:eastAsia="宋体" w:cs="Times New Roman"/>
          <w:color w:val="auto"/>
          <w:sz w:val="24"/>
          <w:szCs w:val="24"/>
          <w:lang w:val="en-US" w:eastAsia="zh-CN"/>
        </w:rPr>
        <w:t xml:space="preserve"> 加工废气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生物</w:t>
      </w:r>
      <w:r>
        <w:rPr>
          <w:rFonts w:hint="default" w:ascii="Times New Roman" w:hAnsi="Times New Roman" w:eastAsia="宋体" w:cs="Times New Roman"/>
          <w:color w:val="auto"/>
          <w:sz w:val="24"/>
          <w:szCs w:val="24"/>
          <w:lang w:val="en-US" w:eastAsia="zh-CN"/>
        </w:rPr>
        <w:t>有机肥生产线的原料拉运至生产车间后送至破碎、筛分等工序。根据《排放源统计调查产排污核算方法和系数手册》中 2625 有机肥及微生物肥料制造行业系数手册中针对农业废弃物通过混配造粒的前、后处理产生颗粒物产生系数为 0.370kg/t 产品，本项目年产生物有机肥及有机无机复混肥20000t，则本项目破碎、造粒、筛分工序中颗粒物</w:t>
      </w:r>
      <w:r>
        <w:rPr>
          <w:rFonts w:hint="eastAsia" w:ascii="Times New Roman" w:hAnsi="Times New Roman" w:eastAsia="宋体" w:cs="Times New Roman"/>
          <w:color w:val="auto"/>
          <w:sz w:val="24"/>
          <w:szCs w:val="24"/>
          <w:lang w:val="en-US" w:eastAsia="zh-CN"/>
        </w:rPr>
        <w:t>总</w:t>
      </w:r>
      <w:r>
        <w:rPr>
          <w:rFonts w:hint="default" w:ascii="Times New Roman" w:hAnsi="Times New Roman" w:eastAsia="宋体" w:cs="Times New Roman"/>
          <w:color w:val="auto"/>
          <w:sz w:val="24"/>
          <w:szCs w:val="24"/>
          <w:lang w:val="en-US" w:eastAsia="zh-CN"/>
        </w:rPr>
        <w:t>产生量为 7.4t/a，</w:t>
      </w:r>
      <w:r>
        <w:rPr>
          <w:rFonts w:hint="eastAsia" w:ascii="Times New Roman" w:hAnsi="Times New Roman" w:eastAsia="宋体" w:cs="Times New Roman"/>
          <w:color w:val="auto"/>
          <w:sz w:val="24"/>
          <w:szCs w:val="24"/>
          <w:lang w:val="en-US" w:eastAsia="zh-CN"/>
        </w:rPr>
        <w:t>产生的颗粒物通过集气罩收集，收集效率为 90%，则该工序有组织颗粒物产生量为6.66t/a</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该生产线废气与水溶肥生产线产生的废气共用一套“布袋除尘器+活性炭吸附装置”，配套风机风量 5000m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/h，处理后通过 1 根 15m 高排气筒（DA002）排放。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（4）</w:t>
      </w:r>
      <w:r>
        <w:rPr>
          <w:rFonts w:hint="eastAsia" w:ascii="Times New Roman" w:hAnsi="Times New Roman" w:eastAsia="宋体" w:cs="Times New Roman"/>
          <w:color w:val="auto"/>
          <w:sz w:val="24"/>
          <w:szCs w:val="24"/>
          <w:highlight w:val="none"/>
          <w:lang w:val="en-US" w:eastAsia="zh-CN"/>
        </w:rPr>
        <w:t>生物燃料</w:t>
      </w:r>
      <w:r>
        <w:rPr>
          <w:rFonts w:hint="default" w:ascii="Times New Roman" w:hAnsi="Times New Roman" w:eastAsia="宋体" w:cs="Times New Roman"/>
          <w:color w:val="auto"/>
          <w:sz w:val="24"/>
          <w:szCs w:val="24"/>
          <w:lang w:val="en-US" w:eastAsia="zh-CN"/>
        </w:rPr>
        <w:t>生产线</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本项目生物燃料生产线废气主要为恶臭气体及加热废气。本次评价污染源源强核算采用物料衡算法及类比法。</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① 恶臭气体</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原料皂脚在储存过程中会散发恶臭气体，主要恶臭物质为 H</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S、NH</w:t>
      </w:r>
      <w:r>
        <w:rPr>
          <w:rFonts w:hint="default" w:ascii="Times New Roman" w:hAnsi="Times New Roman" w:eastAsia="宋体" w:cs="Times New Roman"/>
          <w:color w:val="auto"/>
          <w:sz w:val="24"/>
          <w:szCs w:val="24"/>
          <w:vertAlign w:val="subscript"/>
          <w:lang w:val="en-US" w:eastAsia="zh-CN"/>
        </w:rPr>
        <w:t>3</w:t>
      </w:r>
      <w:r>
        <w:rPr>
          <w:rFonts w:hint="default" w:ascii="Times New Roman" w:hAnsi="Times New Roman" w:eastAsia="宋体" w:cs="Times New Roman"/>
          <w:color w:val="auto"/>
          <w:sz w:val="24"/>
          <w:szCs w:val="24"/>
          <w:lang w:val="en-US" w:eastAsia="zh-CN"/>
        </w:rPr>
        <w:t>、臭气浓度。</w:t>
      </w:r>
      <w:r>
        <w:rPr>
          <w:rFonts w:hint="eastAsia" w:ascii="Times New Roman" w:hAnsi="Times New Roman" w:eastAsia="宋体" w:cs="Times New Roman"/>
          <w:color w:val="auto"/>
          <w:sz w:val="24"/>
          <w:szCs w:val="24"/>
          <w:lang w:val="en-US" w:eastAsia="zh-CN"/>
        </w:rPr>
        <w:t>根据物料衡算</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 xml:space="preserve">本项目生物燃料生产线 </w:t>
      </w:r>
      <w:r>
        <w:rPr>
          <w:rFonts w:hint="default" w:ascii="Times New Roman" w:hAnsi="Times New Roman" w:eastAsia="宋体" w:cs="Times New Roman"/>
          <w:color w:val="auto"/>
          <w:sz w:val="24"/>
          <w:szCs w:val="24"/>
          <w:lang w:val="en-US" w:eastAsia="zh-CN"/>
        </w:rPr>
        <w:t>NH</w:t>
      </w:r>
      <w:r>
        <w:rPr>
          <w:rFonts w:hint="default"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vertAlign w:val="baseline"/>
          <w:lang w:val="en-US" w:eastAsia="zh-CN"/>
        </w:rPr>
        <w:t xml:space="preserve"> 总</w:t>
      </w:r>
      <w:r>
        <w:rPr>
          <w:rFonts w:hint="default" w:ascii="Times New Roman" w:hAnsi="Times New Roman" w:eastAsia="宋体" w:cs="Times New Roman"/>
          <w:color w:val="auto"/>
          <w:sz w:val="24"/>
          <w:szCs w:val="24"/>
          <w:lang w:val="en-US" w:eastAsia="zh-CN"/>
        </w:rPr>
        <w:t>产生量为</w:t>
      </w:r>
      <w:r>
        <w:rPr>
          <w:rFonts w:hint="eastAsia" w:ascii="Times New Roman" w:hAnsi="Times New Roman" w:eastAsia="宋体" w:cs="Times New Roman"/>
          <w:color w:val="auto"/>
          <w:sz w:val="24"/>
          <w:szCs w:val="24"/>
          <w:lang w:val="en-US" w:eastAsia="zh-CN"/>
        </w:rPr>
        <w:t xml:space="preserve"> 1.58</w:t>
      </w:r>
      <w:r>
        <w:rPr>
          <w:rFonts w:hint="default" w:ascii="Times New Roman" w:hAnsi="Times New Roman" w:eastAsia="宋体" w:cs="Times New Roman"/>
          <w:color w:val="auto"/>
          <w:sz w:val="24"/>
          <w:szCs w:val="24"/>
          <w:lang w:val="en-US" w:eastAsia="zh-CN"/>
        </w:rPr>
        <w:t>t/a，H</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S</w:t>
      </w:r>
      <w:r>
        <w:rPr>
          <w:rFonts w:hint="eastAsia" w:ascii="Times New Roman" w:hAnsi="Times New Roman" w:eastAsia="宋体" w:cs="Times New Roman"/>
          <w:color w:val="auto"/>
          <w:sz w:val="24"/>
          <w:szCs w:val="24"/>
          <w:lang w:val="en-US" w:eastAsia="zh-CN"/>
        </w:rPr>
        <w:t xml:space="preserve"> 总</w:t>
      </w:r>
      <w:r>
        <w:rPr>
          <w:rFonts w:hint="default" w:ascii="Times New Roman" w:hAnsi="Times New Roman" w:eastAsia="宋体" w:cs="Times New Roman"/>
          <w:color w:val="auto"/>
          <w:sz w:val="24"/>
          <w:szCs w:val="24"/>
          <w:lang w:val="en-US" w:eastAsia="zh-CN"/>
        </w:rPr>
        <w:t>产生量为</w:t>
      </w:r>
      <w:r>
        <w:rPr>
          <w:rFonts w:hint="eastAsia" w:ascii="Times New Roman" w:hAnsi="Times New Roman" w:eastAsia="宋体" w:cs="Times New Roman"/>
          <w:color w:val="auto"/>
          <w:sz w:val="24"/>
          <w:szCs w:val="24"/>
          <w:lang w:val="en-US" w:eastAsia="zh-CN"/>
        </w:rPr>
        <w:t xml:space="preserve"> 0.14</w:t>
      </w:r>
      <w:r>
        <w:rPr>
          <w:rFonts w:hint="default" w:ascii="Times New Roman" w:hAnsi="Times New Roman" w:eastAsia="宋体" w:cs="Times New Roman"/>
          <w:color w:val="auto"/>
          <w:sz w:val="24"/>
          <w:szCs w:val="24"/>
          <w:lang w:val="en-US" w:eastAsia="zh-CN"/>
        </w:rPr>
        <w:t>t/a，</w:t>
      </w:r>
      <w:r>
        <w:rPr>
          <w:rFonts w:hint="eastAsia" w:ascii="Times New Roman" w:hAnsi="Times New Roman" w:eastAsia="宋体" w:cs="Times New Roman"/>
          <w:color w:val="auto"/>
          <w:sz w:val="24"/>
          <w:szCs w:val="24"/>
          <w:lang w:val="en-US" w:eastAsia="zh-CN"/>
        </w:rPr>
        <w:t xml:space="preserve">产生的 </w:t>
      </w:r>
      <w:r>
        <w:rPr>
          <w:rFonts w:hint="default" w:ascii="Times New Roman" w:hAnsi="Times New Roman" w:eastAsia="宋体" w:cs="Times New Roman"/>
          <w:color w:val="auto"/>
          <w:sz w:val="24"/>
          <w:szCs w:val="24"/>
          <w:lang w:val="en-US" w:eastAsia="zh-CN"/>
        </w:rPr>
        <w:t>NH</w:t>
      </w:r>
      <w:r>
        <w:rPr>
          <w:rFonts w:hint="default"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vertAlign w:val="baseline"/>
          <w:lang w:val="en-US" w:eastAsia="zh-CN"/>
        </w:rPr>
        <w:t>、</w:t>
      </w:r>
      <w:r>
        <w:rPr>
          <w:rFonts w:hint="default" w:ascii="Times New Roman" w:hAnsi="Times New Roman" w:eastAsia="宋体" w:cs="Times New Roman"/>
          <w:color w:val="auto"/>
          <w:sz w:val="24"/>
          <w:szCs w:val="24"/>
          <w:lang w:val="en-US" w:eastAsia="zh-CN"/>
        </w:rPr>
        <w:t>H</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S</w:t>
      </w:r>
      <w:r>
        <w:rPr>
          <w:rFonts w:hint="eastAsia" w:ascii="Times New Roman" w:hAnsi="Times New Roman" w:eastAsia="宋体" w:cs="Times New Roman"/>
          <w:color w:val="auto"/>
          <w:sz w:val="24"/>
          <w:szCs w:val="24"/>
          <w:lang w:val="en-US" w:eastAsia="zh-CN"/>
        </w:rPr>
        <w:t xml:space="preserve"> 通过集气罩收集，收集效率为 90%，则有组织 </w:t>
      </w:r>
      <w:r>
        <w:rPr>
          <w:rFonts w:hint="default" w:ascii="Times New Roman" w:hAnsi="Times New Roman" w:eastAsia="宋体" w:cs="Times New Roman"/>
          <w:color w:val="auto"/>
          <w:sz w:val="24"/>
          <w:szCs w:val="24"/>
          <w:lang w:val="en-US" w:eastAsia="zh-CN"/>
        </w:rPr>
        <w:t>NH</w:t>
      </w:r>
      <w:r>
        <w:rPr>
          <w:rFonts w:hint="default"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vertAlign w:val="baseline"/>
          <w:lang w:val="en-US" w:eastAsia="zh-CN"/>
        </w:rPr>
        <w:t xml:space="preserve"> 产生量为 1.422t/a，有组织 </w:t>
      </w:r>
      <w:r>
        <w:rPr>
          <w:rFonts w:hint="default" w:ascii="Times New Roman" w:hAnsi="Times New Roman" w:eastAsia="宋体" w:cs="Times New Roman"/>
          <w:color w:val="auto"/>
          <w:sz w:val="24"/>
          <w:szCs w:val="24"/>
          <w:lang w:val="en-US" w:eastAsia="zh-CN"/>
        </w:rPr>
        <w:t>H</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S</w:t>
      </w:r>
      <w:r>
        <w:rPr>
          <w:rFonts w:hint="eastAsia" w:ascii="Times New Roman" w:hAnsi="Times New Roman" w:eastAsia="宋体" w:cs="Times New Roman"/>
          <w:color w:val="auto"/>
          <w:sz w:val="24"/>
          <w:szCs w:val="24"/>
          <w:lang w:val="en-US" w:eastAsia="zh-CN"/>
        </w:rPr>
        <w:t xml:space="preserve"> 产生量为 0.126t/a</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投料、破碎废气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本项目使用植物秸秆制生物燃料在投料及破碎工序会产生废气，主要污染物为颗粒物。根据《排放源统计调查产排污核算方法和系数手册》2542 生物质致密成型燃料加工行业系数手册中生物质致密成型燃料加工行业产污系数表中产品为生物质致密成型燃料的产污系数核算，根据产排污系数手册，颗粒物产污系数为 6.69×10</w:t>
      </w:r>
      <w:r>
        <w:rPr>
          <w:rFonts w:hint="eastAsia" w:ascii="Times New Roman" w:hAnsi="Times New Roman" w:eastAsia="宋体" w:cs="Times New Roman"/>
          <w:color w:val="auto"/>
          <w:sz w:val="24"/>
          <w:szCs w:val="24"/>
          <w:vertAlign w:val="superscript"/>
          <w:lang w:val="en-US" w:eastAsia="zh-CN"/>
        </w:rPr>
        <w:t>-4</w:t>
      </w:r>
      <w:r>
        <w:rPr>
          <w:rFonts w:hint="eastAsia" w:ascii="Times New Roman" w:hAnsi="Times New Roman" w:eastAsia="宋体" w:cs="Times New Roman"/>
          <w:color w:val="auto"/>
          <w:sz w:val="24"/>
          <w:szCs w:val="24"/>
          <w:lang w:val="en-US" w:eastAsia="zh-CN"/>
        </w:rPr>
        <w:t xml:space="preserve"> 吨/吨-产品，本项目产品量为 3000t/a，则颗粒物总产生量为 2.0t/a，产生的颗粒物通过集气罩收集，收集效率为 90%，则有组织颗粒物产生量为 1.8t/a。</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该工序产生的废气经过“布袋除尘器”，配套风机 5000m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/h，处理后与处理后的恶臭及加热废气通过 1 根 15m 高排气筒（DA001）排放。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w:t>
      </w:r>
      <w:r>
        <w:rPr>
          <w:rFonts w:hint="default" w:ascii="Times New Roman" w:hAnsi="Times New Roman" w:eastAsia="宋体" w:cs="Times New Roman"/>
          <w:color w:val="auto"/>
          <w:sz w:val="24"/>
          <w:szCs w:val="24"/>
          <w:lang w:val="en-US" w:eastAsia="zh-CN"/>
        </w:rPr>
        <w:t xml:space="preserve"> </w:t>
      </w:r>
      <w:r>
        <w:rPr>
          <w:rFonts w:hint="eastAsia" w:ascii="Times New Roman" w:hAnsi="Times New Roman" w:eastAsia="宋体" w:cs="Times New Roman"/>
          <w:color w:val="auto"/>
          <w:sz w:val="24"/>
          <w:szCs w:val="24"/>
          <w:lang w:val="en-US" w:eastAsia="zh-CN"/>
        </w:rPr>
        <w:t>加热废气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在皂脚酸化时需进行加热，加热过程中会产生少量的挥发性有机废气。根据建设方提供的生产经验系数，每吨皂脚含皂钠、中性油、水、渣的比例约为 10%、30%、55%、5%。根据《植物油高温加热过程中有害物产生变化规律研究》（2015 年 5 月）：玉米油、菜籽油和大豆油在 180℃ 温度下加热 1h，其油类挥发脂肪酸质量分数为原油的0.05%、2.8%、1.8%，本项目取平均值约 1.55%。项目原料皂脚及产品酸化油常温下不会挥发，项目加工过程的温度约在 70℃-80℃ 左右，远低于 180℃，故非甲烷总烃产生量取原料的 0.155%。项目年加工皂脚 5000 吨，则非甲烷总烃</w:t>
      </w:r>
      <w:r>
        <w:rPr>
          <w:rFonts w:hint="eastAsia" w:ascii="Times New Roman" w:hAnsi="Times New Roman" w:eastAsia="宋体" w:cs="Times New Roman"/>
          <w:color w:val="auto"/>
          <w:sz w:val="24"/>
          <w:szCs w:val="24"/>
          <w:lang w:val="en-US" w:eastAsia="zh-CN"/>
        </w:rPr>
        <w:t>总</w:t>
      </w:r>
      <w:r>
        <w:rPr>
          <w:rFonts w:hint="default" w:ascii="Times New Roman" w:hAnsi="Times New Roman" w:eastAsia="宋体" w:cs="Times New Roman"/>
          <w:color w:val="auto"/>
          <w:sz w:val="24"/>
          <w:szCs w:val="24"/>
          <w:lang w:val="en-US" w:eastAsia="zh-CN"/>
        </w:rPr>
        <w:t>产生量约为 7.75t/a，</w:t>
      </w:r>
      <w:r>
        <w:rPr>
          <w:rFonts w:hint="eastAsia" w:ascii="Times New Roman" w:hAnsi="Times New Roman" w:eastAsia="宋体" w:cs="Times New Roman"/>
          <w:color w:val="auto"/>
          <w:sz w:val="24"/>
          <w:szCs w:val="24"/>
          <w:lang w:val="en-US" w:eastAsia="zh-CN"/>
        </w:rPr>
        <w:t>产生的非甲烷总烃通过管道收集，收集效率为 95%，则有组织非甲烷总烃产生量为 6.98t/a</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生物燃料生产线产生的废气与生物燃料生产线产生的废气及动植物油脂回收生产线产生的废气共用一套“净电除油+二级碱液喷淋塔+除湿+活性炭吸附箱”，配套风机风量 25000m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/h，处理后通过 1 根 15m 高排气筒（DA001）排放。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（5）食堂油烟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本项目劳动定员 30 人，项目场区设置员工食堂，食堂将产生烹饪油烟。根据中国营养学会制定的《中国居民平衡膳食宝塔》，专家建议成年人每人每天摄取的油脂别超过 25g。但全国人均值基本在 44g 以上，北京上海地区更高达80g 以上。本次环评人均用油量按 50g/d 计，项目场区食宿人员 30人，则运营期食用油用量约为 1.5kg/d，一般油烟和油的挥发量占总耗油量的2%～4%之间，取其均值 3%，则油烟的产生量约为 0.014t/a。</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eastAsia" w:ascii="Times New Roman" w:hAnsi="Times New Roman" w:eastAsia="宋体" w:cs="Times New Roman"/>
          <w:color w:val="auto"/>
          <w:sz w:val="24"/>
          <w:szCs w:val="24"/>
          <w:lang w:val="en-US" w:eastAsia="zh-CN"/>
        </w:rPr>
        <w:t>本项目有组织废气产生排放情况见下表。</w:t>
      </w:r>
    </w:p>
    <w:p>
      <w:pPr>
        <w:pStyle w:val="9"/>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表 3.4.2-</w:t>
      </w:r>
      <w:r>
        <w:rPr>
          <w:rFonts w:hint="eastAsia" w:ascii="Times New Roman" w:hAnsi="Times New Roman" w:cs="Times New Roman"/>
          <w:b/>
          <w:bCs/>
          <w:color w:val="auto"/>
          <w:lang w:val="en-US" w:eastAsia="zh-CN"/>
        </w:rPr>
        <w:t>4</w:t>
      </w:r>
      <w:r>
        <w:rPr>
          <w:rFonts w:hint="default" w:ascii="Times New Roman" w:hAnsi="Times New Roman" w:cs="Times New Roman"/>
          <w:b/>
          <w:bCs/>
          <w:color w:val="auto"/>
          <w:lang w:val="en-US" w:eastAsia="zh-CN"/>
        </w:rPr>
        <w:t xml:space="preserve">  项目有组织废气产排情况</w:t>
      </w:r>
    </w:p>
    <w:tbl>
      <w:tblPr>
        <w:tblStyle w:val="2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1"/>
        <w:gridCol w:w="1164"/>
        <w:gridCol w:w="1311"/>
        <w:gridCol w:w="1178"/>
        <w:gridCol w:w="1328"/>
        <w:gridCol w:w="1219"/>
        <w:gridCol w:w="2182"/>
        <w:gridCol w:w="1252"/>
        <w:gridCol w:w="1117"/>
        <w:gridCol w:w="1117"/>
        <w:gridCol w:w="13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vMerge w:val="restart"/>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生产线</w:t>
            </w:r>
          </w:p>
        </w:tc>
        <w:tc>
          <w:tcPr>
            <w:tcW w:w="418" w:type="pct"/>
            <w:vMerge w:val="restart"/>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废气类型</w:t>
            </w:r>
          </w:p>
        </w:tc>
        <w:tc>
          <w:tcPr>
            <w:tcW w:w="470" w:type="pct"/>
            <w:vMerge w:val="restart"/>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污染物</w:t>
            </w:r>
          </w:p>
        </w:tc>
        <w:tc>
          <w:tcPr>
            <w:tcW w:w="1270" w:type="pct"/>
            <w:gridSpan w:val="3"/>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产生情况</w:t>
            </w:r>
          </w:p>
        </w:tc>
        <w:tc>
          <w:tcPr>
            <w:tcW w:w="777" w:type="pct"/>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治理情况</w:t>
            </w:r>
          </w:p>
        </w:tc>
        <w:tc>
          <w:tcPr>
            <w:tcW w:w="1706" w:type="pct"/>
            <w:gridSpan w:val="4"/>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排放情况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vMerge w:val="continue"/>
            <w:tcBorders>
              <w:bottom w:val="single" w:color="auto" w:sz="12" w:space="0"/>
            </w:tcBorders>
            <w:noWrap w:val="0"/>
            <w:vAlign w:val="center"/>
          </w:tcPr>
          <w:p>
            <w:pPr>
              <w:pStyle w:val="34"/>
              <w:bidi w:val="0"/>
              <w:jc w:val="center"/>
              <w:rPr>
                <w:rFonts w:hint="eastAsia"/>
                <w:b/>
                <w:bCs/>
                <w:color w:val="auto"/>
                <w:highlight w:val="none"/>
                <w:lang w:val="en-US" w:eastAsia="zh-CN"/>
              </w:rPr>
            </w:pPr>
          </w:p>
        </w:tc>
        <w:tc>
          <w:tcPr>
            <w:tcW w:w="418" w:type="pct"/>
            <w:vMerge w:val="continue"/>
            <w:tcBorders>
              <w:bottom w:val="single" w:color="auto" w:sz="12" w:space="0"/>
            </w:tcBorders>
            <w:noWrap w:val="0"/>
            <w:vAlign w:val="center"/>
          </w:tcPr>
          <w:p>
            <w:pPr>
              <w:pStyle w:val="34"/>
              <w:bidi w:val="0"/>
              <w:jc w:val="center"/>
              <w:rPr>
                <w:rFonts w:hint="eastAsia"/>
                <w:b/>
                <w:bCs/>
                <w:color w:val="auto"/>
                <w:highlight w:val="none"/>
                <w:lang w:val="en-US" w:eastAsia="zh-CN"/>
              </w:rPr>
            </w:pPr>
          </w:p>
        </w:tc>
        <w:tc>
          <w:tcPr>
            <w:tcW w:w="470" w:type="pct"/>
            <w:vMerge w:val="continue"/>
            <w:tcBorders>
              <w:bottom w:val="single" w:color="auto" w:sz="12" w:space="0"/>
            </w:tcBorders>
            <w:noWrap w:val="0"/>
            <w:vAlign w:val="center"/>
          </w:tcPr>
          <w:p>
            <w:pPr>
              <w:pStyle w:val="34"/>
              <w:bidi w:val="0"/>
              <w:jc w:val="center"/>
              <w:rPr>
                <w:rFonts w:hint="eastAsia"/>
                <w:b/>
                <w:bCs/>
                <w:color w:val="auto"/>
                <w:highlight w:val="none"/>
                <w:lang w:val="en-US" w:eastAsia="zh-CN"/>
              </w:rPr>
            </w:pPr>
          </w:p>
        </w:tc>
        <w:tc>
          <w:tcPr>
            <w:tcW w:w="423" w:type="pct"/>
            <w:tcBorders>
              <w:bottom w:val="single" w:color="auto" w:sz="12" w:space="0"/>
            </w:tcBorders>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产生量（t/a）</w:t>
            </w:r>
          </w:p>
        </w:tc>
        <w:tc>
          <w:tcPr>
            <w:tcW w:w="476" w:type="pct"/>
            <w:tcBorders>
              <w:bottom w:val="single" w:color="auto" w:sz="12" w:space="0"/>
            </w:tcBorders>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产生速率（kg/h）</w:t>
            </w:r>
          </w:p>
        </w:tc>
        <w:tc>
          <w:tcPr>
            <w:tcW w:w="370" w:type="pct"/>
            <w:tcBorders>
              <w:bottom w:val="single" w:color="auto" w:sz="12" w:space="0"/>
            </w:tcBorders>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产生浓度（mg/m</w:t>
            </w:r>
            <w:r>
              <w:rPr>
                <w:rFonts w:hint="eastAsia"/>
                <w:b/>
                <w:bCs/>
                <w:color w:val="auto"/>
                <w:highlight w:val="none"/>
                <w:vertAlign w:val="superscript"/>
                <w:lang w:val="en-US" w:eastAsia="zh-CN"/>
              </w:rPr>
              <w:t>3</w:t>
            </w:r>
            <w:r>
              <w:rPr>
                <w:rFonts w:hint="eastAsia"/>
                <w:b/>
                <w:bCs/>
                <w:color w:val="auto"/>
                <w:highlight w:val="none"/>
                <w:lang w:val="en-US" w:eastAsia="zh-CN"/>
              </w:rPr>
              <w:t>）</w:t>
            </w:r>
          </w:p>
        </w:tc>
        <w:tc>
          <w:tcPr>
            <w:tcW w:w="777" w:type="pct"/>
            <w:tcBorders>
              <w:bottom w:val="single" w:color="auto" w:sz="12" w:space="0"/>
            </w:tcBorders>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治理措施</w:t>
            </w:r>
          </w:p>
        </w:tc>
        <w:tc>
          <w:tcPr>
            <w:tcW w:w="449" w:type="pct"/>
            <w:tcBorders>
              <w:bottom w:val="single" w:color="auto" w:sz="12" w:space="0"/>
            </w:tcBorders>
            <w:noWrap w:val="0"/>
            <w:vAlign w:val="center"/>
          </w:tcPr>
          <w:p>
            <w:pPr>
              <w:pStyle w:val="34"/>
              <w:bidi w:val="0"/>
              <w:jc w:val="center"/>
              <w:rPr>
                <w:rFonts w:hint="eastAsia"/>
                <w:b/>
                <w:bCs/>
                <w:color w:val="auto"/>
                <w:highlight w:val="none"/>
                <w:lang w:val="en-US" w:eastAsia="zh-CN"/>
              </w:rPr>
            </w:pPr>
            <w:r>
              <w:rPr>
                <w:rFonts w:hint="eastAsia"/>
                <w:b/>
                <w:bCs/>
                <w:color w:val="auto"/>
                <w:highlight w:val="none"/>
                <w:lang w:val="en-US" w:eastAsia="zh-CN"/>
              </w:rPr>
              <w:t>污染物</w:t>
            </w:r>
          </w:p>
        </w:tc>
        <w:tc>
          <w:tcPr>
            <w:tcW w:w="394" w:type="pct"/>
            <w:tcBorders>
              <w:bottom w:val="single" w:color="auto" w:sz="12" w:space="0"/>
            </w:tcBorders>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排放量（t/a）</w:t>
            </w:r>
          </w:p>
        </w:tc>
        <w:tc>
          <w:tcPr>
            <w:tcW w:w="394" w:type="pct"/>
            <w:tcBorders>
              <w:bottom w:val="single" w:color="auto" w:sz="12" w:space="0"/>
            </w:tcBorders>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排放速率（kg/h）</w:t>
            </w:r>
          </w:p>
        </w:tc>
        <w:tc>
          <w:tcPr>
            <w:tcW w:w="468" w:type="pct"/>
            <w:tcBorders>
              <w:bottom w:val="single" w:color="auto" w:sz="12" w:space="0"/>
            </w:tcBorders>
            <w:noWrap w:val="0"/>
            <w:vAlign w:val="center"/>
          </w:tcPr>
          <w:p>
            <w:pPr>
              <w:pStyle w:val="34"/>
              <w:bidi w:val="0"/>
              <w:jc w:val="center"/>
              <w:rPr>
                <w:rFonts w:hint="eastAsia"/>
                <w:b/>
                <w:bCs/>
                <w:color w:val="auto"/>
                <w:highlight w:val="none"/>
                <w:lang w:val="en-US" w:eastAsia="zh-CN"/>
              </w:rPr>
            </w:pPr>
            <w:r>
              <w:rPr>
                <w:rFonts w:hint="eastAsia"/>
                <w:b/>
                <w:bCs/>
                <w:color w:val="auto"/>
                <w:highlight w:val="none"/>
                <w:lang w:val="en-US" w:eastAsia="zh-CN"/>
              </w:rPr>
              <w:t>排放浓度（mg/m</w:t>
            </w:r>
            <w:r>
              <w:rPr>
                <w:rFonts w:hint="eastAsia"/>
                <w:b/>
                <w:bCs/>
                <w:color w:val="auto"/>
                <w:highlight w:val="none"/>
                <w:vertAlign w:val="superscript"/>
                <w:lang w:val="en-US" w:eastAsia="zh-CN"/>
              </w:rPr>
              <w:t>3</w:t>
            </w:r>
            <w:r>
              <w:rPr>
                <w:rFonts w:hint="eastAsia"/>
                <w:b/>
                <w:bCs/>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vMerge w:val="restart"/>
            <w:tcBorders>
              <w:top w:val="single" w:color="auto" w:sz="12" w:space="0"/>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动植物油脂回收生产线</w:t>
            </w:r>
          </w:p>
        </w:tc>
        <w:tc>
          <w:tcPr>
            <w:tcW w:w="418" w:type="pct"/>
            <w:vMerge w:val="restart"/>
            <w:tcBorders>
              <w:top w:val="single" w:color="auto" w:sz="12" w:space="0"/>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熔炼废气</w:t>
            </w:r>
          </w:p>
        </w:tc>
        <w:tc>
          <w:tcPr>
            <w:tcW w:w="470" w:type="pct"/>
            <w:tcBorders>
              <w:top w:val="single" w:color="auto" w:sz="12" w:space="0"/>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油烟</w:t>
            </w:r>
          </w:p>
        </w:tc>
        <w:tc>
          <w:tcPr>
            <w:tcW w:w="423" w:type="pct"/>
            <w:tcBorders>
              <w:top w:val="single" w:color="auto" w:sz="12" w:space="0"/>
              <w:tl2br w:val="nil"/>
              <w:tr2bl w:val="nil"/>
            </w:tcBorders>
            <w:noWrap w:val="0"/>
            <w:vAlign w:val="center"/>
          </w:tcPr>
          <w:p>
            <w:pPr>
              <w:pStyle w:val="34"/>
              <w:bidi w:val="0"/>
              <w:ind w:left="0" w:leftChars="0" w:right="0" w:rightChars="0" w:firstLine="0" w:firstLineChars="0"/>
              <w:jc w:val="center"/>
              <w:rPr>
                <w:rFonts w:hint="default"/>
                <w:color w:val="auto"/>
                <w:lang w:val="en-US" w:eastAsia="zh-CN"/>
              </w:rPr>
            </w:pPr>
            <w:r>
              <w:rPr>
                <w:rFonts w:hint="eastAsia"/>
                <w:color w:val="auto"/>
                <w:lang w:val="en-US" w:eastAsia="zh-CN"/>
              </w:rPr>
              <w:t>0.043</w:t>
            </w:r>
          </w:p>
        </w:tc>
        <w:tc>
          <w:tcPr>
            <w:tcW w:w="476" w:type="pct"/>
            <w:tcBorders>
              <w:top w:val="single" w:color="auto" w:sz="12" w:space="0"/>
              <w:tl2br w:val="nil"/>
              <w:tr2bl w:val="nil"/>
            </w:tcBorders>
            <w:noWrap w:val="0"/>
            <w:vAlign w:val="center"/>
          </w:tcPr>
          <w:p>
            <w:pPr>
              <w:pStyle w:val="34"/>
              <w:bidi w:val="0"/>
              <w:ind w:left="0" w:leftChars="0" w:right="0" w:rightChars="0" w:firstLine="0" w:firstLineChars="0"/>
              <w:jc w:val="center"/>
              <w:rPr>
                <w:rFonts w:hint="default"/>
                <w:color w:val="auto"/>
                <w:lang w:val="en-US" w:eastAsia="zh-CN"/>
              </w:rPr>
            </w:pPr>
            <w:r>
              <w:rPr>
                <w:rFonts w:hint="eastAsia"/>
                <w:color w:val="auto"/>
                <w:lang w:val="en-US" w:eastAsia="zh-CN"/>
              </w:rPr>
              <w:t>7.47×10</w:t>
            </w:r>
            <w:r>
              <w:rPr>
                <w:rFonts w:hint="eastAsia"/>
                <w:color w:val="auto"/>
                <w:vertAlign w:val="superscript"/>
                <w:lang w:val="en-US" w:eastAsia="zh-CN"/>
              </w:rPr>
              <w:t>-3</w:t>
            </w:r>
          </w:p>
        </w:tc>
        <w:tc>
          <w:tcPr>
            <w:tcW w:w="370" w:type="pct"/>
            <w:tcBorders>
              <w:top w:val="single" w:color="auto" w:sz="12" w:space="0"/>
              <w:tl2br w:val="nil"/>
              <w:tr2bl w:val="nil"/>
            </w:tcBorders>
            <w:noWrap w:val="0"/>
            <w:vAlign w:val="center"/>
          </w:tcPr>
          <w:p>
            <w:pPr>
              <w:pStyle w:val="34"/>
              <w:bidi w:val="0"/>
              <w:ind w:left="0" w:leftChars="0" w:right="0" w:rightChars="0" w:firstLine="0" w:firstLineChars="0"/>
              <w:jc w:val="center"/>
              <w:rPr>
                <w:rFonts w:hint="default"/>
                <w:color w:val="auto"/>
                <w:lang w:val="en-US" w:eastAsia="zh-CN"/>
              </w:rPr>
            </w:pPr>
            <w:r>
              <w:rPr>
                <w:rFonts w:hint="eastAsia"/>
                <w:color w:val="auto"/>
                <w:lang w:val="en-US" w:eastAsia="zh-CN"/>
              </w:rPr>
              <w:t>0.30</w:t>
            </w:r>
          </w:p>
        </w:tc>
        <w:tc>
          <w:tcPr>
            <w:tcW w:w="777" w:type="pct"/>
            <w:vMerge w:val="restart"/>
            <w:tcBorders>
              <w:top w:val="single" w:color="auto" w:sz="12" w:space="0"/>
              <w:tl2br w:val="nil"/>
              <w:tr2bl w:val="nil"/>
            </w:tcBorders>
            <w:noWrap w:val="0"/>
            <w:vAlign w:val="center"/>
          </w:tcPr>
          <w:p>
            <w:pPr>
              <w:pStyle w:val="34"/>
              <w:bidi w:val="0"/>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管道收集（收集效率95%）+净电除油（处理效率85</w:t>
            </w:r>
            <w:r>
              <w:rPr>
                <w:rFonts w:hint="default"/>
                <w:color w:val="auto"/>
                <w:lang w:val="en-US" w:eastAsia="zh-CN"/>
              </w:rPr>
              <w:t>%</w:t>
            </w:r>
            <w:r>
              <w:rPr>
                <w:rFonts w:hint="eastAsia"/>
                <w:color w:val="auto"/>
                <w:lang w:val="en-US" w:eastAsia="zh-CN"/>
              </w:rPr>
              <w:t>）</w:t>
            </w:r>
            <w:r>
              <w:rPr>
                <w:rFonts w:hint="eastAsia"/>
                <w:color w:val="auto"/>
                <w:highlight w:val="none"/>
                <w:lang w:val="en-US" w:eastAsia="zh-CN"/>
              </w:rPr>
              <w:t>+二级碱液喷淋塔+除湿+活性炭吸附箱（处理效率95.6</w:t>
            </w:r>
            <w:r>
              <w:rPr>
                <w:rFonts w:hint="default"/>
                <w:color w:val="auto"/>
                <w:lang w:val="en-US" w:eastAsia="zh-CN"/>
              </w:rPr>
              <w:t>%</w:t>
            </w:r>
            <w:r>
              <w:rPr>
                <w:rFonts w:hint="eastAsia"/>
                <w:color w:val="auto"/>
                <w:lang w:val="en-US" w:eastAsia="zh-CN"/>
              </w:rPr>
              <w:t>）+1根15m高排气筒（DA001）排放</w:t>
            </w:r>
          </w:p>
        </w:tc>
        <w:tc>
          <w:tcPr>
            <w:tcW w:w="449" w:type="pct"/>
            <w:tcBorders>
              <w:top w:val="single" w:color="auto" w:sz="12" w:space="0"/>
              <w:tl2br w:val="nil"/>
              <w:tr2bl w:val="nil"/>
            </w:tcBorders>
            <w:noWrap w:val="0"/>
            <w:vAlign w:val="center"/>
          </w:tcPr>
          <w:p>
            <w:pPr>
              <w:pStyle w:val="34"/>
              <w:bidi w:val="0"/>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油烟</w:t>
            </w:r>
          </w:p>
        </w:tc>
        <w:tc>
          <w:tcPr>
            <w:tcW w:w="394" w:type="pct"/>
            <w:tcBorders>
              <w:top w:val="single" w:color="auto" w:sz="12" w:space="0"/>
              <w:tl2br w:val="nil"/>
              <w:tr2bl w:val="nil"/>
            </w:tcBorders>
            <w:noWrap w:val="0"/>
            <w:vAlign w:val="center"/>
          </w:tcPr>
          <w:p>
            <w:pPr>
              <w:pStyle w:val="34"/>
              <w:bidi w:val="0"/>
              <w:ind w:left="0" w:leftChars="0" w:right="0" w:rightChars="0" w:firstLine="0" w:firstLineChars="0"/>
              <w:jc w:val="center"/>
              <w:rPr>
                <w:rFonts w:hint="default"/>
                <w:color w:val="auto"/>
                <w:lang w:val="en-US" w:eastAsia="zh-CN"/>
              </w:rPr>
            </w:pPr>
            <w:r>
              <w:rPr>
                <w:rFonts w:hint="eastAsia"/>
                <w:color w:val="auto"/>
                <w:lang w:val="en-US" w:eastAsia="zh-CN"/>
              </w:rPr>
              <w:t>6.45×10</w:t>
            </w:r>
            <w:r>
              <w:rPr>
                <w:rFonts w:hint="eastAsia"/>
                <w:color w:val="auto"/>
                <w:vertAlign w:val="superscript"/>
                <w:lang w:val="en-US" w:eastAsia="zh-CN"/>
              </w:rPr>
              <w:t>-3</w:t>
            </w:r>
          </w:p>
        </w:tc>
        <w:tc>
          <w:tcPr>
            <w:tcW w:w="394" w:type="pct"/>
            <w:tcBorders>
              <w:top w:val="single" w:color="auto" w:sz="12" w:space="0"/>
              <w:tl2br w:val="nil"/>
              <w:tr2bl w:val="nil"/>
            </w:tcBorders>
            <w:noWrap w:val="0"/>
            <w:vAlign w:val="center"/>
          </w:tcPr>
          <w:p>
            <w:pPr>
              <w:pStyle w:val="34"/>
              <w:bidi w:val="0"/>
              <w:ind w:left="0" w:leftChars="0" w:right="0" w:rightChars="0" w:firstLine="0" w:firstLineChars="0"/>
              <w:jc w:val="center"/>
              <w:rPr>
                <w:rFonts w:hint="default"/>
                <w:color w:val="auto"/>
                <w:lang w:val="en-US" w:eastAsia="zh-CN"/>
              </w:rPr>
            </w:pPr>
            <w:r>
              <w:rPr>
                <w:rFonts w:hint="eastAsia"/>
                <w:color w:val="auto"/>
                <w:lang w:val="en-US" w:eastAsia="zh-CN"/>
              </w:rPr>
              <w:t>1.12×10</w:t>
            </w:r>
            <w:r>
              <w:rPr>
                <w:rFonts w:hint="eastAsia"/>
                <w:color w:val="auto"/>
                <w:vertAlign w:val="superscript"/>
                <w:lang w:val="en-US" w:eastAsia="zh-CN"/>
              </w:rPr>
              <w:t>-3</w:t>
            </w:r>
          </w:p>
        </w:tc>
        <w:tc>
          <w:tcPr>
            <w:tcW w:w="468" w:type="pct"/>
            <w:tcBorders>
              <w:top w:val="single" w:color="auto" w:sz="12" w:space="0"/>
              <w:tl2br w:val="nil"/>
              <w:tr2bl w:val="nil"/>
            </w:tcBorders>
            <w:noWrap w:val="0"/>
            <w:vAlign w:val="center"/>
          </w:tcPr>
          <w:p>
            <w:pPr>
              <w:pStyle w:val="34"/>
              <w:bidi w:val="0"/>
              <w:ind w:left="0" w:leftChars="0" w:right="0" w:rightChars="0" w:firstLine="0" w:firstLineChars="0"/>
              <w:jc w:val="center"/>
              <w:rPr>
                <w:rFonts w:hint="default"/>
                <w:color w:val="auto"/>
                <w:lang w:val="en-US" w:eastAsia="zh-CN"/>
              </w:rPr>
            </w:pPr>
            <w:r>
              <w:rPr>
                <w:rFonts w:hint="eastAsia"/>
                <w:color w:val="auto"/>
                <w:lang w:val="en-US" w:eastAsia="zh-CN"/>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57"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418"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470" w:type="pc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非甲烷总烃</w:t>
            </w:r>
          </w:p>
        </w:tc>
        <w:tc>
          <w:tcPr>
            <w:tcW w:w="42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0.64</w:t>
            </w:r>
          </w:p>
        </w:tc>
        <w:tc>
          <w:tcPr>
            <w:tcW w:w="47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0.11</w:t>
            </w:r>
          </w:p>
        </w:tc>
        <w:tc>
          <w:tcPr>
            <w:tcW w:w="370"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4.44</w:t>
            </w:r>
          </w:p>
        </w:tc>
        <w:tc>
          <w:tcPr>
            <w:tcW w:w="777" w:type="pct"/>
            <w:vMerge w:val="continue"/>
            <w:tcBorders>
              <w:tl2br w:val="nil"/>
              <w:tr2bl w:val="nil"/>
            </w:tcBorders>
            <w:noWrap w:val="0"/>
            <w:vAlign w:val="center"/>
          </w:tcPr>
          <w:p>
            <w:pPr>
              <w:pStyle w:val="34"/>
              <w:bidi w:val="0"/>
              <w:ind w:left="0" w:leftChars="0" w:right="0" w:rightChars="0" w:firstLine="0" w:firstLineChars="0"/>
              <w:jc w:val="center"/>
              <w:rPr>
                <w:rFonts w:hint="default"/>
                <w:color w:val="auto"/>
                <w:highlight w:val="none"/>
                <w:lang w:val="en-US" w:eastAsia="zh-CN"/>
              </w:rPr>
            </w:pPr>
          </w:p>
        </w:tc>
        <w:tc>
          <w:tcPr>
            <w:tcW w:w="449"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非甲烷总烃</w:t>
            </w:r>
          </w:p>
        </w:tc>
        <w:tc>
          <w:tcPr>
            <w:tcW w:w="39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0.53</w:t>
            </w:r>
          </w:p>
        </w:tc>
        <w:tc>
          <w:tcPr>
            <w:tcW w:w="39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0.092</w:t>
            </w:r>
          </w:p>
        </w:tc>
        <w:tc>
          <w:tcPr>
            <w:tcW w:w="468"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357"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418" w:type="pct"/>
            <w:vMerge w:val="restar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动植物油精炼恶臭</w:t>
            </w:r>
          </w:p>
        </w:tc>
        <w:tc>
          <w:tcPr>
            <w:tcW w:w="470"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NH</w:t>
            </w:r>
            <w:r>
              <w:rPr>
                <w:rFonts w:hint="eastAsia" w:ascii="Times New Roman" w:hAnsi="Times New Roman" w:eastAsia="宋体" w:cs="Times New Roman"/>
                <w:color w:val="auto"/>
                <w:kern w:val="0"/>
                <w:sz w:val="21"/>
                <w:szCs w:val="21"/>
                <w:highlight w:val="none"/>
                <w:vertAlign w:val="subscript"/>
                <w:lang w:val="en-US" w:eastAsia="zh-CN" w:bidi="ar-SA"/>
              </w:rPr>
              <w:t>3</w:t>
            </w:r>
          </w:p>
        </w:tc>
        <w:tc>
          <w:tcPr>
            <w:tcW w:w="42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0.17</w:t>
            </w:r>
          </w:p>
        </w:tc>
        <w:tc>
          <w:tcPr>
            <w:tcW w:w="47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0.03</w:t>
            </w:r>
          </w:p>
        </w:tc>
        <w:tc>
          <w:tcPr>
            <w:tcW w:w="370"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1.18</w:t>
            </w:r>
          </w:p>
        </w:tc>
        <w:tc>
          <w:tcPr>
            <w:tcW w:w="777"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49"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NH</w:t>
            </w:r>
            <w:r>
              <w:rPr>
                <w:rFonts w:hint="eastAsia" w:ascii="Times New Roman" w:hAnsi="Times New Roman" w:eastAsia="宋体" w:cs="Times New Roman"/>
                <w:color w:val="auto"/>
                <w:kern w:val="0"/>
                <w:sz w:val="21"/>
                <w:szCs w:val="21"/>
                <w:highlight w:val="none"/>
                <w:vertAlign w:val="subscript"/>
                <w:lang w:val="en-US" w:eastAsia="zh-CN" w:bidi="ar-SA"/>
              </w:rPr>
              <w:t>3</w:t>
            </w:r>
          </w:p>
        </w:tc>
        <w:tc>
          <w:tcPr>
            <w:tcW w:w="394"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0.07</w:t>
            </w:r>
          </w:p>
        </w:tc>
        <w:tc>
          <w:tcPr>
            <w:tcW w:w="394"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0.012</w:t>
            </w:r>
          </w:p>
        </w:tc>
        <w:tc>
          <w:tcPr>
            <w:tcW w:w="468"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418"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470"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t>
            </w:r>
            <w:r>
              <w:rPr>
                <w:rFonts w:hint="eastAsia" w:ascii="Times New Roman" w:hAnsi="Times New Roman" w:eastAsia="宋体" w:cs="Times New Roman"/>
                <w:color w:val="auto"/>
                <w:kern w:val="0"/>
                <w:sz w:val="21"/>
                <w:szCs w:val="21"/>
                <w:highlight w:val="none"/>
                <w:vertAlign w:val="subscript"/>
                <w:lang w:val="en-US" w:eastAsia="zh-CN" w:bidi="ar-SA"/>
              </w:rPr>
              <w:t>2</w:t>
            </w:r>
            <w:r>
              <w:rPr>
                <w:rFonts w:hint="eastAsia" w:ascii="Times New Roman" w:hAnsi="Times New Roman" w:eastAsia="宋体" w:cs="Times New Roman"/>
                <w:color w:val="auto"/>
                <w:kern w:val="0"/>
                <w:sz w:val="21"/>
                <w:szCs w:val="21"/>
                <w:highlight w:val="none"/>
                <w:lang w:val="en-US" w:eastAsia="zh-CN" w:bidi="ar-SA"/>
              </w:rPr>
              <w:t>S</w:t>
            </w:r>
          </w:p>
        </w:tc>
        <w:tc>
          <w:tcPr>
            <w:tcW w:w="423" w:type="pct"/>
            <w:tcBorders>
              <w:tl2br w:val="nil"/>
              <w:tr2bl w:val="nil"/>
            </w:tcBorders>
            <w:noWrap w:val="0"/>
            <w:vAlign w:val="center"/>
          </w:tcPr>
          <w:p>
            <w:pPr>
              <w:pStyle w:val="34"/>
              <w:bidi w:val="0"/>
              <w:ind w:left="0" w:leftChars="0" w:right="0" w:rightChars="0" w:firstLine="0" w:firstLineChars="0"/>
              <w:jc w:val="center"/>
              <w:rPr>
                <w:rFonts w:hint="default"/>
                <w:color w:val="auto"/>
                <w:lang w:val="en-US" w:eastAsia="zh-CN"/>
              </w:rPr>
            </w:pPr>
            <w:r>
              <w:rPr>
                <w:rFonts w:hint="eastAsia"/>
                <w:color w:val="auto"/>
                <w:lang w:val="en-US" w:eastAsia="zh-CN"/>
              </w:rPr>
              <w:t>2.4×10</w:t>
            </w:r>
            <w:r>
              <w:rPr>
                <w:rFonts w:hint="eastAsia"/>
                <w:color w:val="auto"/>
                <w:vertAlign w:val="superscript"/>
                <w:lang w:val="en-US" w:eastAsia="zh-CN"/>
              </w:rPr>
              <w:t>-3</w:t>
            </w:r>
          </w:p>
        </w:tc>
        <w:tc>
          <w:tcPr>
            <w:tcW w:w="476" w:type="pct"/>
            <w:tcBorders>
              <w:tl2br w:val="nil"/>
              <w:tr2bl w:val="nil"/>
            </w:tcBorders>
            <w:noWrap w:val="0"/>
            <w:vAlign w:val="center"/>
          </w:tcPr>
          <w:p>
            <w:pPr>
              <w:pStyle w:val="34"/>
              <w:bidi w:val="0"/>
              <w:ind w:left="0" w:leftChars="0" w:right="0" w:rightChars="0" w:firstLine="0" w:firstLineChars="0"/>
              <w:jc w:val="center"/>
              <w:rPr>
                <w:rFonts w:hint="default"/>
                <w:color w:val="auto"/>
                <w:lang w:val="en-US" w:eastAsia="zh-CN"/>
              </w:rPr>
            </w:pPr>
            <w:r>
              <w:rPr>
                <w:rFonts w:hint="eastAsia"/>
                <w:color w:val="auto"/>
                <w:lang w:val="en-US" w:eastAsia="zh-CN"/>
              </w:rPr>
              <w:t>4.17×10</w:t>
            </w:r>
            <w:r>
              <w:rPr>
                <w:rFonts w:hint="eastAsia"/>
                <w:color w:val="auto"/>
                <w:vertAlign w:val="superscript"/>
                <w:lang w:val="en-US" w:eastAsia="zh-CN"/>
              </w:rPr>
              <w:t>-4</w:t>
            </w:r>
          </w:p>
        </w:tc>
        <w:tc>
          <w:tcPr>
            <w:tcW w:w="370" w:type="pct"/>
            <w:tcBorders>
              <w:tl2br w:val="nil"/>
              <w:tr2bl w:val="nil"/>
            </w:tcBorders>
            <w:noWrap w:val="0"/>
            <w:vAlign w:val="center"/>
          </w:tcPr>
          <w:p>
            <w:pPr>
              <w:pStyle w:val="34"/>
              <w:bidi w:val="0"/>
              <w:ind w:left="0" w:leftChars="0" w:right="0" w:rightChars="0" w:firstLine="0" w:firstLineChars="0"/>
              <w:jc w:val="center"/>
              <w:rPr>
                <w:rFonts w:hint="default"/>
                <w:color w:val="auto"/>
                <w:lang w:val="en-US" w:eastAsia="zh-CN"/>
              </w:rPr>
            </w:pPr>
            <w:r>
              <w:rPr>
                <w:rFonts w:hint="eastAsia"/>
                <w:color w:val="auto"/>
                <w:lang w:val="en-US" w:eastAsia="zh-CN"/>
              </w:rPr>
              <w:t>0.02</w:t>
            </w:r>
          </w:p>
        </w:tc>
        <w:tc>
          <w:tcPr>
            <w:tcW w:w="777"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449"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394"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394"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468"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储罐</w:t>
            </w:r>
          </w:p>
        </w:tc>
        <w:tc>
          <w:tcPr>
            <w:tcW w:w="418" w:type="pct"/>
            <w:tcBorders>
              <w:tl2br w:val="nil"/>
              <w:tr2bl w:val="nil"/>
            </w:tcBorders>
            <w:noWrap w:val="0"/>
            <w:vAlign w:val="center"/>
          </w:tcPr>
          <w:p>
            <w:pPr>
              <w:pStyle w:val="34"/>
              <w:bidi w:val="0"/>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储罐呼吸废气</w:t>
            </w:r>
          </w:p>
        </w:tc>
        <w:tc>
          <w:tcPr>
            <w:tcW w:w="470" w:type="pc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非甲烷总烃</w:t>
            </w:r>
          </w:p>
        </w:tc>
        <w:tc>
          <w:tcPr>
            <w:tcW w:w="423" w:type="pct"/>
            <w:tcBorders>
              <w:tl2br w:val="nil"/>
              <w:tr2bl w:val="nil"/>
            </w:tcBorders>
            <w:noWrap w:val="0"/>
            <w:vAlign w:val="center"/>
          </w:tcPr>
          <w:p>
            <w:pPr>
              <w:pStyle w:val="34"/>
              <w:bidi w:val="0"/>
              <w:jc w:val="center"/>
              <w:rPr>
                <w:rFonts w:hint="default"/>
                <w:color w:val="auto"/>
                <w:lang w:val="en-US" w:eastAsia="zh-CN"/>
              </w:rPr>
            </w:pPr>
            <w:r>
              <w:rPr>
                <w:rFonts w:hint="eastAsia"/>
                <w:color w:val="auto"/>
                <w:lang w:val="en-US" w:eastAsia="zh-CN"/>
              </w:rPr>
              <w:t>4.48</w:t>
            </w:r>
          </w:p>
        </w:tc>
        <w:tc>
          <w:tcPr>
            <w:tcW w:w="476" w:type="pct"/>
            <w:tcBorders>
              <w:tl2br w:val="nil"/>
              <w:tr2bl w:val="nil"/>
            </w:tcBorders>
            <w:noWrap w:val="0"/>
            <w:vAlign w:val="center"/>
          </w:tcPr>
          <w:p>
            <w:pPr>
              <w:pStyle w:val="34"/>
              <w:bidi w:val="0"/>
              <w:jc w:val="center"/>
              <w:rPr>
                <w:rFonts w:hint="default"/>
                <w:color w:val="auto"/>
                <w:lang w:val="en-US" w:eastAsia="zh-CN"/>
              </w:rPr>
            </w:pPr>
            <w:r>
              <w:rPr>
                <w:rFonts w:hint="eastAsia"/>
                <w:color w:val="auto"/>
                <w:lang w:val="en-US" w:eastAsia="zh-CN"/>
              </w:rPr>
              <w:t>0.78</w:t>
            </w:r>
          </w:p>
        </w:tc>
        <w:tc>
          <w:tcPr>
            <w:tcW w:w="370" w:type="pct"/>
            <w:tcBorders>
              <w:tl2br w:val="nil"/>
              <w:tr2bl w:val="nil"/>
            </w:tcBorders>
            <w:noWrap w:val="0"/>
            <w:vAlign w:val="center"/>
          </w:tcPr>
          <w:p>
            <w:pPr>
              <w:pStyle w:val="34"/>
              <w:bidi w:val="0"/>
              <w:jc w:val="center"/>
              <w:rPr>
                <w:rFonts w:hint="default"/>
                <w:color w:val="auto"/>
                <w:lang w:val="en-US" w:eastAsia="zh-CN"/>
              </w:rPr>
            </w:pPr>
            <w:r>
              <w:rPr>
                <w:rFonts w:hint="eastAsia"/>
                <w:color w:val="auto"/>
                <w:lang w:val="en-US" w:eastAsia="zh-CN"/>
              </w:rPr>
              <w:t>31.11</w:t>
            </w:r>
          </w:p>
        </w:tc>
        <w:tc>
          <w:tcPr>
            <w:tcW w:w="777" w:type="pct"/>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lang w:val="en-US" w:eastAsia="zh-CN"/>
              </w:rPr>
            </w:pPr>
          </w:p>
        </w:tc>
        <w:tc>
          <w:tcPr>
            <w:tcW w:w="449" w:type="pct"/>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lang w:val="en-US" w:eastAsia="zh-CN"/>
              </w:rPr>
            </w:pPr>
          </w:p>
        </w:tc>
        <w:tc>
          <w:tcPr>
            <w:tcW w:w="394" w:type="pct"/>
            <w:vMerge w:val="continue"/>
            <w:tcBorders>
              <w:tl2br w:val="nil"/>
              <w:tr2bl w:val="nil"/>
            </w:tcBorders>
            <w:noWrap w:val="0"/>
            <w:vAlign w:val="center"/>
          </w:tcPr>
          <w:p>
            <w:pPr>
              <w:pStyle w:val="34"/>
              <w:bidi w:val="0"/>
              <w:ind w:left="0" w:leftChars="0" w:right="0" w:rightChars="0" w:firstLine="0" w:firstLineChars="0"/>
              <w:jc w:val="center"/>
              <w:rPr>
                <w:rFonts w:hint="default" w:cs="Times New Roman"/>
                <w:color w:val="auto"/>
                <w:sz w:val="21"/>
                <w:szCs w:val="21"/>
                <w:highlight w:val="none"/>
                <w:lang w:val="en-US" w:eastAsia="zh-CN"/>
              </w:rPr>
            </w:pPr>
          </w:p>
        </w:tc>
        <w:tc>
          <w:tcPr>
            <w:tcW w:w="394" w:type="pct"/>
            <w:vMerge w:val="continue"/>
            <w:tcBorders>
              <w:tl2br w:val="nil"/>
              <w:tr2bl w:val="nil"/>
            </w:tcBorders>
            <w:noWrap w:val="0"/>
            <w:vAlign w:val="center"/>
          </w:tcPr>
          <w:p>
            <w:pPr>
              <w:pStyle w:val="34"/>
              <w:bidi w:val="0"/>
              <w:ind w:left="0" w:leftChars="0" w:right="0" w:rightChars="0" w:firstLine="0" w:firstLineChars="0"/>
              <w:jc w:val="center"/>
              <w:rPr>
                <w:rFonts w:hint="default" w:cs="Times New Roman"/>
                <w:color w:val="auto"/>
                <w:sz w:val="21"/>
                <w:szCs w:val="21"/>
                <w:highlight w:val="none"/>
                <w:lang w:val="en-US" w:eastAsia="zh-CN"/>
              </w:rPr>
            </w:pPr>
          </w:p>
        </w:tc>
        <w:tc>
          <w:tcPr>
            <w:tcW w:w="468" w:type="pct"/>
            <w:vMerge w:val="continue"/>
            <w:tcBorders>
              <w:tl2br w:val="nil"/>
              <w:tr2bl w:val="nil"/>
            </w:tcBorders>
            <w:noWrap w:val="0"/>
            <w:vAlign w:val="center"/>
          </w:tcPr>
          <w:p>
            <w:pPr>
              <w:pStyle w:val="34"/>
              <w:bidi w:val="0"/>
              <w:ind w:left="0" w:leftChars="0" w:right="0" w:rightChars="0" w:firstLine="0" w:firstLineChars="0"/>
              <w:jc w:val="center"/>
              <w:rPr>
                <w:rFonts w:hint="default" w:eastAsia="宋体"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vMerge w:val="restar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生物燃料</w:t>
            </w:r>
          </w:p>
        </w:tc>
        <w:tc>
          <w:tcPr>
            <w:tcW w:w="418" w:type="pct"/>
            <w:vMerge w:val="restar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恶臭</w:t>
            </w:r>
          </w:p>
        </w:tc>
        <w:tc>
          <w:tcPr>
            <w:tcW w:w="470" w:type="pc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NH</w:t>
            </w:r>
            <w:r>
              <w:rPr>
                <w:rFonts w:hint="eastAsia" w:ascii="Times New Roman" w:hAnsi="Times New Roman" w:eastAsia="宋体" w:cs="Times New Roman"/>
                <w:color w:val="auto"/>
                <w:kern w:val="0"/>
                <w:sz w:val="21"/>
                <w:szCs w:val="21"/>
                <w:highlight w:val="none"/>
                <w:vertAlign w:val="subscript"/>
                <w:lang w:val="en-US" w:eastAsia="zh-CN" w:bidi="ar-SA"/>
              </w:rPr>
              <w:t>3</w:t>
            </w:r>
          </w:p>
        </w:tc>
        <w:tc>
          <w:tcPr>
            <w:tcW w:w="42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1.422</w:t>
            </w:r>
          </w:p>
        </w:tc>
        <w:tc>
          <w:tcPr>
            <w:tcW w:w="47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0.25</w:t>
            </w:r>
          </w:p>
        </w:tc>
        <w:tc>
          <w:tcPr>
            <w:tcW w:w="370"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9.875</w:t>
            </w:r>
          </w:p>
        </w:tc>
        <w:tc>
          <w:tcPr>
            <w:tcW w:w="777"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49"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t>
            </w:r>
            <w:r>
              <w:rPr>
                <w:rFonts w:hint="eastAsia" w:ascii="Times New Roman" w:hAnsi="Times New Roman" w:eastAsia="宋体" w:cs="Times New Roman"/>
                <w:color w:val="auto"/>
                <w:kern w:val="0"/>
                <w:sz w:val="21"/>
                <w:szCs w:val="21"/>
                <w:highlight w:val="none"/>
                <w:vertAlign w:val="subscript"/>
                <w:lang w:val="en-US" w:eastAsia="zh-CN" w:bidi="ar-SA"/>
              </w:rPr>
              <w:t>2</w:t>
            </w:r>
            <w:r>
              <w:rPr>
                <w:rFonts w:hint="eastAsia" w:ascii="Times New Roman" w:hAnsi="Times New Roman" w:eastAsia="宋体" w:cs="Times New Roman"/>
                <w:color w:val="auto"/>
                <w:kern w:val="0"/>
                <w:sz w:val="21"/>
                <w:szCs w:val="21"/>
                <w:highlight w:val="none"/>
                <w:lang w:val="en-US" w:eastAsia="zh-CN" w:bidi="ar-SA"/>
              </w:rPr>
              <w:t>S</w:t>
            </w:r>
          </w:p>
        </w:tc>
        <w:tc>
          <w:tcPr>
            <w:tcW w:w="394"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0.13</w:t>
            </w:r>
          </w:p>
        </w:tc>
        <w:tc>
          <w:tcPr>
            <w:tcW w:w="394"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0.023</w:t>
            </w:r>
          </w:p>
        </w:tc>
        <w:tc>
          <w:tcPr>
            <w:tcW w:w="468"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418"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470" w:type="pct"/>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r>
              <w:rPr>
                <w:rFonts w:hint="eastAsia" w:ascii="Times New Roman" w:hAnsi="Times New Roman" w:eastAsia="宋体" w:cs="Times New Roman"/>
                <w:color w:val="auto"/>
                <w:kern w:val="0"/>
                <w:sz w:val="21"/>
                <w:szCs w:val="21"/>
                <w:highlight w:val="none"/>
                <w:lang w:val="en-US" w:eastAsia="zh-CN" w:bidi="ar-SA"/>
              </w:rPr>
              <w:t>H</w:t>
            </w:r>
            <w:r>
              <w:rPr>
                <w:rFonts w:hint="eastAsia" w:ascii="Times New Roman" w:hAnsi="Times New Roman" w:eastAsia="宋体" w:cs="Times New Roman"/>
                <w:color w:val="auto"/>
                <w:kern w:val="0"/>
                <w:sz w:val="21"/>
                <w:szCs w:val="21"/>
                <w:highlight w:val="none"/>
                <w:vertAlign w:val="subscript"/>
                <w:lang w:val="en-US" w:eastAsia="zh-CN" w:bidi="ar-SA"/>
              </w:rPr>
              <w:t>2</w:t>
            </w:r>
            <w:r>
              <w:rPr>
                <w:rFonts w:hint="eastAsia" w:ascii="Times New Roman" w:hAnsi="Times New Roman" w:eastAsia="宋体" w:cs="Times New Roman"/>
                <w:color w:val="auto"/>
                <w:kern w:val="0"/>
                <w:sz w:val="21"/>
                <w:szCs w:val="21"/>
                <w:highlight w:val="none"/>
                <w:lang w:val="en-US" w:eastAsia="zh-CN" w:bidi="ar-SA"/>
              </w:rPr>
              <w:t>S</w:t>
            </w:r>
          </w:p>
        </w:tc>
        <w:tc>
          <w:tcPr>
            <w:tcW w:w="42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0.126</w:t>
            </w:r>
          </w:p>
        </w:tc>
        <w:tc>
          <w:tcPr>
            <w:tcW w:w="47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0.02</w:t>
            </w:r>
          </w:p>
        </w:tc>
        <w:tc>
          <w:tcPr>
            <w:tcW w:w="370"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0.875</w:t>
            </w:r>
          </w:p>
        </w:tc>
        <w:tc>
          <w:tcPr>
            <w:tcW w:w="777" w:type="pct"/>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p>
        </w:tc>
        <w:tc>
          <w:tcPr>
            <w:tcW w:w="449" w:type="pct"/>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p>
        </w:tc>
        <w:tc>
          <w:tcPr>
            <w:tcW w:w="394" w:type="pct"/>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lang w:val="en-US" w:eastAsia="zh-CN"/>
              </w:rPr>
            </w:pPr>
          </w:p>
        </w:tc>
        <w:tc>
          <w:tcPr>
            <w:tcW w:w="394" w:type="pct"/>
            <w:vMerge w:val="continue"/>
            <w:tcBorders>
              <w:tl2br w:val="nil"/>
              <w:tr2bl w:val="nil"/>
            </w:tcBorders>
            <w:noWrap w:val="0"/>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c>
          <w:tcPr>
            <w:tcW w:w="468" w:type="pct"/>
            <w:vMerge w:val="continue"/>
            <w:tcBorders>
              <w:tl2br w:val="nil"/>
              <w:tr2bl w:val="nil"/>
            </w:tcBorders>
            <w:noWrap w:val="0"/>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418" w:type="pc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加热废气</w:t>
            </w:r>
          </w:p>
        </w:tc>
        <w:tc>
          <w:tcPr>
            <w:tcW w:w="470" w:type="pct"/>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r>
              <w:rPr>
                <w:rFonts w:hint="eastAsia"/>
                <w:color w:val="auto"/>
                <w:highlight w:val="none"/>
                <w:lang w:val="en-US" w:eastAsia="zh-CN"/>
              </w:rPr>
              <w:t>非甲烷总烃</w:t>
            </w:r>
          </w:p>
        </w:tc>
        <w:tc>
          <w:tcPr>
            <w:tcW w:w="42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6.98</w:t>
            </w:r>
          </w:p>
        </w:tc>
        <w:tc>
          <w:tcPr>
            <w:tcW w:w="47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1.21</w:t>
            </w:r>
          </w:p>
        </w:tc>
        <w:tc>
          <w:tcPr>
            <w:tcW w:w="370"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48.47</w:t>
            </w:r>
          </w:p>
        </w:tc>
        <w:tc>
          <w:tcPr>
            <w:tcW w:w="777"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449"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394"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p>
        </w:tc>
        <w:tc>
          <w:tcPr>
            <w:tcW w:w="394"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468"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vMerge w:val="continue"/>
            <w:tcBorders>
              <w:tl2br w:val="nil"/>
              <w:tr2bl w:val="nil"/>
            </w:tcBorders>
            <w:noWrap w:val="0"/>
            <w:vAlign w:val="center"/>
          </w:tcPr>
          <w:p>
            <w:pPr>
              <w:pStyle w:val="34"/>
              <w:bidi w:val="0"/>
              <w:jc w:val="center"/>
              <w:rPr>
                <w:rFonts w:hint="default"/>
                <w:color w:val="auto"/>
                <w:highlight w:val="none"/>
                <w:lang w:val="en-US" w:eastAsia="zh-CN"/>
              </w:rPr>
            </w:pPr>
          </w:p>
        </w:tc>
        <w:tc>
          <w:tcPr>
            <w:tcW w:w="418" w:type="pc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投料、破碎废气</w:t>
            </w:r>
          </w:p>
        </w:tc>
        <w:tc>
          <w:tcPr>
            <w:tcW w:w="470" w:type="pc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颗粒物</w:t>
            </w:r>
          </w:p>
        </w:tc>
        <w:tc>
          <w:tcPr>
            <w:tcW w:w="42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1.8</w:t>
            </w:r>
          </w:p>
        </w:tc>
        <w:tc>
          <w:tcPr>
            <w:tcW w:w="47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0.31</w:t>
            </w:r>
          </w:p>
        </w:tc>
        <w:tc>
          <w:tcPr>
            <w:tcW w:w="370"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62.5</w:t>
            </w:r>
          </w:p>
        </w:tc>
        <w:tc>
          <w:tcPr>
            <w:tcW w:w="777" w:type="pc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集气罩收集（收集效率90%）+布袋除尘器</w:t>
            </w:r>
            <w:r>
              <w:rPr>
                <w:rFonts w:hint="eastAsia" w:cs="Times New Roman"/>
                <w:color w:val="auto"/>
                <w:highlight w:val="none"/>
                <w:lang w:val="en-US" w:eastAsia="zh-CN"/>
              </w:rPr>
              <w:t>（处理效率99%）</w:t>
            </w:r>
            <w:r>
              <w:rPr>
                <w:rFonts w:hint="eastAsia" w:cs="Times New Roman"/>
                <w:color w:val="auto"/>
                <w:kern w:val="0"/>
                <w:sz w:val="21"/>
                <w:szCs w:val="21"/>
                <w:highlight w:val="none"/>
                <w:lang w:val="en-US" w:eastAsia="zh-CN" w:bidi="ar-SA"/>
              </w:rPr>
              <w:t>+</w:t>
            </w:r>
            <w:r>
              <w:rPr>
                <w:rFonts w:hint="eastAsia"/>
                <w:color w:val="auto"/>
                <w:lang w:val="en-US" w:eastAsia="zh-CN"/>
              </w:rPr>
              <w:t>1根排气筒（DA001）排放</w:t>
            </w:r>
          </w:p>
        </w:tc>
        <w:tc>
          <w:tcPr>
            <w:tcW w:w="449" w:type="pct"/>
            <w:tcBorders>
              <w:tl2br w:val="nil"/>
              <w:tr2bl w:val="nil"/>
            </w:tcBorders>
            <w:noWrap w:val="0"/>
            <w:vAlign w:val="center"/>
          </w:tcPr>
          <w:p>
            <w:pPr>
              <w:pStyle w:val="34"/>
              <w:bidi w:val="0"/>
              <w:ind w:left="0" w:leftChars="0" w:right="0" w:rightChars="0" w:firstLine="0" w:firstLineChars="0"/>
              <w:jc w:val="center"/>
              <w:rPr>
                <w:rFonts w:hint="eastAsia" w:cs="Times New Roman"/>
                <w:color w:val="auto"/>
                <w:kern w:val="0"/>
                <w:sz w:val="21"/>
                <w:szCs w:val="21"/>
                <w:highlight w:val="none"/>
                <w:lang w:val="en-US" w:eastAsia="zh-CN" w:bidi="ar-SA"/>
              </w:rPr>
            </w:pPr>
            <w:r>
              <w:rPr>
                <w:rFonts w:hint="eastAsia"/>
                <w:color w:val="auto"/>
                <w:highlight w:val="none"/>
                <w:lang w:val="en-US" w:eastAsia="zh-CN"/>
              </w:rPr>
              <w:t>颗粒物</w:t>
            </w:r>
          </w:p>
        </w:tc>
        <w:tc>
          <w:tcPr>
            <w:tcW w:w="39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0.02</w:t>
            </w:r>
          </w:p>
        </w:tc>
        <w:tc>
          <w:tcPr>
            <w:tcW w:w="39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3.47×10</w:t>
            </w:r>
            <w:r>
              <w:rPr>
                <w:rFonts w:hint="eastAsia" w:ascii="Times New Roman" w:hAnsi="Times New Roman" w:eastAsia="宋体" w:cs="Times New Roman"/>
                <w:color w:val="auto"/>
                <w:kern w:val="0"/>
                <w:sz w:val="21"/>
                <w:szCs w:val="21"/>
                <w:highlight w:val="none"/>
                <w:vertAlign w:val="superscript"/>
                <w:lang w:val="en-US" w:eastAsia="zh-CN" w:bidi="ar-SA"/>
              </w:rPr>
              <w:t>-3</w:t>
            </w:r>
          </w:p>
        </w:tc>
        <w:tc>
          <w:tcPr>
            <w:tcW w:w="468"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vMerge w:val="restar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水溶肥生产线</w:t>
            </w:r>
          </w:p>
        </w:tc>
        <w:tc>
          <w:tcPr>
            <w:tcW w:w="418" w:type="pc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投料废气</w:t>
            </w:r>
          </w:p>
        </w:tc>
        <w:tc>
          <w:tcPr>
            <w:tcW w:w="470" w:type="pc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颗粒物</w:t>
            </w:r>
          </w:p>
        </w:tc>
        <w:tc>
          <w:tcPr>
            <w:tcW w:w="42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2.7×10</w:t>
            </w:r>
            <w:r>
              <w:rPr>
                <w:rFonts w:hint="eastAsia" w:ascii="Times New Roman" w:hAnsi="Times New Roman" w:eastAsia="宋体" w:cs="Times New Roman"/>
                <w:color w:val="auto"/>
                <w:kern w:val="0"/>
                <w:sz w:val="21"/>
                <w:szCs w:val="21"/>
                <w:vertAlign w:val="superscript"/>
                <w:lang w:val="en-US" w:eastAsia="zh-CN" w:bidi="ar-SA"/>
              </w:rPr>
              <w:t>-3</w:t>
            </w:r>
          </w:p>
        </w:tc>
        <w:tc>
          <w:tcPr>
            <w:tcW w:w="47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4.95×10</w:t>
            </w:r>
            <w:r>
              <w:rPr>
                <w:rFonts w:hint="eastAsia" w:ascii="Times New Roman" w:hAnsi="Times New Roman" w:eastAsia="宋体" w:cs="Times New Roman"/>
                <w:color w:val="auto"/>
                <w:kern w:val="0"/>
                <w:sz w:val="21"/>
                <w:szCs w:val="21"/>
                <w:highlight w:val="none"/>
                <w:vertAlign w:val="superscript"/>
                <w:lang w:val="en-US" w:eastAsia="zh-CN" w:bidi="ar-SA"/>
              </w:rPr>
              <w:t>-4</w:t>
            </w:r>
          </w:p>
        </w:tc>
        <w:tc>
          <w:tcPr>
            <w:tcW w:w="370"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0.09</w:t>
            </w:r>
          </w:p>
        </w:tc>
        <w:tc>
          <w:tcPr>
            <w:tcW w:w="777" w:type="pct"/>
            <w:vMerge w:val="restart"/>
            <w:tcBorders>
              <w:tl2br w:val="nil"/>
              <w:tr2bl w:val="nil"/>
            </w:tcBorders>
            <w:noWrap w:val="0"/>
            <w:vAlign w:val="center"/>
          </w:tcPr>
          <w:p>
            <w:pPr>
              <w:pStyle w:val="34"/>
              <w:bidi w:val="0"/>
              <w:ind w:left="0" w:leftChars="0" w:right="0" w:rightChars="0" w:firstLine="0" w:firstLineChars="0"/>
              <w:jc w:val="center"/>
              <w:rPr>
                <w:rFonts w:hint="default"/>
                <w:color w:val="auto"/>
                <w:highlight w:val="none"/>
                <w:lang w:val="en-US" w:eastAsia="zh-CN"/>
              </w:rPr>
            </w:pPr>
            <w:r>
              <w:rPr>
                <w:rFonts w:hint="eastAsia" w:cs="Times New Roman"/>
                <w:color w:val="auto"/>
                <w:highlight w:val="none"/>
                <w:lang w:val="en-US" w:eastAsia="zh-CN"/>
              </w:rPr>
              <w:t>集气罩收集（收集效率90%）+布袋除尘器（处理效率99%）+活性炭吸附（处理效率24%）+1 根 15m 高排气筒（DA002）排放</w:t>
            </w:r>
          </w:p>
        </w:tc>
        <w:tc>
          <w:tcPr>
            <w:tcW w:w="449" w:type="pct"/>
            <w:tcBorders>
              <w:tl2br w:val="nil"/>
              <w:tr2bl w:val="nil"/>
            </w:tcBorders>
            <w:noWrap w:val="0"/>
            <w:vAlign w:val="center"/>
          </w:tcPr>
          <w:p>
            <w:pPr>
              <w:pStyle w:val="34"/>
              <w:bidi w:val="0"/>
              <w:ind w:left="0" w:leftChars="0" w:right="0" w:rightChars="0" w:firstLine="0" w:firstLineChars="0"/>
              <w:jc w:val="center"/>
              <w:rPr>
                <w:rFonts w:hint="default" w:cs="Times New Roman"/>
                <w:color w:val="auto"/>
                <w:highlight w:val="none"/>
                <w:lang w:val="en-US" w:eastAsia="zh-CN"/>
              </w:rPr>
            </w:pPr>
            <w:r>
              <w:rPr>
                <w:rFonts w:hint="eastAsia" w:cs="Times New Roman"/>
                <w:color w:val="auto"/>
                <w:highlight w:val="none"/>
                <w:lang w:val="en-US" w:eastAsia="zh-CN"/>
              </w:rPr>
              <w:t>颗粒物</w:t>
            </w:r>
          </w:p>
        </w:tc>
        <w:tc>
          <w:tcPr>
            <w:tcW w:w="39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0.07</w:t>
            </w:r>
          </w:p>
        </w:tc>
        <w:tc>
          <w:tcPr>
            <w:tcW w:w="39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0.01</w:t>
            </w:r>
          </w:p>
        </w:tc>
        <w:tc>
          <w:tcPr>
            <w:tcW w:w="468"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vMerge w:val="continue"/>
            <w:tcBorders>
              <w:tl2br w:val="nil"/>
              <w:tr2bl w:val="nil"/>
            </w:tcBorders>
            <w:noWrap w:val="0"/>
            <w:vAlign w:val="center"/>
          </w:tcPr>
          <w:p>
            <w:pPr>
              <w:pStyle w:val="34"/>
              <w:bidi w:val="0"/>
              <w:jc w:val="center"/>
              <w:rPr>
                <w:rFonts w:hint="default"/>
                <w:color w:val="auto"/>
                <w:highlight w:val="none"/>
                <w:lang w:val="en-US" w:eastAsia="zh-CN"/>
              </w:rPr>
            </w:pPr>
          </w:p>
        </w:tc>
        <w:tc>
          <w:tcPr>
            <w:tcW w:w="418" w:type="pc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呼吸口废气</w:t>
            </w:r>
          </w:p>
        </w:tc>
        <w:tc>
          <w:tcPr>
            <w:tcW w:w="470"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NH</w:t>
            </w:r>
            <w:r>
              <w:rPr>
                <w:rFonts w:hint="eastAsia"/>
                <w:color w:val="auto"/>
                <w:highlight w:val="none"/>
                <w:vertAlign w:val="subscript"/>
                <w:lang w:val="en-US" w:eastAsia="zh-CN"/>
              </w:rPr>
              <w:t>3</w:t>
            </w:r>
          </w:p>
        </w:tc>
        <w:tc>
          <w:tcPr>
            <w:tcW w:w="423" w:type="pct"/>
            <w:tcBorders>
              <w:tl2br w:val="nil"/>
              <w:tr2bl w:val="nil"/>
            </w:tcBorders>
            <w:noWrap w:val="0"/>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0.0288</w:t>
            </w:r>
          </w:p>
        </w:tc>
        <w:tc>
          <w:tcPr>
            <w:tcW w:w="47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5×10</w:t>
            </w:r>
            <w:r>
              <w:rPr>
                <w:rFonts w:hint="eastAsia" w:cs="Times New Roman"/>
                <w:color w:val="auto"/>
                <w:kern w:val="0"/>
                <w:sz w:val="21"/>
                <w:szCs w:val="21"/>
                <w:highlight w:val="none"/>
                <w:vertAlign w:val="superscript"/>
                <w:lang w:val="en-US" w:eastAsia="zh-CN" w:bidi="ar-SA"/>
              </w:rPr>
              <w:t>-3</w:t>
            </w:r>
          </w:p>
        </w:tc>
        <w:tc>
          <w:tcPr>
            <w:tcW w:w="370"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1.0</w:t>
            </w:r>
          </w:p>
        </w:tc>
        <w:tc>
          <w:tcPr>
            <w:tcW w:w="777" w:type="pct"/>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p>
        </w:tc>
        <w:tc>
          <w:tcPr>
            <w:tcW w:w="449" w:type="pct"/>
            <w:vMerge w:val="restart"/>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r>
              <w:rPr>
                <w:rFonts w:hint="eastAsia"/>
                <w:color w:val="auto"/>
                <w:highlight w:val="none"/>
                <w:lang w:val="en-US" w:eastAsia="zh-CN"/>
              </w:rPr>
              <w:t>NH</w:t>
            </w:r>
            <w:r>
              <w:rPr>
                <w:rFonts w:hint="eastAsia"/>
                <w:color w:val="auto"/>
                <w:highlight w:val="none"/>
                <w:vertAlign w:val="subscript"/>
                <w:lang w:val="en-US" w:eastAsia="zh-CN"/>
              </w:rPr>
              <w:t>3</w:t>
            </w:r>
          </w:p>
        </w:tc>
        <w:tc>
          <w:tcPr>
            <w:tcW w:w="394"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0.025</w:t>
            </w:r>
          </w:p>
        </w:tc>
        <w:tc>
          <w:tcPr>
            <w:tcW w:w="394"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4.34×10</w:t>
            </w:r>
            <w:r>
              <w:rPr>
                <w:rFonts w:hint="eastAsia" w:cs="Times New Roman"/>
                <w:color w:val="auto"/>
                <w:kern w:val="0"/>
                <w:sz w:val="21"/>
                <w:szCs w:val="21"/>
                <w:highlight w:val="none"/>
                <w:vertAlign w:val="superscript"/>
                <w:lang w:val="en-US" w:eastAsia="zh-CN" w:bidi="ar-SA"/>
              </w:rPr>
              <w:t>-3</w:t>
            </w:r>
          </w:p>
        </w:tc>
        <w:tc>
          <w:tcPr>
            <w:tcW w:w="468"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vMerge w:val="restar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生物有机肥生产线</w:t>
            </w:r>
          </w:p>
        </w:tc>
        <w:tc>
          <w:tcPr>
            <w:tcW w:w="418" w:type="pct"/>
            <w:vMerge w:val="restar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发酵废气</w:t>
            </w:r>
          </w:p>
        </w:tc>
        <w:tc>
          <w:tcPr>
            <w:tcW w:w="470" w:type="pct"/>
            <w:tcBorders>
              <w:tl2br w:val="nil"/>
              <w:tr2bl w:val="nil"/>
            </w:tcBorders>
            <w:noWrap w:val="0"/>
            <w:vAlign w:val="center"/>
          </w:tcPr>
          <w:p>
            <w:pPr>
              <w:pStyle w:val="34"/>
              <w:bidi w:val="0"/>
              <w:ind w:left="0" w:leftChars="0" w:right="0" w:rightChars="0" w:firstLine="0" w:firstLineChars="0"/>
              <w:jc w:val="center"/>
              <w:rPr>
                <w:rFonts w:hint="default"/>
                <w:color w:val="auto"/>
                <w:highlight w:val="none"/>
                <w:lang w:val="en-US" w:eastAsia="zh-CN"/>
              </w:rPr>
            </w:pPr>
            <w:r>
              <w:rPr>
                <w:rFonts w:hint="eastAsia" w:ascii="Times New Roman" w:hAnsi="Times New Roman" w:eastAsia="宋体" w:cs="Times New Roman"/>
                <w:color w:val="auto"/>
                <w:kern w:val="0"/>
                <w:sz w:val="21"/>
                <w:szCs w:val="21"/>
                <w:highlight w:val="none"/>
                <w:lang w:val="en-US" w:eastAsia="zh-CN" w:bidi="ar-SA"/>
              </w:rPr>
              <w:t>NH</w:t>
            </w:r>
            <w:r>
              <w:rPr>
                <w:rFonts w:hint="eastAsia" w:ascii="Times New Roman" w:hAnsi="Times New Roman" w:eastAsia="宋体" w:cs="Times New Roman"/>
                <w:color w:val="auto"/>
                <w:kern w:val="0"/>
                <w:sz w:val="21"/>
                <w:szCs w:val="21"/>
                <w:highlight w:val="none"/>
                <w:vertAlign w:val="subscript"/>
                <w:lang w:val="en-US" w:eastAsia="zh-CN" w:bidi="ar-SA"/>
              </w:rPr>
              <w:t>3</w:t>
            </w:r>
          </w:p>
        </w:tc>
        <w:tc>
          <w:tcPr>
            <w:tcW w:w="42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4.46×10</w:t>
            </w:r>
            <w:r>
              <w:rPr>
                <w:rFonts w:hint="eastAsia" w:ascii="Times New Roman" w:hAnsi="Times New Roman" w:eastAsia="宋体" w:cs="Times New Roman"/>
                <w:color w:val="auto"/>
                <w:kern w:val="0"/>
                <w:sz w:val="21"/>
                <w:szCs w:val="21"/>
                <w:highlight w:val="none"/>
                <w:vertAlign w:val="superscript"/>
                <w:lang w:val="en-US" w:eastAsia="zh-CN" w:bidi="ar-SA"/>
              </w:rPr>
              <w:t>-3</w:t>
            </w:r>
          </w:p>
        </w:tc>
        <w:tc>
          <w:tcPr>
            <w:tcW w:w="476" w:type="pct"/>
            <w:tcBorders>
              <w:tl2br w:val="nil"/>
              <w:tr2bl w:val="nil"/>
            </w:tcBorders>
            <w:noWrap w:val="0"/>
            <w:vAlign w:val="center"/>
          </w:tcPr>
          <w:p>
            <w:pPr>
              <w:pStyle w:val="34"/>
              <w:bidi w:val="0"/>
              <w:ind w:left="0" w:leftChars="0" w:right="0" w:rightChars="0" w:firstLine="0" w:firstLineChars="0"/>
              <w:jc w:val="center"/>
              <w:rPr>
                <w:rFonts w:hint="default" w:eastAsia="宋体"/>
                <w:color w:val="auto"/>
                <w:lang w:val="en-US" w:eastAsia="zh-CN"/>
              </w:rPr>
            </w:pPr>
            <w:r>
              <w:rPr>
                <w:rFonts w:hint="eastAsia" w:eastAsia="宋体"/>
                <w:color w:val="auto"/>
                <w:lang w:val="en-US" w:eastAsia="zh-CN"/>
              </w:rPr>
              <w:t>7.74×10</w:t>
            </w:r>
            <w:r>
              <w:rPr>
                <w:rFonts w:hint="eastAsia" w:eastAsia="宋体"/>
                <w:color w:val="auto"/>
                <w:vertAlign w:val="superscript"/>
                <w:lang w:val="en-US" w:eastAsia="zh-CN"/>
              </w:rPr>
              <w:t>-4</w:t>
            </w:r>
          </w:p>
        </w:tc>
        <w:tc>
          <w:tcPr>
            <w:tcW w:w="370"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0.15</w:t>
            </w:r>
          </w:p>
        </w:tc>
        <w:tc>
          <w:tcPr>
            <w:tcW w:w="777"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49"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394"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394"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468"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418"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470" w:type="pc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t>
            </w:r>
            <w:r>
              <w:rPr>
                <w:rFonts w:hint="eastAsia" w:ascii="Times New Roman" w:hAnsi="Times New Roman" w:eastAsia="宋体" w:cs="Times New Roman"/>
                <w:color w:val="auto"/>
                <w:kern w:val="0"/>
                <w:sz w:val="21"/>
                <w:szCs w:val="21"/>
                <w:highlight w:val="none"/>
                <w:vertAlign w:val="subscript"/>
                <w:lang w:val="en-US" w:eastAsia="zh-CN" w:bidi="ar-SA"/>
              </w:rPr>
              <w:t>2</w:t>
            </w:r>
            <w:r>
              <w:rPr>
                <w:rFonts w:hint="eastAsia" w:ascii="Times New Roman" w:hAnsi="Times New Roman" w:eastAsia="宋体" w:cs="Times New Roman"/>
                <w:color w:val="auto"/>
                <w:kern w:val="0"/>
                <w:sz w:val="21"/>
                <w:szCs w:val="21"/>
                <w:highlight w:val="none"/>
                <w:lang w:val="en-US" w:eastAsia="zh-CN" w:bidi="ar-SA"/>
              </w:rPr>
              <w:t>S</w:t>
            </w:r>
          </w:p>
        </w:tc>
        <w:tc>
          <w:tcPr>
            <w:tcW w:w="42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4.32×10</w:t>
            </w:r>
            <w:r>
              <w:rPr>
                <w:rFonts w:hint="eastAsia" w:ascii="Times New Roman" w:hAnsi="Times New Roman" w:eastAsia="宋体" w:cs="Times New Roman"/>
                <w:color w:val="auto"/>
                <w:kern w:val="0"/>
                <w:sz w:val="21"/>
                <w:szCs w:val="21"/>
                <w:highlight w:val="none"/>
                <w:vertAlign w:val="superscript"/>
                <w:lang w:val="en-US" w:eastAsia="zh-CN" w:bidi="ar-SA"/>
              </w:rPr>
              <w:t>-4</w:t>
            </w:r>
          </w:p>
        </w:tc>
        <w:tc>
          <w:tcPr>
            <w:tcW w:w="476" w:type="pct"/>
            <w:tcBorders>
              <w:tl2br w:val="nil"/>
              <w:tr2bl w:val="nil"/>
            </w:tcBorders>
            <w:noWrap w:val="0"/>
            <w:vAlign w:val="center"/>
          </w:tcPr>
          <w:p>
            <w:pPr>
              <w:pStyle w:val="34"/>
              <w:bidi w:val="0"/>
              <w:ind w:left="0" w:leftChars="0" w:right="0" w:rightChars="0" w:firstLine="0" w:firstLineChars="0"/>
              <w:jc w:val="center"/>
              <w:rPr>
                <w:rFonts w:hint="default" w:eastAsia="宋体"/>
                <w:color w:val="auto"/>
                <w:lang w:val="en-US" w:eastAsia="zh-CN"/>
              </w:rPr>
            </w:pPr>
            <w:r>
              <w:rPr>
                <w:rFonts w:hint="eastAsia" w:eastAsia="宋体"/>
                <w:color w:val="auto"/>
                <w:lang w:val="en-US" w:eastAsia="zh-CN"/>
              </w:rPr>
              <w:t>7.5×10</w:t>
            </w:r>
            <w:r>
              <w:rPr>
                <w:rFonts w:hint="eastAsia" w:eastAsia="宋体"/>
                <w:color w:val="auto"/>
                <w:vertAlign w:val="superscript"/>
                <w:lang w:val="en-US" w:eastAsia="zh-CN"/>
              </w:rPr>
              <w:t>-5</w:t>
            </w:r>
          </w:p>
        </w:tc>
        <w:tc>
          <w:tcPr>
            <w:tcW w:w="370"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0.015</w:t>
            </w:r>
          </w:p>
        </w:tc>
        <w:tc>
          <w:tcPr>
            <w:tcW w:w="777"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449" w:type="pct"/>
            <w:vMerge w:val="restar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t>
            </w:r>
            <w:r>
              <w:rPr>
                <w:rFonts w:hint="eastAsia" w:ascii="Times New Roman" w:hAnsi="Times New Roman" w:eastAsia="宋体" w:cs="Times New Roman"/>
                <w:color w:val="auto"/>
                <w:kern w:val="0"/>
                <w:sz w:val="21"/>
                <w:szCs w:val="21"/>
                <w:highlight w:val="none"/>
                <w:vertAlign w:val="subscript"/>
                <w:lang w:val="en-US" w:eastAsia="zh-CN" w:bidi="ar-SA"/>
              </w:rPr>
              <w:t>2</w:t>
            </w:r>
            <w:r>
              <w:rPr>
                <w:rFonts w:hint="eastAsia" w:ascii="Times New Roman" w:hAnsi="Times New Roman" w:eastAsia="宋体" w:cs="Times New Roman"/>
                <w:color w:val="auto"/>
                <w:kern w:val="0"/>
                <w:sz w:val="21"/>
                <w:szCs w:val="21"/>
                <w:highlight w:val="none"/>
                <w:lang w:val="en-US" w:eastAsia="zh-CN" w:bidi="ar-SA"/>
              </w:rPr>
              <w:t>S</w:t>
            </w:r>
          </w:p>
        </w:tc>
        <w:tc>
          <w:tcPr>
            <w:tcW w:w="394"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3.28×10</w:t>
            </w:r>
            <w:r>
              <w:rPr>
                <w:rFonts w:hint="eastAsia" w:ascii="Times New Roman" w:hAnsi="Times New Roman" w:eastAsia="宋体" w:cs="Times New Roman"/>
                <w:color w:val="auto"/>
                <w:kern w:val="0"/>
                <w:sz w:val="21"/>
                <w:szCs w:val="21"/>
                <w:highlight w:val="none"/>
                <w:vertAlign w:val="superscript"/>
                <w:lang w:val="en-US" w:eastAsia="zh-CN" w:bidi="ar-SA"/>
              </w:rPr>
              <w:t>-4</w:t>
            </w:r>
          </w:p>
        </w:tc>
        <w:tc>
          <w:tcPr>
            <w:tcW w:w="394"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5.69×10</w:t>
            </w:r>
            <w:r>
              <w:rPr>
                <w:rFonts w:hint="eastAsia" w:ascii="Times New Roman" w:hAnsi="Times New Roman" w:eastAsia="宋体" w:cs="Times New Roman"/>
                <w:color w:val="auto"/>
                <w:kern w:val="0"/>
                <w:sz w:val="21"/>
                <w:szCs w:val="21"/>
                <w:highlight w:val="none"/>
                <w:vertAlign w:val="superscript"/>
                <w:lang w:val="en-US" w:eastAsia="zh-CN" w:bidi="ar-SA"/>
              </w:rPr>
              <w:t>-5</w:t>
            </w:r>
          </w:p>
        </w:tc>
        <w:tc>
          <w:tcPr>
            <w:tcW w:w="468"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418" w:type="pc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加工废气</w:t>
            </w:r>
          </w:p>
        </w:tc>
        <w:tc>
          <w:tcPr>
            <w:tcW w:w="470"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颗粒物</w:t>
            </w:r>
          </w:p>
        </w:tc>
        <w:tc>
          <w:tcPr>
            <w:tcW w:w="423" w:type="pct"/>
            <w:tcBorders>
              <w:tl2br w:val="nil"/>
              <w:tr2bl w:val="nil"/>
            </w:tcBorders>
            <w:noWrap w:val="0"/>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eastAsia="宋体" w:cs="Times New Roman"/>
                <w:color w:val="auto"/>
                <w:kern w:val="0"/>
                <w:sz w:val="21"/>
                <w:szCs w:val="21"/>
                <w:highlight w:val="none"/>
                <w:lang w:val="en-US" w:eastAsia="zh-CN" w:bidi="ar-SA"/>
              </w:rPr>
              <w:t>6.66</w:t>
            </w:r>
          </w:p>
        </w:tc>
        <w:tc>
          <w:tcPr>
            <w:tcW w:w="476" w:type="pct"/>
            <w:tcBorders>
              <w:tl2br w:val="nil"/>
              <w:tr2bl w:val="nil"/>
            </w:tcBorders>
            <w:noWrap w:val="0"/>
            <w:vAlign w:val="center"/>
          </w:tcPr>
          <w:p>
            <w:pPr>
              <w:pStyle w:val="34"/>
              <w:bidi w:val="0"/>
              <w:ind w:left="0" w:leftChars="0" w:right="0" w:rightChars="0" w:firstLine="0" w:firstLineChars="0"/>
              <w:jc w:val="center"/>
              <w:rPr>
                <w:rFonts w:hint="default" w:eastAsia="宋体"/>
                <w:color w:val="auto"/>
                <w:lang w:val="en-US" w:eastAsia="zh-CN"/>
              </w:rPr>
            </w:pPr>
            <w:r>
              <w:rPr>
                <w:rFonts w:hint="eastAsia" w:eastAsia="宋体"/>
                <w:color w:val="auto"/>
                <w:lang w:val="en-US" w:eastAsia="zh-CN"/>
              </w:rPr>
              <w:t>1.16</w:t>
            </w:r>
          </w:p>
        </w:tc>
        <w:tc>
          <w:tcPr>
            <w:tcW w:w="370" w:type="pct"/>
            <w:tcBorders>
              <w:tl2br w:val="nil"/>
              <w:tr2bl w:val="nil"/>
            </w:tcBorders>
            <w:noWrap w:val="0"/>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eastAsia="宋体" w:cs="Times New Roman"/>
                <w:color w:val="auto"/>
                <w:kern w:val="0"/>
                <w:sz w:val="21"/>
                <w:szCs w:val="21"/>
                <w:highlight w:val="none"/>
                <w:lang w:val="en-US" w:eastAsia="zh-CN" w:bidi="ar-SA"/>
              </w:rPr>
              <w:t>231.25</w:t>
            </w:r>
          </w:p>
        </w:tc>
        <w:tc>
          <w:tcPr>
            <w:tcW w:w="777"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449"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394" w:type="pct"/>
            <w:vMerge w:val="continue"/>
            <w:tcBorders>
              <w:tl2br w:val="nil"/>
              <w:tr2bl w:val="nil"/>
            </w:tcBorders>
            <w:noWrap w:val="0"/>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c>
          <w:tcPr>
            <w:tcW w:w="394" w:type="pct"/>
            <w:vMerge w:val="continue"/>
            <w:tcBorders>
              <w:tl2br w:val="nil"/>
              <w:tr2bl w:val="nil"/>
            </w:tcBorders>
            <w:noWrap w:val="0"/>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c>
          <w:tcPr>
            <w:tcW w:w="468" w:type="pct"/>
            <w:vMerge w:val="continue"/>
            <w:tcBorders>
              <w:tl2br w:val="nil"/>
              <w:tr2bl w:val="nil"/>
            </w:tcBorders>
            <w:noWrap w:val="0"/>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食堂</w:t>
            </w:r>
          </w:p>
        </w:tc>
        <w:tc>
          <w:tcPr>
            <w:tcW w:w="418" w:type="pc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食堂油烟</w:t>
            </w:r>
          </w:p>
        </w:tc>
        <w:tc>
          <w:tcPr>
            <w:tcW w:w="470"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油烟</w:t>
            </w:r>
          </w:p>
        </w:tc>
        <w:tc>
          <w:tcPr>
            <w:tcW w:w="42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0.014</w:t>
            </w:r>
          </w:p>
        </w:tc>
        <w:tc>
          <w:tcPr>
            <w:tcW w:w="47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9.72×10</w:t>
            </w:r>
            <w:r>
              <w:rPr>
                <w:rFonts w:hint="eastAsia" w:ascii="Times New Roman" w:hAnsi="Times New Roman" w:eastAsia="宋体" w:cs="Times New Roman"/>
                <w:color w:val="auto"/>
                <w:kern w:val="0"/>
                <w:sz w:val="21"/>
                <w:szCs w:val="21"/>
                <w:highlight w:val="none"/>
                <w:vertAlign w:val="superscript"/>
                <w:lang w:val="en-US" w:eastAsia="zh-CN" w:bidi="ar-SA"/>
              </w:rPr>
              <w:t>-3</w:t>
            </w:r>
          </w:p>
        </w:tc>
        <w:tc>
          <w:tcPr>
            <w:tcW w:w="370"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1.94</w:t>
            </w:r>
          </w:p>
        </w:tc>
        <w:tc>
          <w:tcPr>
            <w:tcW w:w="777"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eastAsia="宋体" w:cs="Times New Roman"/>
                <w:color w:val="auto"/>
                <w:highlight w:val="none"/>
                <w:lang w:val="en-US" w:eastAsia="zh-CN"/>
              </w:rPr>
              <w:t>油烟净化器</w:t>
            </w:r>
            <w:r>
              <w:rPr>
                <w:rFonts w:hint="eastAsia" w:cs="Times New Roman"/>
                <w:color w:val="auto"/>
                <w:highlight w:val="none"/>
                <w:lang w:val="en-US" w:eastAsia="zh-CN"/>
              </w:rPr>
              <w:t>（处理效率60%）</w:t>
            </w:r>
          </w:p>
        </w:tc>
        <w:tc>
          <w:tcPr>
            <w:tcW w:w="449" w:type="pct"/>
            <w:tcBorders>
              <w:tl2br w:val="nil"/>
              <w:tr2bl w:val="nil"/>
            </w:tcBorders>
            <w:noWrap w:val="0"/>
            <w:vAlign w:val="center"/>
          </w:tcPr>
          <w:p>
            <w:pPr>
              <w:pStyle w:val="34"/>
              <w:bidi w:val="0"/>
              <w:ind w:left="0" w:leftChars="0" w:right="0" w:rightChars="0" w:firstLine="0" w:firstLineChars="0"/>
              <w:jc w:val="center"/>
              <w:rPr>
                <w:rFonts w:hint="default" w:eastAsia="宋体" w:cs="Times New Roman"/>
                <w:color w:val="auto"/>
                <w:highlight w:val="none"/>
                <w:lang w:val="en-US" w:eastAsia="zh-CN"/>
              </w:rPr>
            </w:pPr>
            <w:r>
              <w:rPr>
                <w:rFonts w:hint="eastAsia" w:eastAsia="宋体" w:cs="Times New Roman"/>
                <w:color w:val="auto"/>
                <w:highlight w:val="none"/>
                <w:lang w:val="en-US" w:eastAsia="zh-CN"/>
              </w:rPr>
              <w:t>油烟</w:t>
            </w:r>
          </w:p>
        </w:tc>
        <w:tc>
          <w:tcPr>
            <w:tcW w:w="39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5.6×10</w:t>
            </w:r>
            <w:r>
              <w:rPr>
                <w:rFonts w:hint="eastAsia" w:ascii="Times New Roman" w:hAnsi="Times New Roman" w:eastAsia="宋体" w:cs="Times New Roman"/>
                <w:color w:val="auto"/>
                <w:kern w:val="0"/>
                <w:sz w:val="21"/>
                <w:szCs w:val="21"/>
                <w:highlight w:val="none"/>
                <w:vertAlign w:val="superscript"/>
                <w:lang w:val="en-US" w:eastAsia="zh-CN" w:bidi="ar-SA"/>
              </w:rPr>
              <w:t>-3</w:t>
            </w:r>
          </w:p>
        </w:tc>
        <w:tc>
          <w:tcPr>
            <w:tcW w:w="39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3.89×10</w:t>
            </w:r>
            <w:r>
              <w:rPr>
                <w:rFonts w:hint="eastAsia" w:ascii="Times New Roman" w:hAnsi="Times New Roman" w:eastAsia="宋体" w:cs="Times New Roman"/>
                <w:color w:val="auto"/>
                <w:kern w:val="0"/>
                <w:sz w:val="21"/>
                <w:szCs w:val="21"/>
                <w:highlight w:val="none"/>
                <w:vertAlign w:val="superscript"/>
                <w:lang w:val="en-US" w:eastAsia="zh-CN" w:bidi="ar-SA"/>
              </w:rPr>
              <w:t>-3</w:t>
            </w:r>
          </w:p>
        </w:tc>
        <w:tc>
          <w:tcPr>
            <w:tcW w:w="468"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0.78</w:t>
            </w:r>
          </w:p>
        </w:tc>
      </w:tr>
    </w:tbl>
    <w:p>
      <w:pPr>
        <w:pStyle w:val="9"/>
        <w:keepNext w:val="0"/>
        <w:keepLines w:val="0"/>
        <w:pageBreakBefore w:val="0"/>
        <w:widowControl w:val="0"/>
        <w:kinsoku/>
        <w:wordWrap/>
        <w:overflowPunct/>
        <w:topLinePunct w:val="0"/>
        <w:autoSpaceDE/>
        <w:autoSpaceDN/>
        <w:bidi w:val="0"/>
        <w:adjustRightInd/>
        <w:snapToGrid/>
        <w:ind w:left="0"/>
        <w:textAlignment w:val="auto"/>
        <w:rPr>
          <w:rFonts w:hint="default"/>
          <w:color w:val="auto"/>
          <w:lang w:val="en-US" w:eastAsia="zh-CN"/>
        </w:rPr>
      </w:pPr>
      <w:r>
        <w:rPr>
          <w:rFonts w:hint="eastAsia"/>
          <w:color w:val="auto"/>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4"/>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3.4.2.1.2 无组织废气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（1）动植物油脂回收生产线产生的废气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熔炼废气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本项目熔炼工序油脂烟气的总产生量为 0.045t/a，该工序产生的废气通过管道收集，收集效率为 95%，则无组织油烟产生量为 2×10</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t/a。</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植物油、动物油在高温熔炼下会产生脂肪酸类 VOCs。（以非甲烷总烃计），产生总量为 0.670t/a，该工序产生的废气通过管道收集，收集效率为 95%，则无组织非甲烷总烃产生量为 0.03t/a。</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动植物油精炼恶臭</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本项目精炼过程中会产生恶臭，NH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 xml:space="preserve"> 产生总量为 0.18t/a，H</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S 产生总量为 2.53×10</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t/a，该工序产生的废气通过管道收集，收集效率为 95%，则无组织 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 xml:space="preserve"> 产生量为 0.01t/a，无组织 H</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S 产生量为 1.3×10</w:t>
      </w:r>
      <w:r>
        <w:rPr>
          <w:rFonts w:hint="eastAsia" w:ascii="Times New Roman" w:hAnsi="Times New Roman" w:eastAsia="宋体" w:cs="Times New Roman"/>
          <w:color w:val="auto"/>
          <w:sz w:val="24"/>
          <w:szCs w:val="24"/>
          <w:vertAlign w:val="superscript"/>
          <w:lang w:val="en-US" w:eastAsia="zh-CN"/>
        </w:rPr>
        <w:t>-4</w:t>
      </w:r>
      <w:r>
        <w:rPr>
          <w:rFonts w:hint="eastAsia" w:ascii="Times New Roman" w:hAnsi="Times New Roman" w:eastAsia="宋体" w:cs="Times New Roman"/>
          <w:color w:val="auto"/>
          <w:sz w:val="24"/>
          <w:szCs w:val="24"/>
          <w:lang w:val="en-US" w:eastAsia="zh-CN"/>
        </w:rPr>
        <w:t>t/a。</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（2）储罐区废气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本项目储罐呼吸孔会产生非甲烷总体，产生总量为 4.712t/a，产生的非甲烷总烃通过管道收集，收集效率为 95%，则无组织非甲烷总烃产生量为 0.232t/a。</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（3）水溶肥生产线废气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投料废气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本项目在投入磷酸二氢钾时会产生颗粒物，产生总量为 3×10</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t/a，该工序产生的颗粒物通过集气罩收集，收集效率为 90%，则无组织颗粒物产生量为3×10</w:t>
      </w:r>
      <w:r>
        <w:rPr>
          <w:rFonts w:hint="eastAsia" w:ascii="Times New Roman" w:hAnsi="Times New Roman" w:eastAsia="宋体" w:cs="Times New Roman"/>
          <w:color w:val="auto"/>
          <w:sz w:val="24"/>
          <w:szCs w:val="24"/>
          <w:vertAlign w:val="superscript"/>
          <w:lang w:val="en-US" w:eastAsia="zh-CN"/>
        </w:rPr>
        <w:t>-4</w:t>
      </w:r>
      <w:r>
        <w:rPr>
          <w:rFonts w:hint="eastAsia" w:ascii="Times New Roman" w:hAnsi="Times New Roman" w:eastAsia="宋体" w:cs="Times New Roman"/>
          <w:color w:val="auto"/>
          <w:sz w:val="24"/>
          <w:szCs w:val="24"/>
          <w:lang w:val="en-US" w:eastAsia="zh-CN"/>
        </w:rPr>
        <w:t>t/a。</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呼吸口废气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本项目在溶解槽中加入氨水会挥发出少量的 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，产生总量为 0.032t/a，该工序产生的 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 xml:space="preserve"> 通过集气罩收集，收集效率为 90%，则无组织 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 xml:space="preserve"> 产生量为 3.2×10</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t/a。</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（4）生物有机肥生产线</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发酵废气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本项目生物有机肥采用罐式发酵，在发酵过程中会产生恶臭， 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 xml:space="preserve"> 总产生量为 4.95×10</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t/a，H</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S 总产生量为 0.48×10</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t/a，该工序产生的恶臭通过集气罩收集，收集效率为 90%，则无组织 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 xml:space="preserve"> 产生量为 4.9×10</w:t>
      </w:r>
      <w:r>
        <w:rPr>
          <w:rFonts w:hint="eastAsia" w:ascii="Times New Roman" w:hAnsi="Times New Roman" w:eastAsia="宋体" w:cs="Times New Roman"/>
          <w:color w:val="auto"/>
          <w:sz w:val="24"/>
          <w:szCs w:val="24"/>
          <w:vertAlign w:val="superscript"/>
          <w:lang w:val="en-US" w:eastAsia="zh-CN"/>
        </w:rPr>
        <w:t>-4</w:t>
      </w:r>
      <w:r>
        <w:rPr>
          <w:rFonts w:hint="eastAsia" w:ascii="Times New Roman" w:hAnsi="Times New Roman" w:eastAsia="宋体" w:cs="Times New Roman"/>
          <w:color w:val="auto"/>
          <w:sz w:val="24"/>
          <w:szCs w:val="24"/>
          <w:lang w:val="en-US" w:eastAsia="zh-CN"/>
        </w:rPr>
        <w:t>t/a，无组织H</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S 产生量为 4.8×10</w:t>
      </w:r>
      <w:r>
        <w:rPr>
          <w:rFonts w:hint="eastAsia" w:ascii="Times New Roman" w:hAnsi="Times New Roman" w:eastAsia="宋体" w:cs="Times New Roman"/>
          <w:color w:val="auto"/>
          <w:sz w:val="24"/>
          <w:szCs w:val="24"/>
          <w:vertAlign w:val="superscript"/>
          <w:lang w:val="en-US" w:eastAsia="zh-CN"/>
        </w:rPr>
        <w:t>-5</w:t>
      </w:r>
      <w:r>
        <w:rPr>
          <w:rFonts w:hint="eastAsia" w:ascii="Times New Roman" w:hAnsi="Times New Roman" w:eastAsia="宋体" w:cs="Times New Roman"/>
          <w:color w:val="auto"/>
          <w:sz w:val="24"/>
          <w:szCs w:val="24"/>
          <w:lang w:val="en-US" w:eastAsia="zh-CN"/>
        </w:rPr>
        <w:t>t/a。</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加工废气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本项目在生物有机肥生产线的破碎、筛分工序会产生颗粒物，产生总量为7.4t/a，产生的颗粒物通过集气罩收集，收集效率为 90%，则该工序无组织颗粒物产生量为 0.74t/a。</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（5）生物燃料生产线</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恶臭气体</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本项目皂脚在储存过程中会产生恶臭，</w:t>
      </w:r>
      <w:r>
        <w:rPr>
          <w:rFonts w:hint="default" w:ascii="Times New Roman" w:hAnsi="Times New Roman" w:eastAsia="宋体" w:cs="Times New Roman"/>
          <w:color w:val="auto"/>
          <w:sz w:val="24"/>
          <w:szCs w:val="24"/>
          <w:lang w:val="en-US" w:eastAsia="zh-CN"/>
        </w:rPr>
        <w:t>NH</w:t>
      </w:r>
      <w:r>
        <w:rPr>
          <w:rFonts w:hint="default"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vertAlign w:val="baseline"/>
          <w:lang w:val="en-US" w:eastAsia="zh-CN"/>
        </w:rPr>
        <w:t xml:space="preserve"> 总</w:t>
      </w:r>
      <w:r>
        <w:rPr>
          <w:rFonts w:hint="default" w:ascii="Times New Roman" w:hAnsi="Times New Roman" w:eastAsia="宋体" w:cs="Times New Roman"/>
          <w:color w:val="auto"/>
          <w:sz w:val="24"/>
          <w:szCs w:val="24"/>
          <w:lang w:val="en-US" w:eastAsia="zh-CN"/>
        </w:rPr>
        <w:t>产生量为</w:t>
      </w:r>
      <w:r>
        <w:rPr>
          <w:rFonts w:hint="eastAsia" w:ascii="Times New Roman" w:hAnsi="Times New Roman" w:eastAsia="宋体" w:cs="Times New Roman"/>
          <w:color w:val="auto"/>
          <w:sz w:val="24"/>
          <w:szCs w:val="24"/>
          <w:lang w:val="en-US" w:eastAsia="zh-CN"/>
        </w:rPr>
        <w:t xml:space="preserve"> 1.58</w:t>
      </w:r>
      <w:r>
        <w:rPr>
          <w:rFonts w:hint="default" w:ascii="Times New Roman" w:hAnsi="Times New Roman" w:eastAsia="宋体" w:cs="Times New Roman"/>
          <w:color w:val="auto"/>
          <w:sz w:val="24"/>
          <w:szCs w:val="24"/>
          <w:lang w:val="en-US" w:eastAsia="zh-CN"/>
        </w:rPr>
        <w:t>t/a，H</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S</w:t>
      </w:r>
      <w:r>
        <w:rPr>
          <w:rFonts w:hint="eastAsia" w:ascii="Times New Roman" w:hAnsi="Times New Roman" w:eastAsia="宋体" w:cs="Times New Roman"/>
          <w:color w:val="auto"/>
          <w:sz w:val="24"/>
          <w:szCs w:val="24"/>
          <w:lang w:val="en-US" w:eastAsia="zh-CN"/>
        </w:rPr>
        <w:t xml:space="preserve"> 总</w:t>
      </w:r>
      <w:r>
        <w:rPr>
          <w:rFonts w:hint="default" w:ascii="Times New Roman" w:hAnsi="Times New Roman" w:eastAsia="宋体" w:cs="Times New Roman"/>
          <w:color w:val="auto"/>
          <w:sz w:val="24"/>
          <w:szCs w:val="24"/>
          <w:lang w:val="en-US" w:eastAsia="zh-CN"/>
        </w:rPr>
        <w:t>产生量为</w:t>
      </w:r>
      <w:r>
        <w:rPr>
          <w:rFonts w:hint="eastAsia" w:ascii="Times New Roman" w:hAnsi="Times New Roman" w:eastAsia="宋体" w:cs="Times New Roman"/>
          <w:color w:val="auto"/>
          <w:sz w:val="24"/>
          <w:szCs w:val="24"/>
          <w:lang w:val="en-US" w:eastAsia="zh-CN"/>
        </w:rPr>
        <w:t xml:space="preserve"> 0.14</w:t>
      </w:r>
      <w:r>
        <w:rPr>
          <w:rFonts w:hint="default" w:ascii="Times New Roman" w:hAnsi="Times New Roman" w:eastAsia="宋体" w:cs="Times New Roman"/>
          <w:color w:val="auto"/>
          <w:sz w:val="24"/>
          <w:szCs w:val="24"/>
          <w:lang w:val="en-US" w:eastAsia="zh-CN"/>
        </w:rPr>
        <w:t>t/a，</w:t>
      </w:r>
      <w:r>
        <w:rPr>
          <w:rFonts w:hint="eastAsia" w:ascii="Times New Roman" w:hAnsi="Times New Roman" w:eastAsia="宋体" w:cs="Times New Roman"/>
          <w:color w:val="auto"/>
          <w:sz w:val="24"/>
          <w:szCs w:val="24"/>
          <w:lang w:val="en-US" w:eastAsia="zh-CN"/>
        </w:rPr>
        <w:t xml:space="preserve">产生的 </w:t>
      </w:r>
      <w:r>
        <w:rPr>
          <w:rFonts w:hint="default" w:ascii="Times New Roman" w:hAnsi="Times New Roman" w:eastAsia="宋体" w:cs="Times New Roman"/>
          <w:color w:val="auto"/>
          <w:sz w:val="24"/>
          <w:szCs w:val="24"/>
          <w:lang w:val="en-US" w:eastAsia="zh-CN"/>
        </w:rPr>
        <w:t>NH</w:t>
      </w:r>
      <w:r>
        <w:rPr>
          <w:rFonts w:hint="default"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vertAlign w:val="baseline"/>
          <w:lang w:val="en-US" w:eastAsia="zh-CN"/>
        </w:rPr>
        <w:t>、</w:t>
      </w:r>
      <w:r>
        <w:rPr>
          <w:rFonts w:hint="default" w:ascii="Times New Roman" w:hAnsi="Times New Roman" w:eastAsia="宋体" w:cs="Times New Roman"/>
          <w:color w:val="auto"/>
          <w:sz w:val="24"/>
          <w:szCs w:val="24"/>
          <w:lang w:val="en-US" w:eastAsia="zh-CN"/>
        </w:rPr>
        <w:t>H</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S</w:t>
      </w:r>
      <w:r>
        <w:rPr>
          <w:rFonts w:hint="eastAsia" w:ascii="Times New Roman" w:hAnsi="Times New Roman" w:eastAsia="宋体" w:cs="Times New Roman"/>
          <w:color w:val="auto"/>
          <w:sz w:val="24"/>
          <w:szCs w:val="24"/>
          <w:lang w:val="en-US" w:eastAsia="zh-CN"/>
        </w:rPr>
        <w:t xml:space="preserve"> 通过集气罩收集，收集效率为 90%，则无组织 </w:t>
      </w:r>
      <w:r>
        <w:rPr>
          <w:rFonts w:hint="default" w:ascii="Times New Roman" w:hAnsi="Times New Roman" w:eastAsia="宋体" w:cs="Times New Roman"/>
          <w:color w:val="auto"/>
          <w:sz w:val="24"/>
          <w:szCs w:val="24"/>
          <w:lang w:val="en-US" w:eastAsia="zh-CN"/>
        </w:rPr>
        <w:t>NH</w:t>
      </w:r>
      <w:r>
        <w:rPr>
          <w:rFonts w:hint="default"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vertAlign w:val="baseline"/>
          <w:lang w:val="en-US" w:eastAsia="zh-CN"/>
        </w:rPr>
        <w:t xml:space="preserve"> 产生量为 0.158t/a，无组织 </w:t>
      </w:r>
      <w:r>
        <w:rPr>
          <w:rFonts w:hint="default" w:ascii="Times New Roman" w:hAnsi="Times New Roman" w:eastAsia="宋体" w:cs="Times New Roman"/>
          <w:color w:val="auto"/>
          <w:sz w:val="24"/>
          <w:szCs w:val="24"/>
          <w:lang w:val="en-US" w:eastAsia="zh-CN"/>
        </w:rPr>
        <w:t>H</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S</w:t>
      </w:r>
      <w:r>
        <w:rPr>
          <w:rFonts w:hint="eastAsia" w:ascii="Times New Roman" w:hAnsi="Times New Roman" w:eastAsia="宋体" w:cs="Times New Roman"/>
          <w:color w:val="auto"/>
          <w:sz w:val="24"/>
          <w:szCs w:val="24"/>
          <w:lang w:val="en-US" w:eastAsia="zh-CN"/>
        </w:rPr>
        <w:t xml:space="preserve"> 产生量为 0.014t/a</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投料、破碎废气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本项目使用植物秸秆制生物燃料在投料及破碎工序会产生颗粒物，产生总量为 2.0t/a，产生的颗粒物通过集气罩收集，收集效率为 90%，则无组织颗粒物产生量为 0.2t/a。</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加热废气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在皂脚酸化时需进行加热，加热过程中会产生少量的非甲烷总烃，产生总量为 7.75t/a，产生的非甲烷总烃通过管道收集，收集效率为 95%，则无组织非甲烷总烃产生量为 0.77t/a</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挥发废气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本项目酸化油与甲醇混合在密闭搅拌罐内进行，在生产时</w:t>
      </w:r>
      <w:r>
        <w:rPr>
          <w:rFonts w:hint="default" w:ascii="Times New Roman" w:hAnsi="Times New Roman" w:eastAsia="宋体" w:cs="Times New Roman"/>
          <w:color w:val="auto"/>
          <w:sz w:val="24"/>
          <w:szCs w:val="24"/>
        </w:rPr>
        <w:t>“跑、冒、滴、漏”等方式</w:t>
      </w:r>
      <w:r>
        <w:rPr>
          <w:rFonts w:hint="default" w:ascii="Times New Roman" w:hAnsi="Times New Roman" w:eastAsia="宋体" w:cs="Times New Roman"/>
          <w:color w:val="auto"/>
          <w:sz w:val="24"/>
          <w:szCs w:val="24"/>
          <w:lang w:val="en-US" w:eastAsia="zh-CN"/>
        </w:rPr>
        <w:t>会</w:t>
      </w:r>
      <w:r>
        <w:rPr>
          <w:rFonts w:hint="default" w:ascii="Times New Roman" w:hAnsi="Times New Roman" w:eastAsia="宋体" w:cs="Times New Roman"/>
          <w:color w:val="auto"/>
          <w:sz w:val="24"/>
          <w:szCs w:val="24"/>
        </w:rPr>
        <w:t>产生一定量的甲醇无组织废气污染物</w:t>
      </w:r>
      <w:r>
        <w:rPr>
          <w:rFonts w:hint="default"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根据同行业数据经验，</w:t>
      </w:r>
      <w:r>
        <w:rPr>
          <w:rFonts w:hint="default" w:ascii="Times New Roman" w:hAnsi="Times New Roman" w:eastAsia="宋体" w:cs="Times New Roman"/>
          <w:color w:val="auto"/>
          <w:sz w:val="24"/>
          <w:szCs w:val="24"/>
          <w:lang w:val="en-US" w:eastAsia="zh-CN"/>
        </w:rPr>
        <w:t>无组织废气甲醇产生量为甲醇使用量的 0.01%，本项目甲醇年使用量为 50t，则无组织甲醇废气产生量为 5×10</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 xml:space="preserve"> t/a。</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eastAsia" w:ascii="Times New Roman" w:hAnsi="Times New Roman" w:eastAsia="宋体" w:cs="Times New Roman"/>
          <w:color w:val="auto"/>
          <w:sz w:val="24"/>
          <w:szCs w:val="24"/>
          <w:lang w:val="en-US" w:eastAsia="zh-CN"/>
        </w:rPr>
        <w:t>本项目无组织产生排放情况见下表。</w:t>
      </w:r>
    </w:p>
    <w:p>
      <w:pPr>
        <w:pStyle w:val="26"/>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 xml:space="preserve">表 </w:t>
      </w:r>
      <w:r>
        <w:rPr>
          <w:rFonts w:hint="eastAsia" w:ascii="Times New Roman" w:hAnsi="Times New Roman" w:cs="Times New Roman"/>
          <w:b/>
          <w:bCs/>
          <w:color w:val="auto"/>
          <w:lang w:val="en-US" w:eastAsia="zh-CN"/>
        </w:rPr>
        <w:t>3.4</w:t>
      </w:r>
      <w:r>
        <w:rPr>
          <w:rFonts w:hint="default" w:ascii="Times New Roman" w:hAnsi="Times New Roman" w:cs="Times New Roman"/>
          <w:b/>
          <w:bCs/>
          <w:color w:val="auto"/>
          <w:lang w:val="en-US" w:eastAsia="zh-CN"/>
        </w:rPr>
        <w:t>.2-</w:t>
      </w:r>
      <w:r>
        <w:rPr>
          <w:rFonts w:hint="eastAsia" w:ascii="Times New Roman" w:hAnsi="Times New Roman" w:cs="Times New Roman"/>
          <w:b/>
          <w:bCs/>
          <w:color w:val="auto"/>
          <w:lang w:val="en-US" w:eastAsia="zh-CN"/>
        </w:rPr>
        <w:t>5</w:t>
      </w:r>
      <w:r>
        <w:rPr>
          <w:rFonts w:hint="default" w:ascii="Times New Roman" w:hAnsi="Times New Roman" w:cs="Times New Roman"/>
          <w:b/>
          <w:bCs/>
          <w:color w:val="auto"/>
          <w:lang w:val="en-US" w:eastAsia="zh-CN"/>
        </w:rPr>
        <w:t xml:space="preserve">    项目无组织废气产排情况</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4"/>
        <w:gridCol w:w="1273"/>
        <w:gridCol w:w="1273"/>
        <w:gridCol w:w="1188"/>
        <w:gridCol w:w="1270"/>
        <w:gridCol w:w="1546"/>
        <w:gridCol w:w="1707"/>
        <w:gridCol w:w="1290"/>
        <w:gridCol w:w="1376"/>
        <w:gridCol w:w="17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7" w:type="pct"/>
            <w:vMerge w:val="restart"/>
            <w:tcBorders>
              <w:tl2br w:val="nil"/>
              <w:tr2bl w:val="nil"/>
            </w:tcBorders>
            <w:noWrap w:val="0"/>
            <w:vAlign w:val="center"/>
          </w:tcPr>
          <w:p>
            <w:pPr>
              <w:pStyle w:val="34"/>
              <w:bidi w:val="0"/>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车间/位置</w:t>
            </w:r>
          </w:p>
        </w:tc>
        <w:tc>
          <w:tcPr>
            <w:tcW w:w="449" w:type="pct"/>
            <w:vMerge w:val="restart"/>
            <w:tcBorders>
              <w:tl2br w:val="nil"/>
              <w:tr2bl w:val="nil"/>
            </w:tcBorders>
            <w:noWrap w:val="0"/>
            <w:vAlign w:val="center"/>
          </w:tcPr>
          <w:p>
            <w:pPr>
              <w:pStyle w:val="34"/>
              <w:bidi w:val="0"/>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生产线</w:t>
            </w:r>
          </w:p>
        </w:tc>
        <w:tc>
          <w:tcPr>
            <w:tcW w:w="449" w:type="pct"/>
            <w:vMerge w:val="restart"/>
            <w:tcBorders>
              <w:tl2br w:val="nil"/>
              <w:tr2bl w:val="nil"/>
            </w:tcBorders>
            <w:noWrap w:val="0"/>
            <w:vAlign w:val="center"/>
          </w:tcPr>
          <w:p>
            <w:pPr>
              <w:pStyle w:val="34"/>
              <w:bidi w:val="0"/>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排放工序</w:t>
            </w:r>
          </w:p>
        </w:tc>
        <w:tc>
          <w:tcPr>
            <w:tcW w:w="419" w:type="pct"/>
            <w:vMerge w:val="restart"/>
            <w:tcBorders>
              <w:tl2br w:val="nil"/>
              <w:tr2bl w:val="nil"/>
            </w:tcBorders>
            <w:noWrap w:val="0"/>
            <w:vAlign w:val="center"/>
          </w:tcPr>
          <w:p>
            <w:pPr>
              <w:pStyle w:val="34"/>
              <w:bidi w:val="0"/>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污染物</w:t>
            </w:r>
          </w:p>
        </w:tc>
        <w:tc>
          <w:tcPr>
            <w:tcW w:w="993" w:type="pct"/>
            <w:gridSpan w:val="2"/>
            <w:tcBorders>
              <w:tl2br w:val="nil"/>
              <w:tr2bl w:val="nil"/>
            </w:tcBorders>
            <w:noWrap w:val="0"/>
            <w:vAlign w:val="center"/>
          </w:tcPr>
          <w:p>
            <w:pPr>
              <w:pStyle w:val="34"/>
              <w:bidi w:val="0"/>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产生情况</w:t>
            </w:r>
          </w:p>
        </w:tc>
        <w:tc>
          <w:tcPr>
            <w:tcW w:w="602" w:type="pct"/>
            <w:vMerge w:val="restart"/>
            <w:tcBorders>
              <w:tl2br w:val="nil"/>
              <w:tr2bl w:val="nil"/>
            </w:tcBorders>
            <w:noWrap w:val="0"/>
            <w:vAlign w:val="center"/>
          </w:tcPr>
          <w:p>
            <w:pPr>
              <w:pStyle w:val="34"/>
              <w:bidi w:val="0"/>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处理措施</w:t>
            </w:r>
          </w:p>
        </w:tc>
        <w:tc>
          <w:tcPr>
            <w:tcW w:w="1557" w:type="pct"/>
            <w:gridSpan w:val="3"/>
            <w:tcBorders>
              <w:tl2br w:val="nil"/>
              <w:tr2bl w:val="nil"/>
            </w:tcBorders>
            <w:noWrap w:val="0"/>
            <w:vAlign w:val="center"/>
          </w:tcPr>
          <w:p>
            <w:pPr>
              <w:pStyle w:val="34"/>
              <w:bidi w:val="0"/>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7" w:type="pct"/>
            <w:vMerge w:val="continue"/>
            <w:tcBorders>
              <w:tl2br w:val="nil"/>
              <w:tr2bl w:val="nil"/>
            </w:tcBorders>
            <w:noWrap w:val="0"/>
            <w:vAlign w:val="center"/>
          </w:tcPr>
          <w:p>
            <w:pPr>
              <w:pStyle w:val="34"/>
              <w:bidi w:val="0"/>
              <w:jc w:val="center"/>
              <w:rPr>
                <w:rFonts w:hint="default" w:ascii="Times New Roman" w:hAnsi="Times New Roman" w:cs="Times New Roman"/>
                <w:b/>
                <w:bCs/>
                <w:color w:val="auto"/>
                <w:highlight w:val="none"/>
              </w:rPr>
            </w:pPr>
          </w:p>
        </w:tc>
        <w:tc>
          <w:tcPr>
            <w:tcW w:w="449" w:type="pct"/>
            <w:vMerge w:val="continue"/>
            <w:tcBorders>
              <w:tl2br w:val="nil"/>
              <w:tr2bl w:val="nil"/>
            </w:tcBorders>
            <w:noWrap w:val="0"/>
            <w:vAlign w:val="center"/>
          </w:tcPr>
          <w:p>
            <w:pPr>
              <w:pStyle w:val="34"/>
              <w:bidi w:val="0"/>
              <w:jc w:val="center"/>
              <w:rPr>
                <w:rFonts w:hint="default" w:ascii="Times New Roman" w:hAnsi="Times New Roman" w:cs="Times New Roman"/>
                <w:b/>
                <w:bCs/>
                <w:color w:val="auto"/>
                <w:highlight w:val="none"/>
              </w:rPr>
            </w:pPr>
          </w:p>
        </w:tc>
        <w:tc>
          <w:tcPr>
            <w:tcW w:w="449" w:type="pct"/>
            <w:vMerge w:val="continue"/>
            <w:tcBorders>
              <w:tl2br w:val="nil"/>
              <w:tr2bl w:val="nil"/>
            </w:tcBorders>
            <w:noWrap w:val="0"/>
            <w:vAlign w:val="center"/>
          </w:tcPr>
          <w:p>
            <w:pPr>
              <w:pStyle w:val="34"/>
              <w:bidi w:val="0"/>
              <w:jc w:val="center"/>
              <w:rPr>
                <w:rFonts w:hint="default" w:ascii="Times New Roman" w:hAnsi="Times New Roman" w:cs="Times New Roman"/>
                <w:b/>
                <w:bCs/>
                <w:color w:val="auto"/>
                <w:highlight w:val="none"/>
                <w:lang w:val="en-US" w:eastAsia="zh-CN"/>
              </w:rPr>
            </w:pPr>
          </w:p>
        </w:tc>
        <w:tc>
          <w:tcPr>
            <w:tcW w:w="419" w:type="pct"/>
            <w:vMerge w:val="continue"/>
            <w:tcBorders>
              <w:tl2br w:val="nil"/>
              <w:tr2bl w:val="nil"/>
            </w:tcBorders>
            <w:noWrap w:val="0"/>
            <w:vAlign w:val="center"/>
          </w:tcPr>
          <w:p>
            <w:pPr>
              <w:pStyle w:val="34"/>
              <w:bidi w:val="0"/>
              <w:jc w:val="center"/>
              <w:rPr>
                <w:rFonts w:hint="default" w:ascii="Times New Roman" w:hAnsi="Times New Roman" w:cs="Times New Roman"/>
                <w:b/>
                <w:bCs/>
                <w:color w:val="auto"/>
                <w:highlight w:val="none"/>
                <w:lang w:val="en-US" w:eastAsia="zh-CN"/>
              </w:rPr>
            </w:pPr>
          </w:p>
        </w:tc>
        <w:tc>
          <w:tcPr>
            <w:tcW w:w="448" w:type="pct"/>
            <w:tcBorders>
              <w:tl2br w:val="nil"/>
              <w:tr2bl w:val="nil"/>
            </w:tcBorders>
            <w:noWrap w:val="0"/>
            <w:vAlign w:val="center"/>
          </w:tcPr>
          <w:p>
            <w:pPr>
              <w:pStyle w:val="34"/>
              <w:bidi w:val="0"/>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产生量（t/a）</w:t>
            </w:r>
          </w:p>
        </w:tc>
        <w:tc>
          <w:tcPr>
            <w:tcW w:w="545" w:type="pct"/>
            <w:tcBorders>
              <w:tl2br w:val="nil"/>
              <w:tr2bl w:val="nil"/>
            </w:tcBorders>
            <w:noWrap w:val="0"/>
            <w:vAlign w:val="center"/>
          </w:tcPr>
          <w:p>
            <w:pPr>
              <w:pStyle w:val="34"/>
              <w:bidi w:val="0"/>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产生速率（kg/h）</w:t>
            </w:r>
          </w:p>
        </w:tc>
        <w:tc>
          <w:tcPr>
            <w:tcW w:w="602" w:type="pct"/>
            <w:vMerge w:val="continue"/>
            <w:tcBorders>
              <w:tl2br w:val="nil"/>
              <w:tr2bl w:val="nil"/>
            </w:tcBorders>
            <w:noWrap w:val="0"/>
            <w:vAlign w:val="center"/>
          </w:tcPr>
          <w:p>
            <w:pPr>
              <w:pStyle w:val="34"/>
              <w:bidi w:val="0"/>
              <w:jc w:val="center"/>
              <w:rPr>
                <w:rFonts w:hint="default" w:ascii="Times New Roman" w:hAnsi="Times New Roman" w:cs="Times New Roman"/>
                <w:b/>
                <w:bCs/>
                <w:color w:val="auto"/>
                <w:highlight w:val="none"/>
                <w:lang w:val="en-US" w:eastAsia="zh-CN"/>
              </w:rPr>
            </w:pPr>
          </w:p>
        </w:tc>
        <w:tc>
          <w:tcPr>
            <w:tcW w:w="455" w:type="pct"/>
            <w:tcBorders>
              <w:tl2br w:val="nil"/>
              <w:tr2bl w:val="nil"/>
            </w:tcBorders>
            <w:noWrap w:val="0"/>
            <w:vAlign w:val="center"/>
          </w:tcPr>
          <w:p>
            <w:pPr>
              <w:pStyle w:val="34"/>
              <w:bidi w:val="0"/>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污染物</w:t>
            </w:r>
          </w:p>
        </w:tc>
        <w:tc>
          <w:tcPr>
            <w:tcW w:w="485" w:type="pct"/>
            <w:tcBorders>
              <w:tl2br w:val="nil"/>
              <w:tr2bl w:val="nil"/>
            </w:tcBorders>
            <w:noWrap w:val="0"/>
            <w:vAlign w:val="center"/>
          </w:tcPr>
          <w:p>
            <w:pPr>
              <w:pStyle w:val="34"/>
              <w:bidi w:val="0"/>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排放量（t/a）</w:t>
            </w:r>
          </w:p>
        </w:tc>
        <w:tc>
          <w:tcPr>
            <w:tcW w:w="616" w:type="pct"/>
            <w:tcBorders>
              <w:tl2br w:val="nil"/>
              <w:tr2bl w:val="nil"/>
            </w:tcBorders>
            <w:noWrap w:val="0"/>
            <w:vAlign w:val="center"/>
          </w:tcPr>
          <w:p>
            <w:pPr>
              <w:pStyle w:val="34"/>
              <w:bidi w:val="0"/>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7"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动植物油脂回收、生物燃料生产车间</w:t>
            </w:r>
          </w:p>
        </w:tc>
        <w:tc>
          <w:tcPr>
            <w:tcW w:w="449"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动植物油脂生产线</w:t>
            </w:r>
          </w:p>
        </w:tc>
        <w:tc>
          <w:tcPr>
            <w:tcW w:w="449" w:type="pct"/>
            <w:vMerge w:val="restart"/>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熔炼废气</w:t>
            </w:r>
          </w:p>
        </w:tc>
        <w:tc>
          <w:tcPr>
            <w:tcW w:w="419" w:type="pct"/>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油烟</w:t>
            </w:r>
          </w:p>
        </w:tc>
        <w:tc>
          <w:tcPr>
            <w:tcW w:w="448"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2×10</w:t>
            </w:r>
            <w:r>
              <w:rPr>
                <w:rFonts w:hint="default" w:ascii="Times New Roman" w:hAnsi="Times New Roman" w:cs="Times New Roman"/>
                <w:color w:val="auto"/>
                <w:highlight w:val="none"/>
                <w:vertAlign w:val="superscript"/>
                <w:lang w:val="en-US" w:eastAsia="zh-CN"/>
              </w:rPr>
              <w:t>-3</w:t>
            </w:r>
          </w:p>
        </w:tc>
        <w:tc>
          <w:tcPr>
            <w:tcW w:w="54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3.47×10</w:t>
            </w:r>
            <w:r>
              <w:rPr>
                <w:rFonts w:hint="default" w:ascii="Times New Roman" w:hAnsi="Times New Roman" w:cs="Times New Roman"/>
                <w:color w:val="auto"/>
                <w:highlight w:val="none"/>
                <w:vertAlign w:val="superscript"/>
                <w:lang w:val="en-US" w:eastAsia="zh-CN"/>
              </w:rPr>
              <w:t>-4</w:t>
            </w:r>
          </w:p>
        </w:tc>
        <w:tc>
          <w:tcPr>
            <w:tcW w:w="602" w:type="pct"/>
            <w:vMerge w:val="restart"/>
            <w:tcBorders>
              <w:tl2br w:val="nil"/>
              <w:tr2bl w:val="nil"/>
            </w:tcBorders>
            <w:noWrap w:val="0"/>
            <w:vAlign w:val="center"/>
          </w:tcPr>
          <w:p>
            <w:pPr>
              <w:pStyle w:val="3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强化通风</w:t>
            </w:r>
          </w:p>
        </w:tc>
        <w:tc>
          <w:tcPr>
            <w:tcW w:w="455"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油烟</w:t>
            </w:r>
          </w:p>
        </w:tc>
        <w:tc>
          <w:tcPr>
            <w:tcW w:w="485"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2×10</w:t>
            </w:r>
            <w:r>
              <w:rPr>
                <w:rFonts w:hint="default" w:ascii="Times New Roman" w:hAnsi="Times New Roman" w:cs="Times New Roman"/>
                <w:color w:val="auto"/>
                <w:highlight w:val="none"/>
                <w:vertAlign w:val="superscript"/>
                <w:lang w:val="en-US" w:eastAsia="zh-CN"/>
              </w:rPr>
              <w:t>-3</w:t>
            </w:r>
          </w:p>
        </w:tc>
        <w:tc>
          <w:tcPr>
            <w:tcW w:w="616"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3.47×10</w:t>
            </w:r>
            <w:r>
              <w:rPr>
                <w:rFonts w:hint="default" w:ascii="Times New Roman" w:hAnsi="Times New Roman" w:cs="Times New Roman"/>
                <w:color w:val="auto"/>
                <w:highlight w:val="none"/>
                <w:vertAlign w:val="superscript"/>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7"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49"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49" w:type="pct"/>
            <w:vMerge w:val="continue"/>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p>
        </w:tc>
        <w:tc>
          <w:tcPr>
            <w:tcW w:w="419" w:type="pct"/>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非甲烷总烃</w:t>
            </w:r>
          </w:p>
        </w:tc>
        <w:tc>
          <w:tcPr>
            <w:tcW w:w="448"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0.03</w:t>
            </w:r>
          </w:p>
        </w:tc>
        <w:tc>
          <w:tcPr>
            <w:tcW w:w="54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5.21×10</w:t>
            </w:r>
            <w:r>
              <w:rPr>
                <w:rFonts w:hint="default" w:ascii="Times New Roman" w:hAnsi="Times New Roman" w:cs="Times New Roman"/>
                <w:color w:val="auto"/>
                <w:highlight w:val="none"/>
                <w:vertAlign w:val="superscript"/>
                <w:lang w:val="en-US" w:eastAsia="zh-CN"/>
              </w:rPr>
              <w:t>-3</w:t>
            </w:r>
          </w:p>
        </w:tc>
        <w:tc>
          <w:tcPr>
            <w:tcW w:w="602" w:type="pct"/>
            <w:vMerge w:val="continue"/>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p>
        </w:tc>
        <w:tc>
          <w:tcPr>
            <w:tcW w:w="455"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p>
        </w:tc>
        <w:tc>
          <w:tcPr>
            <w:tcW w:w="485"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616"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7"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49"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49" w:type="pct"/>
            <w:vMerge w:val="restart"/>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精炼恶臭</w:t>
            </w:r>
          </w:p>
        </w:tc>
        <w:tc>
          <w:tcPr>
            <w:tcW w:w="419" w:type="pct"/>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NH</w:t>
            </w:r>
            <w:r>
              <w:rPr>
                <w:rFonts w:hint="default" w:ascii="Times New Roman" w:hAnsi="Times New Roman" w:cs="Times New Roman"/>
                <w:color w:val="auto"/>
                <w:highlight w:val="none"/>
                <w:vertAlign w:val="subscript"/>
                <w:lang w:val="en-US" w:eastAsia="zh-CN"/>
              </w:rPr>
              <w:t>3</w:t>
            </w:r>
          </w:p>
        </w:tc>
        <w:tc>
          <w:tcPr>
            <w:tcW w:w="448"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0.01</w:t>
            </w:r>
          </w:p>
        </w:tc>
        <w:tc>
          <w:tcPr>
            <w:tcW w:w="54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1.74×10</w:t>
            </w:r>
            <w:r>
              <w:rPr>
                <w:rFonts w:hint="default" w:ascii="Times New Roman" w:hAnsi="Times New Roman" w:cs="Times New Roman"/>
                <w:color w:val="auto"/>
                <w:highlight w:val="none"/>
                <w:vertAlign w:val="superscript"/>
                <w:lang w:val="en-US" w:eastAsia="zh-CN"/>
              </w:rPr>
              <w:t>-3</w:t>
            </w:r>
          </w:p>
        </w:tc>
        <w:tc>
          <w:tcPr>
            <w:tcW w:w="602" w:type="pct"/>
            <w:vMerge w:val="continue"/>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p>
        </w:tc>
        <w:tc>
          <w:tcPr>
            <w:tcW w:w="455"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非甲烷总烃</w:t>
            </w:r>
          </w:p>
        </w:tc>
        <w:tc>
          <w:tcPr>
            <w:tcW w:w="485"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0.8</w:t>
            </w:r>
          </w:p>
        </w:tc>
        <w:tc>
          <w:tcPr>
            <w:tcW w:w="616"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7"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49"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49" w:type="pct"/>
            <w:vMerge w:val="continue"/>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p>
        </w:tc>
        <w:tc>
          <w:tcPr>
            <w:tcW w:w="419" w:type="pct"/>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H</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S</w:t>
            </w:r>
          </w:p>
        </w:tc>
        <w:tc>
          <w:tcPr>
            <w:tcW w:w="448"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1.3×10</w:t>
            </w:r>
            <w:r>
              <w:rPr>
                <w:rFonts w:hint="default" w:ascii="Times New Roman" w:hAnsi="Times New Roman" w:cs="Times New Roman"/>
                <w:color w:val="auto"/>
                <w:highlight w:val="none"/>
                <w:vertAlign w:val="superscript"/>
                <w:lang w:val="en-US" w:eastAsia="zh-CN"/>
              </w:rPr>
              <w:t>-4</w:t>
            </w:r>
          </w:p>
        </w:tc>
        <w:tc>
          <w:tcPr>
            <w:tcW w:w="54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2.26×10</w:t>
            </w:r>
            <w:r>
              <w:rPr>
                <w:rFonts w:hint="default" w:ascii="Times New Roman" w:hAnsi="Times New Roman" w:cs="Times New Roman"/>
                <w:color w:val="auto"/>
                <w:highlight w:val="none"/>
                <w:vertAlign w:val="superscript"/>
                <w:lang w:val="en-US" w:eastAsia="zh-CN"/>
              </w:rPr>
              <w:t>-5</w:t>
            </w:r>
          </w:p>
        </w:tc>
        <w:tc>
          <w:tcPr>
            <w:tcW w:w="602" w:type="pct"/>
            <w:vMerge w:val="continue"/>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p>
        </w:tc>
        <w:tc>
          <w:tcPr>
            <w:tcW w:w="455"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p>
        </w:tc>
        <w:tc>
          <w:tcPr>
            <w:tcW w:w="485"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p>
        </w:tc>
        <w:tc>
          <w:tcPr>
            <w:tcW w:w="616"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7"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49"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生物燃料生产线</w:t>
            </w:r>
          </w:p>
        </w:tc>
        <w:tc>
          <w:tcPr>
            <w:tcW w:w="449" w:type="pct"/>
            <w:vMerge w:val="restart"/>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恶臭</w:t>
            </w:r>
          </w:p>
        </w:tc>
        <w:tc>
          <w:tcPr>
            <w:tcW w:w="419"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NH</w:t>
            </w:r>
            <w:r>
              <w:rPr>
                <w:rFonts w:hint="default" w:ascii="Times New Roman" w:hAnsi="Times New Roman" w:cs="Times New Roman"/>
                <w:color w:val="auto"/>
                <w:highlight w:val="none"/>
                <w:vertAlign w:val="subscript"/>
                <w:lang w:val="en-US" w:eastAsia="zh-CN"/>
              </w:rPr>
              <w:t>3</w:t>
            </w:r>
          </w:p>
        </w:tc>
        <w:tc>
          <w:tcPr>
            <w:tcW w:w="448"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0.158</w:t>
            </w:r>
          </w:p>
        </w:tc>
        <w:tc>
          <w:tcPr>
            <w:tcW w:w="54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0.027</w:t>
            </w:r>
          </w:p>
        </w:tc>
        <w:tc>
          <w:tcPr>
            <w:tcW w:w="602" w:type="pct"/>
            <w:vMerge w:val="continue"/>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p>
        </w:tc>
        <w:tc>
          <w:tcPr>
            <w:tcW w:w="455"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85"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p>
        </w:tc>
        <w:tc>
          <w:tcPr>
            <w:tcW w:w="616"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7"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49"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49" w:type="pct"/>
            <w:vMerge w:val="continue"/>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p>
        </w:tc>
        <w:tc>
          <w:tcPr>
            <w:tcW w:w="419"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H</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S</w:t>
            </w:r>
          </w:p>
        </w:tc>
        <w:tc>
          <w:tcPr>
            <w:tcW w:w="448"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0.014</w:t>
            </w:r>
          </w:p>
        </w:tc>
        <w:tc>
          <w:tcPr>
            <w:tcW w:w="54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2.43×10</w:t>
            </w:r>
            <w:r>
              <w:rPr>
                <w:rFonts w:hint="eastAsia" w:cs="Times New Roman"/>
                <w:color w:val="auto"/>
                <w:highlight w:val="none"/>
                <w:vertAlign w:val="superscript"/>
                <w:lang w:val="en-US" w:eastAsia="zh-CN"/>
              </w:rPr>
              <w:t>-3</w:t>
            </w:r>
          </w:p>
        </w:tc>
        <w:tc>
          <w:tcPr>
            <w:tcW w:w="602" w:type="pct"/>
            <w:vMerge w:val="continue"/>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p>
        </w:tc>
        <w:tc>
          <w:tcPr>
            <w:tcW w:w="45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NH</w:t>
            </w:r>
            <w:r>
              <w:rPr>
                <w:rFonts w:hint="default" w:ascii="Times New Roman" w:hAnsi="Times New Roman" w:cs="Times New Roman"/>
                <w:color w:val="auto"/>
                <w:highlight w:val="none"/>
                <w:vertAlign w:val="subscript"/>
                <w:lang w:val="en-US" w:eastAsia="zh-CN"/>
              </w:rPr>
              <w:t>3</w:t>
            </w:r>
          </w:p>
        </w:tc>
        <w:tc>
          <w:tcPr>
            <w:tcW w:w="48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0.168</w:t>
            </w:r>
          </w:p>
        </w:tc>
        <w:tc>
          <w:tcPr>
            <w:tcW w:w="61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7"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49"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49" w:type="pct"/>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加热废气</w:t>
            </w:r>
          </w:p>
        </w:tc>
        <w:tc>
          <w:tcPr>
            <w:tcW w:w="419" w:type="pct"/>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非甲烷总烃</w:t>
            </w:r>
          </w:p>
        </w:tc>
        <w:tc>
          <w:tcPr>
            <w:tcW w:w="448"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0.77</w:t>
            </w:r>
          </w:p>
        </w:tc>
        <w:tc>
          <w:tcPr>
            <w:tcW w:w="54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0.13</w:t>
            </w:r>
          </w:p>
        </w:tc>
        <w:tc>
          <w:tcPr>
            <w:tcW w:w="602" w:type="pct"/>
            <w:vMerge w:val="continue"/>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p>
        </w:tc>
        <w:tc>
          <w:tcPr>
            <w:tcW w:w="45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H</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S</w:t>
            </w:r>
          </w:p>
        </w:tc>
        <w:tc>
          <w:tcPr>
            <w:tcW w:w="48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0.01413</w:t>
            </w:r>
          </w:p>
        </w:tc>
        <w:tc>
          <w:tcPr>
            <w:tcW w:w="61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2.45×10</w:t>
            </w:r>
            <w:r>
              <w:rPr>
                <w:rFonts w:hint="eastAsia" w:cs="Times New Roman"/>
                <w:color w:val="auto"/>
                <w:highlight w:val="none"/>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7"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49"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49" w:type="pct"/>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投料、破碎废气</w:t>
            </w:r>
          </w:p>
        </w:tc>
        <w:tc>
          <w:tcPr>
            <w:tcW w:w="419" w:type="pct"/>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颗粒物</w:t>
            </w:r>
          </w:p>
        </w:tc>
        <w:tc>
          <w:tcPr>
            <w:tcW w:w="448"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0.2</w:t>
            </w:r>
          </w:p>
        </w:tc>
        <w:tc>
          <w:tcPr>
            <w:tcW w:w="54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0.03</w:t>
            </w:r>
          </w:p>
        </w:tc>
        <w:tc>
          <w:tcPr>
            <w:tcW w:w="602" w:type="pct"/>
            <w:vMerge w:val="continue"/>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p>
        </w:tc>
        <w:tc>
          <w:tcPr>
            <w:tcW w:w="45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颗粒物</w:t>
            </w:r>
          </w:p>
        </w:tc>
        <w:tc>
          <w:tcPr>
            <w:tcW w:w="48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w:t>
            </w:r>
          </w:p>
        </w:tc>
        <w:tc>
          <w:tcPr>
            <w:tcW w:w="61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7"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49"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49" w:type="pct"/>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挥发废气</w:t>
            </w:r>
          </w:p>
        </w:tc>
        <w:tc>
          <w:tcPr>
            <w:tcW w:w="419" w:type="pct"/>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甲醇</w:t>
            </w:r>
          </w:p>
        </w:tc>
        <w:tc>
          <w:tcPr>
            <w:tcW w:w="448"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5×10</w:t>
            </w:r>
            <w:r>
              <w:rPr>
                <w:rFonts w:hint="default" w:ascii="Times New Roman" w:hAnsi="Times New Roman" w:cs="Times New Roman"/>
                <w:color w:val="auto"/>
                <w:highlight w:val="none"/>
                <w:vertAlign w:val="superscript"/>
                <w:lang w:val="en-US" w:eastAsia="zh-CN"/>
              </w:rPr>
              <w:t>-3</w:t>
            </w:r>
          </w:p>
        </w:tc>
        <w:tc>
          <w:tcPr>
            <w:tcW w:w="54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8.68×10</w:t>
            </w:r>
            <w:r>
              <w:rPr>
                <w:rFonts w:hint="default" w:ascii="Times New Roman" w:hAnsi="Times New Roman" w:cs="Times New Roman"/>
                <w:color w:val="auto"/>
                <w:highlight w:val="none"/>
                <w:vertAlign w:val="superscript"/>
                <w:lang w:val="en-US" w:eastAsia="zh-CN"/>
              </w:rPr>
              <w:t>-4</w:t>
            </w:r>
          </w:p>
        </w:tc>
        <w:tc>
          <w:tcPr>
            <w:tcW w:w="602" w:type="pct"/>
            <w:vMerge w:val="continue"/>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p>
        </w:tc>
        <w:tc>
          <w:tcPr>
            <w:tcW w:w="45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甲醇</w:t>
            </w:r>
          </w:p>
        </w:tc>
        <w:tc>
          <w:tcPr>
            <w:tcW w:w="48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5×10</w:t>
            </w:r>
            <w:r>
              <w:rPr>
                <w:rFonts w:hint="default" w:ascii="Times New Roman" w:hAnsi="Times New Roman" w:cs="Times New Roman"/>
                <w:color w:val="auto"/>
                <w:highlight w:val="none"/>
                <w:vertAlign w:val="superscript"/>
                <w:lang w:val="en-US" w:eastAsia="zh-CN"/>
              </w:rPr>
              <w:t>-3</w:t>
            </w:r>
          </w:p>
        </w:tc>
        <w:tc>
          <w:tcPr>
            <w:tcW w:w="61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8.68×10</w:t>
            </w:r>
            <w:r>
              <w:rPr>
                <w:rFonts w:hint="default" w:ascii="Times New Roman" w:hAnsi="Times New Roman" w:cs="Times New Roman"/>
                <w:color w:val="auto"/>
                <w:highlight w:val="none"/>
                <w:vertAlign w:val="superscript"/>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7"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水溶肥、生物有机肥生产车间</w:t>
            </w:r>
          </w:p>
        </w:tc>
        <w:tc>
          <w:tcPr>
            <w:tcW w:w="449"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水溶肥生产线</w:t>
            </w:r>
          </w:p>
        </w:tc>
        <w:tc>
          <w:tcPr>
            <w:tcW w:w="449" w:type="pct"/>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投料废气</w:t>
            </w:r>
          </w:p>
        </w:tc>
        <w:tc>
          <w:tcPr>
            <w:tcW w:w="419" w:type="pct"/>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颗粒物</w:t>
            </w:r>
          </w:p>
        </w:tc>
        <w:tc>
          <w:tcPr>
            <w:tcW w:w="448"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3×10</w:t>
            </w:r>
            <w:r>
              <w:rPr>
                <w:rFonts w:hint="default" w:ascii="Times New Roman" w:hAnsi="Times New Roman" w:cs="Times New Roman"/>
                <w:color w:val="auto"/>
                <w:highlight w:val="none"/>
                <w:vertAlign w:val="superscript"/>
                <w:lang w:val="en-US" w:eastAsia="zh-CN"/>
              </w:rPr>
              <w:t>-4</w:t>
            </w:r>
          </w:p>
        </w:tc>
        <w:tc>
          <w:tcPr>
            <w:tcW w:w="54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5.21×10</w:t>
            </w:r>
            <w:r>
              <w:rPr>
                <w:rFonts w:hint="default" w:ascii="Times New Roman" w:hAnsi="Times New Roman" w:cs="Times New Roman"/>
                <w:color w:val="auto"/>
                <w:highlight w:val="none"/>
                <w:vertAlign w:val="superscript"/>
                <w:lang w:val="en-US" w:eastAsia="zh-CN"/>
              </w:rPr>
              <w:t>-5</w:t>
            </w:r>
          </w:p>
        </w:tc>
        <w:tc>
          <w:tcPr>
            <w:tcW w:w="602" w:type="pct"/>
            <w:vMerge w:val="restart"/>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强化通风</w:t>
            </w:r>
          </w:p>
        </w:tc>
        <w:tc>
          <w:tcPr>
            <w:tcW w:w="455"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颗粒物</w:t>
            </w:r>
          </w:p>
        </w:tc>
        <w:tc>
          <w:tcPr>
            <w:tcW w:w="485"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0.7403</w:t>
            </w:r>
          </w:p>
        </w:tc>
        <w:tc>
          <w:tcPr>
            <w:tcW w:w="616"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527"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49"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49" w:type="pct"/>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呼吸口废气</w:t>
            </w:r>
          </w:p>
        </w:tc>
        <w:tc>
          <w:tcPr>
            <w:tcW w:w="419" w:type="pct"/>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NH</w:t>
            </w:r>
            <w:r>
              <w:rPr>
                <w:rFonts w:hint="default" w:ascii="Times New Roman" w:hAnsi="Times New Roman" w:cs="Times New Roman"/>
                <w:color w:val="auto"/>
                <w:highlight w:val="none"/>
                <w:vertAlign w:val="subscript"/>
                <w:lang w:val="en-US" w:eastAsia="zh-CN"/>
              </w:rPr>
              <w:t>3</w:t>
            </w:r>
          </w:p>
        </w:tc>
        <w:tc>
          <w:tcPr>
            <w:tcW w:w="448"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lang w:val="en-US" w:eastAsia="zh-CN"/>
              </w:rPr>
            </w:pPr>
            <w:r>
              <w:rPr>
                <w:rFonts w:hint="eastAsia" w:cs="Times New Roman"/>
                <w:color w:val="auto"/>
                <w:lang w:val="en-US" w:eastAsia="zh-CN"/>
              </w:rPr>
              <w:t>3.2×10</w:t>
            </w:r>
            <w:r>
              <w:rPr>
                <w:rFonts w:hint="eastAsia" w:cs="Times New Roman"/>
                <w:color w:val="auto"/>
                <w:vertAlign w:val="superscript"/>
                <w:lang w:val="en-US" w:eastAsia="zh-CN"/>
              </w:rPr>
              <w:t>-3</w:t>
            </w:r>
          </w:p>
        </w:tc>
        <w:tc>
          <w:tcPr>
            <w:tcW w:w="54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5.56×10</w:t>
            </w:r>
            <w:r>
              <w:rPr>
                <w:rFonts w:hint="eastAsia" w:cs="Times New Roman"/>
                <w:color w:val="auto"/>
                <w:highlight w:val="none"/>
                <w:vertAlign w:val="superscript"/>
                <w:lang w:val="en-US" w:eastAsia="zh-CN"/>
              </w:rPr>
              <w:t>-4</w:t>
            </w:r>
          </w:p>
        </w:tc>
        <w:tc>
          <w:tcPr>
            <w:tcW w:w="602" w:type="pct"/>
            <w:vMerge w:val="continue"/>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p>
        </w:tc>
        <w:tc>
          <w:tcPr>
            <w:tcW w:w="455"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p>
        </w:tc>
        <w:tc>
          <w:tcPr>
            <w:tcW w:w="485"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p>
        </w:tc>
        <w:tc>
          <w:tcPr>
            <w:tcW w:w="616"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527"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49"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生物有机肥生产线</w:t>
            </w:r>
          </w:p>
        </w:tc>
        <w:tc>
          <w:tcPr>
            <w:tcW w:w="449" w:type="pct"/>
            <w:vMerge w:val="restart"/>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发酵废气</w:t>
            </w:r>
          </w:p>
        </w:tc>
        <w:tc>
          <w:tcPr>
            <w:tcW w:w="419"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NH</w:t>
            </w:r>
            <w:r>
              <w:rPr>
                <w:rFonts w:hint="default" w:ascii="Times New Roman" w:hAnsi="Times New Roman" w:cs="Times New Roman"/>
                <w:color w:val="auto"/>
                <w:highlight w:val="none"/>
                <w:vertAlign w:val="subscript"/>
                <w:lang w:val="en-US" w:eastAsia="zh-CN"/>
              </w:rPr>
              <w:t>3</w:t>
            </w:r>
          </w:p>
        </w:tc>
        <w:tc>
          <w:tcPr>
            <w:tcW w:w="448"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4.9×10</w:t>
            </w:r>
            <w:r>
              <w:rPr>
                <w:rFonts w:hint="default" w:ascii="Times New Roman" w:hAnsi="Times New Roman" w:cs="Times New Roman"/>
                <w:color w:val="auto"/>
                <w:highlight w:val="none"/>
                <w:vertAlign w:val="superscript"/>
                <w:lang w:val="en-US" w:eastAsia="zh-CN"/>
              </w:rPr>
              <w:t>-4</w:t>
            </w:r>
          </w:p>
        </w:tc>
        <w:tc>
          <w:tcPr>
            <w:tcW w:w="54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8.51×10</w:t>
            </w:r>
            <w:r>
              <w:rPr>
                <w:rFonts w:hint="default" w:ascii="Times New Roman" w:hAnsi="Times New Roman" w:cs="Times New Roman"/>
                <w:color w:val="auto"/>
                <w:highlight w:val="none"/>
                <w:vertAlign w:val="superscript"/>
                <w:lang w:val="en-US" w:eastAsia="zh-CN"/>
              </w:rPr>
              <w:t>-5</w:t>
            </w:r>
          </w:p>
        </w:tc>
        <w:tc>
          <w:tcPr>
            <w:tcW w:w="602" w:type="pct"/>
            <w:vMerge w:val="continue"/>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p>
        </w:tc>
        <w:tc>
          <w:tcPr>
            <w:tcW w:w="455"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NH</w:t>
            </w:r>
            <w:r>
              <w:rPr>
                <w:rFonts w:hint="default" w:ascii="Times New Roman" w:hAnsi="Times New Roman" w:cs="Times New Roman"/>
                <w:color w:val="auto"/>
                <w:highlight w:val="none"/>
                <w:vertAlign w:val="subscript"/>
                <w:lang w:val="en-US" w:eastAsia="zh-CN"/>
              </w:rPr>
              <w:t>3</w:t>
            </w:r>
          </w:p>
        </w:tc>
        <w:tc>
          <w:tcPr>
            <w:tcW w:w="485"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3.69×10</w:t>
            </w:r>
            <w:r>
              <w:rPr>
                <w:rFonts w:hint="eastAsia" w:cs="Times New Roman"/>
                <w:color w:val="auto"/>
                <w:highlight w:val="none"/>
                <w:vertAlign w:val="superscript"/>
                <w:lang w:val="en-US" w:eastAsia="zh-CN"/>
              </w:rPr>
              <w:t>-3</w:t>
            </w:r>
          </w:p>
        </w:tc>
        <w:tc>
          <w:tcPr>
            <w:tcW w:w="616"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6.41×10</w:t>
            </w:r>
            <w:r>
              <w:rPr>
                <w:rFonts w:hint="eastAsia" w:cs="Times New Roman"/>
                <w:color w:val="auto"/>
                <w:highlight w:val="none"/>
                <w:vertAlign w:val="superscript"/>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7"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49"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kern w:val="0"/>
                <w:sz w:val="21"/>
                <w:szCs w:val="21"/>
                <w:highlight w:val="none"/>
                <w:lang w:val="en-US" w:eastAsia="zh-CN" w:bidi="ar-SA"/>
              </w:rPr>
            </w:pPr>
          </w:p>
        </w:tc>
        <w:tc>
          <w:tcPr>
            <w:tcW w:w="449" w:type="pct"/>
            <w:vMerge w:val="continue"/>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p>
        </w:tc>
        <w:tc>
          <w:tcPr>
            <w:tcW w:w="419"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H</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S</w:t>
            </w:r>
          </w:p>
        </w:tc>
        <w:tc>
          <w:tcPr>
            <w:tcW w:w="448"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4.8×10</w:t>
            </w:r>
            <w:r>
              <w:rPr>
                <w:rFonts w:hint="default" w:ascii="Times New Roman" w:hAnsi="Times New Roman" w:cs="Times New Roman"/>
                <w:color w:val="auto"/>
                <w:highlight w:val="none"/>
                <w:vertAlign w:val="superscript"/>
                <w:lang w:val="en-US" w:eastAsia="zh-CN"/>
              </w:rPr>
              <w:t>-5</w:t>
            </w:r>
          </w:p>
        </w:tc>
        <w:tc>
          <w:tcPr>
            <w:tcW w:w="54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8.33×10</w:t>
            </w:r>
            <w:r>
              <w:rPr>
                <w:rFonts w:hint="default" w:ascii="Times New Roman" w:hAnsi="Times New Roman" w:cs="Times New Roman"/>
                <w:color w:val="auto"/>
                <w:highlight w:val="none"/>
                <w:vertAlign w:val="superscript"/>
                <w:lang w:val="en-US" w:eastAsia="zh-CN"/>
              </w:rPr>
              <w:t>-6</w:t>
            </w:r>
          </w:p>
        </w:tc>
        <w:tc>
          <w:tcPr>
            <w:tcW w:w="602" w:type="pct"/>
            <w:vMerge w:val="continue"/>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p>
        </w:tc>
        <w:tc>
          <w:tcPr>
            <w:tcW w:w="455"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85"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p>
        </w:tc>
        <w:tc>
          <w:tcPr>
            <w:tcW w:w="616"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7"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49"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kern w:val="0"/>
                <w:sz w:val="21"/>
                <w:szCs w:val="21"/>
                <w:highlight w:val="none"/>
                <w:lang w:val="en-US" w:eastAsia="zh-CN" w:bidi="ar-SA"/>
              </w:rPr>
            </w:pPr>
          </w:p>
        </w:tc>
        <w:tc>
          <w:tcPr>
            <w:tcW w:w="449" w:type="pct"/>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加工废气</w:t>
            </w:r>
          </w:p>
        </w:tc>
        <w:tc>
          <w:tcPr>
            <w:tcW w:w="419" w:type="pct"/>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颗粒物</w:t>
            </w:r>
          </w:p>
        </w:tc>
        <w:tc>
          <w:tcPr>
            <w:tcW w:w="448"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0.74</w:t>
            </w:r>
          </w:p>
        </w:tc>
        <w:tc>
          <w:tcPr>
            <w:tcW w:w="54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0.13</w:t>
            </w:r>
          </w:p>
        </w:tc>
        <w:tc>
          <w:tcPr>
            <w:tcW w:w="602" w:type="pct"/>
            <w:vMerge w:val="continue"/>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p>
        </w:tc>
        <w:tc>
          <w:tcPr>
            <w:tcW w:w="45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H</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S</w:t>
            </w:r>
          </w:p>
        </w:tc>
        <w:tc>
          <w:tcPr>
            <w:tcW w:w="48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4.8×10</w:t>
            </w:r>
            <w:r>
              <w:rPr>
                <w:rFonts w:hint="default" w:ascii="Times New Roman" w:hAnsi="Times New Roman" w:cs="Times New Roman"/>
                <w:color w:val="auto"/>
                <w:highlight w:val="none"/>
                <w:vertAlign w:val="superscript"/>
                <w:lang w:val="en-US" w:eastAsia="zh-CN"/>
              </w:rPr>
              <w:t>-5</w:t>
            </w:r>
          </w:p>
        </w:tc>
        <w:tc>
          <w:tcPr>
            <w:tcW w:w="61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8.33×10</w:t>
            </w:r>
            <w:r>
              <w:rPr>
                <w:rFonts w:hint="default" w:ascii="Times New Roman" w:hAnsi="Times New Roman" w:cs="Times New Roman"/>
                <w:color w:val="auto"/>
                <w:highlight w:val="none"/>
                <w:vertAlign w:val="superscript"/>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7"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储罐区</w:t>
            </w:r>
          </w:p>
        </w:tc>
        <w:tc>
          <w:tcPr>
            <w:tcW w:w="449"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油类储存</w:t>
            </w:r>
          </w:p>
        </w:tc>
        <w:tc>
          <w:tcPr>
            <w:tcW w:w="449" w:type="pct"/>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储存废气</w:t>
            </w:r>
          </w:p>
        </w:tc>
        <w:tc>
          <w:tcPr>
            <w:tcW w:w="419" w:type="pct"/>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非甲烷总烃</w:t>
            </w:r>
          </w:p>
        </w:tc>
        <w:tc>
          <w:tcPr>
            <w:tcW w:w="448"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0.232</w:t>
            </w:r>
          </w:p>
        </w:tc>
        <w:tc>
          <w:tcPr>
            <w:tcW w:w="54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0.04</w:t>
            </w:r>
          </w:p>
        </w:tc>
        <w:tc>
          <w:tcPr>
            <w:tcW w:w="602" w:type="pct"/>
            <w:tcBorders>
              <w:tl2br w:val="nil"/>
              <w:tr2bl w:val="nil"/>
            </w:tcBorders>
            <w:noWrap w:val="0"/>
            <w:vAlign w:val="center"/>
          </w:tcPr>
          <w:p>
            <w:pPr>
              <w:pStyle w:val="3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强化通风</w:t>
            </w:r>
          </w:p>
        </w:tc>
        <w:tc>
          <w:tcPr>
            <w:tcW w:w="45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非甲烷总烃</w:t>
            </w:r>
          </w:p>
        </w:tc>
        <w:tc>
          <w:tcPr>
            <w:tcW w:w="485"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0.232</w:t>
            </w:r>
          </w:p>
        </w:tc>
        <w:tc>
          <w:tcPr>
            <w:tcW w:w="61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0.04</w:t>
            </w:r>
          </w:p>
        </w:tc>
      </w:tr>
    </w:tbl>
    <w:p>
      <w:pPr>
        <w:pStyle w:val="26"/>
        <w:keepNext w:val="0"/>
        <w:keepLines w:val="0"/>
        <w:pageBreakBefore w:val="0"/>
        <w:widowControl w:val="0"/>
        <w:kinsoku/>
        <w:wordWrap/>
        <w:overflowPunct/>
        <w:topLinePunct w:val="0"/>
        <w:autoSpaceDE/>
        <w:autoSpaceDN/>
        <w:bidi w:val="0"/>
        <w:adjustRightInd w:val="0"/>
        <w:snapToGrid w:val="0"/>
        <w:spacing w:line="560" w:lineRule="exact"/>
        <w:ind w:left="0" w:leftChars="0"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cs="Times New Roman"/>
          <w:b/>
          <w:bCs/>
          <w:color w:val="auto"/>
          <w:lang w:val="en-US" w:eastAsia="zh-CN"/>
        </w:rPr>
        <w:t>B.非正常工况：</w:t>
      </w:r>
    </w:p>
    <w:p>
      <w:pPr>
        <w:pStyle w:val="26"/>
        <w:keepNext w:val="0"/>
        <w:keepLines w:val="0"/>
        <w:pageBreakBefore w:val="0"/>
        <w:widowControl w:val="0"/>
        <w:kinsoku/>
        <w:wordWrap/>
        <w:overflowPunct/>
        <w:topLinePunct w:val="0"/>
        <w:autoSpaceDE/>
        <w:autoSpaceDN/>
        <w:bidi w:val="0"/>
        <w:adjustRightInd w:val="0"/>
        <w:snapToGrid w:val="0"/>
        <w:spacing w:line="560" w:lineRule="exact"/>
        <w:ind w:left="0" w:leftChars="0"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本项目涉及到的事故排放主要是废气处理设施发生故障，主要考虑</w:t>
      </w:r>
      <w:r>
        <w:rPr>
          <w:rFonts w:hint="eastAsia" w:ascii="Times New Roman" w:hAnsi="Times New Roman" w:eastAsia="宋体" w:cs="Times New Roman"/>
          <w:color w:val="auto"/>
          <w:sz w:val="24"/>
          <w:szCs w:val="24"/>
          <w:vertAlign w:val="baseline"/>
          <w:lang w:val="en-US" w:eastAsia="zh-CN"/>
        </w:rPr>
        <w:t>净电除油系统</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活性炭吸附装置</w:t>
      </w:r>
      <w:r>
        <w:rPr>
          <w:rFonts w:hint="default" w:ascii="Times New Roman" w:hAnsi="Times New Roman" w:eastAsia="宋体" w:cs="Times New Roman"/>
          <w:color w:val="auto"/>
          <w:lang w:val="en-US" w:eastAsia="zh-CN"/>
        </w:rPr>
        <w:t>和除尘器发生故障，考虑最不利情况，废气处理装置完全失效，非正常排放历时不超过</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1h。</w:t>
      </w:r>
    </w:p>
    <w:p>
      <w:pPr>
        <w:pStyle w:val="26"/>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表 3.4.2-6  项目非正常工况废气产排情况</w:t>
      </w:r>
    </w:p>
    <w:tbl>
      <w:tblPr>
        <w:tblStyle w:val="22"/>
        <w:tblW w:w="141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0"/>
        <w:gridCol w:w="2030"/>
        <w:gridCol w:w="1385"/>
        <w:gridCol w:w="1934"/>
        <w:gridCol w:w="2505"/>
        <w:gridCol w:w="2023"/>
        <w:gridCol w:w="22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2030" w:type="dxa"/>
            <w:tcBorders>
              <w:tl2br w:val="nil"/>
              <w:tr2bl w:val="nil"/>
            </w:tcBorders>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非正常排放源</w:t>
            </w:r>
          </w:p>
        </w:tc>
        <w:tc>
          <w:tcPr>
            <w:tcW w:w="2030" w:type="dxa"/>
            <w:tcBorders>
              <w:tl2br w:val="nil"/>
              <w:tr2bl w:val="nil"/>
            </w:tcBorders>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非正常排放原因</w:t>
            </w:r>
          </w:p>
        </w:tc>
        <w:tc>
          <w:tcPr>
            <w:tcW w:w="1385" w:type="dxa"/>
            <w:tcBorders>
              <w:tl2br w:val="nil"/>
              <w:tr2bl w:val="nil"/>
            </w:tcBorders>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污染物</w:t>
            </w:r>
          </w:p>
        </w:tc>
        <w:tc>
          <w:tcPr>
            <w:tcW w:w="1934" w:type="dxa"/>
            <w:tcBorders>
              <w:tl2br w:val="nil"/>
              <w:tr2bl w:val="nil"/>
            </w:tcBorders>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非正常排放速率（kg/h）</w:t>
            </w:r>
          </w:p>
        </w:tc>
        <w:tc>
          <w:tcPr>
            <w:tcW w:w="2505" w:type="dxa"/>
            <w:tcBorders>
              <w:tl2br w:val="nil"/>
              <w:tr2bl w:val="nil"/>
            </w:tcBorders>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单次持续时间/h</w:t>
            </w:r>
          </w:p>
        </w:tc>
        <w:tc>
          <w:tcPr>
            <w:tcW w:w="2023" w:type="dxa"/>
            <w:tcBorders>
              <w:tl2br w:val="nil"/>
              <w:tr2bl w:val="nil"/>
            </w:tcBorders>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年发生频次/次</w:t>
            </w:r>
          </w:p>
        </w:tc>
        <w:tc>
          <w:tcPr>
            <w:tcW w:w="2264" w:type="dxa"/>
            <w:tcBorders>
              <w:tl2br w:val="nil"/>
              <w:tr2bl w:val="nil"/>
            </w:tcBorders>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事故应对措施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vMerge w:val="restart"/>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r>
              <w:rPr>
                <w:rFonts w:hint="eastAsia"/>
                <w:color w:val="auto"/>
                <w:highlight w:val="none"/>
                <w:lang w:val="en-US" w:eastAsia="zh-CN"/>
              </w:rPr>
              <w:t>DA001</w:t>
            </w:r>
          </w:p>
        </w:tc>
        <w:tc>
          <w:tcPr>
            <w:tcW w:w="2030" w:type="dxa"/>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净电除油系统、二级碱液喷淋塔、除湿装置及活性炭吸附箱故障</w:t>
            </w:r>
          </w:p>
        </w:tc>
        <w:tc>
          <w:tcPr>
            <w:tcW w:w="1385" w:type="dxa"/>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油烟</w:t>
            </w:r>
          </w:p>
        </w:tc>
        <w:tc>
          <w:tcPr>
            <w:tcW w:w="1934" w:type="dxa"/>
            <w:tcBorders>
              <w:tl2br w:val="nil"/>
              <w:tr2bl w:val="nil"/>
            </w:tcBorders>
            <w:noWrap w:val="0"/>
            <w:vAlign w:val="center"/>
          </w:tcPr>
          <w:p>
            <w:pPr>
              <w:pStyle w:val="34"/>
              <w:bidi w:val="0"/>
              <w:ind w:left="0" w:leftChars="0" w:right="0" w:rightChars="0" w:firstLine="0" w:firstLineChars="0"/>
              <w:rPr>
                <w:rFonts w:hint="default" w:ascii="Times New Roman" w:hAnsi="Times New Roman" w:eastAsia="宋体" w:cs="Times New Roman"/>
                <w:color w:val="auto"/>
                <w:kern w:val="0"/>
                <w:sz w:val="21"/>
                <w:szCs w:val="21"/>
                <w:lang w:val="en-US" w:eastAsia="zh-CN" w:bidi="ar-SA"/>
              </w:rPr>
            </w:pPr>
            <w:r>
              <w:rPr>
                <w:rFonts w:hint="eastAsia"/>
                <w:color w:val="auto"/>
                <w:lang w:val="en-US" w:eastAsia="zh-CN"/>
              </w:rPr>
              <w:t>7.47×10</w:t>
            </w:r>
            <w:r>
              <w:rPr>
                <w:rFonts w:hint="eastAsia"/>
                <w:color w:val="auto"/>
                <w:vertAlign w:val="superscript"/>
                <w:lang w:val="en-US" w:eastAsia="zh-CN"/>
              </w:rPr>
              <w:t>-3</w:t>
            </w:r>
          </w:p>
        </w:tc>
        <w:tc>
          <w:tcPr>
            <w:tcW w:w="2505" w:type="dxa"/>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单次持续时间</w:t>
            </w:r>
            <w:r>
              <w:rPr>
                <w:rFonts w:hint="eastAsia" w:ascii="Times New Roman" w:hAnsi="Times New Roman" w:eastAsia="宋体" w:cs="Times New Roman"/>
                <w:color w:val="auto"/>
                <w:highlight w:val="none"/>
                <w:lang w:val="en-US" w:eastAsia="zh-CN"/>
              </w:rPr>
              <w:t>按照1h计</w:t>
            </w:r>
          </w:p>
        </w:tc>
        <w:tc>
          <w:tcPr>
            <w:tcW w:w="2023" w:type="dxa"/>
            <w:vMerge w:val="restart"/>
            <w:tcBorders>
              <w:tl2br w:val="nil"/>
              <w:tr2bl w:val="nil"/>
            </w:tcBorders>
            <w:noWrap w:val="0"/>
            <w:vAlign w:val="center"/>
          </w:tcPr>
          <w:p>
            <w:pPr>
              <w:pStyle w:val="34"/>
              <w:bidi w:val="0"/>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1次/年</w:t>
            </w:r>
          </w:p>
        </w:tc>
        <w:tc>
          <w:tcPr>
            <w:tcW w:w="2264" w:type="dxa"/>
            <w:vMerge w:val="restart"/>
            <w:tcBorders>
              <w:tl2br w:val="nil"/>
              <w:tr2bl w:val="nil"/>
            </w:tcBorders>
            <w:noWrap w:val="0"/>
            <w:vAlign w:val="center"/>
          </w:tcPr>
          <w:p>
            <w:pPr>
              <w:pStyle w:val="34"/>
              <w:bidi w:val="0"/>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停车检修，待污染治理设施正常运行后恢复生产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p>
        </w:tc>
        <w:tc>
          <w:tcPr>
            <w:tcW w:w="2030" w:type="dxa"/>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p>
        </w:tc>
        <w:tc>
          <w:tcPr>
            <w:tcW w:w="1385" w:type="dxa"/>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非甲烷总烃</w:t>
            </w:r>
          </w:p>
        </w:tc>
        <w:tc>
          <w:tcPr>
            <w:tcW w:w="1934" w:type="dxa"/>
            <w:tcBorders>
              <w:tl2br w:val="nil"/>
              <w:tr2bl w:val="nil"/>
            </w:tcBorders>
            <w:noWrap w:val="0"/>
            <w:vAlign w:val="center"/>
          </w:tcPr>
          <w:p>
            <w:pPr>
              <w:pStyle w:val="34"/>
              <w:bidi w:val="0"/>
              <w:ind w:left="0" w:leftChars="0" w:right="0" w:rightChars="0" w:firstLine="0" w:firstLineChars="0"/>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2.1</w:t>
            </w:r>
          </w:p>
        </w:tc>
        <w:tc>
          <w:tcPr>
            <w:tcW w:w="2505" w:type="dxa"/>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p>
        </w:tc>
        <w:tc>
          <w:tcPr>
            <w:tcW w:w="2023" w:type="dxa"/>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p>
        </w:tc>
        <w:tc>
          <w:tcPr>
            <w:tcW w:w="2264" w:type="dxa"/>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p>
        </w:tc>
        <w:tc>
          <w:tcPr>
            <w:tcW w:w="2030" w:type="dxa"/>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p>
        </w:tc>
        <w:tc>
          <w:tcPr>
            <w:tcW w:w="1385" w:type="dxa"/>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r>
              <w:rPr>
                <w:rFonts w:hint="eastAsia" w:ascii="Times New Roman" w:hAnsi="Times New Roman" w:eastAsia="宋体" w:cs="Times New Roman"/>
                <w:color w:val="auto"/>
                <w:kern w:val="0"/>
                <w:sz w:val="21"/>
                <w:szCs w:val="21"/>
                <w:highlight w:val="none"/>
                <w:lang w:val="en-US" w:eastAsia="zh-CN" w:bidi="ar-SA"/>
              </w:rPr>
              <w:t>NH</w:t>
            </w:r>
            <w:r>
              <w:rPr>
                <w:rFonts w:hint="eastAsia" w:ascii="Times New Roman" w:hAnsi="Times New Roman" w:eastAsia="宋体" w:cs="Times New Roman"/>
                <w:color w:val="auto"/>
                <w:kern w:val="0"/>
                <w:sz w:val="21"/>
                <w:szCs w:val="21"/>
                <w:highlight w:val="none"/>
                <w:vertAlign w:val="subscript"/>
                <w:lang w:val="en-US" w:eastAsia="zh-CN" w:bidi="ar-SA"/>
              </w:rPr>
              <w:t>3</w:t>
            </w:r>
          </w:p>
        </w:tc>
        <w:tc>
          <w:tcPr>
            <w:tcW w:w="1934" w:type="dxa"/>
            <w:tcBorders>
              <w:tl2br w:val="nil"/>
              <w:tr2bl w:val="nil"/>
            </w:tcBorders>
            <w:noWrap w:val="0"/>
            <w:vAlign w:val="center"/>
          </w:tcPr>
          <w:p>
            <w:pPr>
              <w:pStyle w:val="34"/>
              <w:bidi w:val="0"/>
              <w:ind w:left="0" w:leftChars="0" w:right="0" w:rightChars="0" w:firstLine="0" w:firstLineChars="0"/>
              <w:rPr>
                <w:rFonts w:hint="default"/>
                <w:color w:val="auto"/>
                <w:lang w:val="en-US" w:eastAsia="zh-CN"/>
              </w:rPr>
            </w:pPr>
            <w:r>
              <w:rPr>
                <w:rFonts w:hint="eastAsia"/>
                <w:color w:val="auto"/>
                <w:lang w:val="en-US" w:eastAsia="zh-CN"/>
              </w:rPr>
              <w:t>0.28</w:t>
            </w:r>
          </w:p>
        </w:tc>
        <w:tc>
          <w:tcPr>
            <w:tcW w:w="2505" w:type="dxa"/>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p>
        </w:tc>
        <w:tc>
          <w:tcPr>
            <w:tcW w:w="2023" w:type="dxa"/>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p>
        </w:tc>
        <w:tc>
          <w:tcPr>
            <w:tcW w:w="2264" w:type="dxa"/>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p>
        </w:tc>
        <w:tc>
          <w:tcPr>
            <w:tcW w:w="2030" w:type="dxa"/>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p>
        </w:tc>
        <w:tc>
          <w:tcPr>
            <w:tcW w:w="1385" w:type="dxa"/>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r>
              <w:rPr>
                <w:rFonts w:hint="eastAsia" w:ascii="Times New Roman" w:hAnsi="Times New Roman" w:eastAsia="宋体" w:cs="Times New Roman"/>
                <w:color w:val="auto"/>
                <w:kern w:val="0"/>
                <w:sz w:val="21"/>
                <w:szCs w:val="21"/>
                <w:highlight w:val="none"/>
                <w:lang w:val="en-US" w:eastAsia="zh-CN" w:bidi="ar-SA"/>
              </w:rPr>
              <w:t>H</w:t>
            </w:r>
            <w:r>
              <w:rPr>
                <w:rFonts w:hint="eastAsia" w:ascii="Times New Roman" w:hAnsi="Times New Roman" w:eastAsia="宋体" w:cs="Times New Roman"/>
                <w:color w:val="auto"/>
                <w:kern w:val="0"/>
                <w:sz w:val="21"/>
                <w:szCs w:val="21"/>
                <w:highlight w:val="none"/>
                <w:vertAlign w:val="subscript"/>
                <w:lang w:val="en-US" w:eastAsia="zh-CN" w:bidi="ar-SA"/>
              </w:rPr>
              <w:t>2</w:t>
            </w:r>
            <w:r>
              <w:rPr>
                <w:rFonts w:hint="eastAsia" w:ascii="Times New Roman" w:hAnsi="Times New Roman" w:eastAsia="宋体" w:cs="Times New Roman"/>
                <w:color w:val="auto"/>
                <w:kern w:val="0"/>
                <w:sz w:val="21"/>
                <w:szCs w:val="21"/>
                <w:highlight w:val="none"/>
                <w:lang w:val="en-US" w:eastAsia="zh-CN" w:bidi="ar-SA"/>
              </w:rPr>
              <w:t>S</w:t>
            </w:r>
          </w:p>
        </w:tc>
        <w:tc>
          <w:tcPr>
            <w:tcW w:w="1934" w:type="dxa"/>
            <w:tcBorders>
              <w:tl2br w:val="nil"/>
              <w:tr2bl w:val="nil"/>
            </w:tcBorders>
            <w:noWrap w:val="0"/>
            <w:vAlign w:val="center"/>
          </w:tcPr>
          <w:p>
            <w:pPr>
              <w:pStyle w:val="34"/>
              <w:bidi w:val="0"/>
              <w:ind w:left="0" w:leftChars="0" w:right="0" w:rightChars="0" w:firstLine="0" w:firstLineChars="0"/>
              <w:rPr>
                <w:rFonts w:hint="default"/>
                <w:color w:val="auto"/>
                <w:lang w:val="en-US" w:eastAsia="zh-CN"/>
              </w:rPr>
            </w:pPr>
            <w:r>
              <w:rPr>
                <w:rFonts w:hint="eastAsia"/>
                <w:color w:val="auto"/>
                <w:lang w:val="en-US" w:eastAsia="zh-CN"/>
              </w:rPr>
              <w:t>0.02</w:t>
            </w:r>
          </w:p>
        </w:tc>
        <w:tc>
          <w:tcPr>
            <w:tcW w:w="2505" w:type="dxa"/>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p>
        </w:tc>
        <w:tc>
          <w:tcPr>
            <w:tcW w:w="2023" w:type="dxa"/>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p>
        </w:tc>
        <w:tc>
          <w:tcPr>
            <w:tcW w:w="2264" w:type="dxa"/>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p>
        </w:tc>
        <w:tc>
          <w:tcPr>
            <w:tcW w:w="2030" w:type="dxa"/>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p>
        </w:tc>
        <w:tc>
          <w:tcPr>
            <w:tcW w:w="1385" w:type="dxa"/>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r>
              <w:rPr>
                <w:rFonts w:hint="eastAsia"/>
                <w:color w:val="auto"/>
                <w:highlight w:val="none"/>
                <w:lang w:val="en-US" w:eastAsia="zh-CN"/>
              </w:rPr>
              <w:t>颗粒物</w:t>
            </w:r>
          </w:p>
        </w:tc>
        <w:tc>
          <w:tcPr>
            <w:tcW w:w="1934" w:type="dxa"/>
            <w:tcBorders>
              <w:tl2br w:val="nil"/>
              <w:tr2bl w:val="nil"/>
            </w:tcBorders>
            <w:noWrap w:val="0"/>
            <w:vAlign w:val="center"/>
          </w:tcPr>
          <w:p>
            <w:pPr>
              <w:pStyle w:val="34"/>
              <w:bidi w:val="0"/>
              <w:ind w:left="0" w:leftChars="0" w:right="0" w:rightChars="0" w:firstLine="0" w:firstLineChars="0"/>
              <w:rPr>
                <w:rFonts w:hint="default"/>
                <w:color w:val="auto"/>
                <w:lang w:val="en-US" w:eastAsia="zh-CN"/>
              </w:rPr>
            </w:pPr>
            <w:r>
              <w:rPr>
                <w:rFonts w:hint="eastAsia"/>
                <w:color w:val="auto"/>
                <w:lang w:val="en-US" w:eastAsia="zh-CN"/>
              </w:rPr>
              <w:t>0.31</w:t>
            </w:r>
          </w:p>
        </w:tc>
        <w:tc>
          <w:tcPr>
            <w:tcW w:w="2505" w:type="dxa"/>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p>
        </w:tc>
        <w:tc>
          <w:tcPr>
            <w:tcW w:w="2023" w:type="dxa"/>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p>
        </w:tc>
        <w:tc>
          <w:tcPr>
            <w:tcW w:w="2264" w:type="dxa"/>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030" w:type="dxa"/>
            <w:vMerge w:val="restar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DA002</w:t>
            </w:r>
          </w:p>
        </w:tc>
        <w:tc>
          <w:tcPr>
            <w:tcW w:w="2030" w:type="dxa"/>
            <w:vMerge w:val="restar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布袋除尘器、活性炭吸附装置故障</w:t>
            </w:r>
          </w:p>
        </w:tc>
        <w:tc>
          <w:tcPr>
            <w:tcW w:w="1385" w:type="dxa"/>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highlight w:val="none"/>
                <w:lang w:val="en-US" w:eastAsia="zh-CN"/>
              </w:rPr>
              <w:t>颗粒物</w:t>
            </w:r>
          </w:p>
        </w:tc>
        <w:tc>
          <w:tcPr>
            <w:tcW w:w="1934" w:type="dxa"/>
            <w:tcBorders>
              <w:tl2br w:val="nil"/>
              <w:tr2bl w:val="nil"/>
            </w:tcBorders>
            <w:noWrap w:val="0"/>
            <w:vAlign w:val="center"/>
          </w:tcPr>
          <w:p>
            <w:pPr>
              <w:pStyle w:val="34"/>
              <w:bidi w:val="0"/>
              <w:ind w:left="0" w:leftChars="0" w:right="0" w:rightChars="0" w:firstLine="0" w:firstLineChars="0"/>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1.16</w:t>
            </w:r>
          </w:p>
        </w:tc>
        <w:tc>
          <w:tcPr>
            <w:tcW w:w="2505" w:type="dxa"/>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单次持续时间</w:t>
            </w:r>
            <w:r>
              <w:rPr>
                <w:rFonts w:hint="eastAsia" w:ascii="Times New Roman" w:hAnsi="Times New Roman" w:eastAsia="宋体" w:cs="Times New Roman"/>
                <w:color w:val="auto"/>
                <w:highlight w:val="none"/>
                <w:lang w:val="en-US" w:eastAsia="zh-CN"/>
              </w:rPr>
              <w:t>按照1h计</w:t>
            </w:r>
          </w:p>
        </w:tc>
        <w:tc>
          <w:tcPr>
            <w:tcW w:w="2023" w:type="dxa"/>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eastAsia"/>
                <w:color w:val="auto"/>
                <w:highlight w:val="none"/>
                <w:lang w:val="en-US" w:eastAsia="zh-CN"/>
              </w:rPr>
              <w:t>1次/年</w:t>
            </w:r>
          </w:p>
        </w:tc>
        <w:tc>
          <w:tcPr>
            <w:tcW w:w="2264" w:type="dxa"/>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030" w:type="dxa"/>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p>
        </w:tc>
        <w:tc>
          <w:tcPr>
            <w:tcW w:w="2030" w:type="dxa"/>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p>
        </w:tc>
        <w:tc>
          <w:tcPr>
            <w:tcW w:w="1385" w:type="dxa"/>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r>
              <w:rPr>
                <w:rFonts w:hint="eastAsia"/>
                <w:color w:val="auto"/>
                <w:highlight w:val="none"/>
                <w:lang w:val="en-US" w:eastAsia="zh-CN"/>
              </w:rPr>
              <w:t>NH</w:t>
            </w:r>
            <w:r>
              <w:rPr>
                <w:rFonts w:hint="eastAsia"/>
                <w:color w:val="auto"/>
                <w:highlight w:val="none"/>
                <w:vertAlign w:val="subscript"/>
                <w:lang w:val="en-US" w:eastAsia="zh-CN"/>
              </w:rPr>
              <w:t>3</w:t>
            </w:r>
          </w:p>
        </w:tc>
        <w:tc>
          <w:tcPr>
            <w:tcW w:w="1934" w:type="dxa"/>
            <w:tcBorders>
              <w:tl2br w:val="nil"/>
              <w:tr2bl w:val="nil"/>
            </w:tcBorders>
            <w:noWrap w:val="0"/>
            <w:vAlign w:val="center"/>
          </w:tcPr>
          <w:p>
            <w:pPr>
              <w:pStyle w:val="34"/>
              <w:bidi w:val="0"/>
              <w:ind w:left="0" w:leftChars="0" w:right="0" w:rightChars="0" w:firstLine="0" w:firstLineChars="0"/>
              <w:rPr>
                <w:rFonts w:hint="default"/>
                <w:color w:val="auto"/>
                <w:lang w:val="en-US" w:eastAsia="zh-CN"/>
              </w:rPr>
            </w:pPr>
            <w:r>
              <w:rPr>
                <w:rFonts w:hint="eastAsia"/>
                <w:color w:val="auto"/>
                <w:lang w:val="en-US" w:eastAsia="zh-CN"/>
              </w:rPr>
              <w:t>5.77×10</w:t>
            </w:r>
            <w:r>
              <w:rPr>
                <w:rFonts w:hint="eastAsia"/>
                <w:color w:val="auto"/>
                <w:vertAlign w:val="superscript"/>
                <w:lang w:val="en-US" w:eastAsia="zh-CN"/>
              </w:rPr>
              <w:t>-3</w:t>
            </w:r>
          </w:p>
        </w:tc>
        <w:tc>
          <w:tcPr>
            <w:tcW w:w="2505" w:type="dxa"/>
            <w:vMerge w:val="continue"/>
            <w:tcBorders>
              <w:tl2br w:val="nil"/>
              <w:tr2bl w:val="nil"/>
            </w:tcBorders>
            <w:noWrap w:val="0"/>
            <w:vAlign w:val="center"/>
          </w:tcPr>
          <w:p>
            <w:pPr>
              <w:pStyle w:val="34"/>
              <w:bidi w:val="0"/>
              <w:ind w:left="0" w:leftChars="0" w:right="0" w:rightChars="0" w:firstLine="0" w:firstLineChars="0"/>
              <w:jc w:val="center"/>
              <w:rPr>
                <w:rFonts w:hint="eastAsia" w:eastAsia="宋体" w:cs="Times New Roman"/>
                <w:color w:val="auto"/>
                <w:highlight w:val="none"/>
                <w:lang w:val="en-US" w:eastAsia="zh-CN"/>
              </w:rPr>
            </w:pPr>
          </w:p>
        </w:tc>
        <w:tc>
          <w:tcPr>
            <w:tcW w:w="2023" w:type="dxa"/>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p>
        </w:tc>
        <w:tc>
          <w:tcPr>
            <w:tcW w:w="2264" w:type="dxa"/>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030" w:type="dxa"/>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p>
        </w:tc>
        <w:tc>
          <w:tcPr>
            <w:tcW w:w="2030" w:type="dxa"/>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p>
        </w:tc>
        <w:tc>
          <w:tcPr>
            <w:tcW w:w="1385" w:type="dxa"/>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r>
              <w:rPr>
                <w:rFonts w:hint="eastAsia" w:ascii="Times New Roman" w:hAnsi="Times New Roman" w:eastAsia="宋体" w:cs="Times New Roman"/>
                <w:color w:val="auto"/>
                <w:kern w:val="0"/>
                <w:sz w:val="21"/>
                <w:szCs w:val="21"/>
                <w:highlight w:val="none"/>
                <w:lang w:val="en-US" w:eastAsia="zh-CN" w:bidi="ar-SA"/>
              </w:rPr>
              <w:t>H</w:t>
            </w:r>
            <w:r>
              <w:rPr>
                <w:rFonts w:hint="eastAsia" w:ascii="Times New Roman" w:hAnsi="Times New Roman" w:eastAsia="宋体" w:cs="Times New Roman"/>
                <w:color w:val="auto"/>
                <w:kern w:val="0"/>
                <w:sz w:val="21"/>
                <w:szCs w:val="21"/>
                <w:highlight w:val="none"/>
                <w:vertAlign w:val="subscript"/>
                <w:lang w:val="en-US" w:eastAsia="zh-CN" w:bidi="ar-SA"/>
              </w:rPr>
              <w:t>2</w:t>
            </w:r>
            <w:r>
              <w:rPr>
                <w:rFonts w:hint="eastAsia" w:ascii="Times New Roman" w:hAnsi="Times New Roman" w:eastAsia="宋体" w:cs="Times New Roman"/>
                <w:color w:val="auto"/>
                <w:kern w:val="0"/>
                <w:sz w:val="21"/>
                <w:szCs w:val="21"/>
                <w:highlight w:val="none"/>
                <w:lang w:val="en-US" w:eastAsia="zh-CN" w:bidi="ar-SA"/>
              </w:rPr>
              <w:t>S</w:t>
            </w:r>
          </w:p>
        </w:tc>
        <w:tc>
          <w:tcPr>
            <w:tcW w:w="1934" w:type="dxa"/>
            <w:tcBorders>
              <w:tl2br w:val="nil"/>
              <w:tr2bl w:val="nil"/>
            </w:tcBorders>
            <w:noWrap w:val="0"/>
            <w:vAlign w:val="center"/>
          </w:tcPr>
          <w:p>
            <w:pPr>
              <w:pStyle w:val="34"/>
              <w:bidi w:val="0"/>
              <w:ind w:left="0" w:leftChars="0" w:right="0" w:rightChars="0" w:firstLine="0" w:firstLineChars="0"/>
              <w:rPr>
                <w:rFonts w:hint="eastAsia"/>
                <w:color w:val="auto"/>
                <w:lang w:val="en-US" w:eastAsia="zh-CN"/>
              </w:rPr>
            </w:pPr>
            <w:r>
              <w:rPr>
                <w:rFonts w:hint="eastAsia" w:eastAsia="宋体"/>
                <w:color w:val="auto"/>
                <w:lang w:val="en-US" w:eastAsia="zh-CN"/>
              </w:rPr>
              <w:t>7.5×10</w:t>
            </w:r>
            <w:r>
              <w:rPr>
                <w:rFonts w:hint="eastAsia" w:eastAsia="宋体"/>
                <w:color w:val="auto"/>
                <w:vertAlign w:val="superscript"/>
                <w:lang w:val="en-US" w:eastAsia="zh-CN"/>
              </w:rPr>
              <w:t>-5</w:t>
            </w:r>
          </w:p>
        </w:tc>
        <w:tc>
          <w:tcPr>
            <w:tcW w:w="2505" w:type="dxa"/>
            <w:vMerge w:val="continue"/>
            <w:tcBorders>
              <w:tl2br w:val="nil"/>
              <w:tr2bl w:val="nil"/>
            </w:tcBorders>
            <w:noWrap w:val="0"/>
            <w:vAlign w:val="center"/>
          </w:tcPr>
          <w:p>
            <w:pPr>
              <w:pStyle w:val="34"/>
              <w:bidi w:val="0"/>
              <w:ind w:left="0" w:leftChars="0" w:right="0" w:rightChars="0" w:firstLine="0" w:firstLineChars="0"/>
              <w:jc w:val="center"/>
              <w:rPr>
                <w:rFonts w:hint="eastAsia" w:eastAsia="宋体" w:cs="Times New Roman"/>
                <w:color w:val="auto"/>
                <w:highlight w:val="none"/>
                <w:lang w:val="en-US" w:eastAsia="zh-CN"/>
              </w:rPr>
            </w:pPr>
          </w:p>
        </w:tc>
        <w:tc>
          <w:tcPr>
            <w:tcW w:w="2023" w:type="dxa"/>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p>
        </w:tc>
        <w:tc>
          <w:tcPr>
            <w:tcW w:w="2264" w:type="dxa"/>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p>
        </w:tc>
      </w:tr>
    </w:tbl>
    <w:p>
      <w:pPr>
        <w:pStyle w:val="26"/>
        <w:keepNext w:val="0"/>
        <w:keepLines w:val="0"/>
        <w:pageBreakBefore w:val="0"/>
        <w:widowControl w:val="0"/>
        <w:kinsoku/>
        <w:wordWrap/>
        <w:overflowPunct/>
        <w:topLinePunct w:val="0"/>
        <w:autoSpaceDE/>
        <w:autoSpaceDN/>
        <w:bidi w:val="0"/>
        <w:adjustRightInd w:val="0"/>
        <w:snapToGrid w:val="0"/>
        <w:spacing w:line="560" w:lineRule="exact"/>
        <w:ind w:left="0" w:leftChars="0" w:firstLine="480" w:firstLineChars="200"/>
        <w:textAlignment w:val="auto"/>
        <w:rPr>
          <w:rFonts w:hint="default" w:ascii="Times New Roman" w:hAnsi="Times New Roman" w:eastAsia="宋体" w:cs="Times New Roman"/>
          <w:color w:val="auto"/>
          <w:lang w:val="en-US" w:eastAsia="zh-CN"/>
        </w:rPr>
      </w:pPr>
    </w:p>
    <w:p>
      <w:pPr>
        <w:pStyle w:val="26"/>
        <w:keepNext w:val="0"/>
        <w:keepLines w:val="0"/>
        <w:pageBreakBefore w:val="0"/>
        <w:widowControl w:val="0"/>
        <w:kinsoku/>
        <w:wordWrap/>
        <w:overflowPunct/>
        <w:topLinePunct w:val="0"/>
        <w:autoSpaceDE/>
        <w:autoSpaceDN/>
        <w:bidi w:val="0"/>
        <w:adjustRightInd w:val="0"/>
        <w:snapToGrid w:val="0"/>
        <w:spacing w:line="560" w:lineRule="exact"/>
        <w:ind w:left="0" w:leftChars="0" w:firstLine="480" w:firstLineChars="200"/>
        <w:textAlignment w:val="auto"/>
        <w:rPr>
          <w:rFonts w:hint="default" w:ascii="Times New Roman" w:hAnsi="Times New Roman" w:eastAsia="宋体" w:cs="Times New Roman"/>
          <w:color w:val="auto"/>
          <w:lang w:val="en-US" w:eastAsia="zh-CN"/>
        </w:rPr>
      </w:pPr>
    </w:p>
    <w:p>
      <w:pPr>
        <w:pStyle w:val="26"/>
        <w:keepNext w:val="0"/>
        <w:keepLines w:val="0"/>
        <w:pageBreakBefore w:val="0"/>
        <w:widowControl w:val="0"/>
        <w:kinsoku/>
        <w:wordWrap/>
        <w:overflowPunct/>
        <w:topLinePunct w:val="0"/>
        <w:autoSpaceDE/>
        <w:autoSpaceDN/>
        <w:bidi w:val="0"/>
        <w:adjustRightInd w:val="0"/>
        <w:snapToGrid w:val="0"/>
        <w:spacing w:line="560" w:lineRule="exact"/>
        <w:ind w:left="0" w:leftChars="0" w:firstLine="480" w:firstLineChars="200"/>
        <w:textAlignment w:val="auto"/>
        <w:rPr>
          <w:rFonts w:hint="default" w:ascii="Times New Roman" w:hAnsi="Times New Roman" w:eastAsia="宋体" w:cs="Times New Roman"/>
          <w:color w:val="auto"/>
          <w:lang w:val="en-US" w:eastAsia="zh-CN"/>
        </w:rPr>
      </w:pPr>
    </w:p>
    <w:p>
      <w:pPr>
        <w:pStyle w:val="26"/>
        <w:keepNext w:val="0"/>
        <w:keepLines w:val="0"/>
        <w:pageBreakBefore w:val="0"/>
        <w:widowControl w:val="0"/>
        <w:kinsoku/>
        <w:wordWrap/>
        <w:overflowPunct/>
        <w:topLinePunct w:val="0"/>
        <w:autoSpaceDE/>
        <w:autoSpaceDN/>
        <w:bidi w:val="0"/>
        <w:adjustRightInd w:val="0"/>
        <w:snapToGrid w:val="0"/>
        <w:spacing w:line="560" w:lineRule="exact"/>
        <w:ind w:left="0" w:leftChars="0" w:firstLine="480" w:firstLineChars="200"/>
        <w:textAlignment w:val="auto"/>
        <w:rPr>
          <w:rFonts w:hint="default" w:ascii="Times New Roman" w:hAnsi="Times New Roman" w:eastAsia="宋体" w:cs="Times New Roman"/>
          <w:color w:val="auto"/>
          <w:lang w:val="en-US" w:eastAsia="zh-CN"/>
        </w:rPr>
      </w:pPr>
    </w:p>
    <w:p>
      <w:pPr>
        <w:pStyle w:val="26"/>
        <w:keepNext w:val="0"/>
        <w:keepLines w:val="0"/>
        <w:pageBreakBefore w:val="0"/>
        <w:widowControl w:val="0"/>
        <w:kinsoku/>
        <w:wordWrap/>
        <w:overflowPunct/>
        <w:topLinePunct w:val="0"/>
        <w:autoSpaceDE/>
        <w:autoSpaceDN/>
        <w:bidi w:val="0"/>
        <w:adjustRightInd w:val="0"/>
        <w:snapToGrid w:val="0"/>
        <w:spacing w:line="560" w:lineRule="exact"/>
        <w:ind w:left="0" w:leftChars="0" w:firstLine="480" w:firstLineChars="200"/>
        <w:textAlignment w:val="auto"/>
        <w:rPr>
          <w:rFonts w:hint="default" w:ascii="Times New Roman" w:hAnsi="Times New Roman" w:eastAsia="宋体" w:cs="Times New Roman"/>
          <w:color w:val="auto"/>
          <w:lang w:val="en-US" w:eastAsia="zh-CN"/>
        </w:rPr>
      </w:pPr>
    </w:p>
    <w:p>
      <w:pPr>
        <w:pStyle w:val="26"/>
        <w:keepNext w:val="0"/>
        <w:keepLines w:val="0"/>
        <w:pageBreakBefore w:val="0"/>
        <w:widowControl w:val="0"/>
        <w:kinsoku/>
        <w:wordWrap/>
        <w:overflowPunct/>
        <w:topLinePunct w:val="0"/>
        <w:autoSpaceDE/>
        <w:autoSpaceDN/>
        <w:bidi w:val="0"/>
        <w:adjustRightInd w:val="0"/>
        <w:snapToGrid w:val="0"/>
        <w:spacing w:line="560" w:lineRule="exact"/>
        <w:ind w:left="0" w:leftChars="0"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3.4.2.2 废水污染源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本项目产生的废水主要为熔炼废水、皂脚酸化废水、生活污水及储罐清洗含油废水。本次评价污染源源强核算采用物料衡算法及类比法。</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（1）动植物油脂回收车间废水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饲料油、磷脂油加工生产线</w:t>
      </w:r>
      <w:r>
        <w:rPr>
          <w:rFonts w:hint="eastAsia" w:ascii="Times New Roman" w:hAnsi="Times New Roman" w:eastAsia="宋体" w:cs="Times New Roman"/>
          <w:color w:val="auto"/>
          <w:sz w:val="24"/>
          <w:szCs w:val="24"/>
          <w:highlight w:val="none"/>
          <w:lang w:val="en-US" w:eastAsia="zh-CN"/>
        </w:rPr>
        <w:t>熔炼工序有废水产生，</w:t>
      </w:r>
      <w:r>
        <w:rPr>
          <w:rFonts w:hint="eastAsia" w:ascii="Times New Roman" w:hAnsi="Times New Roman" w:eastAsia="宋体" w:cs="Times New Roman"/>
          <w:color w:val="auto"/>
          <w:sz w:val="24"/>
          <w:szCs w:val="24"/>
          <w:lang w:val="en-US" w:eastAsia="zh-CN"/>
        </w:rPr>
        <w:t>动物油脂在熔炼时和油脂烟气一同蒸发后经过冷凝器冷凝成液体，送入储存罐回收。参考《屠宰及肉类加工行业系数手册》，动物油脂废水量的产污系数为 0.347 吨/吨-产品，参考《食用植物油加工行业系数手册》，植物油精炼废水量的产污系数为 0.16 吨/吨-原料，本项目年处理动物油约 1500t/a，年处理罐底植物油 300t，则产生含油废水568.5t/a。类比《铁门关市国源生物科技有限公司废弃动植物油脂等资源循环再生利用项目》，动植物油脂回收车间废水主要污染物排放浓度：COD 4000mg/L、BOD</w:t>
      </w:r>
      <w:r>
        <w:rPr>
          <w:rFonts w:hint="eastAsia" w:ascii="Times New Roman" w:hAnsi="Times New Roman" w:eastAsia="宋体" w:cs="Times New Roman"/>
          <w:color w:val="auto"/>
          <w:sz w:val="24"/>
          <w:szCs w:val="24"/>
          <w:vertAlign w:val="subscript"/>
          <w:lang w:val="en-US" w:eastAsia="zh-CN"/>
        </w:rPr>
        <w:t>5</w:t>
      </w:r>
      <w:r>
        <w:rPr>
          <w:rFonts w:hint="eastAsia" w:ascii="Times New Roman" w:hAnsi="Times New Roman" w:eastAsia="宋体" w:cs="Times New Roman"/>
          <w:color w:val="auto"/>
          <w:sz w:val="24"/>
          <w:szCs w:val="24"/>
          <w:vertAlign w:val="baseline"/>
          <w:lang w:val="en-US" w:eastAsia="zh-CN"/>
        </w:rPr>
        <w:t xml:space="preserve"> </w:t>
      </w:r>
      <w:r>
        <w:rPr>
          <w:rFonts w:hint="eastAsia" w:ascii="Times New Roman" w:hAnsi="Times New Roman" w:eastAsia="宋体" w:cs="Times New Roman"/>
          <w:color w:val="auto"/>
          <w:sz w:val="24"/>
          <w:szCs w:val="24"/>
          <w:lang w:val="en-US" w:eastAsia="zh-CN"/>
        </w:rPr>
        <w:t>3600mg/L、SS 200mg/L、氨氮 400mg/L、油脂 100mg/L。</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（2）皂脚酸化废水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本项目皂脚酸化过程中水解会产生的废水，根据建设单位提供的生产经验系数，每吨皂脚含水比例约为 21%，则本项目皂脚酸化废水产生量为 1050m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a，本项目产生的含油废水回用于水溶肥及生物有机肥生产线，不外排。类比《铁门关市国源生物科技有限公司废弃动植物油脂等资源循环再生利用项目》皂脚酸化废水污染物排放浓度，皂脚酸化废水主要污染物排放浓度：COD 65600mg/L、BOD</w:t>
      </w:r>
      <w:r>
        <w:rPr>
          <w:rFonts w:hint="eastAsia" w:ascii="Times New Roman" w:hAnsi="Times New Roman" w:eastAsia="宋体" w:cs="Times New Roman"/>
          <w:color w:val="auto"/>
          <w:sz w:val="24"/>
          <w:szCs w:val="24"/>
          <w:vertAlign w:val="subscript"/>
          <w:lang w:val="en-US" w:eastAsia="zh-CN"/>
        </w:rPr>
        <w:t>5</w:t>
      </w:r>
      <w:r>
        <w:rPr>
          <w:rFonts w:hint="eastAsia" w:ascii="Times New Roman" w:hAnsi="Times New Roman" w:eastAsia="宋体" w:cs="Times New Roman"/>
          <w:color w:val="auto"/>
          <w:sz w:val="24"/>
          <w:szCs w:val="24"/>
          <w:vertAlign w:val="baseline"/>
          <w:lang w:val="en-US" w:eastAsia="zh-CN"/>
        </w:rPr>
        <w:t xml:space="preserve"> </w:t>
      </w:r>
      <w:r>
        <w:rPr>
          <w:rFonts w:hint="eastAsia" w:ascii="Times New Roman" w:hAnsi="Times New Roman" w:eastAsia="宋体" w:cs="Times New Roman"/>
          <w:color w:val="auto"/>
          <w:sz w:val="24"/>
          <w:szCs w:val="24"/>
          <w:lang w:val="en-US" w:eastAsia="zh-CN"/>
        </w:rPr>
        <w:t>30000mg/L、SS 1000mg/L、氨氮 350mg/L。</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（3）生活污水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本项目员工共30人，参考《排放源统计调查产排污核算方法和系数手册》生活源产排污系数手册中城镇生活污水相关系数，项目所在区用水产生系数 137L/人·d，折污系数 0.8。年工作300d，则生活用水量为 4.11m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/d（1233m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/a），污水量为3.288m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/d（986.4m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/a）。生活污水直接通入园区下水管网最终进入园区污水处理厂。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（4）储罐清洗含油废水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本项目储罐清洗委托专业团队进行，采用高压水枪进行冲洗。根据建设单位提供的资料，本项目采用 2 台高压水枪设备，每台设备的流量为 0.025m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 xml:space="preserve"> /h，共清洗 1h，则清洗储罐所用水量为 0.3t。本项目清洗储罐废水不考虑损耗，则产生的清洗储罐废水为0.3t。含油清洗储罐废水属于危险废物，按危险废物要求管理，清洗完成后委托具有相应处理资质的单位进行处置。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pStyle w:val="26"/>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 xml:space="preserve">表 </w:t>
      </w:r>
      <w:r>
        <w:rPr>
          <w:rFonts w:hint="eastAsia" w:ascii="Times New Roman" w:hAnsi="Times New Roman" w:cs="Times New Roman"/>
          <w:b/>
          <w:bCs/>
          <w:color w:val="auto"/>
          <w:lang w:val="en-US" w:eastAsia="zh-CN"/>
        </w:rPr>
        <w:t>3.4</w:t>
      </w:r>
      <w:r>
        <w:rPr>
          <w:rFonts w:hint="default" w:ascii="Times New Roman" w:hAnsi="Times New Roman" w:cs="Times New Roman"/>
          <w:b/>
          <w:bCs/>
          <w:color w:val="auto"/>
          <w:lang w:val="en-US" w:eastAsia="zh-CN"/>
        </w:rPr>
        <w:t>.2-</w:t>
      </w:r>
      <w:r>
        <w:rPr>
          <w:rFonts w:hint="eastAsia" w:ascii="Times New Roman" w:hAnsi="Times New Roman" w:cs="Times New Roman"/>
          <w:b/>
          <w:bCs/>
          <w:color w:val="auto"/>
          <w:lang w:val="en-US" w:eastAsia="zh-CN"/>
        </w:rPr>
        <w:t>7</w:t>
      </w:r>
      <w:r>
        <w:rPr>
          <w:rFonts w:hint="default" w:ascii="Times New Roman" w:hAnsi="Times New Roman" w:cs="Times New Roman"/>
          <w:b/>
          <w:bCs/>
          <w:color w:val="auto"/>
          <w:lang w:val="en-US" w:eastAsia="zh-CN"/>
        </w:rPr>
        <w:t xml:space="preserve">    本项目水污染物产生情况表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6"/>
        <w:gridCol w:w="857"/>
        <w:gridCol w:w="964"/>
        <w:gridCol w:w="834"/>
        <w:gridCol w:w="1557"/>
        <w:gridCol w:w="1625"/>
        <w:gridCol w:w="1174"/>
        <w:gridCol w:w="2686"/>
        <w:gridCol w:w="1557"/>
        <w:gridCol w:w="800"/>
        <w:gridCol w:w="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 w:hRule="atLeast"/>
        </w:trPr>
        <w:tc>
          <w:tcPr>
            <w:tcW w:w="492"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生产线</w:t>
            </w:r>
          </w:p>
        </w:tc>
        <w:tc>
          <w:tcPr>
            <w:tcW w:w="302"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装置</w:t>
            </w:r>
          </w:p>
        </w:tc>
        <w:tc>
          <w:tcPr>
            <w:tcW w:w="340"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污染源</w:t>
            </w:r>
          </w:p>
        </w:tc>
        <w:tc>
          <w:tcPr>
            <w:tcW w:w="294"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w:t>
            </w:r>
          </w:p>
        </w:tc>
        <w:tc>
          <w:tcPr>
            <w:tcW w:w="1536" w:type="pct"/>
            <w:gridSpan w:val="3"/>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污染物产生</w:t>
            </w:r>
          </w:p>
        </w:tc>
        <w:tc>
          <w:tcPr>
            <w:tcW w:w="947"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治理措施</w:t>
            </w:r>
          </w:p>
        </w:tc>
        <w:tc>
          <w:tcPr>
            <w:tcW w:w="1086" w:type="pct"/>
            <w:gridSpan w:val="3"/>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02"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40"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94"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49"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产生废水里（m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vertAlign w:val="baseline"/>
                <w:lang w:val="en-US" w:eastAsia="zh-CN"/>
              </w:rPr>
              <w:t>/a）</w:t>
            </w:r>
          </w:p>
        </w:tc>
        <w:tc>
          <w:tcPr>
            <w:tcW w:w="573"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产生浓度（mg/m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vertAlign w:val="baseline"/>
                <w:lang w:val="en-US" w:eastAsia="zh-CN"/>
              </w:rPr>
              <w:t>）</w:t>
            </w:r>
          </w:p>
        </w:tc>
        <w:tc>
          <w:tcPr>
            <w:tcW w:w="41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产生量（t/a）</w:t>
            </w:r>
          </w:p>
        </w:tc>
        <w:tc>
          <w:tcPr>
            <w:tcW w:w="94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49"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排放废水量（m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vertAlign w:val="baseline"/>
                <w:lang w:val="en-US" w:eastAsia="zh-CN"/>
              </w:rPr>
              <w:t>/a）</w:t>
            </w:r>
          </w:p>
        </w:tc>
        <w:tc>
          <w:tcPr>
            <w:tcW w:w="28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排放浓度</w:t>
            </w:r>
          </w:p>
        </w:tc>
        <w:tc>
          <w:tcPr>
            <w:tcW w:w="253"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动植物油脂回收生产线</w:t>
            </w:r>
          </w:p>
        </w:tc>
        <w:tc>
          <w:tcPr>
            <w:tcW w:w="302"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熔炼釜</w:t>
            </w:r>
          </w:p>
        </w:tc>
        <w:tc>
          <w:tcPr>
            <w:tcW w:w="340"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熔炼废水</w:t>
            </w:r>
          </w:p>
        </w:tc>
        <w:tc>
          <w:tcPr>
            <w:tcW w:w="294" w:type="pct"/>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CODcr</w:t>
            </w:r>
          </w:p>
        </w:tc>
        <w:tc>
          <w:tcPr>
            <w:tcW w:w="549"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568.5</w:t>
            </w:r>
          </w:p>
        </w:tc>
        <w:tc>
          <w:tcPr>
            <w:tcW w:w="57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4000</w:t>
            </w:r>
          </w:p>
        </w:tc>
        <w:tc>
          <w:tcPr>
            <w:tcW w:w="4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2.27</w:t>
            </w:r>
          </w:p>
        </w:tc>
        <w:tc>
          <w:tcPr>
            <w:tcW w:w="947"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回用于水溶肥及生物有机肥生产线</w:t>
            </w:r>
          </w:p>
        </w:tc>
        <w:tc>
          <w:tcPr>
            <w:tcW w:w="549"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p>
        </w:tc>
        <w:tc>
          <w:tcPr>
            <w:tcW w:w="28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p>
        </w:tc>
        <w:tc>
          <w:tcPr>
            <w:tcW w:w="253"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02"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40"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94" w:type="pct"/>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tc>
        <w:tc>
          <w:tcPr>
            <w:tcW w:w="549"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7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3600</w:t>
            </w:r>
          </w:p>
        </w:tc>
        <w:tc>
          <w:tcPr>
            <w:tcW w:w="4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2.05</w:t>
            </w:r>
          </w:p>
        </w:tc>
        <w:tc>
          <w:tcPr>
            <w:tcW w:w="94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49"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w:t>
            </w:r>
          </w:p>
        </w:tc>
        <w:tc>
          <w:tcPr>
            <w:tcW w:w="28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w:t>
            </w:r>
          </w:p>
        </w:tc>
        <w:tc>
          <w:tcPr>
            <w:tcW w:w="253"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02"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40"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94" w:type="pct"/>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SS</w:t>
            </w:r>
          </w:p>
        </w:tc>
        <w:tc>
          <w:tcPr>
            <w:tcW w:w="549"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7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200</w:t>
            </w:r>
          </w:p>
        </w:tc>
        <w:tc>
          <w:tcPr>
            <w:tcW w:w="4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0.11</w:t>
            </w:r>
          </w:p>
        </w:tc>
        <w:tc>
          <w:tcPr>
            <w:tcW w:w="94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49"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w:t>
            </w:r>
          </w:p>
        </w:tc>
        <w:tc>
          <w:tcPr>
            <w:tcW w:w="28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w:t>
            </w:r>
          </w:p>
        </w:tc>
        <w:tc>
          <w:tcPr>
            <w:tcW w:w="253"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02"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40"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94" w:type="pct"/>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-N</w:t>
            </w:r>
          </w:p>
        </w:tc>
        <w:tc>
          <w:tcPr>
            <w:tcW w:w="549"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7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400</w:t>
            </w:r>
          </w:p>
        </w:tc>
        <w:tc>
          <w:tcPr>
            <w:tcW w:w="4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0.23</w:t>
            </w:r>
          </w:p>
        </w:tc>
        <w:tc>
          <w:tcPr>
            <w:tcW w:w="94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49"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w:t>
            </w:r>
          </w:p>
        </w:tc>
        <w:tc>
          <w:tcPr>
            <w:tcW w:w="28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w:t>
            </w:r>
          </w:p>
        </w:tc>
        <w:tc>
          <w:tcPr>
            <w:tcW w:w="253"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92"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02"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40"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94" w:type="pct"/>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油脂</w:t>
            </w:r>
          </w:p>
        </w:tc>
        <w:tc>
          <w:tcPr>
            <w:tcW w:w="549"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7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100</w:t>
            </w:r>
          </w:p>
        </w:tc>
        <w:tc>
          <w:tcPr>
            <w:tcW w:w="4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0.06</w:t>
            </w:r>
          </w:p>
        </w:tc>
        <w:tc>
          <w:tcPr>
            <w:tcW w:w="94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49"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w:t>
            </w:r>
          </w:p>
        </w:tc>
        <w:tc>
          <w:tcPr>
            <w:tcW w:w="28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w:t>
            </w:r>
          </w:p>
        </w:tc>
        <w:tc>
          <w:tcPr>
            <w:tcW w:w="253"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生物燃料生产线</w:t>
            </w:r>
          </w:p>
        </w:tc>
        <w:tc>
          <w:tcPr>
            <w:tcW w:w="302"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酸化加工罐</w:t>
            </w:r>
          </w:p>
        </w:tc>
        <w:tc>
          <w:tcPr>
            <w:tcW w:w="340"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皂脚酸化废水</w:t>
            </w:r>
          </w:p>
        </w:tc>
        <w:tc>
          <w:tcPr>
            <w:tcW w:w="294" w:type="pct"/>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CODcr</w:t>
            </w:r>
          </w:p>
        </w:tc>
        <w:tc>
          <w:tcPr>
            <w:tcW w:w="549"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1050</w:t>
            </w:r>
          </w:p>
        </w:tc>
        <w:tc>
          <w:tcPr>
            <w:tcW w:w="57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highlight w:val="none"/>
                <w:lang w:val="en-US" w:eastAsia="zh-CN"/>
              </w:rPr>
              <w:t>65600</w:t>
            </w:r>
          </w:p>
        </w:tc>
        <w:tc>
          <w:tcPr>
            <w:tcW w:w="41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68.88</w:t>
            </w:r>
          </w:p>
        </w:tc>
        <w:tc>
          <w:tcPr>
            <w:tcW w:w="947"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回用于水溶肥及生物有机肥生产线</w:t>
            </w:r>
          </w:p>
        </w:tc>
        <w:tc>
          <w:tcPr>
            <w:tcW w:w="549"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w:t>
            </w:r>
          </w:p>
        </w:tc>
        <w:tc>
          <w:tcPr>
            <w:tcW w:w="28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w:t>
            </w:r>
          </w:p>
        </w:tc>
        <w:tc>
          <w:tcPr>
            <w:tcW w:w="253"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02"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40"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94" w:type="pct"/>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tc>
        <w:tc>
          <w:tcPr>
            <w:tcW w:w="54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57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highlight w:val="none"/>
                <w:lang w:val="en-US" w:eastAsia="zh-CN"/>
              </w:rPr>
              <w:t>30000</w:t>
            </w:r>
          </w:p>
        </w:tc>
        <w:tc>
          <w:tcPr>
            <w:tcW w:w="41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31.5</w:t>
            </w:r>
          </w:p>
        </w:tc>
        <w:tc>
          <w:tcPr>
            <w:tcW w:w="94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49"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w:t>
            </w:r>
          </w:p>
        </w:tc>
        <w:tc>
          <w:tcPr>
            <w:tcW w:w="28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w:t>
            </w:r>
          </w:p>
        </w:tc>
        <w:tc>
          <w:tcPr>
            <w:tcW w:w="253"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02"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40"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94" w:type="pct"/>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SS</w:t>
            </w:r>
          </w:p>
        </w:tc>
        <w:tc>
          <w:tcPr>
            <w:tcW w:w="54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57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highlight w:val="none"/>
                <w:lang w:val="en-US" w:eastAsia="zh-CN"/>
              </w:rPr>
              <w:t>1000</w:t>
            </w:r>
          </w:p>
        </w:tc>
        <w:tc>
          <w:tcPr>
            <w:tcW w:w="41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1.05</w:t>
            </w:r>
          </w:p>
        </w:tc>
        <w:tc>
          <w:tcPr>
            <w:tcW w:w="94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49"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w:t>
            </w:r>
          </w:p>
        </w:tc>
        <w:tc>
          <w:tcPr>
            <w:tcW w:w="28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w:t>
            </w:r>
          </w:p>
        </w:tc>
        <w:tc>
          <w:tcPr>
            <w:tcW w:w="253"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02"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40"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94" w:type="pct"/>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-N</w:t>
            </w:r>
          </w:p>
        </w:tc>
        <w:tc>
          <w:tcPr>
            <w:tcW w:w="54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57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highlight w:val="none"/>
                <w:lang w:val="en-US" w:eastAsia="zh-CN"/>
              </w:rPr>
              <w:t>350</w:t>
            </w:r>
          </w:p>
        </w:tc>
        <w:tc>
          <w:tcPr>
            <w:tcW w:w="41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0.38</w:t>
            </w:r>
          </w:p>
        </w:tc>
        <w:tc>
          <w:tcPr>
            <w:tcW w:w="94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49"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w:t>
            </w:r>
          </w:p>
        </w:tc>
        <w:tc>
          <w:tcPr>
            <w:tcW w:w="28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w:t>
            </w:r>
          </w:p>
        </w:tc>
        <w:tc>
          <w:tcPr>
            <w:tcW w:w="253"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 w:type="pct"/>
            <w:gridSpan w:val="2"/>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职工生活</w:t>
            </w:r>
          </w:p>
        </w:tc>
        <w:tc>
          <w:tcPr>
            <w:tcW w:w="340"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生活污水</w:t>
            </w:r>
          </w:p>
        </w:tc>
        <w:tc>
          <w:tcPr>
            <w:tcW w:w="294" w:type="pct"/>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CODcr</w:t>
            </w:r>
          </w:p>
        </w:tc>
        <w:tc>
          <w:tcPr>
            <w:tcW w:w="549"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986.4</w:t>
            </w:r>
          </w:p>
        </w:tc>
        <w:tc>
          <w:tcPr>
            <w:tcW w:w="57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highlight w:val="none"/>
                <w:lang w:val="en-US" w:eastAsia="zh-CN"/>
              </w:rPr>
              <w:t>35</w:t>
            </w:r>
            <w:r>
              <w:rPr>
                <w:rFonts w:hint="default" w:ascii="Times New Roman" w:hAnsi="Times New Roman" w:eastAsia="宋体" w:cs="Times New Roman"/>
                <w:color w:val="auto"/>
                <w:sz w:val="21"/>
                <w:szCs w:val="21"/>
                <w:highlight w:val="none"/>
              </w:rPr>
              <w:t>0</w:t>
            </w:r>
          </w:p>
        </w:tc>
        <w:tc>
          <w:tcPr>
            <w:tcW w:w="41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0.35</w:t>
            </w:r>
          </w:p>
        </w:tc>
        <w:tc>
          <w:tcPr>
            <w:tcW w:w="947"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直接通入园区下水管网最终进入园区污水处理厂</w:t>
            </w:r>
          </w:p>
        </w:tc>
        <w:tc>
          <w:tcPr>
            <w:tcW w:w="549"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986.4</w:t>
            </w:r>
          </w:p>
        </w:tc>
        <w:tc>
          <w:tcPr>
            <w:tcW w:w="28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350</w:t>
            </w:r>
          </w:p>
        </w:tc>
        <w:tc>
          <w:tcPr>
            <w:tcW w:w="253"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 w:type="pct"/>
            <w:gridSpan w:val="2"/>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40" w:type="pct"/>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294" w:type="pct"/>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tc>
        <w:tc>
          <w:tcPr>
            <w:tcW w:w="54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57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0</w:t>
            </w:r>
          </w:p>
        </w:tc>
        <w:tc>
          <w:tcPr>
            <w:tcW w:w="41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0.25</w:t>
            </w:r>
          </w:p>
        </w:tc>
        <w:tc>
          <w:tcPr>
            <w:tcW w:w="94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49"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8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250</w:t>
            </w:r>
          </w:p>
        </w:tc>
        <w:tc>
          <w:tcPr>
            <w:tcW w:w="253"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 w:type="pct"/>
            <w:gridSpan w:val="2"/>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40" w:type="pct"/>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294" w:type="pct"/>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SS</w:t>
            </w:r>
          </w:p>
        </w:tc>
        <w:tc>
          <w:tcPr>
            <w:tcW w:w="54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57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0</w:t>
            </w:r>
          </w:p>
        </w:tc>
        <w:tc>
          <w:tcPr>
            <w:tcW w:w="41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0.20</w:t>
            </w:r>
          </w:p>
        </w:tc>
        <w:tc>
          <w:tcPr>
            <w:tcW w:w="94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49"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8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200</w:t>
            </w:r>
          </w:p>
        </w:tc>
        <w:tc>
          <w:tcPr>
            <w:tcW w:w="253"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 w:type="pct"/>
            <w:gridSpan w:val="2"/>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40" w:type="pct"/>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294" w:type="pct"/>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-N</w:t>
            </w:r>
          </w:p>
        </w:tc>
        <w:tc>
          <w:tcPr>
            <w:tcW w:w="54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57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0</w:t>
            </w:r>
          </w:p>
        </w:tc>
        <w:tc>
          <w:tcPr>
            <w:tcW w:w="41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0.04</w:t>
            </w:r>
          </w:p>
        </w:tc>
        <w:tc>
          <w:tcPr>
            <w:tcW w:w="94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49"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8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40</w:t>
            </w:r>
          </w:p>
        </w:tc>
        <w:tc>
          <w:tcPr>
            <w:tcW w:w="253"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储罐清洗</w:t>
            </w:r>
          </w:p>
        </w:tc>
        <w:tc>
          <w:tcPr>
            <w:tcW w:w="30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储罐</w:t>
            </w:r>
          </w:p>
        </w:tc>
        <w:tc>
          <w:tcPr>
            <w:tcW w:w="634" w:type="pct"/>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储罐清洗含油废水</w:t>
            </w:r>
          </w:p>
        </w:tc>
        <w:tc>
          <w:tcPr>
            <w:tcW w:w="1536" w:type="pct"/>
            <w:gridSpan w:val="3"/>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2"/>
                <w:sz w:val="21"/>
                <w:szCs w:val="21"/>
                <w:vertAlign w:val="baseline"/>
                <w:lang w:val="en-US" w:eastAsia="zh-CN" w:bidi="ar-SA"/>
              </w:rPr>
              <w:t>0.3</w:t>
            </w:r>
          </w:p>
        </w:tc>
        <w:tc>
          <w:tcPr>
            <w:tcW w:w="947"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储罐清洗完成后送资质单位处置，不在厂区储存</w:t>
            </w:r>
          </w:p>
        </w:tc>
        <w:tc>
          <w:tcPr>
            <w:tcW w:w="1086" w:type="pct"/>
            <w:gridSpan w:val="3"/>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0.3</w:t>
            </w:r>
          </w:p>
        </w:tc>
      </w:tr>
    </w:tbl>
    <w:p>
      <w:pPr>
        <w:pStyle w:val="26"/>
        <w:ind w:left="0" w:leftChars="0" w:firstLine="0" w:firstLineChars="0"/>
        <w:rPr>
          <w:rFonts w:hint="eastAsia"/>
          <w:color w:val="auto"/>
          <w:lang w:val="en-US" w:eastAsia="zh-CN"/>
        </w:rPr>
      </w:pPr>
    </w:p>
    <w:p>
      <w:pPr>
        <w:pStyle w:val="26"/>
        <w:ind w:left="0" w:leftChars="0" w:firstLine="0" w:firstLineChars="0"/>
        <w:rPr>
          <w:rFonts w:hint="default"/>
          <w:color w:val="auto"/>
          <w:lang w:val="en-US" w:eastAsia="zh-CN"/>
        </w:rPr>
      </w:pPr>
      <w:r>
        <w:rPr>
          <w:rFonts w:hint="eastAsia"/>
          <w:color w:val="auto"/>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3.4.2.3 噪声污染</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厂内主要噪声源有输送泵、送风机等机械设备的空气动力噪声与机械振动噪声以及输送带等产生的噪声。设备中以低频噪声为主，一般设备噪声级在 80dB（A）以下，少数设备如引风机等的噪声级在 75dB（A）-90dB（A）范围。本项目的噪声源及其源强详见表 3.4.2-8。</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表3.4.2-8  拟建项目噪声源及其源强</w:t>
      </w:r>
    </w:p>
    <w:tbl>
      <w:tblPr>
        <w:tblStyle w:val="22"/>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635"/>
        <w:gridCol w:w="1185"/>
        <w:gridCol w:w="2408"/>
        <w:gridCol w:w="753"/>
        <w:gridCol w:w="636"/>
        <w:gridCol w:w="450"/>
        <w:gridCol w:w="765"/>
        <w:gridCol w:w="428"/>
        <w:gridCol w:w="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序号</w:t>
            </w:r>
          </w:p>
        </w:tc>
        <w:tc>
          <w:tcPr>
            <w:tcW w:w="37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建筑物名称</w:t>
            </w: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声源</w:t>
            </w:r>
            <w:r>
              <w:rPr>
                <w:rFonts w:hint="default" w:ascii="Times New Roman" w:hAnsi="Times New Roman" w:eastAsia="宋体" w:cs="Times New Roman"/>
                <w:b/>
                <w:bCs/>
                <w:color w:val="auto"/>
                <w:sz w:val="21"/>
                <w:szCs w:val="21"/>
                <w:vertAlign w:val="baseline"/>
                <w:lang w:val="en-US" w:eastAsia="zh-CN"/>
              </w:rPr>
              <w:t>名称</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规格型号</w:t>
            </w:r>
          </w:p>
        </w:tc>
        <w:tc>
          <w:tcPr>
            <w:tcW w:w="44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rPr>
              <w:t>声功率级/dB(A</w:t>
            </w:r>
          </w:p>
        </w:tc>
        <w:tc>
          <w:tcPr>
            <w:tcW w:w="373" w:type="pc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cs="Times New Roman"/>
                <w:b/>
                <w:bCs/>
                <w:color w:val="auto"/>
                <w:sz w:val="21"/>
                <w:szCs w:val="21"/>
              </w:rPr>
              <w:t>声源控制措施</w:t>
            </w:r>
          </w:p>
        </w:tc>
        <w:tc>
          <w:tcPr>
            <w:tcW w:w="264" w:type="pc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cs="Times New Roman"/>
                <w:b/>
                <w:bCs/>
                <w:color w:val="auto"/>
                <w:sz w:val="21"/>
                <w:szCs w:val="21"/>
              </w:rPr>
              <w:t>距室内边界距离/m</w:t>
            </w:r>
          </w:p>
        </w:tc>
        <w:tc>
          <w:tcPr>
            <w:tcW w:w="449" w:type="pc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室内边界声级/</w:t>
            </w:r>
          </w:p>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cs="Times New Roman"/>
                <w:b/>
                <w:bCs/>
                <w:color w:val="auto"/>
                <w:sz w:val="21"/>
                <w:szCs w:val="21"/>
              </w:rPr>
              <w:t>dB(A)</w:t>
            </w:r>
          </w:p>
        </w:tc>
        <w:tc>
          <w:tcPr>
            <w:tcW w:w="251" w:type="pc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cs="Times New Roman"/>
                <w:b/>
                <w:bCs/>
                <w:color w:val="auto"/>
                <w:sz w:val="21"/>
                <w:szCs w:val="21"/>
              </w:rPr>
              <w:t>运行时段</w:t>
            </w:r>
          </w:p>
        </w:tc>
        <w:tc>
          <w:tcPr>
            <w:tcW w:w="484" w:type="pc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cs="Times New Roman"/>
                <w:b/>
                <w:bCs/>
                <w:color w:val="auto"/>
                <w:sz w:val="21"/>
                <w:szCs w:val="21"/>
              </w:rPr>
              <w:t>建筑物插入损失/dB(A)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373"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油脂</w:t>
            </w:r>
            <w:r>
              <w:rPr>
                <w:rFonts w:hint="default" w:ascii="Times New Roman" w:hAnsi="Times New Roman" w:eastAsia="宋体" w:cs="Times New Roman"/>
                <w:color w:val="auto"/>
                <w:sz w:val="21"/>
                <w:szCs w:val="21"/>
                <w:vertAlign w:val="baseline"/>
                <w:lang w:val="en-US" w:eastAsia="zh-CN"/>
              </w:rPr>
              <w:t>回收</w:t>
            </w:r>
            <w:r>
              <w:rPr>
                <w:rFonts w:hint="eastAsia" w:ascii="Times New Roman" w:hAnsi="Times New Roman" w:eastAsia="宋体" w:cs="Times New Roman"/>
                <w:color w:val="auto"/>
                <w:sz w:val="21"/>
                <w:szCs w:val="21"/>
                <w:vertAlign w:val="baseline"/>
                <w:lang w:val="en-US" w:eastAsia="zh-CN"/>
              </w:rPr>
              <w:t>车间</w:t>
            </w: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熔炼釜</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RLF180</w:t>
            </w:r>
          </w:p>
        </w:tc>
        <w:tc>
          <w:tcPr>
            <w:tcW w:w="442"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lang w:val="en-US" w:eastAsia="zh-CN"/>
              </w:rPr>
              <w:t>75-90</w:t>
            </w:r>
          </w:p>
        </w:tc>
        <w:tc>
          <w:tcPr>
            <w:tcW w:w="373"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rPr>
              <w:t>基础减振、厂房隔音</w:t>
            </w: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449"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lang w:val="en-US" w:eastAsia="zh-CN"/>
              </w:rPr>
              <w:t>75-90</w:t>
            </w:r>
          </w:p>
        </w:tc>
        <w:tc>
          <w:tcPr>
            <w:tcW w:w="251"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rPr>
              <w:t>全天</w:t>
            </w:r>
          </w:p>
        </w:tc>
        <w:tc>
          <w:tcPr>
            <w:tcW w:w="484" w:type="pc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油箱</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1500×1250×1250</w:t>
            </w:r>
          </w:p>
        </w:tc>
        <w:tc>
          <w:tcPr>
            <w:tcW w:w="44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4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w:t>
            </w: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储气罐</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CCG80</w:t>
            </w:r>
          </w:p>
        </w:tc>
        <w:tc>
          <w:tcPr>
            <w:tcW w:w="44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4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w:t>
            </w: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废气冷凝机</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FQLN50</w:t>
            </w:r>
          </w:p>
        </w:tc>
        <w:tc>
          <w:tcPr>
            <w:tcW w:w="44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w:t>
            </w:r>
          </w:p>
        </w:tc>
        <w:tc>
          <w:tcPr>
            <w:tcW w:w="4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w:t>
            </w: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水喷射泵</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PSB-320</w:t>
            </w:r>
          </w:p>
        </w:tc>
        <w:tc>
          <w:tcPr>
            <w:tcW w:w="44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4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w:t>
            </w: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粗脂酸罐</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60m</w:t>
            </w:r>
            <w:r>
              <w:rPr>
                <w:rFonts w:hint="default" w:ascii="Times New Roman" w:hAnsi="Times New Roman" w:eastAsia="宋体" w:cs="Times New Roman"/>
                <w:color w:val="auto"/>
                <w:sz w:val="21"/>
                <w:szCs w:val="21"/>
                <w:vertAlign w:val="superscript"/>
                <w:lang w:val="en-US" w:eastAsia="zh-CN"/>
              </w:rPr>
              <w:t>3</w:t>
            </w:r>
          </w:p>
        </w:tc>
        <w:tc>
          <w:tcPr>
            <w:tcW w:w="44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4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w:t>
            </w: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油脂废水罐</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50m</w:t>
            </w:r>
            <w:r>
              <w:rPr>
                <w:rFonts w:hint="default" w:ascii="Times New Roman" w:hAnsi="Times New Roman" w:eastAsia="宋体" w:cs="Times New Roman"/>
                <w:color w:val="auto"/>
                <w:sz w:val="21"/>
                <w:szCs w:val="21"/>
                <w:vertAlign w:val="superscript"/>
                <w:lang w:val="en-US" w:eastAsia="zh-CN"/>
              </w:rPr>
              <w:t>3</w:t>
            </w:r>
          </w:p>
        </w:tc>
        <w:tc>
          <w:tcPr>
            <w:tcW w:w="44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4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8</w:t>
            </w: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中转泵</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5.5kW</w:t>
            </w:r>
          </w:p>
        </w:tc>
        <w:tc>
          <w:tcPr>
            <w:tcW w:w="44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4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9</w:t>
            </w: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水解进料泵</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5.5kW</w:t>
            </w:r>
          </w:p>
        </w:tc>
        <w:tc>
          <w:tcPr>
            <w:tcW w:w="44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4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w:t>
            </w: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水解槽</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1.2×1.2×4</w:t>
            </w:r>
          </w:p>
        </w:tc>
        <w:tc>
          <w:tcPr>
            <w:tcW w:w="44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4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11</w:t>
            </w: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尾气回收器</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Φ800×5000</w:t>
            </w:r>
          </w:p>
        </w:tc>
        <w:tc>
          <w:tcPr>
            <w:tcW w:w="44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4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w:t>
            </w: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中转泵</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4kW</w:t>
            </w:r>
          </w:p>
        </w:tc>
        <w:tc>
          <w:tcPr>
            <w:tcW w:w="44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4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13</w:t>
            </w: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回流塔</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Φ500×2000</w:t>
            </w:r>
          </w:p>
        </w:tc>
        <w:tc>
          <w:tcPr>
            <w:tcW w:w="44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w:t>
            </w:r>
          </w:p>
        </w:tc>
        <w:tc>
          <w:tcPr>
            <w:tcW w:w="4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14</w:t>
            </w: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分馏一塔</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Φ1200×7900</w:t>
            </w:r>
          </w:p>
        </w:tc>
        <w:tc>
          <w:tcPr>
            <w:tcW w:w="44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4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15</w:t>
            </w: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主循环泵</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11kW</w:t>
            </w:r>
          </w:p>
        </w:tc>
        <w:tc>
          <w:tcPr>
            <w:tcW w:w="44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4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16</w:t>
            </w: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再沸器</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13m</w:t>
            </w:r>
            <w:r>
              <w:rPr>
                <w:rFonts w:hint="default" w:ascii="Times New Roman" w:hAnsi="Times New Roman" w:eastAsia="宋体" w:cs="Times New Roman"/>
                <w:color w:val="auto"/>
                <w:sz w:val="21"/>
                <w:szCs w:val="21"/>
                <w:vertAlign w:val="superscript"/>
                <w:lang w:val="en-US" w:eastAsia="zh-CN"/>
              </w:rPr>
              <w:t>3</w:t>
            </w:r>
          </w:p>
        </w:tc>
        <w:tc>
          <w:tcPr>
            <w:tcW w:w="44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4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17</w:t>
            </w: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循环泵</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34kW</w:t>
            </w:r>
          </w:p>
        </w:tc>
        <w:tc>
          <w:tcPr>
            <w:tcW w:w="44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4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18</w:t>
            </w: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冷淋器</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25m</w:t>
            </w:r>
            <w:r>
              <w:rPr>
                <w:rFonts w:hint="default" w:ascii="Times New Roman" w:hAnsi="Times New Roman" w:eastAsia="宋体" w:cs="Times New Roman"/>
                <w:color w:val="auto"/>
                <w:sz w:val="21"/>
                <w:szCs w:val="21"/>
                <w:vertAlign w:val="superscript"/>
                <w:lang w:val="en-US" w:eastAsia="zh-CN"/>
              </w:rPr>
              <w:t>2</w:t>
            </w:r>
          </w:p>
        </w:tc>
        <w:tc>
          <w:tcPr>
            <w:tcW w:w="44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4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19</w:t>
            </w: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冷水塔</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36kW</w:t>
            </w:r>
          </w:p>
        </w:tc>
        <w:tc>
          <w:tcPr>
            <w:tcW w:w="44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4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热水泵</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15kW</w:t>
            </w:r>
          </w:p>
        </w:tc>
        <w:tc>
          <w:tcPr>
            <w:tcW w:w="44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4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21</w:t>
            </w:r>
          </w:p>
        </w:tc>
        <w:tc>
          <w:tcPr>
            <w:tcW w:w="373"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水溶肥及有机肥</w:t>
            </w:r>
            <w:r>
              <w:rPr>
                <w:rFonts w:hint="eastAsia" w:ascii="Times New Roman" w:hAnsi="Times New Roman" w:eastAsia="宋体" w:cs="Times New Roman"/>
                <w:color w:val="auto"/>
                <w:sz w:val="21"/>
                <w:szCs w:val="21"/>
                <w:vertAlign w:val="baseline"/>
                <w:lang w:val="en-US" w:eastAsia="zh-CN"/>
              </w:rPr>
              <w:t>车间</w:t>
            </w: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溶解槽</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10m</w:t>
            </w:r>
            <w:r>
              <w:rPr>
                <w:rFonts w:hint="default" w:ascii="Times New Roman" w:hAnsi="Times New Roman" w:eastAsia="宋体" w:cs="Times New Roman"/>
                <w:color w:val="auto"/>
                <w:sz w:val="21"/>
                <w:szCs w:val="21"/>
                <w:vertAlign w:val="superscript"/>
                <w:lang w:val="en-US" w:eastAsia="zh-CN"/>
              </w:rPr>
              <w:t>3</w:t>
            </w:r>
          </w:p>
        </w:tc>
        <w:tc>
          <w:tcPr>
            <w:tcW w:w="44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w:t>
            </w:r>
          </w:p>
        </w:tc>
        <w:tc>
          <w:tcPr>
            <w:tcW w:w="4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22</w:t>
            </w: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混合搅拌器</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7.5kW</w:t>
            </w:r>
          </w:p>
        </w:tc>
        <w:tc>
          <w:tcPr>
            <w:tcW w:w="44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4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23</w:t>
            </w: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造粒机</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35t/d</w:t>
            </w:r>
          </w:p>
        </w:tc>
        <w:tc>
          <w:tcPr>
            <w:tcW w:w="44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4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24</w:t>
            </w: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卧式破碎机</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卧式80-35</w:t>
            </w:r>
          </w:p>
        </w:tc>
        <w:tc>
          <w:tcPr>
            <w:tcW w:w="44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4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w:t>
            </w: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冷却机</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Φ2.4×24筒体材料816mm，ZQ850型减速机，抄板材料88mm</w:t>
            </w:r>
          </w:p>
        </w:tc>
        <w:tc>
          <w:tcPr>
            <w:tcW w:w="44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4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26</w:t>
            </w: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筛分机</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35t/d</w:t>
            </w:r>
          </w:p>
        </w:tc>
        <w:tc>
          <w:tcPr>
            <w:tcW w:w="44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4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27</w:t>
            </w: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自动包装秤</w:t>
            </w:r>
          </w:p>
        </w:tc>
        <w:tc>
          <w:tcPr>
            <w:tcW w:w="14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DCS-50双称含空压机</w:t>
            </w:r>
          </w:p>
        </w:tc>
        <w:tc>
          <w:tcPr>
            <w:tcW w:w="44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4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3.4.2.4 固体废物污染源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本项目产生的固体废物主要分为一般固废、危险废物及生活垃圾。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（1）一般固废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工艺下脚料</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拟建项目在生产水溶肥时会产生下脚料，根据建设单位提供生产经验，产生的水溶肥下脚料为25t/a；在动植物油脂回收生产线生产时会产生下脚料，根据建设单位提供生产经验，产生的动植物油水解下脚料为500t/a；在</w:t>
      </w:r>
      <w:r>
        <w:rPr>
          <w:rFonts w:hint="eastAsia" w:ascii="Times New Roman" w:hAnsi="Times New Roman" w:eastAsia="宋体" w:cs="Times New Roman"/>
          <w:color w:val="auto"/>
          <w:sz w:val="24"/>
          <w:szCs w:val="24"/>
          <w:highlight w:val="none"/>
          <w:lang w:val="en-US" w:eastAsia="zh-CN"/>
        </w:rPr>
        <w:t>生物燃料</w:t>
      </w:r>
      <w:r>
        <w:rPr>
          <w:rFonts w:hint="eastAsia" w:ascii="Times New Roman" w:hAnsi="Times New Roman" w:eastAsia="宋体" w:cs="Times New Roman"/>
          <w:color w:val="auto"/>
          <w:sz w:val="24"/>
          <w:szCs w:val="24"/>
          <w:lang w:val="en-US" w:eastAsia="zh-CN"/>
        </w:rPr>
        <w:t>生产线皂脚酸化时会产生下脚料，根据建设单位提供生产经验，产生的皂脚酸化产生的下脚料为1500t/a。</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（2）生活垃圾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拟建项目共有职工 30 人，按每人每天产生生活垃圾 1kg 计算，则生活垃圾产生量约为 9t/a。厂内生活区设有生活垃圾收集桶和收集房，定期由园区环卫部门负责统收集清运，送园区生活垃圾填埋场进行卫生填埋。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（3）危险废物</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废气处理系统中的活性炭吸附装置饱和后需定期更换，根据厂家提供数据，动植物油脂回收车间、水溶肥及有机肥生产车间配套的废气治理设施活性炭吸附箱尺寸均约为 3m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（2×1.5×3m），活性炭密度取 0.5t/m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，则两车间单次合计更换活性炭量约 3t/次，约半年更换一次，则废活性炭产生量约为 6t/a，废活性炭由专用危废暂存间暂存，定期交由有资质单位处置。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项目日常维修和检修中有废机油产生，产生量约 1.0t/a。根据《国家危险废物名录》（2021 年版），本项目产生的废机油属于 HW08 废矿物油与含矿物油废物。废机油由专用危废暂存间暂存，定期交由有资质单位处置。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清洗储罐时会产生含油清洗储罐废水，含油清洗储罐废水属于含油废水，危废代码为 HW08，清洗完成后委托具有相应处理资质的单位进行处置，不在厂区储存。</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表3.4.2-9   拟建项目危险废物产生情况汇总表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4"/>
        <w:gridCol w:w="646"/>
        <w:gridCol w:w="868"/>
        <w:gridCol w:w="1010"/>
        <w:gridCol w:w="567"/>
        <w:gridCol w:w="683"/>
        <w:gridCol w:w="417"/>
        <w:gridCol w:w="643"/>
        <w:gridCol w:w="887"/>
        <w:gridCol w:w="703"/>
        <w:gridCol w:w="800"/>
        <w:gridCol w:w="8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序号</w:t>
            </w:r>
          </w:p>
        </w:tc>
        <w:tc>
          <w:tcPr>
            <w:tcW w:w="3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危险废物名称</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危险废物类别</w:t>
            </w:r>
          </w:p>
        </w:tc>
        <w:tc>
          <w:tcPr>
            <w:tcW w:w="59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危险废物代码</w:t>
            </w:r>
          </w:p>
        </w:tc>
        <w:tc>
          <w:tcPr>
            <w:tcW w:w="33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产生量</w:t>
            </w:r>
          </w:p>
        </w:tc>
        <w:tc>
          <w:tcPr>
            <w:tcW w:w="4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产生工序</w:t>
            </w:r>
          </w:p>
        </w:tc>
        <w:tc>
          <w:tcPr>
            <w:tcW w:w="2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形态</w:t>
            </w:r>
          </w:p>
        </w:tc>
        <w:tc>
          <w:tcPr>
            <w:tcW w:w="37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主要成分</w:t>
            </w:r>
          </w:p>
        </w:tc>
        <w:tc>
          <w:tcPr>
            <w:tcW w:w="52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有害成分</w:t>
            </w:r>
          </w:p>
        </w:tc>
        <w:tc>
          <w:tcPr>
            <w:tcW w:w="4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产生周期</w:t>
            </w:r>
          </w:p>
        </w:tc>
        <w:tc>
          <w:tcPr>
            <w:tcW w:w="4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危险特性</w:t>
            </w:r>
          </w:p>
        </w:tc>
        <w:tc>
          <w:tcPr>
            <w:tcW w:w="49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3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废活性炭</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HW49</w:t>
            </w:r>
          </w:p>
        </w:tc>
        <w:tc>
          <w:tcPr>
            <w:tcW w:w="59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900-039-49</w:t>
            </w:r>
          </w:p>
        </w:tc>
        <w:tc>
          <w:tcPr>
            <w:tcW w:w="33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w:t>
            </w:r>
          </w:p>
        </w:tc>
        <w:tc>
          <w:tcPr>
            <w:tcW w:w="4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活性炭吸附设备</w:t>
            </w:r>
          </w:p>
        </w:tc>
        <w:tc>
          <w:tcPr>
            <w:tcW w:w="2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固体</w:t>
            </w:r>
          </w:p>
        </w:tc>
        <w:tc>
          <w:tcPr>
            <w:tcW w:w="37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碳</w:t>
            </w:r>
          </w:p>
        </w:tc>
        <w:tc>
          <w:tcPr>
            <w:tcW w:w="52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非甲烷总烃、硫化氢等</w:t>
            </w:r>
          </w:p>
        </w:tc>
        <w:tc>
          <w:tcPr>
            <w:tcW w:w="4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1年</w:t>
            </w:r>
          </w:p>
        </w:tc>
        <w:tc>
          <w:tcPr>
            <w:tcW w:w="4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T毒性</w:t>
            </w:r>
          </w:p>
        </w:tc>
        <w:tc>
          <w:tcPr>
            <w:tcW w:w="49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分类暂存于危废暂存间内，定期交由有资质的单位处理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3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废机油</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HW08</w:t>
            </w:r>
          </w:p>
        </w:tc>
        <w:tc>
          <w:tcPr>
            <w:tcW w:w="59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900-214-08</w:t>
            </w:r>
          </w:p>
        </w:tc>
        <w:tc>
          <w:tcPr>
            <w:tcW w:w="33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4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拆卸维修</w:t>
            </w:r>
          </w:p>
        </w:tc>
        <w:tc>
          <w:tcPr>
            <w:tcW w:w="2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液体</w:t>
            </w:r>
          </w:p>
        </w:tc>
        <w:tc>
          <w:tcPr>
            <w:tcW w:w="37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矿物油</w:t>
            </w:r>
          </w:p>
        </w:tc>
        <w:tc>
          <w:tcPr>
            <w:tcW w:w="52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机械拆卸过程中的废机油</w:t>
            </w:r>
          </w:p>
        </w:tc>
        <w:tc>
          <w:tcPr>
            <w:tcW w:w="4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1年</w:t>
            </w:r>
          </w:p>
        </w:tc>
        <w:tc>
          <w:tcPr>
            <w:tcW w:w="4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T毒性/I易燃性</w:t>
            </w:r>
          </w:p>
        </w:tc>
        <w:tc>
          <w:tcPr>
            <w:tcW w:w="49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3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含油清洗储罐废水</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HW08</w:t>
            </w:r>
          </w:p>
        </w:tc>
        <w:tc>
          <w:tcPr>
            <w:tcW w:w="59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900-201-08</w:t>
            </w:r>
          </w:p>
        </w:tc>
        <w:tc>
          <w:tcPr>
            <w:tcW w:w="33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0.3</w:t>
            </w:r>
          </w:p>
        </w:tc>
        <w:tc>
          <w:tcPr>
            <w:tcW w:w="4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储罐清洗</w:t>
            </w:r>
          </w:p>
        </w:tc>
        <w:tc>
          <w:tcPr>
            <w:tcW w:w="2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液体</w:t>
            </w:r>
          </w:p>
        </w:tc>
        <w:tc>
          <w:tcPr>
            <w:tcW w:w="37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煤油</w:t>
            </w:r>
          </w:p>
        </w:tc>
        <w:tc>
          <w:tcPr>
            <w:tcW w:w="52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清洗储罐过程中产生的含油废水</w:t>
            </w:r>
          </w:p>
        </w:tc>
        <w:tc>
          <w:tcPr>
            <w:tcW w:w="4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4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T毒性/I易燃性</w:t>
            </w:r>
          </w:p>
        </w:tc>
        <w:tc>
          <w:tcPr>
            <w:tcW w:w="49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清洗完成后委托具有相应处理资质的单位进行处置，不在厂区储存</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本项目固体废物产排情况汇总见下表。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3.4.2-10  本项目固体废物产排情况汇总</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8"/>
        <w:gridCol w:w="701"/>
        <w:gridCol w:w="1030"/>
        <w:gridCol w:w="776"/>
        <w:gridCol w:w="1313"/>
        <w:gridCol w:w="735"/>
        <w:gridCol w:w="944"/>
        <w:gridCol w:w="1916"/>
        <w:gridCol w:w="6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序号</w:t>
            </w:r>
          </w:p>
        </w:tc>
        <w:tc>
          <w:tcPr>
            <w:tcW w:w="4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产生工序</w:t>
            </w:r>
          </w:p>
        </w:tc>
        <w:tc>
          <w:tcPr>
            <w:tcW w:w="6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废物名称</w:t>
            </w:r>
          </w:p>
        </w:tc>
        <w:tc>
          <w:tcPr>
            <w:tcW w:w="4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分类</w:t>
            </w:r>
          </w:p>
        </w:tc>
        <w:tc>
          <w:tcPr>
            <w:tcW w:w="77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kern w:val="2"/>
                <w:sz w:val="21"/>
                <w:szCs w:val="21"/>
                <w:vertAlign w:val="baseline"/>
                <w:lang w:val="en-US" w:eastAsia="zh-CN" w:bidi="ar-SA"/>
              </w:rPr>
            </w:pPr>
            <w:r>
              <w:rPr>
                <w:rFonts w:hint="eastAsia" w:ascii="Times New Roman" w:hAnsi="Times New Roman" w:eastAsia="宋体" w:cs="Times New Roman"/>
                <w:b/>
                <w:bCs/>
                <w:color w:val="auto"/>
                <w:sz w:val="21"/>
                <w:szCs w:val="21"/>
                <w:vertAlign w:val="baseline"/>
                <w:lang w:val="en-US" w:eastAsia="zh-CN"/>
              </w:rPr>
              <w:t>代码</w:t>
            </w:r>
          </w:p>
        </w:tc>
        <w:tc>
          <w:tcPr>
            <w:tcW w:w="4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性质</w:t>
            </w:r>
          </w:p>
        </w:tc>
        <w:tc>
          <w:tcPr>
            <w:tcW w:w="5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产生量t/a</w:t>
            </w:r>
          </w:p>
        </w:tc>
        <w:tc>
          <w:tcPr>
            <w:tcW w:w="11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处置措施/去向</w:t>
            </w:r>
          </w:p>
        </w:tc>
        <w:tc>
          <w:tcPr>
            <w:tcW w:w="3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4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水溶肥生产线</w:t>
            </w:r>
          </w:p>
        </w:tc>
        <w:tc>
          <w:tcPr>
            <w:tcW w:w="60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水溶肥</w:t>
            </w:r>
            <w:r>
              <w:rPr>
                <w:rFonts w:hint="eastAsia" w:ascii="Times New Roman" w:hAnsi="Times New Roman" w:eastAsia="宋体" w:cs="Times New Roman"/>
                <w:color w:val="auto"/>
                <w:sz w:val="21"/>
                <w:szCs w:val="21"/>
                <w:vertAlign w:val="baseline"/>
                <w:lang w:val="en-US" w:eastAsia="zh-CN"/>
              </w:rPr>
              <w:t>生产产生的下脚料</w:t>
            </w:r>
          </w:p>
        </w:tc>
        <w:tc>
          <w:tcPr>
            <w:tcW w:w="455"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SW59</w:t>
            </w:r>
          </w:p>
        </w:tc>
        <w:tc>
          <w:tcPr>
            <w:tcW w:w="770"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900-099-S59</w:t>
            </w:r>
          </w:p>
        </w:tc>
        <w:tc>
          <w:tcPr>
            <w:tcW w:w="4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一般固废</w:t>
            </w:r>
          </w:p>
        </w:tc>
        <w:tc>
          <w:tcPr>
            <w:tcW w:w="5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25</w:t>
            </w:r>
          </w:p>
        </w:tc>
        <w:tc>
          <w:tcPr>
            <w:tcW w:w="11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回用于生物有机肥生产线</w:t>
            </w:r>
          </w:p>
        </w:tc>
        <w:tc>
          <w:tcPr>
            <w:tcW w:w="3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2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4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油脂加工</w:t>
            </w:r>
          </w:p>
        </w:tc>
        <w:tc>
          <w:tcPr>
            <w:tcW w:w="60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动植物油水解</w:t>
            </w:r>
            <w:r>
              <w:rPr>
                <w:rFonts w:hint="eastAsia" w:ascii="Times New Roman" w:hAnsi="Times New Roman" w:eastAsia="宋体" w:cs="Times New Roman"/>
                <w:color w:val="auto"/>
                <w:sz w:val="21"/>
                <w:szCs w:val="21"/>
                <w:vertAlign w:val="baseline"/>
                <w:lang w:val="en-US" w:eastAsia="zh-CN"/>
              </w:rPr>
              <w:t>产生的下脚料</w:t>
            </w:r>
          </w:p>
        </w:tc>
        <w:tc>
          <w:tcPr>
            <w:tcW w:w="455"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SW59</w:t>
            </w:r>
          </w:p>
        </w:tc>
        <w:tc>
          <w:tcPr>
            <w:tcW w:w="770"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900-099-S59</w:t>
            </w:r>
          </w:p>
        </w:tc>
        <w:tc>
          <w:tcPr>
            <w:tcW w:w="4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一般固废</w:t>
            </w:r>
          </w:p>
        </w:tc>
        <w:tc>
          <w:tcPr>
            <w:tcW w:w="5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500</w:t>
            </w:r>
          </w:p>
        </w:tc>
        <w:tc>
          <w:tcPr>
            <w:tcW w:w="11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回用于生物有机肥生产线</w:t>
            </w:r>
          </w:p>
        </w:tc>
        <w:tc>
          <w:tcPr>
            <w:tcW w:w="3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4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皂脚酸化</w:t>
            </w:r>
          </w:p>
        </w:tc>
        <w:tc>
          <w:tcPr>
            <w:tcW w:w="60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皂脚</w:t>
            </w:r>
            <w:r>
              <w:rPr>
                <w:rFonts w:hint="eastAsia" w:ascii="Times New Roman" w:hAnsi="Times New Roman" w:eastAsia="宋体" w:cs="Times New Roman"/>
                <w:color w:val="auto"/>
                <w:sz w:val="21"/>
                <w:szCs w:val="21"/>
                <w:vertAlign w:val="baseline"/>
                <w:lang w:val="en-US" w:eastAsia="zh-CN"/>
              </w:rPr>
              <w:t>酸化产生的下脚料</w:t>
            </w:r>
          </w:p>
        </w:tc>
        <w:tc>
          <w:tcPr>
            <w:tcW w:w="455"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SW13</w:t>
            </w:r>
          </w:p>
        </w:tc>
        <w:tc>
          <w:tcPr>
            <w:tcW w:w="770"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133-002-S13</w:t>
            </w:r>
          </w:p>
        </w:tc>
        <w:tc>
          <w:tcPr>
            <w:tcW w:w="4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一般固废</w:t>
            </w:r>
          </w:p>
        </w:tc>
        <w:tc>
          <w:tcPr>
            <w:tcW w:w="5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1500</w:t>
            </w:r>
          </w:p>
        </w:tc>
        <w:tc>
          <w:tcPr>
            <w:tcW w:w="11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回用于生物有机肥生产线</w:t>
            </w:r>
          </w:p>
        </w:tc>
        <w:tc>
          <w:tcPr>
            <w:tcW w:w="3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废气处理设备</w:t>
            </w:r>
          </w:p>
        </w:tc>
        <w:tc>
          <w:tcPr>
            <w:tcW w:w="6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废活性炭</w:t>
            </w:r>
          </w:p>
        </w:tc>
        <w:tc>
          <w:tcPr>
            <w:tcW w:w="4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HW49</w:t>
            </w:r>
          </w:p>
        </w:tc>
        <w:tc>
          <w:tcPr>
            <w:tcW w:w="77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900-039-49</w:t>
            </w:r>
          </w:p>
        </w:tc>
        <w:tc>
          <w:tcPr>
            <w:tcW w:w="4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危险废物</w:t>
            </w:r>
          </w:p>
        </w:tc>
        <w:tc>
          <w:tcPr>
            <w:tcW w:w="5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w:t>
            </w:r>
          </w:p>
        </w:tc>
        <w:tc>
          <w:tcPr>
            <w:tcW w:w="11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交由有资质单位处置</w:t>
            </w:r>
          </w:p>
        </w:tc>
        <w:tc>
          <w:tcPr>
            <w:tcW w:w="62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w:t>
            </w:r>
          </w:p>
        </w:tc>
        <w:tc>
          <w:tcPr>
            <w:tcW w:w="4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拆卸维修</w:t>
            </w:r>
          </w:p>
        </w:tc>
        <w:tc>
          <w:tcPr>
            <w:tcW w:w="6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废机油</w:t>
            </w:r>
          </w:p>
        </w:tc>
        <w:tc>
          <w:tcPr>
            <w:tcW w:w="4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HW08</w:t>
            </w:r>
          </w:p>
        </w:tc>
        <w:tc>
          <w:tcPr>
            <w:tcW w:w="77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900-214-08</w:t>
            </w:r>
          </w:p>
        </w:tc>
        <w:tc>
          <w:tcPr>
            <w:tcW w:w="4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危险废物</w:t>
            </w:r>
          </w:p>
        </w:tc>
        <w:tc>
          <w:tcPr>
            <w:tcW w:w="5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11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交由有资质单位处置</w:t>
            </w:r>
          </w:p>
        </w:tc>
        <w:tc>
          <w:tcPr>
            <w:tcW w:w="62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w:t>
            </w:r>
          </w:p>
        </w:tc>
        <w:tc>
          <w:tcPr>
            <w:tcW w:w="4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生活区</w:t>
            </w:r>
          </w:p>
        </w:tc>
        <w:tc>
          <w:tcPr>
            <w:tcW w:w="6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生活垃圾</w:t>
            </w:r>
          </w:p>
        </w:tc>
        <w:tc>
          <w:tcPr>
            <w:tcW w:w="4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SW64</w:t>
            </w:r>
          </w:p>
        </w:tc>
        <w:tc>
          <w:tcPr>
            <w:tcW w:w="77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900-099-S64</w:t>
            </w:r>
          </w:p>
        </w:tc>
        <w:tc>
          <w:tcPr>
            <w:tcW w:w="4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生活垃圾</w:t>
            </w:r>
          </w:p>
        </w:tc>
        <w:tc>
          <w:tcPr>
            <w:tcW w:w="5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w:t>
            </w:r>
          </w:p>
        </w:tc>
        <w:tc>
          <w:tcPr>
            <w:tcW w:w="11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园区环卫部门统一清运</w:t>
            </w:r>
          </w:p>
        </w:tc>
        <w:tc>
          <w:tcPr>
            <w:tcW w:w="62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w:t>
            </w:r>
          </w:p>
        </w:tc>
        <w:tc>
          <w:tcPr>
            <w:tcW w:w="4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储罐清洗</w:t>
            </w:r>
          </w:p>
        </w:tc>
        <w:tc>
          <w:tcPr>
            <w:tcW w:w="6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储罐清洗含油废水</w:t>
            </w:r>
          </w:p>
        </w:tc>
        <w:tc>
          <w:tcPr>
            <w:tcW w:w="4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HW08</w:t>
            </w:r>
          </w:p>
        </w:tc>
        <w:tc>
          <w:tcPr>
            <w:tcW w:w="77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900-201-08</w:t>
            </w:r>
          </w:p>
        </w:tc>
        <w:tc>
          <w:tcPr>
            <w:tcW w:w="4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危险废物</w:t>
            </w:r>
          </w:p>
        </w:tc>
        <w:tc>
          <w:tcPr>
            <w:tcW w:w="5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0.3</w:t>
            </w:r>
          </w:p>
        </w:tc>
        <w:tc>
          <w:tcPr>
            <w:tcW w:w="11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清洗完成后委托具有相应处理资质的单位进行处置，不在厂区储存</w:t>
            </w:r>
          </w:p>
        </w:tc>
        <w:tc>
          <w:tcPr>
            <w:tcW w:w="62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2" w:type="pct"/>
            <w:gridSpan w:val="6"/>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总计</w:t>
            </w:r>
          </w:p>
        </w:tc>
        <w:tc>
          <w:tcPr>
            <w:tcW w:w="5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2035.8</w:t>
            </w:r>
          </w:p>
        </w:tc>
        <w:tc>
          <w:tcPr>
            <w:tcW w:w="11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合理处置</w:t>
            </w:r>
          </w:p>
        </w:tc>
        <w:tc>
          <w:tcPr>
            <w:tcW w:w="3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16.3</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3.4.3 运营期项目“三废”排放情况统计</w:t>
      </w:r>
    </w:p>
    <w:p>
      <w:pPr>
        <w:pStyle w:val="10"/>
        <w:keepNext w:val="0"/>
        <w:keepLines w:val="0"/>
        <w:pageBreakBefore w:val="0"/>
        <w:widowControl w:val="0"/>
        <w:kinsoku/>
        <w:wordWrap/>
        <w:overflowPunct/>
        <w:topLinePunct/>
        <w:autoSpaceDE/>
        <w:autoSpaceDN/>
        <w:bidi w:val="0"/>
        <w:adjustRightInd/>
        <w:snapToGrid/>
        <w:spacing w:after="0" w:line="560" w:lineRule="exact"/>
        <w:ind w:left="0" w:leftChars="0" w:firstLine="480" w:firstLineChars="200"/>
        <w:textAlignment w:val="auto"/>
        <w:rPr>
          <w:rFonts w:hint="default" w:ascii="Times New Roman" w:hAnsi="Times New Roman" w:eastAsia="宋体" w:cs="Times New Roman"/>
          <w:color w:val="auto"/>
          <w:sz w:val="24"/>
          <w:szCs w:val="24"/>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default" w:ascii="Times New Roman" w:hAnsi="Times New Roman" w:eastAsia="宋体" w:cs="Times New Roman"/>
          <w:color w:val="auto"/>
          <w:sz w:val="24"/>
          <w:szCs w:val="24"/>
        </w:rPr>
        <w:t>项目“三废”排放情况统计详见表</w:t>
      </w:r>
      <w:r>
        <w:rPr>
          <w:rFonts w:hint="default" w:ascii="Times New Roman" w:hAnsi="Times New Roman" w:eastAsia="宋体" w:cs="Times New Roman"/>
          <w:color w:val="auto"/>
          <w:sz w:val="24"/>
          <w:szCs w:val="24"/>
          <w:lang w:val="en-US" w:eastAsia="zh-CN"/>
        </w:rPr>
        <w:t xml:space="preserve"> 3.</w:t>
      </w:r>
      <w:r>
        <w:rPr>
          <w:rFonts w:hint="eastAsia" w:ascii="Times New Roman" w:hAnsi="Times New Roman" w:eastAsia="宋体" w:cs="Times New Roman"/>
          <w:color w:val="auto"/>
          <w:sz w:val="24"/>
          <w:szCs w:val="24"/>
          <w:lang w:val="en-US" w:eastAsia="zh-CN"/>
        </w:rPr>
        <w:t>4.2-11</w:t>
      </w:r>
      <w:r>
        <w:rPr>
          <w:rFonts w:hint="default" w:ascii="Times New Roman" w:hAnsi="Times New Roman" w:eastAsia="宋体" w:cs="Times New Roman"/>
          <w:color w:val="auto"/>
          <w:sz w:val="24"/>
          <w:szCs w:val="24"/>
        </w:rPr>
        <w:t>。</w:t>
      </w:r>
    </w:p>
    <w:p>
      <w:pPr>
        <w:jc w:val="center"/>
        <w:rPr>
          <w:rFonts w:hint="eastAsia"/>
          <w:color w:val="auto"/>
          <w:lang w:val="en-US" w:eastAsia="zh-CN"/>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szCs w:val="24"/>
          <w:lang w:val="en-US" w:eastAsia="zh-CN"/>
        </w:rPr>
        <w:t xml:space="preserve"> 3.4.2-</w:t>
      </w:r>
      <w:r>
        <w:rPr>
          <w:rFonts w:hint="eastAsia" w:ascii="Times New Roman" w:hAnsi="Times New Roman" w:eastAsia="宋体" w:cs="Times New Roman"/>
          <w:b/>
          <w:bCs/>
          <w:color w:val="auto"/>
          <w:sz w:val="24"/>
          <w:szCs w:val="24"/>
          <w:lang w:val="en-US" w:eastAsia="zh-CN"/>
        </w:rPr>
        <w:t>11</w:t>
      </w:r>
      <w:r>
        <w:rPr>
          <w:rFonts w:hint="default" w:ascii="Times New Roman" w:hAnsi="Times New Roman" w:eastAsia="宋体" w:cs="Times New Roman"/>
          <w:b/>
          <w:bCs/>
          <w:color w:val="auto"/>
          <w:sz w:val="24"/>
          <w:szCs w:val="24"/>
        </w:rPr>
        <w:t xml:space="preserve">    </w:t>
      </w:r>
      <w:r>
        <w:rPr>
          <w:rFonts w:hint="default" w:ascii="Times New Roman" w:hAnsi="Times New Roman" w:eastAsia="宋体" w:cs="Times New Roman"/>
          <w:b/>
          <w:bCs/>
          <w:color w:val="auto"/>
          <w:sz w:val="24"/>
          <w:szCs w:val="24"/>
          <w:lang w:val="en-US" w:eastAsia="zh-CN"/>
        </w:rPr>
        <w:t>本项目</w:t>
      </w:r>
      <w:r>
        <w:rPr>
          <w:rFonts w:hint="default" w:ascii="Times New Roman" w:hAnsi="Times New Roman" w:eastAsia="宋体" w:cs="Times New Roman"/>
          <w:b/>
          <w:bCs/>
          <w:color w:val="auto"/>
          <w:sz w:val="24"/>
          <w:szCs w:val="24"/>
        </w:rPr>
        <w:t>“三废”情况统计一览表</w:t>
      </w:r>
    </w:p>
    <w:tbl>
      <w:tblPr>
        <w:tblStyle w:val="53"/>
        <w:tblW w:w="1417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51"/>
        <w:gridCol w:w="1134"/>
        <w:gridCol w:w="2633"/>
        <w:gridCol w:w="1867"/>
        <w:gridCol w:w="2716"/>
        <w:gridCol w:w="1279"/>
        <w:gridCol w:w="1467"/>
        <w:gridCol w:w="21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085" w:type="dxa"/>
            <w:gridSpan w:val="2"/>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污染源</w:t>
            </w:r>
          </w:p>
        </w:tc>
        <w:tc>
          <w:tcPr>
            <w:tcW w:w="2633"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主要污染因子</w:t>
            </w:r>
          </w:p>
        </w:tc>
        <w:tc>
          <w:tcPr>
            <w:tcW w:w="18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产生量</w:t>
            </w:r>
          </w:p>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t/a</w:t>
            </w:r>
          </w:p>
        </w:tc>
        <w:tc>
          <w:tcPr>
            <w:tcW w:w="2716"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治理措施</w:t>
            </w:r>
          </w:p>
        </w:tc>
        <w:tc>
          <w:tcPr>
            <w:tcW w:w="1279"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削减量t/a</w:t>
            </w:r>
          </w:p>
        </w:tc>
        <w:tc>
          <w:tcPr>
            <w:tcW w:w="14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排放量</w:t>
            </w:r>
          </w:p>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t/a</w:t>
            </w:r>
          </w:p>
        </w:tc>
        <w:tc>
          <w:tcPr>
            <w:tcW w:w="2126"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排放方式/去向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085" w:type="dxa"/>
            <w:gridSpan w:val="2"/>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废水</w:t>
            </w:r>
          </w:p>
        </w:tc>
        <w:tc>
          <w:tcPr>
            <w:tcW w:w="263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highlight w:val="none"/>
              </w:rPr>
              <w:t>CODcr</w:t>
            </w:r>
          </w:p>
        </w:tc>
        <w:tc>
          <w:tcPr>
            <w:tcW w:w="18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71.5</w:t>
            </w:r>
          </w:p>
        </w:tc>
        <w:tc>
          <w:tcPr>
            <w:tcW w:w="2716" w:type="dxa"/>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生产废水全部回用于生产线，生活污水排入园区污水管网，最终流向污水处理厂</w:t>
            </w:r>
          </w:p>
        </w:tc>
        <w:tc>
          <w:tcPr>
            <w:tcW w:w="1279"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4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0.35</w:t>
            </w:r>
          </w:p>
        </w:tc>
        <w:tc>
          <w:tcPr>
            <w:tcW w:w="2126" w:type="dxa"/>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生产废水全部回用于生产线，生活污水排入园区污水管网，最终流向污水处理厂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085" w:type="dxa"/>
            <w:gridSpan w:val="2"/>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263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tc>
        <w:tc>
          <w:tcPr>
            <w:tcW w:w="18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33.8</w:t>
            </w:r>
          </w:p>
        </w:tc>
        <w:tc>
          <w:tcPr>
            <w:tcW w:w="271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1279"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4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0.25</w:t>
            </w:r>
          </w:p>
        </w:tc>
        <w:tc>
          <w:tcPr>
            <w:tcW w:w="212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085" w:type="dxa"/>
            <w:gridSpan w:val="2"/>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263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highlight w:val="none"/>
              </w:rPr>
              <w:t>SS</w:t>
            </w:r>
          </w:p>
        </w:tc>
        <w:tc>
          <w:tcPr>
            <w:tcW w:w="18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1.36</w:t>
            </w:r>
          </w:p>
        </w:tc>
        <w:tc>
          <w:tcPr>
            <w:tcW w:w="271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1279"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4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0.20</w:t>
            </w:r>
          </w:p>
        </w:tc>
        <w:tc>
          <w:tcPr>
            <w:tcW w:w="212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085" w:type="dxa"/>
            <w:gridSpan w:val="2"/>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263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-N</w:t>
            </w:r>
          </w:p>
        </w:tc>
        <w:tc>
          <w:tcPr>
            <w:tcW w:w="18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0.65</w:t>
            </w:r>
          </w:p>
        </w:tc>
        <w:tc>
          <w:tcPr>
            <w:tcW w:w="271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1279"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4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0.04</w:t>
            </w:r>
          </w:p>
        </w:tc>
        <w:tc>
          <w:tcPr>
            <w:tcW w:w="212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085" w:type="dxa"/>
            <w:gridSpan w:val="2"/>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263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油脂</w:t>
            </w:r>
          </w:p>
        </w:tc>
        <w:tc>
          <w:tcPr>
            <w:tcW w:w="18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0.06</w:t>
            </w:r>
          </w:p>
        </w:tc>
        <w:tc>
          <w:tcPr>
            <w:tcW w:w="271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1279"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4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212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951" w:type="dxa"/>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废气</w:t>
            </w:r>
          </w:p>
        </w:tc>
        <w:tc>
          <w:tcPr>
            <w:tcW w:w="1134" w:type="dxa"/>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有组织废气</w:t>
            </w:r>
          </w:p>
        </w:tc>
        <w:tc>
          <w:tcPr>
            <w:tcW w:w="2633"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18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8.4627</w:t>
            </w:r>
          </w:p>
        </w:tc>
        <w:tc>
          <w:tcPr>
            <w:tcW w:w="2716"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highlight w:val="none"/>
                <w:lang w:val="en-US" w:eastAsia="zh-CN"/>
              </w:rPr>
              <w:t>布袋除尘器</w:t>
            </w:r>
          </w:p>
        </w:tc>
        <w:tc>
          <w:tcPr>
            <w:tcW w:w="1279"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4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0.0</w:t>
            </w:r>
            <w:r>
              <w:rPr>
                <w:rFonts w:hint="eastAsia" w:cs="Times New Roman"/>
                <w:color w:val="auto"/>
                <w:kern w:val="0"/>
                <w:sz w:val="21"/>
                <w:szCs w:val="21"/>
                <w:lang w:val="en-US" w:eastAsia="zh-CN" w:bidi="ar-SA"/>
              </w:rPr>
              <w:t>9</w:t>
            </w:r>
          </w:p>
        </w:tc>
        <w:tc>
          <w:tcPr>
            <w:tcW w:w="2126" w:type="dxa"/>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外排大气环境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951"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1134"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2633"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非甲烷总烃</w:t>
            </w:r>
          </w:p>
        </w:tc>
        <w:tc>
          <w:tcPr>
            <w:tcW w:w="18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12.1</w:t>
            </w:r>
          </w:p>
        </w:tc>
        <w:tc>
          <w:tcPr>
            <w:tcW w:w="2716" w:type="dxa"/>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二级碱液喷淋塔+除湿+活性炭吸附箱</w:t>
            </w:r>
          </w:p>
        </w:tc>
        <w:tc>
          <w:tcPr>
            <w:tcW w:w="1279"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4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0.53</w:t>
            </w:r>
          </w:p>
        </w:tc>
        <w:tc>
          <w:tcPr>
            <w:tcW w:w="212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951"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1134"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2633"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NH</w:t>
            </w:r>
            <w:r>
              <w:rPr>
                <w:rFonts w:hint="default" w:ascii="Times New Roman" w:hAnsi="Times New Roman" w:eastAsia="宋体" w:cs="Times New Roman"/>
                <w:color w:val="auto"/>
                <w:kern w:val="0"/>
                <w:sz w:val="21"/>
                <w:szCs w:val="21"/>
                <w:highlight w:val="none"/>
                <w:vertAlign w:val="subscript"/>
                <w:lang w:val="en-US" w:eastAsia="zh-CN" w:bidi="ar-SA"/>
              </w:rPr>
              <w:t>3</w:t>
            </w:r>
          </w:p>
        </w:tc>
        <w:tc>
          <w:tcPr>
            <w:tcW w:w="18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1.62526</w:t>
            </w:r>
          </w:p>
        </w:tc>
        <w:tc>
          <w:tcPr>
            <w:tcW w:w="271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1279"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4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0.095</w:t>
            </w:r>
          </w:p>
        </w:tc>
        <w:tc>
          <w:tcPr>
            <w:tcW w:w="212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951"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1134"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2633"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H</w:t>
            </w:r>
            <w:r>
              <w:rPr>
                <w:rFonts w:hint="default" w:ascii="Times New Roman" w:hAnsi="Times New Roman" w:eastAsia="宋体" w:cs="Times New Roman"/>
                <w:color w:val="auto"/>
                <w:kern w:val="0"/>
                <w:sz w:val="21"/>
                <w:szCs w:val="21"/>
                <w:highlight w:val="none"/>
                <w:vertAlign w:val="subscript"/>
                <w:lang w:val="en-US" w:eastAsia="zh-CN" w:bidi="ar-SA"/>
              </w:rPr>
              <w:t>2</w:t>
            </w:r>
            <w:r>
              <w:rPr>
                <w:rFonts w:hint="default" w:ascii="Times New Roman" w:hAnsi="Times New Roman" w:eastAsia="宋体" w:cs="Times New Roman"/>
                <w:color w:val="auto"/>
                <w:kern w:val="0"/>
                <w:sz w:val="21"/>
                <w:szCs w:val="21"/>
                <w:highlight w:val="none"/>
                <w:lang w:val="en-US" w:eastAsia="zh-CN" w:bidi="ar-SA"/>
              </w:rPr>
              <w:t>S</w:t>
            </w:r>
          </w:p>
        </w:tc>
        <w:tc>
          <w:tcPr>
            <w:tcW w:w="18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0.128832</w:t>
            </w:r>
          </w:p>
        </w:tc>
        <w:tc>
          <w:tcPr>
            <w:tcW w:w="271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1279"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4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0.130328</w:t>
            </w:r>
          </w:p>
        </w:tc>
        <w:tc>
          <w:tcPr>
            <w:tcW w:w="212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951"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p>
        </w:tc>
        <w:tc>
          <w:tcPr>
            <w:tcW w:w="1134"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p>
        </w:tc>
        <w:tc>
          <w:tcPr>
            <w:tcW w:w="2633"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油烟</w:t>
            </w:r>
          </w:p>
        </w:tc>
        <w:tc>
          <w:tcPr>
            <w:tcW w:w="18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0.043</w:t>
            </w:r>
          </w:p>
        </w:tc>
        <w:tc>
          <w:tcPr>
            <w:tcW w:w="2716"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净电除油</w:t>
            </w:r>
          </w:p>
        </w:tc>
        <w:tc>
          <w:tcPr>
            <w:tcW w:w="1279"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4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0.00645</w:t>
            </w:r>
          </w:p>
        </w:tc>
        <w:tc>
          <w:tcPr>
            <w:tcW w:w="212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951"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1134" w:type="dxa"/>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无组织废气</w:t>
            </w:r>
          </w:p>
        </w:tc>
        <w:tc>
          <w:tcPr>
            <w:tcW w:w="2633"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颗粒物</w:t>
            </w:r>
          </w:p>
        </w:tc>
        <w:tc>
          <w:tcPr>
            <w:tcW w:w="18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0.9403</w:t>
            </w:r>
          </w:p>
        </w:tc>
        <w:tc>
          <w:tcPr>
            <w:tcW w:w="2716"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279"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4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0.9403</w:t>
            </w:r>
          </w:p>
        </w:tc>
        <w:tc>
          <w:tcPr>
            <w:tcW w:w="212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951"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1134"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2633"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非甲烷总烃</w:t>
            </w:r>
          </w:p>
        </w:tc>
        <w:tc>
          <w:tcPr>
            <w:tcW w:w="18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1.032</w:t>
            </w:r>
          </w:p>
        </w:tc>
        <w:tc>
          <w:tcPr>
            <w:tcW w:w="2716"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279"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4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1.032</w:t>
            </w:r>
          </w:p>
        </w:tc>
        <w:tc>
          <w:tcPr>
            <w:tcW w:w="212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951"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1134"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2633"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NH</w:t>
            </w:r>
            <w:r>
              <w:rPr>
                <w:rFonts w:hint="default" w:ascii="Times New Roman" w:hAnsi="Times New Roman" w:eastAsia="宋体" w:cs="Times New Roman"/>
                <w:color w:val="auto"/>
                <w:kern w:val="0"/>
                <w:sz w:val="21"/>
                <w:szCs w:val="21"/>
                <w:highlight w:val="none"/>
                <w:vertAlign w:val="subscript"/>
                <w:lang w:val="en-US" w:eastAsia="zh-CN" w:bidi="ar-SA"/>
              </w:rPr>
              <w:t>3</w:t>
            </w:r>
          </w:p>
        </w:tc>
        <w:tc>
          <w:tcPr>
            <w:tcW w:w="18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0.17169</w:t>
            </w:r>
          </w:p>
        </w:tc>
        <w:tc>
          <w:tcPr>
            <w:tcW w:w="2716"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279"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4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0.17169</w:t>
            </w:r>
          </w:p>
        </w:tc>
        <w:tc>
          <w:tcPr>
            <w:tcW w:w="212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951"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1134"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2633"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H</w:t>
            </w:r>
            <w:r>
              <w:rPr>
                <w:rFonts w:hint="default" w:ascii="Times New Roman" w:hAnsi="Times New Roman" w:eastAsia="宋体" w:cs="Times New Roman"/>
                <w:color w:val="auto"/>
                <w:kern w:val="0"/>
                <w:sz w:val="21"/>
                <w:szCs w:val="21"/>
                <w:highlight w:val="none"/>
                <w:vertAlign w:val="subscript"/>
                <w:lang w:val="en-US" w:eastAsia="zh-CN" w:bidi="ar-SA"/>
              </w:rPr>
              <w:t>2</w:t>
            </w:r>
            <w:r>
              <w:rPr>
                <w:rFonts w:hint="default" w:ascii="Times New Roman" w:hAnsi="Times New Roman" w:eastAsia="宋体" w:cs="Times New Roman"/>
                <w:color w:val="auto"/>
                <w:kern w:val="0"/>
                <w:sz w:val="21"/>
                <w:szCs w:val="21"/>
                <w:highlight w:val="none"/>
                <w:lang w:val="en-US" w:eastAsia="zh-CN" w:bidi="ar-SA"/>
              </w:rPr>
              <w:t>S</w:t>
            </w:r>
          </w:p>
        </w:tc>
        <w:tc>
          <w:tcPr>
            <w:tcW w:w="18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0.014178</w:t>
            </w:r>
          </w:p>
        </w:tc>
        <w:tc>
          <w:tcPr>
            <w:tcW w:w="2716"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279"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4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0.014178</w:t>
            </w:r>
          </w:p>
        </w:tc>
        <w:tc>
          <w:tcPr>
            <w:tcW w:w="212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951"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1134"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2633"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油烟</w:t>
            </w:r>
          </w:p>
        </w:tc>
        <w:tc>
          <w:tcPr>
            <w:tcW w:w="18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0.002</w:t>
            </w:r>
          </w:p>
        </w:tc>
        <w:tc>
          <w:tcPr>
            <w:tcW w:w="2716"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279"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4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0.002</w:t>
            </w:r>
          </w:p>
        </w:tc>
        <w:tc>
          <w:tcPr>
            <w:tcW w:w="212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951"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1134"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2633"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甲醇</w:t>
            </w:r>
          </w:p>
        </w:tc>
        <w:tc>
          <w:tcPr>
            <w:tcW w:w="18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0.005</w:t>
            </w:r>
          </w:p>
        </w:tc>
        <w:tc>
          <w:tcPr>
            <w:tcW w:w="2716"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279"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4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0.005</w:t>
            </w:r>
          </w:p>
        </w:tc>
        <w:tc>
          <w:tcPr>
            <w:tcW w:w="212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2085" w:type="dxa"/>
            <w:gridSpan w:val="2"/>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固体废物</w:t>
            </w:r>
          </w:p>
        </w:tc>
        <w:tc>
          <w:tcPr>
            <w:tcW w:w="263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水溶肥生产产生的下脚料</w:t>
            </w:r>
          </w:p>
        </w:tc>
        <w:tc>
          <w:tcPr>
            <w:tcW w:w="18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vertAlign w:val="baseline"/>
                <w:lang w:val="en-US" w:eastAsia="zh-CN"/>
              </w:rPr>
              <w:t>25</w:t>
            </w:r>
          </w:p>
        </w:tc>
        <w:tc>
          <w:tcPr>
            <w:tcW w:w="2716" w:type="dxa"/>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回用于生物有机肥生产线</w:t>
            </w:r>
          </w:p>
        </w:tc>
        <w:tc>
          <w:tcPr>
            <w:tcW w:w="1279"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4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2126" w:type="dxa"/>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回用于生物有机肥生产线</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085" w:type="dxa"/>
            <w:gridSpan w:val="2"/>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263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动植物油水解产生的下脚料</w:t>
            </w:r>
          </w:p>
        </w:tc>
        <w:tc>
          <w:tcPr>
            <w:tcW w:w="18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vertAlign w:val="baseline"/>
                <w:lang w:val="en-US" w:eastAsia="zh-CN"/>
              </w:rPr>
              <w:t>500</w:t>
            </w:r>
          </w:p>
        </w:tc>
        <w:tc>
          <w:tcPr>
            <w:tcW w:w="271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1279"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4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212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085" w:type="dxa"/>
            <w:gridSpan w:val="2"/>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263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皂脚酸化产生的下脚料</w:t>
            </w:r>
          </w:p>
        </w:tc>
        <w:tc>
          <w:tcPr>
            <w:tcW w:w="18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vertAlign w:val="baseline"/>
                <w:lang w:val="en-US" w:eastAsia="zh-CN"/>
              </w:rPr>
              <w:t>1500</w:t>
            </w:r>
          </w:p>
        </w:tc>
        <w:tc>
          <w:tcPr>
            <w:tcW w:w="271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1279"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4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212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2085" w:type="dxa"/>
            <w:gridSpan w:val="2"/>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263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废活性炭</w:t>
            </w:r>
          </w:p>
        </w:tc>
        <w:tc>
          <w:tcPr>
            <w:tcW w:w="18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vertAlign w:val="baseline"/>
                <w:lang w:val="en-US" w:eastAsia="zh-CN"/>
              </w:rPr>
              <w:t>6</w:t>
            </w:r>
          </w:p>
        </w:tc>
        <w:tc>
          <w:tcPr>
            <w:tcW w:w="2716" w:type="dxa"/>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危废</w:t>
            </w:r>
            <w:r>
              <w:rPr>
                <w:rFonts w:hint="default" w:ascii="Times New Roman" w:hAnsi="Times New Roman" w:eastAsia="宋体" w:cs="Times New Roman"/>
                <w:color w:val="auto"/>
                <w:sz w:val="21"/>
                <w:szCs w:val="21"/>
                <w:lang w:val="en-US" w:eastAsia="zh-CN"/>
              </w:rPr>
              <w:t>暂存间</w:t>
            </w:r>
            <w:r>
              <w:rPr>
                <w:rFonts w:hint="default" w:ascii="Times New Roman" w:hAnsi="Times New Roman" w:eastAsia="宋体" w:cs="Times New Roman"/>
                <w:color w:val="auto"/>
                <w:sz w:val="21"/>
                <w:szCs w:val="21"/>
                <w:highlight w:val="none"/>
                <w:lang w:val="en-US" w:eastAsia="zh-CN"/>
              </w:rPr>
              <w:t>贮存</w:t>
            </w:r>
          </w:p>
        </w:tc>
        <w:tc>
          <w:tcPr>
            <w:tcW w:w="1279"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4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vertAlign w:val="baseline"/>
                <w:lang w:val="en-US" w:eastAsia="zh-CN"/>
              </w:rPr>
              <w:t>6</w:t>
            </w:r>
          </w:p>
        </w:tc>
        <w:tc>
          <w:tcPr>
            <w:tcW w:w="2126" w:type="dxa"/>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委托有资质单位处置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085" w:type="dxa"/>
            <w:gridSpan w:val="2"/>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263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废机油</w:t>
            </w:r>
          </w:p>
        </w:tc>
        <w:tc>
          <w:tcPr>
            <w:tcW w:w="18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vertAlign w:val="baseline"/>
                <w:lang w:val="en-US" w:eastAsia="zh-CN"/>
              </w:rPr>
              <w:t>1</w:t>
            </w:r>
          </w:p>
        </w:tc>
        <w:tc>
          <w:tcPr>
            <w:tcW w:w="271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1279"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4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vertAlign w:val="baseline"/>
                <w:lang w:val="en-US" w:eastAsia="zh-CN"/>
              </w:rPr>
              <w:t>1</w:t>
            </w:r>
          </w:p>
        </w:tc>
        <w:tc>
          <w:tcPr>
            <w:tcW w:w="212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085" w:type="dxa"/>
            <w:gridSpan w:val="2"/>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263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储罐清洗含油废水</w:t>
            </w:r>
          </w:p>
        </w:tc>
        <w:tc>
          <w:tcPr>
            <w:tcW w:w="18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vertAlign w:val="baseline"/>
                <w:lang w:val="en-US" w:eastAsia="zh-CN"/>
              </w:rPr>
              <w:t>0.3</w:t>
            </w:r>
          </w:p>
        </w:tc>
        <w:tc>
          <w:tcPr>
            <w:tcW w:w="2716"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储罐清洗完成后送至资质单位处置，不在厂区储存</w:t>
            </w:r>
          </w:p>
        </w:tc>
        <w:tc>
          <w:tcPr>
            <w:tcW w:w="1279"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46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0.3</w:t>
            </w:r>
          </w:p>
        </w:tc>
        <w:tc>
          <w:tcPr>
            <w:tcW w:w="2126"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085" w:type="dxa"/>
            <w:gridSpan w:val="2"/>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rPr>
            </w:pPr>
          </w:p>
        </w:tc>
        <w:tc>
          <w:tcPr>
            <w:tcW w:w="263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生活垃圾</w:t>
            </w:r>
          </w:p>
        </w:tc>
        <w:tc>
          <w:tcPr>
            <w:tcW w:w="18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vertAlign w:val="baseline"/>
                <w:lang w:val="en-US" w:eastAsia="zh-CN"/>
              </w:rPr>
              <w:t>9</w:t>
            </w:r>
          </w:p>
        </w:tc>
        <w:tc>
          <w:tcPr>
            <w:tcW w:w="2716"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垃圾桶</w:t>
            </w:r>
          </w:p>
        </w:tc>
        <w:tc>
          <w:tcPr>
            <w:tcW w:w="1279"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w:t>
            </w:r>
          </w:p>
        </w:tc>
        <w:tc>
          <w:tcPr>
            <w:tcW w:w="14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vertAlign w:val="baseline"/>
                <w:lang w:val="en-US" w:eastAsia="zh-CN"/>
              </w:rPr>
              <w:t>9</w:t>
            </w:r>
          </w:p>
        </w:tc>
        <w:tc>
          <w:tcPr>
            <w:tcW w:w="2126"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生活垃圾填埋场</w:t>
            </w:r>
          </w:p>
        </w:tc>
      </w:tr>
    </w:tbl>
    <w:p>
      <w:pPr>
        <w:rPr>
          <w:rFonts w:hint="default"/>
          <w:color w:val="auto"/>
          <w:lang w:val="en-US" w:eastAsia="zh-CN"/>
        </w:rPr>
      </w:pPr>
      <w:r>
        <w:rPr>
          <w:rFonts w:hint="eastAsia"/>
          <w:color w:val="auto"/>
          <w:lang w:val="en-US" w:eastAsia="zh-CN"/>
        </w:rPr>
        <w:t xml:space="preserve"> </w:t>
      </w:r>
    </w:p>
    <w:p>
      <w:pPr>
        <w:rPr>
          <w:rFonts w:hint="eastAsia"/>
          <w:color w:val="auto"/>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b/>
          <w:bCs/>
          <w:color w:val="auto"/>
          <w:sz w:val="30"/>
          <w:szCs w:val="30"/>
          <w:lang w:val="en-US" w:eastAsia="zh-CN"/>
        </w:rPr>
      </w:pPr>
      <w:bookmarkStart w:id="18" w:name="_Toc16803"/>
      <w:r>
        <w:rPr>
          <w:rFonts w:hint="eastAsia" w:ascii="Times New Roman" w:hAnsi="Times New Roman" w:eastAsia="宋体" w:cs="Times New Roman"/>
          <w:b/>
          <w:bCs/>
          <w:color w:val="auto"/>
          <w:sz w:val="30"/>
          <w:szCs w:val="30"/>
          <w:lang w:val="en-US" w:eastAsia="zh-CN"/>
        </w:rPr>
        <w:t>3.5 总量控制及倍量替代要求</w:t>
      </w:r>
      <w:bookmarkEnd w:id="18"/>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3.5.1 总量控制因子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十四五”期间，国家继续实施主要污染物总量控制制度，将化学需氧量、氨氮、氮氧化物、挥发性有机物等主要污染物作为总量控制指标。根据项目所在区域环境特征，结合项目污染物排放特征，建议本项目实施总量控制的污染物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废气污染物：颗粒物：0.09t/a、VOCs（非甲烷总烃计）：0.53t/a。</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3.5.2 总量控制指标及倍量替代来源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根据《建设项目主要污染物排放总量控制指标审核及管理暂行办法》（环发〔2014〕197号文），“对于细颗粒物（PM</w:t>
      </w:r>
      <w:r>
        <w:rPr>
          <w:rFonts w:hint="eastAsia" w:ascii="Times New Roman" w:hAnsi="Times New Roman" w:eastAsia="宋体" w:cs="Times New Roman"/>
          <w:color w:val="auto"/>
          <w:sz w:val="24"/>
          <w:szCs w:val="24"/>
          <w:vertAlign w:val="subscript"/>
          <w:lang w:val="en-US" w:eastAsia="zh-CN"/>
        </w:rPr>
        <w:t>2.5</w:t>
      </w:r>
      <w:r>
        <w:rPr>
          <w:rFonts w:hint="eastAsia" w:ascii="Times New Roman" w:hAnsi="Times New Roman" w:eastAsia="宋体" w:cs="Times New Roman"/>
          <w:color w:val="auto"/>
          <w:sz w:val="24"/>
          <w:szCs w:val="24"/>
          <w:lang w:val="en-US" w:eastAsia="zh-CN"/>
        </w:rPr>
        <w:t>）年平均浓度不达标的城市，二氧化硫、氮氧化物、烟粉尘、挥发性有机物四项污染物均需进行 2 倍削减替代。地方有更严格倍量替代要求的，按照相关规定执行”。</w:t>
      </w:r>
    </w:p>
    <w:p>
      <w:pPr>
        <w:keepNext w:val="0"/>
        <w:keepLines w:val="0"/>
        <w:pageBreakBefore w:val="0"/>
        <w:widowControl w:val="0"/>
        <w:kinsoku/>
        <w:wordWrap/>
        <w:overflowPunct/>
        <w:topLinePunct w:val="0"/>
        <w:autoSpaceDE/>
        <w:autoSpaceDN/>
        <w:bidi w:val="0"/>
        <w:adjustRightInd/>
        <w:snapToGrid/>
        <w:spacing w:line="560" w:lineRule="exact"/>
        <w:ind w:left="239" w:leftChars="114" w:firstLine="240" w:firstLineChars="1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因此本项目削减替代量按照2倍替代，分别为颗粒物 0.18t/a、VOCs（非甲烷总烃计）1.06t/a。</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项目外排废水进入园区污水处理厂，因此不设废水污染物排放总量控制指标。</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b/>
          <w:bCs/>
          <w:color w:val="auto"/>
          <w:sz w:val="30"/>
          <w:szCs w:val="30"/>
          <w:lang w:val="en-US" w:eastAsia="zh-CN"/>
        </w:rPr>
      </w:pPr>
      <w:bookmarkStart w:id="19" w:name="_Toc2141"/>
      <w:r>
        <w:rPr>
          <w:rFonts w:hint="eastAsia" w:ascii="Times New Roman" w:hAnsi="Times New Roman" w:eastAsia="宋体" w:cs="Times New Roman"/>
          <w:b/>
          <w:bCs/>
          <w:color w:val="auto"/>
          <w:sz w:val="30"/>
          <w:szCs w:val="30"/>
          <w:lang w:val="en-US" w:eastAsia="zh-CN"/>
        </w:rPr>
        <w:t>3.6 清洁生产概述</w:t>
      </w:r>
      <w:bookmarkEnd w:id="19"/>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3.6.1 清洁生产水平分析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《建设项目环境保护管理条例》规定：“建设项目应当采用能耗物耗小、污染物产生量少的清洁生产工艺，合理利用自然资源，防止环境污染和生态破坏”。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拟建项目的生产特点，本清洁生产分析从原料和能源，工艺技术，设备，过程控制、生产管理、废物控制措施几方面，分析污染产生的原因，寻找节能降耗，减污增效的清洁生产机会，并提出清洁生产的替代方案。</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3.6.1.1 生产工艺与设备分析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拟建项目贯彻“生产可靠、节省投资、提高效益”的设计指导思想，在设计中根据项目的特点优化工艺设计方案，选择成熟、可靠和先进的生产工艺技术和装备。拟建项目采用连续水解法，对比传统的间歇式水解法，连续水解不需在生产过程中对产品进行放空后进行下一轮的产品生产，而是原料连续加入产品连续产出的过程，在高压环境下，原料的转化率比间歇式水解法高很多，且反应过程是在密闭水解塔中进行，因此，水解反应过程中废气排放量较小。</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3.6.1.2 资源能源分析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拟建项目使用的能源为电能，属清洁能源，从源头上控制了污染物的产生量，本项目以周边区域油脂厂产生的下脚料为主要原料，生产肥料和饲料油、磷脂油等产品。符合固废减量化、资源化、无害化处理的原则，又可创造一定的经济及社会效益，符合国家对清洁生产及循环经济的要求，工业用原辅材料硫酸等，从当地专业市场采购，避免化学品长途运输带来的风险，因此本项目原材料指标符合清洁生产的要求。</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3.6.1.3 产品分析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拟建项目的产品为</w:t>
      </w:r>
      <w:r>
        <w:rPr>
          <w:rFonts w:hint="eastAsia" w:ascii="Times New Roman" w:hAnsi="Times New Roman" w:eastAsia="宋体" w:cs="Times New Roman"/>
          <w:color w:val="auto"/>
          <w:sz w:val="24"/>
          <w:szCs w:val="24"/>
          <w:lang w:val="en-US" w:eastAsia="zh-CN"/>
        </w:rPr>
        <w:t>生物有机肥、</w:t>
      </w:r>
      <w:r>
        <w:rPr>
          <w:rFonts w:hint="default" w:ascii="Times New Roman" w:hAnsi="Times New Roman" w:eastAsia="宋体" w:cs="Times New Roman"/>
          <w:color w:val="auto"/>
          <w:sz w:val="24"/>
          <w:szCs w:val="24"/>
          <w:lang w:val="en-US" w:eastAsia="zh-CN"/>
        </w:rPr>
        <w:t>有机</w:t>
      </w:r>
      <w:r>
        <w:rPr>
          <w:rFonts w:hint="eastAsia" w:ascii="Times New Roman" w:hAnsi="Times New Roman" w:eastAsia="宋体" w:cs="Times New Roman"/>
          <w:color w:val="auto"/>
          <w:sz w:val="24"/>
          <w:szCs w:val="24"/>
          <w:lang w:val="en-US" w:eastAsia="zh-CN"/>
        </w:rPr>
        <w:t>无机复混</w:t>
      </w:r>
      <w:r>
        <w:rPr>
          <w:rFonts w:hint="default" w:ascii="Times New Roman" w:hAnsi="Times New Roman" w:eastAsia="宋体" w:cs="Times New Roman"/>
          <w:color w:val="auto"/>
          <w:sz w:val="24"/>
          <w:szCs w:val="24"/>
          <w:lang w:val="en-US" w:eastAsia="zh-CN"/>
        </w:rPr>
        <w:t>肥、饲料油、磷脂油、水溶肥</w:t>
      </w:r>
      <w:r>
        <w:rPr>
          <w:rFonts w:hint="eastAsia" w:ascii="Times New Roman" w:hAnsi="Times New Roman" w:eastAsia="宋体" w:cs="Times New Roman"/>
          <w:color w:val="auto"/>
          <w:sz w:val="24"/>
          <w:szCs w:val="24"/>
          <w:lang w:val="en-US" w:eastAsia="zh-CN"/>
        </w:rPr>
        <w:t>、钻井石油助剂</w:t>
      </w:r>
      <w:r>
        <w:rPr>
          <w:rFonts w:hint="default" w:ascii="Times New Roman" w:hAnsi="Times New Roman" w:eastAsia="宋体" w:cs="Times New Roman"/>
          <w:color w:val="auto"/>
          <w:sz w:val="24"/>
          <w:szCs w:val="24"/>
          <w:lang w:val="en-US" w:eastAsia="zh-CN"/>
        </w:rPr>
        <w:t>和</w:t>
      </w:r>
      <w:r>
        <w:rPr>
          <w:rFonts w:hint="eastAsia" w:ascii="Times New Roman" w:hAnsi="Times New Roman" w:eastAsia="宋体" w:cs="Times New Roman"/>
          <w:color w:val="auto"/>
          <w:sz w:val="24"/>
          <w:szCs w:val="24"/>
          <w:lang w:val="en-US" w:eastAsia="zh-CN"/>
        </w:rPr>
        <w:t>脂肪酸甲酯</w:t>
      </w:r>
      <w:r>
        <w:rPr>
          <w:rFonts w:hint="default" w:ascii="Times New Roman" w:hAnsi="Times New Roman" w:eastAsia="宋体" w:cs="Times New Roman"/>
          <w:color w:val="auto"/>
          <w:sz w:val="24"/>
          <w:szCs w:val="24"/>
          <w:lang w:val="en-US" w:eastAsia="zh-CN"/>
        </w:rPr>
        <w:t>以及后续加工的衍生产品，在回收加工过程中均不产生有害物质。</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3.6.1.4 污染物分析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本项目生产废水回用于水溶肥生产线。</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本项目采用电锅炉提供热源，从源头控制了污染物的产生，本项目工艺废气通过采取密闭收集等处理措施后通过 15m 高排气筒高空排放，企业废气能够做到达标排放。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本项目产生的固体废物均能综合利用或妥善处理。</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3.6.1.5 废物回收利用分析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拟建项目产生的含油废水回用于有机肥、水溶肥生产流程；皂脚酸化产生的下脚料、油脂加工产生的动植物油水解产生的下脚料及水溶肥产生的下脚料回用于生物有机肥生产线，生产废物全部回收利用。</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3.6.1.6 环境管理相关要求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环境管理制度</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拟建项目建设单位按照 ISO14000 环境管理模式进行操作，加强生产过程环境管理，相关方环境管理、开展清洁生产审核、健全环境管理制度等四方面进行有效的工作。着重点在于相关工作的文件记录和现场监测数据等环境管理文件和数据的齐备，此外，人员培训，员工素质的提高以及积极性的激励都是环境管理的内容之一。</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生产过程环境管理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建设单位重视生产管理，建成后对原材料消耗实行定额管理，将对能耗、水耗、产品合格率进行考核，各种人流、物料包括人的活动区域、物品堆放区域、危险品等有明显标识，对跑冒滴漏现象能够做好控制。</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3.6.2 清洁生产水平判定</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拟建项目与国内其他同行业厂家清洁生产指标对比，拟建项目在生产工艺及装备、资源能源利用、污染物产生、废物回收利用几项指标均优于其他企业。因此拟建项目的清洁生产水平处于国内同行业清洁生产先进水平。拟建项目属于国内清洁生产先进水平。</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3.6.3 循环经济分析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循环经济是对物质闭环流动型经济的简称，是以物质、能量梯次和闭路循环使用为特征的经济形态，它要求遵循生态学规律，合理利用自然资源和环境容量。循环经济把清洁生产、资源综合利用、生态设计和可持续消费等融为一体，实现废物减量化、资源化和无害化。使经济系统和谐纳入到自然生态系统的物质循环过程中。发展循环经济的根本目标是要在经济增长过程中系统地避免或减少废物产生，实现污染物低排放或零排放，从而从根本上解决长期以来环境与发展之间的冲突，促进经济和社会的全面、协调和可持续发展。</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拟建项目的循环经济主要体现在资源、能源的循环利用和废物在生产中或更大范围的利用上，拟建项目皂脚酸化产生的下脚料、油脂加工产生的动植物油水解产生的下脚料及水溶肥产生的下脚料回用于生物有机肥生产线，废水经储存后回用于生物有机肥及水溶肥生产流程。收尘经收集后可全部回用生产，项目的固体废物可实现“3R”原则，符合循环经济理念。</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3.6.4 清洁生产结论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eastAsia" w:ascii="Times New Roman" w:hAnsi="Times New Roman" w:eastAsia="宋体" w:cs="Times New Roman"/>
          <w:color w:val="auto"/>
          <w:sz w:val="24"/>
          <w:szCs w:val="24"/>
          <w:lang w:val="en-US" w:eastAsia="zh-CN"/>
        </w:rPr>
        <w:t xml:space="preserve">拟建项目主要原辅材料选用和能源使用符合国家清洁生产要求，原料主要选用皂脚及废动植物油脂，属于资源综合利用项目；生产工艺技术设备成熟先进，末端治理有效，产品生命周期内对环境和人体健康影响小，体现节能降耗减排；生产工艺满足国内清洁生产先进水平；项目生产废水循环使用，一般固体废物综合利用，实现“3R”原则，符合循环经济理念。因此，本项目符合清洁生产和循环经济要求。 </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0"/>
        <w:rPr>
          <w:rFonts w:hint="default" w:ascii="Times New Roman" w:hAnsi="Times New Roman" w:eastAsia="宋体" w:cs="Times New Roman"/>
          <w:color w:val="auto"/>
          <w:sz w:val="24"/>
          <w:szCs w:val="24"/>
          <w:lang w:val="en-US" w:eastAsia="zh-CN"/>
        </w:rPr>
      </w:pPr>
      <w:bookmarkStart w:id="20" w:name="_Toc11099"/>
      <w:r>
        <w:rPr>
          <w:rFonts w:hint="eastAsia" w:ascii="Times New Roman" w:hAnsi="Times New Roman" w:eastAsia="宋体" w:cs="Times New Roman"/>
          <w:b/>
          <w:bCs/>
          <w:color w:val="auto"/>
          <w:sz w:val="32"/>
          <w:szCs w:val="32"/>
          <w:lang w:val="en-US" w:eastAsia="zh-CN"/>
        </w:rPr>
        <w:t>4 环境现状调查与评价</w:t>
      </w:r>
      <w:bookmarkEnd w:id="20"/>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b/>
          <w:bCs/>
          <w:color w:val="auto"/>
          <w:sz w:val="30"/>
          <w:szCs w:val="30"/>
          <w:lang w:val="en-US" w:eastAsia="zh-CN"/>
        </w:rPr>
      </w:pPr>
      <w:bookmarkStart w:id="21" w:name="_Toc4623"/>
      <w:r>
        <w:rPr>
          <w:rFonts w:hint="eastAsia" w:ascii="Times New Roman" w:hAnsi="Times New Roman" w:eastAsia="宋体" w:cs="Times New Roman"/>
          <w:b/>
          <w:bCs/>
          <w:color w:val="auto"/>
          <w:sz w:val="30"/>
          <w:szCs w:val="30"/>
          <w:lang w:val="en-US" w:eastAsia="zh-CN"/>
        </w:rPr>
        <w:t>4.1 自然环境现状调查与评价</w:t>
      </w:r>
      <w:bookmarkEnd w:id="21"/>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4.1.1 地理位置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呼图壁县位于天山北坡中段，准噶尔盆地南缘，地处北纬 43°16′～45°20′之间，东经 86°05′～87°07′26″。素有“西出隘口，东进咽喉”之称，是古丝绸路新北道上的重要驿站。东与昌吉市接壤，西与</w:t>
      </w:r>
      <w:r>
        <w:rPr>
          <w:rFonts w:hint="eastAsia" w:ascii="Times New Roman" w:hAnsi="Times New Roman" w:eastAsia="宋体" w:cs="Times New Roman"/>
          <w:color w:val="auto"/>
          <w:sz w:val="24"/>
          <w:szCs w:val="24"/>
          <w:lang w:val="en-US" w:eastAsia="zh-CN"/>
        </w:rPr>
        <w:t>玛纳斯县</w:t>
      </w:r>
      <w:r>
        <w:rPr>
          <w:rFonts w:hint="default" w:ascii="Times New Roman" w:hAnsi="Times New Roman" w:eastAsia="宋体" w:cs="Times New Roman"/>
          <w:color w:val="auto"/>
          <w:sz w:val="24"/>
          <w:szCs w:val="24"/>
          <w:lang w:val="en-US" w:eastAsia="zh-CN"/>
        </w:rPr>
        <w:t>毗邻，南以天山分水线与巴音郭楞蒙古自治州和静县为界，北同塔城地区和布克赛尔蒙古自治县相连。南北长 227 公里，东西最大宽度 48 公里。总面积 9517 平方公里。县人民政府驻地呼图壁镇，东距新疆维吾尔自治区首府乌鲁木齐市 76 公里，距昌吉回族自治州首府昌吉市 41 公里</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拟建项目厂址位于新疆维吾尔自治区昌吉州呼图壁工业园西区内，厂址东侧为呼图壁县安泰水泥有限责任公司，南侧紧邻爱特路，西侧紧邻园区道路，北侧为新疆助农丰节水管材有限责任公司，厂址中心地理坐标为：E86°35'13.264"，N44°16'43.095。</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4.1.2 地形地貌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呼图壁县位于天山北麓山前冲积洪平原，准噶尔盆地南缘的冲洪积扇的下部，地形南高北低，坡降约 2‰，区内地势平坦。境内地形大致可分为三部分：南部为高山、丘陵，平均海拔 2400 余 m，占总面积的 31.6％；中部为冲积平原，海拔在 460～700m 之间，土壤肥沃，土层厚度 0.5～10m，倾斜坡降率 0.05～3‰，是农作物种植区，占总面积 43.2％；北部为沙漠地带，海拔在 360～460m 之间。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呼图壁工业园西区位于雀儿沟河下游冲积平原中下部，地形南高北低，坡度小于 7‰，地表由巨厚的第四系冲积物所覆盖。</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本项目位于呼图壁工业园西区，厂区场地地形平坦，已经过简单平整，海拔高度为 482m，土壤类型为粉土、粉质粘土砂。</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4.1.3 地质概况</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kern w:val="0"/>
          <w:sz w:val="24"/>
          <w:szCs w:val="24"/>
          <w:lang w:val="en-US" w:eastAsia="zh-CN"/>
        </w:rPr>
      </w:pPr>
      <w:r>
        <w:rPr>
          <w:rFonts w:hint="eastAsia" w:ascii="Times New Roman" w:hAnsi="Times New Roman" w:eastAsia="宋体" w:cs="Times New Roman"/>
          <w:b/>
          <w:bCs/>
          <w:color w:val="auto"/>
          <w:kern w:val="0"/>
          <w:sz w:val="24"/>
          <w:szCs w:val="24"/>
          <w:lang w:val="en-US" w:eastAsia="zh-CN"/>
        </w:rPr>
        <w:t>4.1.3.1 区域地质概况</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（1）区域地质构造</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该区域位于天山北麓山前平原之上，在大地构造上跨越了两大单元，北天山地向斜褶皱带和准噶尔凹陷区。由于更新世以前及中晚期燕山运动，喜马拉雅山运动，使山前凹陷带中的中新生界地层发生褶皱，形成轴向于天山平行的一系列背斜和向斜。南部山区的隆起，趁机中心向北推移，在凹陷中心沉积了巨厚的第四系沉积物。</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（2）区域地层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区内出露的地层主要为古生界、中生界和新生界。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古生界、中生界出露于县域南部山区，主要为志留系、泥盆系、石炭系、三叠系、白垩系，主要岩性为凝灰岩、灰岩、砂岩、砂砾岩等。</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第三系：出露于山前丘陵地区，属下第三系玛纳斯组及上第三系小渠子组，为一套紫红色砂岩和灰绿色泥岩、砂岩互层，层理明显，与上覆第四系为角度不整合接触。</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第四系：广泛分布于山前倾斜平原及沙漠区，属 Q1-Q4 的冰水沉积物、冲洪积物及风积物，主要岩性为卵砾石、砂砾石、砂及亚砂土、亚粘土。山前倾斜平原内由南向北地层颗粒总体呈现出由粗变细的变化规律，即由近山前的卵砾石渐变为细土平原区的砂、亚砂土。受第四系基地构造影响，区内第四系沉积厚度变化很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项目区出露地层为第四系地层，包括第四系全新统冲积层（Qhal）、第四系上更新统新疆群（Q3xn）。</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4.1.3.2 评价区地质概况</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本项目场地地层主要由杂填土、粉质粘土、粉土构成，现分述如下：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杂填土：层厚 0.3-0.9m，主要成分以粉土为主，含有少量砾石颗粒，松散，欠固结，稍湿。</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粉质粘土：埋深 0.3-5.7m，层厚约 0.1-5.0m，整个场地分布均匀。</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③ 粉土：为第 ② 粉质粘土的夹层，局部夹粉砂和粉质粘土的薄层。埋深 1.2-4.0m，层厚 0.5-2.2m。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粉土：埋深约 1.6-6.0m，层厚 2.2-24.3m，该层局部夹有粉砂和粉质粘土薄层。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⑤ 埋深约 24.3-26.3m，局部夹有粉砂和粉质粘土薄层，勘察期间未揭穿，最大揭露深度 29.5m。</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4.1.4 地表水</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呼图壁县内有两条自然河流，呼图壁河、雀尔沟河，呼图壁河年径流量为 4.57 亿 m</w:t>
      </w:r>
      <w:r>
        <w:rPr>
          <w:rFonts w:hint="eastAsia" w:ascii="Times New Roman" w:hAnsi="Times New Roman" w:eastAsia="宋体" w:cs="Times New Roman"/>
          <w:snapToGrid w:val="0"/>
          <w:color w:val="auto"/>
          <w:spacing w:val="0"/>
          <w:kern w:val="24"/>
          <w:sz w:val="24"/>
          <w:szCs w:val="24"/>
          <w:vertAlign w:val="superscript"/>
          <w:lang w:val="en-US" w:eastAsia="zh-CN"/>
        </w:rPr>
        <w:t>3</w:t>
      </w:r>
      <w:r>
        <w:rPr>
          <w:rFonts w:hint="eastAsia" w:ascii="Times New Roman" w:hAnsi="Times New Roman" w:eastAsia="宋体" w:cs="Times New Roman"/>
          <w:snapToGrid w:val="0"/>
          <w:color w:val="auto"/>
          <w:spacing w:val="0"/>
          <w:kern w:val="24"/>
          <w:sz w:val="24"/>
          <w:szCs w:val="24"/>
          <w:lang w:val="en-US" w:eastAsia="zh-CN"/>
        </w:rPr>
        <w:t>，雀尔沟河年径流量为 3.31 万 m</w:t>
      </w:r>
      <w:r>
        <w:rPr>
          <w:rFonts w:hint="eastAsia" w:ascii="Times New Roman" w:hAnsi="Times New Roman" w:eastAsia="宋体" w:cs="Times New Roman"/>
          <w:snapToGrid w:val="0"/>
          <w:color w:val="auto"/>
          <w:spacing w:val="0"/>
          <w:kern w:val="24"/>
          <w:sz w:val="24"/>
          <w:szCs w:val="24"/>
          <w:vertAlign w:val="superscript"/>
          <w:lang w:val="en-US" w:eastAsia="zh-CN"/>
        </w:rPr>
        <w:t>3</w:t>
      </w:r>
      <w:r>
        <w:rPr>
          <w:rFonts w:hint="eastAsia" w:ascii="Times New Roman" w:hAnsi="Times New Roman" w:eastAsia="宋体" w:cs="Times New Roman"/>
          <w:snapToGrid w:val="0"/>
          <w:color w:val="auto"/>
          <w:spacing w:val="0"/>
          <w:kern w:val="24"/>
          <w:sz w:val="24"/>
          <w:szCs w:val="24"/>
          <w:lang w:val="en-US" w:eastAsia="zh-CN"/>
        </w:rPr>
        <w:t>。全县拥有地表水资源 3.08 亿m</w:t>
      </w:r>
      <w:r>
        <w:rPr>
          <w:rFonts w:hint="eastAsia" w:ascii="Times New Roman" w:hAnsi="Times New Roman" w:eastAsia="宋体" w:cs="Times New Roman"/>
          <w:snapToGrid w:val="0"/>
          <w:color w:val="auto"/>
          <w:spacing w:val="0"/>
          <w:kern w:val="24"/>
          <w:sz w:val="24"/>
          <w:szCs w:val="24"/>
          <w:vertAlign w:val="superscript"/>
          <w:lang w:val="en-US" w:eastAsia="zh-CN"/>
        </w:rPr>
        <w:t>3</w:t>
      </w:r>
      <w:r>
        <w:rPr>
          <w:rFonts w:hint="eastAsia" w:ascii="Times New Roman" w:hAnsi="Times New Roman" w:eastAsia="宋体" w:cs="Times New Roman"/>
          <w:snapToGrid w:val="0"/>
          <w:color w:val="auto"/>
          <w:spacing w:val="0"/>
          <w:kern w:val="24"/>
          <w:sz w:val="24"/>
          <w:szCs w:val="24"/>
          <w:lang w:val="en-US" w:eastAsia="zh-CN"/>
        </w:rPr>
        <w:t>，地下水动储量为 2.64 亿 m</w:t>
      </w:r>
      <w:r>
        <w:rPr>
          <w:rFonts w:hint="eastAsia" w:ascii="Times New Roman" w:hAnsi="Times New Roman" w:eastAsia="宋体" w:cs="Times New Roman"/>
          <w:snapToGrid w:val="0"/>
          <w:color w:val="auto"/>
          <w:spacing w:val="0"/>
          <w:kern w:val="24"/>
          <w:sz w:val="24"/>
          <w:szCs w:val="24"/>
          <w:vertAlign w:val="superscript"/>
          <w:lang w:val="en-US" w:eastAsia="zh-CN"/>
        </w:rPr>
        <w:t>3</w:t>
      </w:r>
      <w:r>
        <w:rPr>
          <w:rFonts w:hint="eastAsia" w:ascii="Times New Roman" w:hAnsi="Times New Roman" w:eastAsia="宋体" w:cs="Times New Roman"/>
          <w:snapToGrid w:val="0"/>
          <w:color w:val="auto"/>
          <w:spacing w:val="0"/>
          <w:kern w:val="24"/>
          <w:sz w:val="24"/>
          <w:szCs w:val="24"/>
          <w:lang w:val="en-US" w:eastAsia="zh-CN"/>
        </w:rPr>
        <w:t>。</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呼图壁河是该县最大的河流，发源于巴州的哈台厄肯大阪地区的群山冰峰中，汇有白杨沟、哈熊沟、石梯子沟等六大支流，从南到北经呼图壁县东部、北部，消失于大漠之中，全长 258km。水源由冰川、季节性积雪融水、降水和泉水补给。由于流域面积大，流量季节性变化大，年变化小，5－6 月为汛期，平均流量 14.5m</w:t>
      </w:r>
      <w:r>
        <w:rPr>
          <w:rFonts w:hint="eastAsia" w:ascii="Times New Roman" w:hAnsi="Times New Roman" w:eastAsia="宋体" w:cs="Times New Roman"/>
          <w:snapToGrid w:val="0"/>
          <w:color w:val="auto"/>
          <w:spacing w:val="0"/>
          <w:kern w:val="24"/>
          <w:sz w:val="24"/>
          <w:szCs w:val="24"/>
          <w:vertAlign w:val="superscript"/>
          <w:lang w:val="en-US" w:eastAsia="zh-CN"/>
        </w:rPr>
        <w:t>3</w:t>
      </w:r>
      <w:r>
        <w:rPr>
          <w:rFonts w:hint="eastAsia" w:ascii="Times New Roman" w:hAnsi="Times New Roman" w:eastAsia="宋体" w:cs="Times New Roman"/>
          <w:snapToGrid w:val="0"/>
          <w:color w:val="auto"/>
          <w:spacing w:val="0"/>
          <w:kern w:val="24"/>
          <w:sz w:val="24"/>
          <w:szCs w:val="24"/>
          <w:lang w:val="en-US" w:eastAsia="zh-CN"/>
        </w:rPr>
        <w:t>/s，多年平均径流量 4.562 亿 m</w:t>
      </w:r>
      <w:r>
        <w:rPr>
          <w:rFonts w:hint="eastAsia" w:ascii="Times New Roman" w:hAnsi="Times New Roman" w:eastAsia="宋体" w:cs="Times New Roman"/>
          <w:snapToGrid w:val="0"/>
          <w:color w:val="auto"/>
          <w:spacing w:val="0"/>
          <w:kern w:val="24"/>
          <w:sz w:val="24"/>
          <w:szCs w:val="24"/>
          <w:vertAlign w:val="superscript"/>
          <w:lang w:val="en-US" w:eastAsia="zh-CN"/>
        </w:rPr>
        <w:t>3</w:t>
      </w:r>
      <w:r>
        <w:rPr>
          <w:rFonts w:hint="eastAsia" w:ascii="Times New Roman" w:hAnsi="Times New Roman" w:eastAsia="宋体" w:cs="Times New Roman"/>
          <w:snapToGrid w:val="0"/>
          <w:color w:val="auto"/>
          <w:spacing w:val="0"/>
          <w:kern w:val="24"/>
          <w:sz w:val="24"/>
          <w:szCs w:val="24"/>
          <w:lang w:val="en-US" w:eastAsia="zh-CN"/>
        </w:rPr>
        <w:t>，是全县用水的主要水源。呼图壁河在呼图壁县城西北 4.5km 处分为两条支流，分别为呼图壁东河和呼图壁西河。</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呼图壁河上游河床坡度较大，一般在 3％ 以上，河水汹涌澎湃，在石门子一带穿过侏罗系岩层构成的单斜山，河流坡度降低，直至前山低丘。河水大量下渗，变成地下径流，成为山前倾斜平原的地下水补给带。</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雀儿沟河发源于中山地带，由泉水及山间溪流汇集而成，该河多年平均径流为 0.327 亿 m</w:t>
      </w:r>
      <w:r>
        <w:rPr>
          <w:rFonts w:hint="eastAsia" w:ascii="Times New Roman" w:hAnsi="Times New Roman" w:eastAsia="宋体" w:cs="Times New Roman"/>
          <w:snapToGrid w:val="0"/>
          <w:color w:val="auto"/>
          <w:spacing w:val="0"/>
          <w:kern w:val="24"/>
          <w:sz w:val="24"/>
          <w:szCs w:val="24"/>
          <w:vertAlign w:val="superscript"/>
          <w:lang w:val="en-US" w:eastAsia="zh-CN"/>
        </w:rPr>
        <w:t>3</w:t>
      </w:r>
      <w:r>
        <w:rPr>
          <w:rFonts w:hint="eastAsia" w:ascii="Times New Roman" w:hAnsi="Times New Roman" w:eastAsia="宋体" w:cs="Times New Roman"/>
          <w:snapToGrid w:val="0"/>
          <w:color w:val="auto"/>
          <w:spacing w:val="0"/>
          <w:kern w:val="24"/>
          <w:sz w:val="24"/>
          <w:szCs w:val="24"/>
          <w:lang w:val="en-US" w:eastAsia="zh-CN"/>
        </w:rPr>
        <w:t>，是大丰镇和干河子林场主要灌溉水源。</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拟建项目附近无地表水体分布。</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default"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园区地处西北干旱少雨地区，蒸发强烈，年均降水量少，一般降雨迅速渗入地下，通过在路面上保留一定宽度的绿化带等非硬化地面，一般均不会造成积水，雨水按照重力流原则，并受地形影响，同时利用地表绿化带渗入，就近排放。</w:t>
      </w:r>
    </w:p>
    <w:p>
      <w:pPr>
        <w:keepNext w:val="0"/>
        <w:keepLines w:val="0"/>
        <w:pageBreakBefore w:val="0"/>
        <w:widowControl w:val="0"/>
        <w:kinsoku/>
        <w:wordWrap/>
        <w:overflowPunct w:val="0"/>
        <w:topLinePunct w:val="0"/>
        <w:autoSpaceDE/>
        <w:autoSpaceDN/>
        <w:bidi w:val="0"/>
        <w:adjustRightInd/>
        <w:snapToGrid/>
        <w:spacing w:line="560" w:lineRule="exact"/>
        <w:jc w:val="both"/>
        <w:textAlignment w:val="auto"/>
        <w:outlineLvl w:val="2"/>
        <w:rPr>
          <w:rFonts w:hint="default" w:ascii="Times New Roman" w:hAnsi="Times New Roman" w:eastAsia="宋体" w:cs="Times New Roman"/>
          <w:b/>
          <w:bCs/>
          <w:snapToGrid w:val="0"/>
          <w:color w:val="auto"/>
          <w:spacing w:val="0"/>
          <w:kern w:val="24"/>
          <w:sz w:val="28"/>
          <w:szCs w:val="28"/>
          <w:lang w:val="en-US" w:eastAsia="zh-CN"/>
        </w:rPr>
      </w:pPr>
      <w:r>
        <w:rPr>
          <w:rFonts w:hint="eastAsia" w:ascii="Times New Roman" w:hAnsi="Times New Roman" w:eastAsia="宋体" w:cs="Times New Roman"/>
          <w:b/>
          <w:bCs/>
          <w:snapToGrid w:val="0"/>
          <w:color w:val="auto"/>
          <w:spacing w:val="0"/>
          <w:kern w:val="24"/>
          <w:sz w:val="28"/>
          <w:szCs w:val="28"/>
          <w:lang w:val="en-US" w:eastAsia="zh-CN"/>
        </w:rPr>
        <w:t>4.1.5 水文地质</w:t>
      </w:r>
    </w:p>
    <w:p>
      <w:pPr>
        <w:keepNext w:val="0"/>
        <w:keepLines w:val="0"/>
        <w:pageBreakBefore w:val="0"/>
        <w:widowControl w:val="0"/>
        <w:kinsoku/>
        <w:wordWrap/>
        <w:overflowPunct w:val="0"/>
        <w:topLinePunct w:val="0"/>
        <w:autoSpaceDE/>
        <w:autoSpaceDN/>
        <w:bidi w:val="0"/>
        <w:adjustRightInd/>
        <w:snapToGrid/>
        <w:spacing w:line="560" w:lineRule="exact"/>
        <w:jc w:val="both"/>
        <w:textAlignment w:val="auto"/>
        <w:outlineLvl w:val="3"/>
        <w:rPr>
          <w:rFonts w:hint="default" w:ascii="Times New Roman" w:hAnsi="Times New Roman" w:eastAsia="宋体" w:cs="Times New Roman"/>
          <w:b/>
          <w:bCs/>
          <w:snapToGrid w:val="0"/>
          <w:color w:val="auto"/>
          <w:spacing w:val="0"/>
          <w:kern w:val="24"/>
          <w:sz w:val="24"/>
          <w:szCs w:val="24"/>
          <w:lang w:val="en-US" w:eastAsia="zh-CN"/>
        </w:rPr>
      </w:pPr>
      <w:r>
        <w:rPr>
          <w:rFonts w:hint="eastAsia" w:ascii="Times New Roman" w:hAnsi="Times New Roman" w:eastAsia="宋体" w:cs="Times New Roman"/>
          <w:b/>
          <w:bCs/>
          <w:snapToGrid w:val="0"/>
          <w:color w:val="auto"/>
          <w:spacing w:val="0"/>
          <w:kern w:val="24"/>
          <w:sz w:val="24"/>
          <w:szCs w:val="24"/>
          <w:lang w:val="en-US" w:eastAsia="zh-CN"/>
        </w:rPr>
        <w:t>4.1.5.1 区域水文地质</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依据含水层介质类型，将呼图壁县地下水类型分为基岩裂隙水、碎屑岩类裂隙孔隙水及第四系松散岩类孔隙水。呼图壁县平原区广泛分布巨厚的第四系松散堆积物，属第四系松散岩类孔隙含水层。</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（1）含水层分布</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按含水层结构划分为单一结构潜水含水层和多层结构潜水-承压含水层。</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单一结构潜水含水层分布于乌伊公路以南，含水层岩性为卵砾石、砂砾石。从扇顶至扇缘含水层由厚变薄，含水层颗粒由粗变细，富水性自南向北具有明显的弱-强-弱的变化规律。沿乌伊公路两侧宽约 5-13 公里范围内为强富水带，饱水带厚度为 600-700m，水位埋深约 20-40m，单井涌水量一般为 800-5000m</w:t>
      </w:r>
      <w:r>
        <w:rPr>
          <w:rFonts w:hint="eastAsia" w:ascii="Times New Roman" w:hAnsi="Times New Roman" w:eastAsia="宋体" w:cs="Times New Roman"/>
          <w:snapToGrid w:val="0"/>
          <w:color w:val="auto"/>
          <w:spacing w:val="0"/>
          <w:kern w:val="24"/>
          <w:sz w:val="24"/>
          <w:szCs w:val="24"/>
          <w:vertAlign w:val="superscript"/>
          <w:lang w:val="en-US" w:eastAsia="zh-CN"/>
        </w:rPr>
        <w:t>3</w:t>
      </w:r>
      <w:r>
        <w:rPr>
          <w:rFonts w:hint="eastAsia" w:ascii="Times New Roman" w:hAnsi="Times New Roman" w:eastAsia="宋体" w:cs="Times New Roman"/>
          <w:snapToGrid w:val="0"/>
          <w:color w:val="auto"/>
          <w:spacing w:val="0"/>
          <w:kern w:val="24"/>
          <w:sz w:val="24"/>
          <w:szCs w:val="24"/>
          <w:lang w:val="en-US" w:eastAsia="zh-CN"/>
        </w:rPr>
        <w:t xml:space="preserve"> /d，最大可达 7776m</w:t>
      </w:r>
      <w:r>
        <w:rPr>
          <w:rFonts w:hint="eastAsia" w:ascii="Times New Roman" w:hAnsi="Times New Roman" w:eastAsia="宋体" w:cs="Times New Roman"/>
          <w:snapToGrid w:val="0"/>
          <w:color w:val="auto"/>
          <w:spacing w:val="0"/>
          <w:kern w:val="24"/>
          <w:sz w:val="24"/>
          <w:szCs w:val="24"/>
          <w:vertAlign w:val="superscript"/>
          <w:lang w:val="en-US" w:eastAsia="zh-CN"/>
        </w:rPr>
        <w:t>3</w:t>
      </w:r>
      <w:r>
        <w:rPr>
          <w:rFonts w:hint="eastAsia" w:ascii="Times New Roman" w:hAnsi="Times New Roman" w:eastAsia="宋体" w:cs="Times New Roman"/>
          <w:snapToGrid w:val="0"/>
          <w:color w:val="auto"/>
          <w:spacing w:val="0"/>
          <w:kern w:val="24"/>
          <w:sz w:val="24"/>
          <w:szCs w:val="24"/>
          <w:lang w:val="en-US" w:eastAsia="zh-CN"/>
        </w:rPr>
        <w:t>/d，渗透系数为 35-137m/d。</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多层结构潜水-承压含水层分布于乌伊公路以北，该含水层上部为潜水含水层，在泉水溢出带一带，由于细颗粒地层在纵向上分布的不连续性，上层潜水和承压水通过自然、人工“天窗”发生水力联系，组成混合含水岩组。富水性较好的潜水含水层底板埋深 80-100m，单井涌水量 100-300m</w:t>
      </w:r>
      <w:r>
        <w:rPr>
          <w:rFonts w:hint="eastAsia" w:ascii="Times New Roman" w:hAnsi="Times New Roman" w:eastAsia="宋体" w:cs="Times New Roman"/>
          <w:snapToGrid w:val="0"/>
          <w:color w:val="auto"/>
          <w:spacing w:val="0"/>
          <w:kern w:val="24"/>
          <w:sz w:val="24"/>
          <w:szCs w:val="24"/>
          <w:vertAlign w:val="superscript"/>
          <w:lang w:val="en-US" w:eastAsia="zh-CN"/>
        </w:rPr>
        <w:t>3</w:t>
      </w:r>
      <w:r>
        <w:rPr>
          <w:rFonts w:hint="eastAsia" w:ascii="Times New Roman" w:hAnsi="Times New Roman" w:eastAsia="宋体" w:cs="Times New Roman"/>
          <w:snapToGrid w:val="0"/>
          <w:color w:val="auto"/>
          <w:spacing w:val="0"/>
          <w:kern w:val="24"/>
          <w:sz w:val="24"/>
          <w:szCs w:val="24"/>
          <w:lang w:val="en-US" w:eastAsia="zh-CN"/>
        </w:rPr>
        <w:t>/d，渗透系数 10-30m/d。细土平原带潜水含水岩组由细砂、中粗砂、含砾粗砂组成，富水性极不均一，除局部地段外，大部分地区水量贫乏，水质较差，水位埋深 5-15m，一般单井涌水量＜43.2m</w:t>
      </w:r>
      <w:r>
        <w:rPr>
          <w:rFonts w:hint="eastAsia" w:ascii="Times New Roman" w:hAnsi="Times New Roman" w:eastAsia="宋体" w:cs="Times New Roman"/>
          <w:snapToGrid w:val="0"/>
          <w:color w:val="auto"/>
          <w:spacing w:val="0"/>
          <w:kern w:val="24"/>
          <w:sz w:val="24"/>
          <w:szCs w:val="24"/>
          <w:vertAlign w:val="superscript"/>
          <w:lang w:val="en-US" w:eastAsia="zh-CN"/>
        </w:rPr>
        <w:t>3</w:t>
      </w:r>
      <w:r>
        <w:rPr>
          <w:rFonts w:hint="eastAsia" w:ascii="Times New Roman" w:hAnsi="Times New Roman" w:eastAsia="宋体" w:cs="Times New Roman"/>
          <w:snapToGrid w:val="0"/>
          <w:color w:val="auto"/>
          <w:spacing w:val="0"/>
          <w:kern w:val="24"/>
          <w:sz w:val="24"/>
          <w:szCs w:val="24"/>
          <w:lang w:val="en-US" w:eastAsia="zh-CN"/>
        </w:rPr>
        <w:t>/d，渗透系数＜2.0m/d。沙漠边缘带潜水埋深＞15m，含水层由粉砂、细砂组成，富水性较弱，单井涌水量＜8.64m</w:t>
      </w:r>
      <w:r>
        <w:rPr>
          <w:rFonts w:hint="eastAsia" w:ascii="Times New Roman" w:hAnsi="Times New Roman" w:eastAsia="宋体" w:cs="Times New Roman"/>
          <w:snapToGrid w:val="0"/>
          <w:color w:val="auto"/>
          <w:spacing w:val="0"/>
          <w:kern w:val="24"/>
          <w:sz w:val="24"/>
          <w:szCs w:val="24"/>
          <w:vertAlign w:val="superscript"/>
          <w:lang w:val="en-US" w:eastAsia="zh-CN"/>
        </w:rPr>
        <w:t>3</w:t>
      </w:r>
      <w:r>
        <w:rPr>
          <w:rFonts w:hint="eastAsia" w:ascii="Times New Roman" w:hAnsi="Times New Roman" w:eastAsia="宋体" w:cs="Times New Roman"/>
          <w:snapToGrid w:val="0"/>
          <w:color w:val="auto"/>
          <w:spacing w:val="0"/>
          <w:kern w:val="24"/>
          <w:sz w:val="24"/>
          <w:szCs w:val="24"/>
          <w:lang w:val="en-US" w:eastAsia="zh-CN"/>
        </w:rPr>
        <w:t>/d，渗透系数 1.5m/d.该含水岩组下部为多层结构承压含水层，沿二十里店-种牛场-西树窝子-祁家湖一线以北，宽 1-3km 的地段为承压不自流区，承压不自流区以北、唐家梁-芳草湖总场以南为自流区。据资料显示，在 300m 深度内含水层总厚度 50-100m 含水层岩性主要为含砾中粗砂、中砂、细砂，承压水-22.61-+44.8m。承压水顶板埋深在二十里店-西树窝子-祁家湖一线以北宽 2-10km 范围内小于 100m。</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（2）地下水补给、径流、排泄</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区域地下水补给主要接受渠系入渗补给、田间灌溉入渗补给、净水回归入渗、大气降水入渗、水库渗漏补给和上游地下水侧向径流补给。地下水总体流动方向为由南东向北西。呼图壁河冲洪积扇中上部含水层岩性主要为卵砾石、砂砾石，透水性强，水动力条件好，含水层厚度大，潜水水力坡度平均为 2-3.5‰；向下游（溢出带附近）含水层岩性颗粒由粗变 1 细，透水性减弱，水动力条件变差，水力坡度增加至 5-8‰；北部平原以承压含水层为主，含水层颗粒更细，水力坡度变缓，一般为 2‰左右。区域地下水排泄方式主要有人工开采、泉水溢出、潜水蒸发、北西边界侧向流出。</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 xml:space="preserve">（3）地下水开采 </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细土平原区潜水-承压水区主要分布于大丰镇和五工台镇的北部及园户村镇、不土逼县城、种牛场一带（第吸水溢出带）。该区潜水底板埋深为 80-120m，单晶涌水量 36-144m</w:t>
      </w:r>
      <w:r>
        <w:rPr>
          <w:rFonts w:hint="eastAsia" w:ascii="Times New Roman" w:hAnsi="Times New Roman" w:eastAsia="宋体" w:cs="Times New Roman"/>
          <w:snapToGrid w:val="0"/>
          <w:color w:val="auto"/>
          <w:spacing w:val="0"/>
          <w:kern w:val="24"/>
          <w:sz w:val="24"/>
          <w:szCs w:val="24"/>
          <w:vertAlign w:val="superscript"/>
          <w:lang w:val="en-US" w:eastAsia="zh-CN"/>
        </w:rPr>
        <w:t>3</w:t>
      </w:r>
      <w:r>
        <w:rPr>
          <w:rFonts w:hint="eastAsia" w:ascii="Times New Roman" w:hAnsi="Times New Roman" w:eastAsia="宋体" w:cs="Times New Roman"/>
          <w:snapToGrid w:val="0"/>
          <w:color w:val="auto"/>
          <w:spacing w:val="0"/>
          <w:kern w:val="24"/>
          <w:sz w:val="24"/>
          <w:szCs w:val="24"/>
          <w:lang w:val="en-US" w:eastAsia="zh-CN"/>
        </w:rPr>
        <w:t>/h，地下水水头距地表-11.2-+48m，宜井深度 80-200m。</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细土平原承压水区主要分布在二十里店-种牛场-西树窝子-乱山子-祁家湖一带以北的广大地带，该区地下水主要为承压自流水区，含水层顶板埋深一般在 50-120m 之间，水头距地表-24-+14m，含水层厚度 50-100m，单井出水量 36-115m</w:t>
      </w:r>
      <w:r>
        <w:rPr>
          <w:rFonts w:hint="eastAsia" w:ascii="Times New Roman" w:hAnsi="Times New Roman" w:eastAsia="宋体" w:cs="Times New Roman"/>
          <w:snapToGrid w:val="0"/>
          <w:color w:val="auto"/>
          <w:spacing w:val="0"/>
          <w:kern w:val="24"/>
          <w:sz w:val="24"/>
          <w:szCs w:val="24"/>
          <w:vertAlign w:val="superscript"/>
          <w:lang w:val="en-US" w:eastAsia="zh-CN"/>
        </w:rPr>
        <w:t>3</w:t>
      </w:r>
      <w:r>
        <w:rPr>
          <w:rFonts w:hint="eastAsia" w:ascii="Times New Roman" w:hAnsi="Times New Roman" w:eastAsia="宋体" w:cs="Times New Roman"/>
          <w:snapToGrid w:val="0"/>
          <w:color w:val="auto"/>
          <w:spacing w:val="0"/>
          <w:kern w:val="24"/>
          <w:sz w:val="24"/>
          <w:szCs w:val="24"/>
          <w:lang w:val="en-US" w:eastAsia="zh-CN"/>
        </w:rPr>
        <w:t>/h。区内含水层富水性相对较弱。</w:t>
      </w:r>
    </w:p>
    <w:p>
      <w:pPr>
        <w:keepNext w:val="0"/>
        <w:keepLines w:val="0"/>
        <w:pageBreakBefore w:val="0"/>
        <w:widowControl w:val="0"/>
        <w:kinsoku/>
        <w:wordWrap/>
        <w:overflowPunct w:val="0"/>
        <w:topLinePunct w:val="0"/>
        <w:autoSpaceDE/>
        <w:autoSpaceDN/>
        <w:bidi w:val="0"/>
        <w:adjustRightInd/>
        <w:snapToGrid/>
        <w:spacing w:line="560" w:lineRule="exact"/>
        <w:jc w:val="both"/>
        <w:textAlignment w:val="auto"/>
        <w:outlineLvl w:val="3"/>
        <w:rPr>
          <w:rFonts w:hint="default" w:ascii="Times New Roman" w:hAnsi="Times New Roman" w:eastAsia="宋体" w:cs="Times New Roman"/>
          <w:b/>
          <w:bCs/>
          <w:snapToGrid w:val="0"/>
          <w:color w:val="auto"/>
          <w:spacing w:val="0"/>
          <w:kern w:val="24"/>
          <w:sz w:val="24"/>
          <w:szCs w:val="24"/>
          <w:lang w:val="en-US" w:eastAsia="zh-CN"/>
        </w:rPr>
      </w:pPr>
      <w:r>
        <w:rPr>
          <w:rFonts w:hint="eastAsia" w:ascii="Times New Roman" w:hAnsi="Times New Roman" w:eastAsia="宋体" w:cs="Times New Roman"/>
          <w:b/>
          <w:bCs/>
          <w:snapToGrid w:val="0"/>
          <w:color w:val="auto"/>
          <w:spacing w:val="0"/>
          <w:kern w:val="24"/>
          <w:sz w:val="24"/>
          <w:szCs w:val="24"/>
          <w:lang w:val="en-US" w:eastAsia="zh-CN"/>
        </w:rPr>
        <w:t>4.1.5.2 评价区域水文地质</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评价区位于西戈壁地区，处于承压自流水分布区。</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default"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（1）潜水含水层</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潜水含水层分布于较厚的第四系粉土层中，含水层底板埋深约 120m，根据评价区水文地质调查，区域范围内潜水埋深在 28-50m，水位高程在 405-455m，受地形影响较大。根据收集的资料显示，该含水层渗透系数约 2.08m/d。</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（2）承压含水层</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据以往勘探资料分析，350m 以内可揭露 3 个主要含水层（组），第一含水层为承压自流水含水层，埋深 120～155m，静水位埋深 5.4m 至高于地面 15m，岩性以粗砂、中细砂为主，含少量砾石。渗透系数 0.2-2.7m/d，单井涌水量 1.88-15.10L/s；第二层为自流水含水层，埋深 180-215m，水头高度+15m～+20m，岩性以砂砾石、粗砂、细砂为主，单井涌水量 30L/s；第三层为自流水含水层，含水层埋深为 255-330m，水头高度大于+30m，岩性以中细砂为主，单井涌水量大于 45L/s。</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（3）隔水层</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潜水与承压含水层间存在一层较薄黏土层，构成隔水层，埋深大于 120m。</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（4）地下水补径排关系</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受地形影响，地下水径流方向为南、东南向北流动，主要接受大气降水、融雪、灌溉、地下水径流补给，以人工开采、灌溉等排泄方式为主。</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（5）水源地</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本次评价范围内无集中式供水水源地，无村庄饮用水井。距离本项目最近的水井为项目西北侧约 2.16km 的灌溉井，取水层位为第四系孔隙水，水位埋深约 40m。</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4.1.6 气候气象</w:t>
      </w:r>
    </w:p>
    <w:p>
      <w:pPr>
        <w:keepNext w:val="0"/>
        <w:keepLines w:val="0"/>
        <w:pageBreakBefore w:val="0"/>
        <w:widowControl w:val="0"/>
        <w:kinsoku/>
        <w:wordWrap w:val="0"/>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呼图壁县位于欧亚大陆中心带，处于中纬度西风带控制之下，属中温带大陆性气候。县境内海拔高度相差较大，南北地区的气候有明显差异。县境内的低山、平原和沙漠地区属中温带，南部中山和高山地区属寒温带。中温带即海拔 500m 以下的低山、平原和沙漠地区。中温带有明显的四季之分。由于南北高差和下垫面的不同，气象要素有明显的差异。有干旱、干热风、冻害、霜冻、大风和冰雹等灾害。</w:t>
      </w:r>
    </w:p>
    <w:p>
      <w:pPr>
        <w:keepNext w:val="0"/>
        <w:keepLines w:val="0"/>
        <w:pageBreakBefore w:val="0"/>
        <w:widowControl w:val="0"/>
        <w:kinsoku/>
        <w:wordWrap w:val="0"/>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呼图壁县所在北疆地区属大陆干旱性气候，冬季时间长，春秋季时间短，春季多风，年降水量平原为 163.4mm，主要集中在夏季的 6～8 月份，蒸发量平原地区 2341mm，年平均气温 6℃，本区域光照资源丰富，全年日照时间 3104 小时，无霜期 177 天。常年主导风向为西风和西南风，最大风速 20m/s，大风天气主要是在春、夏季，灾害性天气主要是干旱、其次为冻害和干热风，气象条件如下：</w:t>
      </w:r>
    </w:p>
    <w:p>
      <w:pPr>
        <w:keepNext w:val="0"/>
        <w:keepLines w:val="0"/>
        <w:pageBreakBefore w:val="0"/>
        <w:widowControl w:val="0"/>
        <w:kinsoku/>
        <w:wordWrap w:val="0"/>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年均气温                                     6℃</w:t>
      </w:r>
    </w:p>
    <w:p>
      <w:pPr>
        <w:keepNext w:val="0"/>
        <w:keepLines w:val="0"/>
        <w:pageBreakBefore w:val="0"/>
        <w:widowControl w:val="0"/>
        <w:kinsoku/>
        <w:wordWrap w:val="0"/>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一月平均气温                                -16.9℃</w:t>
      </w:r>
    </w:p>
    <w:p>
      <w:pPr>
        <w:keepNext w:val="0"/>
        <w:keepLines w:val="0"/>
        <w:pageBreakBefore w:val="0"/>
        <w:widowControl w:val="0"/>
        <w:kinsoku/>
        <w:wordWrap w:val="0"/>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七月平均气温                                25.6℃</w:t>
      </w:r>
    </w:p>
    <w:p>
      <w:pPr>
        <w:keepNext w:val="0"/>
        <w:keepLines w:val="0"/>
        <w:pageBreakBefore w:val="0"/>
        <w:widowControl w:val="0"/>
        <w:kinsoku/>
        <w:wordWrap w:val="0"/>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极端最高气温                                41.0℃</w:t>
      </w:r>
    </w:p>
    <w:p>
      <w:pPr>
        <w:keepNext w:val="0"/>
        <w:keepLines w:val="0"/>
        <w:pageBreakBefore w:val="0"/>
        <w:widowControl w:val="0"/>
        <w:kinsoku/>
        <w:wordWrap w:val="0"/>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极端最低气温                                -36.8℃</w:t>
      </w:r>
    </w:p>
    <w:p>
      <w:pPr>
        <w:keepNext w:val="0"/>
        <w:keepLines w:val="0"/>
        <w:pageBreakBefore w:val="0"/>
        <w:widowControl w:val="0"/>
        <w:kinsoku/>
        <w:wordWrap w:val="0"/>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年均降水量                                  163.4mm</w:t>
      </w:r>
    </w:p>
    <w:p>
      <w:pPr>
        <w:keepNext w:val="0"/>
        <w:keepLines w:val="0"/>
        <w:pageBreakBefore w:val="0"/>
        <w:widowControl w:val="0"/>
        <w:kinsoku/>
        <w:wordWrap w:val="0"/>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年蒸发量                                    2341mm</w:t>
      </w:r>
    </w:p>
    <w:p>
      <w:pPr>
        <w:keepNext w:val="0"/>
        <w:keepLines w:val="0"/>
        <w:pageBreakBefore w:val="0"/>
        <w:widowControl w:val="0"/>
        <w:kinsoku/>
        <w:wordWrap w:val="0"/>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无霜冻期                                    129 天</w:t>
      </w:r>
    </w:p>
    <w:p>
      <w:pPr>
        <w:keepNext w:val="0"/>
        <w:keepLines w:val="0"/>
        <w:pageBreakBefore w:val="0"/>
        <w:widowControl w:val="0"/>
        <w:kinsoku/>
        <w:wordWrap w:val="0"/>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最大冻土深度                                150cm</w:t>
      </w:r>
    </w:p>
    <w:p>
      <w:pPr>
        <w:keepNext w:val="0"/>
        <w:keepLines w:val="0"/>
        <w:pageBreakBefore w:val="0"/>
        <w:widowControl w:val="0"/>
        <w:kinsoku/>
        <w:wordWrap w:val="0"/>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最大风速                                    20m/s</w:t>
      </w:r>
    </w:p>
    <w:p>
      <w:pPr>
        <w:keepNext w:val="0"/>
        <w:keepLines w:val="0"/>
        <w:pageBreakBefore w:val="0"/>
        <w:widowControl w:val="0"/>
        <w:kinsoku/>
        <w:wordWrap w:val="0"/>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平均风速                                    1.9m/s</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风向                                        西风、西南风</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4.1.7 土壤、植被、野生环境</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呼图壁工业园区域土壤类型主要是砂性黄土和灌淤土，此外还有少量盐化草甸土分布；地表主要以戈壁荒滩为主，在局部地区有少量荒漠植被，如盐梭梭、苦豆子、碱蓬、驼绒藜、猪毛菜、骆驼刺等，覆盖度小。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拟建项目厂址目前为经平整过的工业用地，场地地层岩性主要为粉质粘土、黄土状粉土，植被覆盖度较低。</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4.1.8 资源概况</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呼图壁县境内矿产资源丰富，主要有石油、天然气、煤炭、沙金、铁、蛇纹岩等十多种矿产资源，且储量大、质地好。其中，现已探明工业动力煤储量 30 亿 t，分布在南部山区东西长 40km，南北宽 5-10km 范围之内，热量达 7500-8000Cal/kg；探明天然气储量 457 亿 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。其中，呼图壁气田天然气储量 347 亿 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，漠北 8 井区天然气储量 110 亿 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，控制地质储量 180 亿 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，现有日处理 150 万 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 xml:space="preserve"> 天然气处理站 1 座，年产天然气约 5 亿 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。漠北油田、齐古油田原油年产量约 35 万 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呼图壁县煤炭资源丰富，已探明储量 23 亿吨，全县共有煤矿 23 座。2011年呼图壁县积极引进大企业大集团对中小煤矿进行兼并重组，重点实施中煤、首钢、明基等 5 个百万吨级煤矿项目建设，实现煤炭产业优化升级。加大对现有矿井综采综掘设备投入力度，增大矿井单井生产规模，确保一座 60 万吨以上矿井建成投产。为支持煤化工行业发展，该县在工业园区规划中专门规划有重化工产业区，为发展煤化工行业创造了良好条件。</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color w:val="auto"/>
          <w:sz w:val="24"/>
          <w:szCs w:val="24"/>
          <w:lang w:val="en-US" w:eastAsia="zh-CN"/>
        </w:rPr>
      </w:pPr>
      <w:bookmarkStart w:id="22" w:name="_Toc3932"/>
      <w:r>
        <w:rPr>
          <w:rFonts w:hint="eastAsia" w:ascii="Times New Roman" w:hAnsi="Times New Roman" w:eastAsia="宋体" w:cs="Times New Roman"/>
          <w:b/>
          <w:bCs/>
          <w:color w:val="auto"/>
          <w:sz w:val="30"/>
          <w:szCs w:val="30"/>
          <w:lang w:val="en-US" w:eastAsia="zh-CN"/>
        </w:rPr>
        <w:t>4.2 呼图壁工业园区概况</w:t>
      </w:r>
      <w:bookmarkEnd w:id="22"/>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4.2.1 呼图壁工业园区的设立与总体规划情况</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呼图壁工业园区创建于 2007 年。2007 年，呼图壁县人民政府编制了《新疆呼图壁县天山工业园区总体规划（2006-2020）》，将天山工业园定为“一园两区”，重点发展产业为“轻纺产业区以防沙、制造、服装及农副产品深加工于一体的产业集群，煤化工产业区是以重点发展煤焦化、煤化工以及石油天然气后续产品精深加工的工业区”，并与 2007 年编制完成了《新疆呼图壁县天山工业园区总体规划（2006-2020）环境影响报告书》，原新疆维吾尔自治区环境保护局于 2008 年出具了《关于新疆呼图壁县天山工业园区总体规划环境影响报告书的审查意见》（新环监函[2008]62 号）。2010 年，新疆维吾尔自治区人民政府以新政函[2010]285 号文件批准设立呼图壁工业园区为自治区级园区，园区规划范围 34.4 平方公里（控制范围），产业定位为重点发展纺纱、针织及农副产品深加工，适时发展家用纺织品和服装加工，打造新疆重要的优质棉纱、布及纺织服装生产基地、农副产品加工基地，取消了煤化工产业区。《新疆呼图壁县天山工业园区总体规划（2006-2020）》未经自治区人民政府批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2017 年，呼图壁县人民政府编制了《呼图壁工业园区总体规划（2017-2035）》。2019 年，原新疆维吾尔自治区生态环境厅出具了《关于呼图壁工业园区总体规划（2017-2035）环境影响报告书的审查意见》（新环函[2019]24 号）。《呼图壁工业园区总体规划（2017-2035）环境影响报告书》中呼图壁工业园区规划为“一园三区”，分为东区、中区和西区，东区位于呼图壁县二十里店镇、中区位于呼图壁河两侧，五工台西侧、西区位于呼图壁县城西侧 28 公里处，总面积 34.4 平方公里。规划期限为 2017-2035 年，近期 2017 年-2025 年，远期 2026-2035 年。园区规划总体目标：结合周边产业发展，依据呼图壁资源、区位、交通优势，发展以服务新疆本地兼顾外向型市场为核心目标的产业体系，将园区打造成为“新疆新型工业化发展示范区”。《呼图壁工业园区总体规划（2017-2035）》未经自治区人民政府批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2023 年，呼图壁工业园区管委会委托编制完成了《呼图壁工业园区总体发展规划（2021-2035 年）》，本次规划维持原有”一园三区“布局，即东区（新兴产业园）规划用地面积 2.55km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、中区（轻工产业园）规划用地面积8.95km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、西区（化工新材料产业园）规划用地面积12.42km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；规划时限为 2021 年-2035 年，近期为 2021-2025 年，远期为 2026-2035 年。园区将集聚数百家企业，打造新疆中小企业孵化基地、新疆环境安全科技智造高地、国内一流的大安全产业生态圈。重点发展节能环保、新能源、应急安全、现代化工即化工新材料、特色轻工和物流仓储。并于 2023 年编制完成了《呼图壁工业园区总体发展规划（2021-2035 年）环境影响报告书》，于 2023 年 12 月 20 日取得了新疆维吾尔自治区生态环境厅对该规划环评的批复，文号为（新环审[2023]304 号）。《呼图壁工业园区总体发展规划（2021-2035 年）》未经自治区人民政府批准。</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4.2.2 呼图壁工业园区总体规划概述</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呼图壁工业园区包括一园三区，分为轻工产业园、化工新材料产业园、新兴产业园。</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规划范围：东区位于东至呼图壁县界，南至 312 国道，西至新纵一路，北至 S201，规划用地面积 2.55 km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。规划区中区位于东至纵六路，南至 312 国道，最北至北环路，西至纵二路，同时位于西侧有一块飞地，处于 312 国道与 S201 省道之间，合计规划用地面积 8.95km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。规划区西区位于东至纵七路，南至五克高速防护带，西至纵五路，北至横八路，规划用地面积 12.42km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。西区规划范围见</w:t>
      </w:r>
      <w:r>
        <w:rPr>
          <w:rFonts w:hint="eastAsia" w:ascii="Times New Roman" w:hAnsi="Times New Roman" w:eastAsia="宋体" w:cs="Times New Roman"/>
          <w:b/>
          <w:bCs/>
          <w:color w:val="auto"/>
          <w:sz w:val="24"/>
          <w:szCs w:val="24"/>
          <w:lang w:val="en-US" w:eastAsia="zh-CN"/>
        </w:rPr>
        <w:t>附图 4.2-1</w:t>
      </w:r>
      <w:r>
        <w:rPr>
          <w:rFonts w:hint="eastAsia" w:ascii="Times New Roman" w:hAnsi="Times New Roman" w:eastAsia="宋体" w:cs="Times New Roman"/>
          <w:color w:val="auto"/>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规划期限：2021-2035 年，近期 2021 年-2025 年，远期 2026-2035 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规划用地：园区规划用地 23.91 平方公里。其中：东区规划用地 2.55 平方公里。中区规划用地 8.95 平方公里。西区规划用地 12.42 平方公里。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规划定位：园区将集聚数百家企业，打造新疆中小企业孵化基地、新疆环境安全科技智造高地、国内一流的大安全产业生态圈。重点发展节能环保、新能源、应急安全、现代化工即化工新材料、特色轻工和物流仓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拟建项目位于呼图壁工业园区西区。西区土地利用现状见</w:t>
      </w:r>
      <w:r>
        <w:rPr>
          <w:rFonts w:hint="eastAsia" w:ascii="Times New Roman" w:hAnsi="Times New Roman" w:eastAsia="宋体" w:cs="Times New Roman"/>
          <w:b/>
          <w:bCs/>
          <w:color w:val="auto"/>
          <w:sz w:val="24"/>
          <w:szCs w:val="24"/>
          <w:lang w:val="en-US" w:eastAsia="zh-CN"/>
        </w:rPr>
        <w:t>附图 1.3-2</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4.2.3 交通规划</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4.2.3.1 道路等级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（1）主干路</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西区：主干路按照2000米间距设置，形成两横两纵的主干路网络，以横二路、纵一路作为对外联系通道，增强园区内部与外部的联系。</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（2）次干路</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西区：次干路在条件允许的情况下，均按 1000 米间距布局次干路，部分按照500-1500米间距布局，形成三横三纵的次干路网络，与主干路功能互补，共同组成园区方格网干路系统。</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4.2.3.2 道路断面规划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本次规划设置40m、30m、20m三种道路断面形式。</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4.2-1    道路断面一览表</w:t>
      </w:r>
    </w:p>
    <w:tbl>
      <w:tblPr>
        <w:tblStyle w:val="21"/>
        <w:tblW w:w="4998" w:type="pct"/>
        <w:tblInd w:w="0" w:type="dxa"/>
        <w:tblLayout w:type="autofit"/>
        <w:tblCellMar>
          <w:top w:w="0" w:type="dxa"/>
          <w:left w:w="108" w:type="dxa"/>
          <w:bottom w:w="0" w:type="dxa"/>
          <w:right w:w="108" w:type="dxa"/>
        </w:tblCellMar>
      </w:tblPr>
      <w:tblGrid>
        <w:gridCol w:w="701"/>
        <w:gridCol w:w="3175"/>
        <w:gridCol w:w="1270"/>
        <w:gridCol w:w="1099"/>
        <w:gridCol w:w="1123"/>
        <w:gridCol w:w="1151"/>
      </w:tblGrid>
      <w:tr>
        <w:tblPrEx>
          <w:tblCellMar>
            <w:top w:w="0" w:type="dxa"/>
            <w:left w:w="108" w:type="dxa"/>
            <w:bottom w:w="0" w:type="dxa"/>
            <w:right w:w="108" w:type="dxa"/>
          </w:tblCellMar>
        </w:tblPrEx>
        <w:trPr>
          <w:trHeight w:val="250" w:hRule="atLeast"/>
          <w:tblHeader/>
        </w:trPr>
        <w:tc>
          <w:tcPr>
            <w:tcW w:w="411" w:type="pct"/>
            <w:tcBorders>
              <w:top w:val="single" w:color="auto" w:sz="4" w:space="0"/>
              <w:left w:val="single" w:color="auto" w:sz="4" w:space="0"/>
              <w:bottom w:val="single" w:color="auto" w:sz="4" w:space="0"/>
              <w:right w:val="single" w:color="auto" w:sz="4" w:space="0"/>
            </w:tcBorders>
            <w:noWrap w:val="0"/>
            <w:vAlign w:val="center"/>
          </w:tcPr>
          <w:p>
            <w:pPr>
              <w:pStyle w:val="34"/>
              <w:bidi w:val="0"/>
              <w:rPr>
                <w:rFonts w:hint="eastAsia"/>
                <w:b/>
                <w:bCs/>
                <w:color w:val="auto"/>
                <w:sz w:val="21"/>
                <w:szCs w:val="21"/>
              </w:rPr>
            </w:pPr>
            <w:r>
              <w:rPr>
                <w:rFonts w:hint="eastAsia"/>
                <w:b/>
                <w:bCs/>
                <w:color w:val="auto"/>
                <w:sz w:val="21"/>
                <w:szCs w:val="21"/>
              </w:rPr>
              <w:t>序号</w:t>
            </w:r>
          </w:p>
        </w:tc>
        <w:tc>
          <w:tcPr>
            <w:tcW w:w="1863" w:type="pct"/>
            <w:tcBorders>
              <w:top w:val="single" w:color="auto" w:sz="4" w:space="0"/>
              <w:left w:val="nil"/>
              <w:bottom w:val="single" w:color="auto" w:sz="4" w:space="0"/>
              <w:right w:val="single" w:color="auto" w:sz="4" w:space="0"/>
            </w:tcBorders>
            <w:noWrap w:val="0"/>
            <w:vAlign w:val="center"/>
          </w:tcPr>
          <w:p>
            <w:pPr>
              <w:pStyle w:val="34"/>
              <w:bidi w:val="0"/>
              <w:rPr>
                <w:rFonts w:hint="eastAsia"/>
                <w:b/>
                <w:bCs/>
                <w:color w:val="auto"/>
                <w:sz w:val="21"/>
                <w:szCs w:val="21"/>
              </w:rPr>
            </w:pPr>
            <w:r>
              <w:rPr>
                <w:rFonts w:hint="eastAsia"/>
                <w:b/>
                <w:bCs/>
                <w:color w:val="auto"/>
                <w:sz w:val="21"/>
                <w:szCs w:val="21"/>
              </w:rPr>
              <w:t>建议断面形式（米）</w:t>
            </w:r>
          </w:p>
        </w:tc>
        <w:tc>
          <w:tcPr>
            <w:tcW w:w="745" w:type="pct"/>
            <w:tcBorders>
              <w:top w:val="single" w:color="auto" w:sz="4" w:space="0"/>
              <w:left w:val="nil"/>
              <w:bottom w:val="single" w:color="auto" w:sz="4" w:space="0"/>
              <w:right w:val="single" w:color="auto" w:sz="4" w:space="0"/>
            </w:tcBorders>
            <w:noWrap w:val="0"/>
            <w:vAlign w:val="center"/>
          </w:tcPr>
          <w:p>
            <w:pPr>
              <w:pStyle w:val="34"/>
              <w:bidi w:val="0"/>
              <w:rPr>
                <w:rFonts w:hint="eastAsia"/>
                <w:b/>
                <w:bCs/>
                <w:color w:val="auto"/>
                <w:sz w:val="21"/>
                <w:szCs w:val="21"/>
              </w:rPr>
            </w:pPr>
            <w:r>
              <w:rPr>
                <w:rFonts w:hint="eastAsia"/>
                <w:b/>
                <w:bCs/>
                <w:color w:val="auto"/>
                <w:sz w:val="21"/>
                <w:szCs w:val="21"/>
              </w:rPr>
              <w:t>红线宽度米）</w:t>
            </w:r>
          </w:p>
        </w:tc>
        <w:tc>
          <w:tcPr>
            <w:tcW w:w="645" w:type="pct"/>
            <w:tcBorders>
              <w:top w:val="single" w:color="auto" w:sz="4" w:space="0"/>
              <w:left w:val="nil"/>
              <w:bottom w:val="single" w:color="auto" w:sz="4" w:space="0"/>
              <w:right w:val="single" w:color="auto" w:sz="4" w:space="0"/>
            </w:tcBorders>
            <w:noWrap w:val="0"/>
            <w:vAlign w:val="center"/>
          </w:tcPr>
          <w:p>
            <w:pPr>
              <w:pStyle w:val="34"/>
              <w:bidi w:val="0"/>
              <w:rPr>
                <w:rFonts w:hint="eastAsia"/>
                <w:b/>
                <w:bCs/>
                <w:color w:val="auto"/>
                <w:sz w:val="21"/>
                <w:szCs w:val="21"/>
              </w:rPr>
            </w:pPr>
            <w:r>
              <w:rPr>
                <w:rFonts w:hint="eastAsia"/>
                <w:b/>
                <w:bCs/>
                <w:color w:val="auto"/>
                <w:sz w:val="21"/>
                <w:szCs w:val="21"/>
              </w:rPr>
              <w:t>道路等级</w:t>
            </w:r>
          </w:p>
        </w:tc>
        <w:tc>
          <w:tcPr>
            <w:tcW w:w="659" w:type="pct"/>
            <w:tcBorders>
              <w:top w:val="single" w:color="auto" w:sz="4" w:space="0"/>
              <w:left w:val="nil"/>
              <w:bottom w:val="single" w:color="auto" w:sz="4" w:space="0"/>
              <w:right w:val="single" w:color="auto" w:sz="4" w:space="0"/>
            </w:tcBorders>
            <w:noWrap w:val="0"/>
            <w:vAlign w:val="center"/>
          </w:tcPr>
          <w:p>
            <w:pPr>
              <w:pStyle w:val="34"/>
              <w:bidi w:val="0"/>
              <w:rPr>
                <w:rFonts w:hint="eastAsia"/>
                <w:b/>
                <w:bCs/>
                <w:color w:val="auto"/>
                <w:sz w:val="21"/>
                <w:szCs w:val="21"/>
              </w:rPr>
            </w:pPr>
            <w:r>
              <w:rPr>
                <w:rFonts w:hint="eastAsia"/>
                <w:b/>
                <w:bCs/>
                <w:color w:val="auto"/>
                <w:sz w:val="21"/>
                <w:szCs w:val="21"/>
              </w:rPr>
              <w:t>断面形式</w:t>
            </w:r>
          </w:p>
        </w:tc>
        <w:tc>
          <w:tcPr>
            <w:tcW w:w="675" w:type="pct"/>
            <w:tcBorders>
              <w:top w:val="single" w:color="auto" w:sz="4" w:space="0"/>
              <w:left w:val="nil"/>
              <w:bottom w:val="single" w:color="auto" w:sz="4" w:space="0"/>
              <w:right w:val="single" w:color="auto" w:sz="4" w:space="0"/>
            </w:tcBorders>
            <w:noWrap w:val="0"/>
            <w:vAlign w:val="center"/>
          </w:tcPr>
          <w:p>
            <w:pPr>
              <w:pStyle w:val="34"/>
              <w:bidi w:val="0"/>
              <w:rPr>
                <w:rFonts w:hint="eastAsia"/>
                <w:b/>
                <w:bCs/>
                <w:color w:val="auto"/>
                <w:sz w:val="21"/>
                <w:szCs w:val="21"/>
              </w:rPr>
            </w:pPr>
            <w:r>
              <w:rPr>
                <w:rFonts w:hint="eastAsia"/>
                <w:b/>
                <w:bCs/>
                <w:color w:val="auto"/>
                <w:sz w:val="21"/>
                <w:szCs w:val="21"/>
              </w:rPr>
              <w:t>道路类型</w:t>
            </w:r>
          </w:p>
        </w:tc>
      </w:tr>
      <w:tr>
        <w:tblPrEx>
          <w:tblCellMar>
            <w:top w:w="0" w:type="dxa"/>
            <w:left w:w="108" w:type="dxa"/>
            <w:bottom w:w="0" w:type="dxa"/>
            <w:right w:w="108" w:type="dxa"/>
          </w:tblCellMar>
        </w:tblPrEx>
        <w:trPr>
          <w:trHeight w:val="270" w:hRule="atLeast"/>
          <w:tblHeader/>
        </w:trPr>
        <w:tc>
          <w:tcPr>
            <w:tcW w:w="411" w:type="pct"/>
            <w:tcBorders>
              <w:top w:val="single" w:color="auto" w:sz="4" w:space="0"/>
              <w:left w:val="single" w:color="auto" w:sz="4" w:space="0"/>
              <w:bottom w:val="single" w:color="auto" w:sz="4" w:space="0"/>
              <w:right w:val="single" w:color="auto" w:sz="4" w:space="0"/>
            </w:tcBorders>
            <w:noWrap w:val="0"/>
            <w:vAlign w:val="center"/>
          </w:tcPr>
          <w:p>
            <w:pPr>
              <w:pStyle w:val="34"/>
              <w:bidi w:val="0"/>
              <w:rPr>
                <w:rFonts w:hint="eastAsia"/>
                <w:color w:val="auto"/>
                <w:sz w:val="21"/>
                <w:szCs w:val="21"/>
                <w:lang w:val="de-DE" w:eastAsia="zh-CN"/>
              </w:rPr>
            </w:pPr>
            <w:r>
              <w:rPr>
                <w:rFonts w:hint="eastAsia"/>
                <w:color w:val="auto"/>
                <w:sz w:val="21"/>
                <w:szCs w:val="21"/>
                <w:lang w:val="en-US" w:eastAsia="zh-CN"/>
              </w:rPr>
              <w:t>1</w:t>
            </w:r>
          </w:p>
        </w:tc>
        <w:tc>
          <w:tcPr>
            <w:tcW w:w="1863" w:type="pct"/>
            <w:tcBorders>
              <w:top w:val="single" w:color="auto" w:sz="4" w:space="0"/>
              <w:left w:val="nil"/>
              <w:bottom w:val="single" w:color="auto" w:sz="4" w:space="0"/>
              <w:right w:val="single" w:color="auto" w:sz="4" w:space="0"/>
            </w:tcBorders>
            <w:noWrap w:val="0"/>
            <w:vAlign w:val="center"/>
          </w:tcPr>
          <w:p>
            <w:pPr>
              <w:pStyle w:val="34"/>
              <w:bidi w:val="0"/>
              <w:rPr>
                <w:rFonts w:hint="eastAsia"/>
                <w:color w:val="auto"/>
                <w:sz w:val="21"/>
                <w:szCs w:val="21"/>
                <w:lang w:val="en-US" w:eastAsia="zh-CN"/>
              </w:rPr>
            </w:pPr>
            <w:r>
              <w:rPr>
                <w:rFonts w:hint="eastAsia"/>
                <w:color w:val="auto"/>
                <w:sz w:val="21"/>
                <w:szCs w:val="21"/>
                <w:lang w:val="en-US" w:eastAsia="zh-CN"/>
              </w:rPr>
              <w:t>4.5+2.0</w:t>
            </w:r>
            <w:r>
              <w:rPr>
                <w:rFonts w:hint="eastAsia"/>
                <w:color w:val="auto"/>
                <w:sz w:val="21"/>
                <w:szCs w:val="21"/>
                <w:lang w:val="de-DE"/>
              </w:rPr>
              <w:t>+11.5+</w:t>
            </w:r>
            <w:r>
              <w:rPr>
                <w:rFonts w:hint="eastAsia"/>
                <w:color w:val="auto"/>
                <w:sz w:val="21"/>
                <w:szCs w:val="21"/>
                <w:lang w:val="en-US" w:eastAsia="zh-CN"/>
              </w:rPr>
              <w:t>4.0</w:t>
            </w:r>
            <w:r>
              <w:rPr>
                <w:rFonts w:hint="eastAsia"/>
                <w:color w:val="auto"/>
                <w:sz w:val="21"/>
                <w:szCs w:val="21"/>
                <w:lang w:val="de-DE"/>
              </w:rPr>
              <w:t>+11.5+</w:t>
            </w:r>
            <w:r>
              <w:rPr>
                <w:rFonts w:hint="eastAsia"/>
                <w:color w:val="auto"/>
                <w:sz w:val="21"/>
                <w:szCs w:val="21"/>
                <w:lang w:val="en-US" w:eastAsia="zh-CN"/>
              </w:rPr>
              <w:t>2.0+4.5</w:t>
            </w:r>
          </w:p>
        </w:tc>
        <w:tc>
          <w:tcPr>
            <w:tcW w:w="745" w:type="pct"/>
            <w:tcBorders>
              <w:top w:val="single" w:color="auto" w:sz="4" w:space="0"/>
              <w:left w:val="nil"/>
              <w:bottom w:val="single" w:color="auto" w:sz="4" w:space="0"/>
              <w:right w:val="single" w:color="auto" w:sz="4" w:space="0"/>
            </w:tcBorders>
            <w:noWrap w:val="0"/>
            <w:vAlign w:val="center"/>
          </w:tcPr>
          <w:p>
            <w:pPr>
              <w:pStyle w:val="34"/>
              <w:bidi w:val="0"/>
              <w:rPr>
                <w:rFonts w:hint="eastAsia"/>
                <w:color w:val="auto"/>
                <w:sz w:val="21"/>
                <w:szCs w:val="21"/>
                <w:lang w:val="en-US" w:eastAsia="zh-CN"/>
              </w:rPr>
            </w:pPr>
            <w:r>
              <w:rPr>
                <w:rFonts w:hint="eastAsia"/>
                <w:color w:val="auto"/>
                <w:sz w:val="21"/>
                <w:szCs w:val="21"/>
                <w:lang w:val="de-DE"/>
              </w:rPr>
              <w:t>4</w:t>
            </w:r>
            <w:r>
              <w:rPr>
                <w:rFonts w:hint="eastAsia"/>
                <w:color w:val="auto"/>
                <w:sz w:val="21"/>
                <w:szCs w:val="21"/>
                <w:lang w:val="en-US" w:eastAsia="zh-CN"/>
              </w:rPr>
              <w:t>0</w:t>
            </w:r>
          </w:p>
        </w:tc>
        <w:tc>
          <w:tcPr>
            <w:tcW w:w="645" w:type="pct"/>
            <w:tcBorders>
              <w:top w:val="single" w:color="auto" w:sz="4" w:space="0"/>
              <w:left w:val="nil"/>
              <w:bottom w:val="single" w:color="auto" w:sz="4" w:space="0"/>
              <w:right w:val="single" w:color="auto" w:sz="4" w:space="0"/>
            </w:tcBorders>
            <w:noWrap w:val="0"/>
            <w:vAlign w:val="center"/>
          </w:tcPr>
          <w:p>
            <w:pPr>
              <w:pStyle w:val="34"/>
              <w:bidi w:val="0"/>
              <w:rPr>
                <w:rFonts w:hint="eastAsia"/>
                <w:color w:val="auto"/>
                <w:sz w:val="21"/>
                <w:szCs w:val="21"/>
                <w:lang w:val="de-DE"/>
              </w:rPr>
            </w:pPr>
            <w:r>
              <w:rPr>
                <w:rFonts w:hint="eastAsia"/>
                <w:color w:val="auto"/>
                <w:sz w:val="21"/>
                <w:szCs w:val="21"/>
                <w:lang w:val="de-DE"/>
              </w:rPr>
              <w:t>主干路</w:t>
            </w:r>
          </w:p>
        </w:tc>
        <w:tc>
          <w:tcPr>
            <w:tcW w:w="659" w:type="pct"/>
            <w:tcBorders>
              <w:top w:val="single" w:color="auto" w:sz="4" w:space="0"/>
              <w:left w:val="nil"/>
              <w:bottom w:val="single" w:color="auto" w:sz="4" w:space="0"/>
              <w:right w:val="single" w:color="auto" w:sz="4" w:space="0"/>
            </w:tcBorders>
            <w:noWrap w:val="0"/>
            <w:vAlign w:val="center"/>
          </w:tcPr>
          <w:p>
            <w:pPr>
              <w:pStyle w:val="34"/>
              <w:bidi w:val="0"/>
              <w:rPr>
                <w:rFonts w:hint="eastAsia"/>
                <w:color w:val="auto"/>
                <w:sz w:val="21"/>
                <w:szCs w:val="21"/>
                <w:lang w:val="en-US" w:eastAsia="zh-CN"/>
              </w:rPr>
            </w:pPr>
            <w:r>
              <w:rPr>
                <w:rFonts w:hint="eastAsia"/>
                <w:color w:val="auto"/>
                <w:sz w:val="21"/>
                <w:szCs w:val="21"/>
                <w:lang w:val="en-US" w:eastAsia="zh-CN"/>
              </w:rPr>
              <w:t>A-A</w:t>
            </w:r>
          </w:p>
        </w:tc>
        <w:tc>
          <w:tcPr>
            <w:tcW w:w="675" w:type="pct"/>
            <w:tcBorders>
              <w:top w:val="single" w:color="auto" w:sz="4" w:space="0"/>
              <w:left w:val="nil"/>
              <w:bottom w:val="single" w:color="auto" w:sz="4" w:space="0"/>
              <w:right w:val="single" w:color="auto" w:sz="4" w:space="0"/>
            </w:tcBorders>
            <w:noWrap w:val="0"/>
            <w:vAlign w:val="center"/>
          </w:tcPr>
          <w:p>
            <w:pPr>
              <w:pStyle w:val="34"/>
              <w:bidi w:val="0"/>
              <w:rPr>
                <w:rFonts w:hint="eastAsia"/>
                <w:color w:val="auto"/>
                <w:sz w:val="21"/>
                <w:szCs w:val="21"/>
                <w:lang w:val="de-DE"/>
              </w:rPr>
            </w:pPr>
            <w:r>
              <w:rPr>
                <w:rFonts w:hint="eastAsia"/>
                <w:color w:val="auto"/>
                <w:sz w:val="21"/>
                <w:szCs w:val="21"/>
                <w:lang w:val="de-DE"/>
              </w:rPr>
              <w:t>规划道路</w:t>
            </w:r>
          </w:p>
        </w:tc>
      </w:tr>
      <w:tr>
        <w:tblPrEx>
          <w:tblCellMar>
            <w:top w:w="0" w:type="dxa"/>
            <w:left w:w="108" w:type="dxa"/>
            <w:bottom w:w="0" w:type="dxa"/>
            <w:right w:w="108" w:type="dxa"/>
          </w:tblCellMar>
        </w:tblPrEx>
        <w:trPr>
          <w:trHeight w:val="270" w:hRule="atLeast"/>
          <w:tblHeader/>
        </w:trPr>
        <w:tc>
          <w:tcPr>
            <w:tcW w:w="411" w:type="pct"/>
            <w:tcBorders>
              <w:top w:val="single" w:color="auto" w:sz="4" w:space="0"/>
              <w:left w:val="single" w:color="auto" w:sz="4" w:space="0"/>
              <w:bottom w:val="single" w:color="auto" w:sz="4" w:space="0"/>
              <w:right w:val="single" w:color="auto" w:sz="4" w:space="0"/>
            </w:tcBorders>
            <w:noWrap w:val="0"/>
            <w:vAlign w:val="center"/>
          </w:tcPr>
          <w:p>
            <w:pPr>
              <w:pStyle w:val="34"/>
              <w:bidi w:val="0"/>
              <w:rPr>
                <w:rFonts w:hint="eastAsia"/>
                <w:color w:val="auto"/>
                <w:sz w:val="21"/>
                <w:szCs w:val="21"/>
                <w:lang w:val="de-DE"/>
              </w:rPr>
            </w:pPr>
            <w:r>
              <w:rPr>
                <w:rFonts w:hint="eastAsia"/>
                <w:color w:val="auto"/>
                <w:sz w:val="21"/>
                <w:szCs w:val="21"/>
                <w:lang w:val="de-DE"/>
              </w:rPr>
              <w:t>2</w:t>
            </w:r>
          </w:p>
        </w:tc>
        <w:tc>
          <w:tcPr>
            <w:tcW w:w="1863" w:type="pct"/>
            <w:tcBorders>
              <w:top w:val="single" w:color="auto" w:sz="4" w:space="0"/>
              <w:left w:val="nil"/>
              <w:bottom w:val="single" w:color="auto" w:sz="4" w:space="0"/>
              <w:right w:val="single" w:color="auto" w:sz="4" w:space="0"/>
            </w:tcBorders>
            <w:noWrap w:val="0"/>
            <w:vAlign w:val="center"/>
          </w:tcPr>
          <w:p>
            <w:pPr>
              <w:pStyle w:val="34"/>
              <w:bidi w:val="0"/>
              <w:rPr>
                <w:rFonts w:hint="eastAsia"/>
                <w:color w:val="auto"/>
                <w:sz w:val="21"/>
                <w:szCs w:val="21"/>
                <w:lang w:val="de-DE"/>
              </w:rPr>
            </w:pPr>
            <w:r>
              <w:rPr>
                <w:rFonts w:hint="eastAsia"/>
                <w:color w:val="auto"/>
                <w:sz w:val="21"/>
                <w:szCs w:val="21"/>
                <w:lang w:val="de-DE"/>
              </w:rPr>
              <w:t>4.5+3.0+15.0+3.0+4.5</w:t>
            </w:r>
          </w:p>
        </w:tc>
        <w:tc>
          <w:tcPr>
            <w:tcW w:w="745" w:type="pct"/>
            <w:tcBorders>
              <w:top w:val="single" w:color="auto" w:sz="4" w:space="0"/>
              <w:left w:val="nil"/>
              <w:bottom w:val="single" w:color="auto" w:sz="4" w:space="0"/>
              <w:right w:val="single" w:color="auto" w:sz="4" w:space="0"/>
            </w:tcBorders>
            <w:noWrap w:val="0"/>
            <w:vAlign w:val="center"/>
          </w:tcPr>
          <w:p>
            <w:pPr>
              <w:pStyle w:val="34"/>
              <w:bidi w:val="0"/>
              <w:rPr>
                <w:rFonts w:hint="eastAsia"/>
                <w:color w:val="auto"/>
                <w:sz w:val="21"/>
                <w:szCs w:val="21"/>
                <w:lang w:val="de-DE"/>
              </w:rPr>
            </w:pPr>
            <w:r>
              <w:rPr>
                <w:rFonts w:hint="eastAsia"/>
                <w:color w:val="auto"/>
                <w:sz w:val="21"/>
                <w:szCs w:val="21"/>
                <w:lang w:val="de-DE"/>
              </w:rPr>
              <w:t>30</w:t>
            </w:r>
          </w:p>
        </w:tc>
        <w:tc>
          <w:tcPr>
            <w:tcW w:w="645" w:type="pct"/>
            <w:tcBorders>
              <w:top w:val="single" w:color="auto" w:sz="4" w:space="0"/>
              <w:left w:val="nil"/>
              <w:bottom w:val="single" w:color="auto" w:sz="4" w:space="0"/>
              <w:right w:val="single" w:color="auto" w:sz="4" w:space="0"/>
            </w:tcBorders>
            <w:noWrap w:val="0"/>
            <w:vAlign w:val="center"/>
          </w:tcPr>
          <w:p>
            <w:pPr>
              <w:pStyle w:val="34"/>
              <w:bidi w:val="0"/>
              <w:rPr>
                <w:rFonts w:hint="eastAsia"/>
                <w:color w:val="auto"/>
                <w:sz w:val="21"/>
                <w:szCs w:val="21"/>
                <w:lang w:val="de-DE"/>
              </w:rPr>
            </w:pPr>
            <w:r>
              <w:rPr>
                <w:rFonts w:hint="eastAsia"/>
                <w:color w:val="auto"/>
                <w:sz w:val="21"/>
                <w:szCs w:val="21"/>
                <w:lang w:val="de-DE"/>
              </w:rPr>
              <w:t>次干路</w:t>
            </w:r>
          </w:p>
        </w:tc>
        <w:tc>
          <w:tcPr>
            <w:tcW w:w="659" w:type="pct"/>
            <w:tcBorders>
              <w:top w:val="single" w:color="auto" w:sz="4" w:space="0"/>
              <w:left w:val="nil"/>
              <w:bottom w:val="single" w:color="auto" w:sz="4" w:space="0"/>
              <w:right w:val="single" w:color="auto" w:sz="4" w:space="0"/>
            </w:tcBorders>
            <w:noWrap w:val="0"/>
            <w:vAlign w:val="center"/>
          </w:tcPr>
          <w:p>
            <w:pPr>
              <w:pStyle w:val="34"/>
              <w:bidi w:val="0"/>
              <w:rPr>
                <w:rFonts w:hint="eastAsia"/>
                <w:color w:val="auto"/>
                <w:sz w:val="21"/>
                <w:szCs w:val="21"/>
              </w:rPr>
            </w:pPr>
            <w:r>
              <w:rPr>
                <w:rFonts w:hint="eastAsia"/>
                <w:color w:val="auto"/>
                <w:sz w:val="21"/>
                <w:szCs w:val="21"/>
              </w:rPr>
              <w:t>B-B</w:t>
            </w:r>
          </w:p>
        </w:tc>
        <w:tc>
          <w:tcPr>
            <w:tcW w:w="675" w:type="pct"/>
            <w:tcBorders>
              <w:top w:val="single" w:color="auto" w:sz="4" w:space="0"/>
              <w:left w:val="nil"/>
              <w:bottom w:val="single" w:color="auto" w:sz="4" w:space="0"/>
              <w:right w:val="single" w:color="auto" w:sz="4" w:space="0"/>
            </w:tcBorders>
            <w:noWrap w:val="0"/>
            <w:vAlign w:val="center"/>
          </w:tcPr>
          <w:p>
            <w:pPr>
              <w:pStyle w:val="34"/>
              <w:bidi w:val="0"/>
              <w:rPr>
                <w:rFonts w:hint="eastAsia"/>
                <w:color w:val="auto"/>
                <w:sz w:val="21"/>
                <w:szCs w:val="21"/>
                <w:lang w:val="de-DE"/>
              </w:rPr>
            </w:pPr>
            <w:r>
              <w:rPr>
                <w:rFonts w:hint="eastAsia"/>
                <w:color w:val="auto"/>
                <w:sz w:val="21"/>
                <w:szCs w:val="21"/>
                <w:lang w:val="de-DE"/>
              </w:rPr>
              <w:t>规划道路</w:t>
            </w:r>
          </w:p>
        </w:tc>
      </w:tr>
      <w:tr>
        <w:tblPrEx>
          <w:tblCellMar>
            <w:top w:w="0" w:type="dxa"/>
            <w:left w:w="108" w:type="dxa"/>
            <w:bottom w:w="0" w:type="dxa"/>
            <w:right w:w="108" w:type="dxa"/>
          </w:tblCellMar>
        </w:tblPrEx>
        <w:trPr>
          <w:trHeight w:val="270" w:hRule="atLeast"/>
          <w:tblHeader/>
        </w:trPr>
        <w:tc>
          <w:tcPr>
            <w:tcW w:w="411" w:type="pct"/>
            <w:tcBorders>
              <w:top w:val="single" w:color="auto" w:sz="4" w:space="0"/>
              <w:left w:val="single" w:color="auto" w:sz="4" w:space="0"/>
              <w:bottom w:val="single" w:color="auto" w:sz="4" w:space="0"/>
              <w:right w:val="single" w:color="auto" w:sz="4" w:space="0"/>
            </w:tcBorders>
            <w:noWrap w:val="0"/>
            <w:vAlign w:val="center"/>
          </w:tcPr>
          <w:p>
            <w:pPr>
              <w:pStyle w:val="34"/>
              <w:bidi w:val="0"/>
              <w:rPr>
                <w:rFonts w:hint="eastAsia"/>
                <w:color w:val="auto"/>
                <w:sz w:val="21"/>
                <w:szCs w:val="21"/>
                <w:lang w:val="de-DE" w:eastAsia="zh-CN"/>
              </w:rPr>
            </w:pPr>
            <w:r>
              <w:rPr>
                <w:rFonts w:hint="eastAsia"/>
                <w:color w:val="auto"/>
                <w:sz w:val="21"/>
                <w:szCs w:val="21"/>
                <w:lang w:val="en-US" w:eastAsia="zh-CN"/>
              </w:rPr>
              <w:t>3</w:t>
            </w:r>
          </w:p>
        </w:tc>
        <w:tc>
          <w:tcPr>
            <w:tcW w:w="1863" w:type="pct"/>
            <w:tcBorders>
              <w:top w:val="single" w:color="auto" w:sz="4" w:space="0"/>
              <w:left w:val="nil"/>
              <w:bottom w:val="single" w:color="auto" w:sz="4" w:space="0"/>
              <w:right w:val="single" w:color="auto" w:sz="4" w:space="0"/>
            </w:tcBorders>
            <w:noWrap w:val="0"/>
            <w:vAlign w:val="center"/>
          </w:tcPr>
          <w:p>
            <w:pPr>
              <w:pStyle w:val="34"/>
              <w:bidi w:val="0"/>
              <w:rPr>
                <w:rFonts w:hint="eastAsia"/>
                <w:color w:val="auto"/>
                <w:sz w:val="21"/>
                <w:szCs w:val="21"/>
                <w:lang w:val="en-US" w:eastAsia="zh-CN"/>
              </w:rPr>
            </w:pPr>
            <w:r>
              <w:rPr>
                <w:rFonts w:hint="eastAsia"/>
                <w:color w:val="auto"/>
                <w:sz w:val="21"/>
                <w:szCs w:val="21"/>
                <w:lang w:val="en-US" w:eastAsia="zh-CN"/>
              </w:rPr>
              <w:t>3.5+13.0+3.5</w:t>
            </w:r>
          </w:p>
        </w:tc>
        <w:tc>
          <w:tcPr>
            <w:tcW w:w="745" w:type="pct"/>
            <w:tcBorders>
              <w:top w:val="single" w:color="auto" w:sz="4" w:space="0"/>
              <w:left w:val="nil"/>
              <w:bottom w:val="single" w:color="auto" w:sz="4" w:space="0"/>
              <w:right w:val="single" w:color="auto" w:sz="4" w:space="0"/>
            </w:tcBorders>
            <w:noWrap w:val="0"/>
            <w:vAlign w:val="center"/>
          </w:tcPr>
          <w:p>
            <w:pPr>
              <w:pStyle w:val="34"/>
              <w:bidi w:val="0"/>
              <w:rPr>
                <w:rFonts w:hint="eastAsia"/>
                <w:color w:val="auto"/>
                <w:sz w:val="21"/>
                <w:szCs w:val="21"/>
                <w:lang w:val="en-US" w:eastAsia="zh-CN"/>
              </w:rPr>
            </w:pPr>
            <w:r>
              <w:rPr>
                <w:rFonts w:hint="eastAsia"/>
                <w:color w:val="auto"/>
                <w:sz w:val="21"/>
                <w:szCs w:val="21"/>
                <w:lang w:val="en-US" w:eastAsia="zh-CN"/>
              </w:rPr>
              <w:t>20</w:t>
            </w:r>
          </w:p>
        </w:tc>
        <w:tc>
          <w:tcPr>
            <w:tcW w:w="645" w:type="pct"/>
            <w:tcBorders>
              <w:top w:val="single" w:color="auto" w:sz="4" w:space="0"/>
              <w:left w:val="nil"/>
              <w:bottom w:val="single" w:color="auto" w:sz="4" w:space="0"/>
              <w:right w:val="single" w:color="auto" w:sz="4" w:space="0"/>
            </w:tcBorders>
            <w:noWrap w:val="0"/>
            <w:vAlign w:val="center"/>
          </w:tcPr>
          <w:p>
            <w:pPr>
              <w:pStyle w:val="34"/>
              <w:bidi w:val="0"/>
              <w:rPr>
                <w:rFonts w:hint="eastAsia"/>
                <w:color w:val="auto"/>
                <w:sz w:val="21"/>
                <w:szCs w:val="21"/>
                <w:lang w:val="de-DE" w:eastAsia="zh-CN"/>
              </w:rPr>
            </w:pPr>
            <w:r>
              <w:rPr>
                <w:rFonts w:hint="eastAsia"/>
                <w:color w:val="auto"/>
                <w:sz w:val="21"/>
                <w:szCs w:val="21"/>
                <w:lang w:val="de-DE"/>
              </w:rPr>
              <w:t>支路</w:t>
            </w:r>
          </w:p>
        </w:tc>
        <w:tc>
          <w:tcPr>
            <w:tcW w:w="659" w:type="pct"/>
            <w:tcBorders>
              <w:top w:val="single" w:color="auto" w:sz="4" w:space="0"/>
              <w:left w:val="nil"/>
              <w:bottom w:val="single" w:color="auto" w:sz="4" w:space="0"/>
              <w:right w:val="single" w:color="auto" w:sz="4" w:space="0"/>
            </w:tcBorders>
            <w:noWrap w:val="0"/>
            <w:vAlign w:val="center"/>
          </w:tcPr>
          <w:p>
            <w:pPr>
              <w:pStyle w:val="34"/>
              <w:bidi w:val="0"/>
              <w:rPr>
                <w:rFonts w:hint="eastAsia"/>
                <w:color w:val="auto"/>
                <w:sz w:val="21"/>
                <w:szCs w:val="21"/>
                <w:lang w:val="en-US" w:eastAsia="zh-CN"/>
              </w:rPr>
            </w:pPr>
            <w:r>
              <w:rPr>
                <w:rFonts w:hint="eastAsia"/>
                <w:color w:val="auto"/>
                <w:sz w:val="21"/>
                <w:szCs w:val="21"/>
                <w:lang w:val="en-US" w:eastAsia="zh-CN"/>
              </w:rPr>
              <w:t>C</w:t>
            </w:r>
            <w:r>
              <w:rPr>
                <w:rFonts w:hint="eastAsia"/>
                <w:color w:val="auto"/>
                <w:sz w:val="21"/>
                <w:szCs w:val="21"/>
              </w:rPr>
              <w:t>-</w:t>
            </w:r>
            <w:r>
              <w:rPr>
                <w:rFonts w:hint="eastAsia"/>
                <w:color w:val="auto"/>
                <w:sz w:val="21"/>
                <w:szCs w:val="21"/>
                <w:lang w:val="en-US" w:eastAsia="zh-CN"/>
              </w:rPr>
              <w:t>C</w:t>
            </w:r>
          </w:p>
        </w:tc>
        <w:tc>
          <w:tcPr>
            <w:tcW w:w="675" w:type="pct"/>
            <w:tcBorders>
              <w:top w:val="single" w:color="auto" w:sz="4" w:space="0"/>
              <w:left w:val="nil"/>
              <w:bottom w:val="single" w:color="auto" w:sz="4" w:space="0"/>
              <w:right w:val="single" w:color="auto" w:sz="4" w:space="0"/>
            </w:tcBorders>
            <w:noWrap w:val="0"/>
            <w:vAlign w:val="center"/>
          </w:tcPr>
          <w:p>
            <w:pPr>
              <w:pStyle w:val="34"/>
              <w:bidi w:val="0"/>
              <w:rPr>
                <w:rFonts w:hint="eastAsia"/>
                <w:color w:val="auto"/>
                <w:sz w:val="21"/>
                <w:szCs w:val="21"/>
                <w:lang w:val="de-DE" w:eastAsia="zh-CN"/>
              </w:rPr>
            </w:pPr>
            <w:r>
              <w:rPr>
                <w:rFonts w:hint="eastAsia"/>
                <w:color w:val="auto"/>
                <w:sz w:val="21"/>
                <w:szCs w:val="21"/>
                <w:lang w:val="de-DE"/>
              </w:rPr>
              <w:t>规划道路</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4.2.3.3 客运交通规划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规划西区距县城有一定距离，主要以城市快速公交、普通公交和企业班车为主。</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西区城市公交：规划西区内设置 1 处公交首末站，占地 0.3 公顷，与企业班车停靠点结合设置。</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4.2.3.4 环境污染防治措施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（1）大气污染防治措施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建设项目采用能源利用率高、污染物排放量少的清洁生产工艺，减少大气污染物的产生；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规划所选项目工艺路线，采用无废、少废生产工艺，最大限度减少废气排放量；对生产装置排放的废气，积极采用回收、吸收、吸附、冷凝、焚烧等处理方法，确保废气再利用或减少废气排放量；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对排入大气的废气实施达标排放，污染物总量控制。在废气排放点设置在线自动检测仪表；严格控制有毒有害气体排放，并对有毒有害气体排放实施监控；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各厂区内集中供热、供气；对于锅炉烟气，采用电除尘等先进的除尘工艺，并采用脱硫、脱硝技术；</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⑤ 搞好园区绿化规划，保证区内绿化率满足要求，以美化环境、净化空气。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⑥ 在呼图壁工业园区东区、中区、西区共规划设 5 处大气环境监测点，其中东区 2 处、中区 1 处、西区 2 处。</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（2）水污染的防治措施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选择节水工艺，实施水资源利用的市场化管理；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② 工厂内部、工业区内部最大限度实现污水资源化、提高中水回用量，减少环境排污量；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排水系统实施清污分流制度；清洁雨水就近排入水体；预处理后的生产污水汇同生活污水，排入规划的各污水处理厂；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依托规划污水处理厂，对污水实施集中处理，达标排放，总量控制。各厂进入污水处理厂的污水需要自行处理，并达到污水处理厂接收水质标准要求；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⑤ 园区内所有污水均需由经环境保护部门确认的污水排放口排放，禁止在规划的工业区污水排放口外设新的污水排放口。污水排放口实施规范化建设，并安装在线监测仪器，保证污水达标排放并控制在污染物总量控制指标内；</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⑥ 园区达标废水最大限度实施“零排放”；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⑦ 划分县第二水厂所在地 27.3 公顷用地为县地下水水源一级保护区，不设二级保护区。规划该水源为县备用水源。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⑧ 依照当地管理规定对饮用水水源地设立水源保护区，做好水源地的日常监测和监管，确保水源地水体维持功能区要求，防止污染事件的发生。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（3）声环境质量控制措施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交通噪声防治。加强交通管理，道路人车分离，明确路面划线。限制或禁止使用高音喇叭，提高现有车辆的降噪性能，取缔设备不良、严重超载的车辆，制订噪声违章收费标准等。合理设计布局，要重视住宅布局与临街住宅的降噪处理，完善城市道路系统，加强绿化及护林带建设，道路两侧土地合理利用，路旁建筑进行隔声设计等，道路限制车流量，路边合理种植降噪效果好的树木（灌木）等方法。</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生活噪声防治。禁止使用高音喇叭、控制音响设备音量及播放时间、加强市场的工商管理力度，防止交通堵塞，封闭式市场、商业区内人行道与机动车道分离等，文化娱乐要限制音响设备音量、限制活动场所营业时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建筑施工噪声。选择低噪声施工机械、对施工噪声设备进行降噪处理；加大建筑施工工地的噪声污染管理力度，加大对群众举报施工噪声扰民事件的查处力度，加强环境宣传教育。</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工矿企业噪声。使高噪声设备尽可能远离噪声敏感区；利用自然地形或物体（如山丘、土坡、围墙等）降低噪声，合理布局噪声敏感区中的建筑物功能和合理调整建筑物平面布局；采取声学控制措施，如对生源采取隔振和减振的措施，在传播途径上增设吸声、隔声等措施，利用已经有的噪声排污收费制度、限期办理排污许可证制度、“三同时”制度、排污申报制度、环境影响评价制度等各项制度对工矿企业的噪声整治、达到噪声排放控制的目的。</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（4）固体废弃物的综合治理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推行工业废弃物和生活垃圾分类收集，分类堆存；综合利用工业固体废物，重点推进煤矸石、粉煤灰、化工废渣、尾矿等大宗工业固体废物的综合利用，剩余固定废物集中收集，送规划工业固体废物安全填埋场填埋，生活垃圾收集后运至就近生活垃圾填埋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根据固体废弃物各自的特性和组成的不同，积极采用堆存、围隔堆存、填埋、焚化、生物降解、固化等处置方法；</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锅炉炉渣外运后做建筑材料使用；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④ 在分区内设一固体废渣临时“堆放棚”，各装置无毒无公害固体废物送到“堆放棚”，再送往指定的地点焚烧或填埋；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⑤ 可利用的废弃物要进行回收，循环利用（如纸张、玻璃、金属等）；</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⑥ 制定危险废物监控办法，争取危险废物零排放。建立危险废物收集、运输、处置的全过程环境监督管理体系，基本实现危险废物的安全处置。 危险废物统一收集、集中控制，送危险废物集中处置场进行处置。实行危险废物集中处置申报登记制度，建立信息库。强化危险废物转移联单、经营许可证管理。对危险化学品建设项目进行严格的规划、设计和建设，确保企业安全生产。</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4.2.3.5 环境卫生设施规划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（1）生活垃圾排放量预测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依据人均垃圾产量 1.3 公斤/日计，呼图壁工业园区规划居住人口 10000 人，其中中区 10000 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呼图壁工业园区生活垃圾量规划共 13 吨/日。另外考虑东区与西区就业人群，估算东区生活垃圾预估 0.39 吨/日，西区生活垃圾预估 1.56 吨/日。</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（2）垃圾收运规划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规划共设置垃圾转运站 3 座，其中：</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西区设置 1 座生活垃圾转运站，转运规模为 1.56 吨/日，占地 0.15 公顷。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中区设置 1 座生活垃圾转运站，转运规模为 13 吨/日，占地 0.25 公顷。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东区设置 1 座生活垃圾转运站，转运规模为 0.39 吨/日，占地 0.1 公顷。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转运站尽量结合绿地布置。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工业垃圾由各厂区将各自集中收集后，送往指定的地点焚烧或填埋。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（3）垃圾处置规划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垃圾卫生填埋场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规划利用县城现状垃圾填埋场进行处理，远期予以扩建。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粪便垃圾处置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粪便污水纳入市政污水管网实行管道收集，进入污水处理厂集中处理。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工业垃圾处置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在西区新建一处 50 万m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 xml:space="preserve"> 固废填埋场，入园企业产生的工业固废依据性质分别执行：一般工业固体废物贮存、处置执行《一般工业固体废物贮存、处置场污染控制标准》（GB18599-2020）；危险废物执行《危险废物贮存污染控制标准》（GB18597-2001）、《危险废物填埋污染控制标准》（GB18598-2001）和《危险废物鉴别标准》（GB5085.1～3-2007）。</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4.2.4 基础设施规划</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4.2.4.1 供水现状及供水规划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（1）水资源情况</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呼图壁县境内河流，按其形成、径流补给及流域分布情况，可分为呼图壁河和雀尔沟河 2 条河流，两条河流归属于呼图壁河水系。呼图壁河发源于天山北坡的喀拉乌成山及天格尔山，经高、中、 低山区流入平原，源头高程 3700 米，出山口高程在 1000 米以下，河流全长约 258 千米。沿程有东、中、西呼图壁河源头支流和红闸、白杨河、哈熊沟、石梯子沟、大洪沟等支流汇入，经过青年渠首和平原 各类蓄、调、输、引水工程，为呼图壁河流域及各生产单位引用，最后消失于沙漠之中。呼图壁河补给源为高山区的消冰融雪、中山区的降水和地下水。雀尔沟河发源于中山区，源头高程 3200 米，出山口高程在 1000 米以下。雀尔沟河因无高山区融冰雪水补给，径流的形成，主要是依靠中山区的降水和河流沿程地下水的补给。</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呼图壁县境内地表水年径流量 4.9 亿立方米，其中，呼图壁河年径流量 4.6 亿立方米，雀尔沟河年径流量 3200 万立方米。地下水方面，呼图壁县平原地区地下水补给量 2.6 亿立方米，全县地下水总储量 2.1 亿立方米，年均实际可供开采 1.8 亿立方米。</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2019 年 呼图壁县 用水总量 4.48 亿立 方 米， 用水结构为 94.5：5.3：0.21，农业用水占比居高，总用水量中地表水总量为 1.99 亿立方米，地下水总量为 2.48 亿立方米，其他水源供水 0.01 亿立方米，地表水与地下水供水比例为 44：56；2019 年呼图壁县亩均灌溉用水 319.38 立方米/亩，人均城镇综合用水量 157.47 立方米，高于全国平均水平。</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呼图壁县年平均降水为 289.8 毫米，县域内地表水和地下水水质较好，矿化度小，一般都低于 1g/L，pH 值介于 6～8 之间，硬度低，适合于饮用、灌溉和各种工业用水。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（2）园区供水现状</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呼图壁县县城现有三座水厂，其中第一水厂已停产；第二水厂规模 2.5 万立方米/日，水源为地下水，位于县城西南。第三水厂规模 2 万立方米/日，水源为呼图壁河地表水，位于县城南部。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呼图壁县老城区供水管网系统相对完善。中区内已建有部分 DN200~DN800供水管线。</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1）东区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东区现状有一座给水厂，位于规划区东南侧，占地 2.12 公顷，现状给水能力为 5000 立方米/日。</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2）中区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中区规划区内现状有 2 座给水厂，水源位于五工台镇，水源类型为地下水，设计供水规模 4000 立方米/日。</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3）西区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西区规划区内现状有一座给水厂，位于规划区东南处，现状规模为 1.4 万立方米/日。</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（2）水厂规划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针对园区企业总体分散、但又相对集中的特点，根据当地水资源实际状况和今后园区发展的需水量，本着加强水资源节约、积极开源节流的基本原则，优先使用地表水、严禁开采地下水，加强污水处理和回用，实现水资源供需平衡目标。为此针对不同的水资源采取不同的供水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东区供水水源：呼图壁河地表水。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东区水厂规模：水厂规模为 0.5 万m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/天，已满足远期发展。</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中区供水水厂：城市第三水厂，第三水厂近期规模为 4.0 万m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/天，远期规模为 8.2 万m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/天。五工台镇水厂作为备用水源。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西区供水水源：雀尔沟河，红山水库下库。</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西区水厂规模：水厂近期规模 1.4 万m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/天，远期规模 3.0 万m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/天。</w:t>
      </w:r>
    </w:p>
    <w:p>
      <w:pPr>
        <w:keepNext w:val="0"/>
        <w:keepLines w:val="0"/>
        <w:pageBreakBefore w:val="0"/>
        <w:widowControl w:val="0"/>
        <w:kinsoku/>
        <w:wordWrap/>
        <w:overflowPunct/>
        <w:topLinePunct w:val="0"/>
        <w:autoSpaceDE/>
        <w:autoSpaceDN/>
        <w:bidi w:val="0"/>
        <w:adjustRightInd/>
        <w:snapToGrid/>
        <w:spacing w:line="560" w:lineRule="exact"/>
        <w:ind w:firstLine="482"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供水保障性：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根据《呼图壁县水资源调查评价报告》（黄河水文水资源科学研究院 2022 年 8 月）成果，呼图壁县地表水资源可利用量为 5.2175 亿m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，其中可利用的呼图壁河地表水资源量为 4.6594 亿 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，可利用的军塘湖河地表水资源量为 0.5581亿m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根据《呼图壁县工业园区规划水资源论证报告》，呼图壁工业园区西区供水由园区水厂供给，现状水源为军塘湖河红山下水库，根据《呼图壁县军塘湖河流域规划报告》、《新疆·呼图壁县红山下水库工程水资源论证报告书》及其批复，规划水平年 2020 年红山下水库总取用水量 2470 万 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/a，规划水平年流域农业用水量 1676 万 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，工业园西区现状入驻且正常生产企业有 18 家，工业用水量 460 万 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，未达到上限要求，本项目用水量为 5741.3m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/a，叠加后水源可以满足供水需求，因此项目供水可以保障。</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（3）管网规划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原水通过取水构筑物输送至规划给水厂，经混凝、沉淀、过滤、消毒等一系列工艺净化后，出水进入市政给水管，通过市政配水管网供给全区用水。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管道沿道路敷设，供水管网形成环状，并尽可能从不同方向引入，以提高供水的安全性。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给水管网按最高日最大时用水量计算确定管径，按最高日最大时用水量加消防用水量及事故供水量校核管径。</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近期与远期相结合，合理利用现状给水干管，规划管道根据城市道路的改造、建设逐步完成，同时提出近期建设目标。</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供水管以球墨铸铁管和 PE 管为主，供水水压宜满足用户接管处服务水头28 米的要求。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规划沿主要道路敷设 DN300-DN600 给水干管。</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规划其余道路敷设 DN300 给水支管，与给水干管形成环网为园区供水，提高供水的安全性。</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4.2.4.2 园区排水现状及排水规划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（1）园区排水现状</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1）东区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东区不独立新建污水处理厂，近期协调接入昌吉高新区污水处理厂。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2）中区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中区现状污水通过污水泵站排放至西区污水处理厂。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3）西区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西区现状有一处污水处理厂，位于北侧范围外，现状处理能力为 1.4 万立方米/日。</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存在问题：</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——园区已形成污水排放系统，但尚不能满足远期规划建设的需求。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（2）污水处理厂规划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东区不新建污水处理厂，东区污水接入高新区污水处理厂。依据呼图壁县国土空间总体规划，昌吉高新技术相关规划，本着东区同昌吉高新区共享基础设施的原则，规划污水经管网收集后排至昌吉高新区污水处理厂处理。昌吉高新区污水处理厂隶属于昌吉高新区水务公司，位于昌吉高新区西侧，毗邻呼图壁工业园区东区。设计日处理能力 10 万吨，目前昌吉市污水处理厂污水来源于生活污水和工业污水，日处理污水量均为 1 万吨左右，远期日处理污水量可达 10 万吨，东区最高日污水量为 0.30 万吨，可纳入高新区污水处理厂处理。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中区不单独设置污水处理厂，规划污水经管网收集后通过污水提升泵站排至西区污水处理厂处理。规划处理后污水的出水指标执行《城镇污水处理厂污染排放标准》（GB18918-2002）一级 A 排放标准，处理后的污水排放至厂区北侧的中水水库内。</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西区现状已建一处污水处理厂，现状规模 1 万立方米/日，规划规模 3.0 万立方米/日，位于西区北部。规划污水经管网收集后排至污水处理厂处理，出水指标执行《城镇污水处理厂污染排放标准》（GB18918-2002）一级A排放标准，处理后的污水排放至厂区北侧的中水水库内。</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（3）污水管网规划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规划沿东区内道路敷设 d400 污水管，与区域污水干管汇合后最终由 S201的规划 d800 污水干管排至昌吉高新区污水处理厂处理。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规划沿中区内道路敷设 d300-d500 污水管，收集沿路地块的污水，最终通过污水提升泵站输送至西区化工园污水处理厂。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规划沿西区内道路敷设 d400-d600 污水管，收集沿路地块的污水，最终向北排至规划污水处理厂处理。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污水支管以重力流为主沿道路顺坡敷设，并以最短的距离接入污水干管。</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4.2.4.3 供热现状及供热规划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（1）园区供热现状</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呼图壁县逐步实现集中供暖，现状有华电热电厂（2×300MW+2×600MW）及部分锅炉房为片区供热。</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（2）热负荷预测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本供热规划主要考虑工业、民用两大类地块的采暖热负荷、用气热负荷。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根据呼图壁工业园区的经济技术指标，预测东区总采暖建筑面积为 192.40万平方米，其中工业建筑面积约为 184.56 万平方米，商业服务业建筑面积约为0.17 万平方米，公用设施建筑面积约为 7.68 万平方米。</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预测中区总采暖建筑面积为 740.14 万平方米，其中居住建筑 99.83 万平方米，公共服务建筑 44.65 万平方米，工业建筑 554.67 万平方米，物流仓储建筑36.61，公用设施建筑 4.39 万平方米，园区内建筑功能为生产加工及生活配套服务建筑。</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预测西区总采暖建筑面积为 998.51 万平方米，其中工业建筑 988.07 万平方米，公用设施建筑 10.44 万平方米，园区内建筑功能为生产加工及生活配套服务建筑。</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（3）热源及热媒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规划东区、中区热源采用华电热电厂，建设区域锅炉房集中供热方式，西区热源采用工业余热、天然气采暖、电锅炉采暖三种方式。东区规划设 6 座换热站。中区规划设 16 座换热站。西区规划每个企业建设自备天然气锅炉。公共服务设施可采用电锅炉供热。</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规划采用 130/70℃ 高温水作为一次热媒，经换热站换成 85/60℃ 低温水直接向各民用建筑供热，工业建筑也可直接采用高温水采暖。</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由于工业园区常年工业生产热负荷较小，而季节性的采暖热负荷较大，因此工业生产热负荷由企业有组织地联合建设热源，本规划只考虑工业生产热负荷。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（4）供热管网规划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热网布置。规划工业用地区域管道低支架敷设，生活建议管道直埋敷设。主要干管应靠近大型用户和热负荷集中的地区，避免长距离穿越没有热负荷的地段。供热管道要尽量避开主要交通干路和繁华的街道，以免给施工和运行管理带来困难。和其它管线并行敷设或交叉时，为了保证各种管道均能方便地敷设运行和维修，热网和其它管线之间应有必要的距离。工业区供热管网采用枝状布置，供热管管径在 300-600 之间，聚胺脂保温直埋敷设。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热网管理。各供热站出口总管及各用户入口均设有介质流量、压力、温度检测装置，该检测装置带有温度和压力补偿以满足商业贸易所需。所有计量仪表的管理均由供热公司负责，热网管理人员根据所设仪表对热网进行调节和经济核算。</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用户连接。工业用户用汽可直接由供热管网引入蒸汽，直接或降压使用，冬季采暖及生活热水用户可通过换热站将蒸汽置换为 95-70℃ 采暖热水和 60℃ 生活热水，由二级管网送入各用户使用。换热站的设置应根据园区特点，应控制在单座容量负担 5-20 万平方米建筑面积，各换热站占地 100-200 平方米。</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b/>
          <w:bCs/>
          <w:color w:val="auto"/>
          <w:sz w:val="30"/>
          <w:szCs w:val="30"/>
          <w:lang w:val="en-US" w:eastAsia="zh-CN"/>
        </w:rPr>
      </w:pPr>
      <w:bookmarkStart w:id="23" w:name="_Toc25068"/>
      <w:r>
        <w:rPr>
          <w:rFonts w:hint="eastAsia" w:ascii="Times New Roman" w:hAnsi="Times New Roman" w:eastAsia="宋体" w:cs="Times New Roman"/>
          <w:b/>
          <w:bCs/>
          <w:color w:val="auto"/>
          <w:sz w:val="30"/>
          <w:szCs w:val="30"/>
          <w:lang w:val="en-US" w:eastAsia="zh-CN"/>
        </w:rPr>
        <w:t>4.3 区域污染源调查</w:t>
      </w:r>
      <w:bookmarkEnd w:id="23"/>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4.3.1 大气污染源调查</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项目厂址位于呼图壁工业园区西区内，本次评价收集了园区相关企业的环评及排污许可证等相关资料，根据调查该片区已规模以上的企业大气污染物排放情况见表 4.3.1-1。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4.3.1-1    区域大气污染物排放调查表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4"/>
        <w:gridCol w:w="2512"/>
        <w:gridCol w:w="620"/>
        <w:gridCol w:w="620"/>
        <w:gridCol w:w="899"/>
        <w:gridCol w:w="829"/>
        <w:gridCol w:w="794"/>
        <w:gridCol w:w="900"/>
        <w:gridCol w:w="7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序号</w:t>
            </w:r>
          </w:p>
        </w:tc>
        <w:tc>
          <w:tcPr>
            <w:tcW w:w="1473"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企业名称</w:t>
            </w:r>
          </w:p>
        </w:tc>
        <w:tc>
          <w:tcPr>
            <w:tcW w:w="3188" w:type="pct"/>
            <w:gridSpan w:val="7"/>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主要污染物（t/a）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21"/>
                <w:szCs w:val="21"/>
                <w:vertAlign w:val="baseline"/>
                <w:lang w:val="en-US" w:eastAsia="zh-CN"/>
              </w:rPr>
            </w:pPr>
          </w:p>
        </w:tc>
        <w:tc>
          <w:tcPr>
            <w:tcW w:w="1473"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21"/>
                <w:szCs w:val="21"/>
                <w:vertAlign w:val="baseline"/>
                <w:lang w:val="en-US" w:eastAsia="zh-CN"/>
              </w:rPr>
            </w:pP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甲醇</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甲醛</w:t>
            </w:r>
          </w:p>
        </w:tc>
        <w:tc>
          <w:tcPr>
            <w:tcW w:w="5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VOCs</w:t>
            </w:r>
          </w:p>
        </w:tc>
        <w:tc>
          <w:tcPr>
            <w:tcW w:w="48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颗粒物</w:t>
            </w:r>
          </w:p>
        </w:tc>
        <w:tc>
          <w:tcPr>
            <w:tcW w:w="46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SO</w:t>
            </w:r>
            <w:r>
              <w:rPr>
                <w:rFonts w:hint="eastAsia" w:ascii="Times New Roman" w:hAnsi="Times New Roman" w:eastAsia="宋体" w:cs="Times New Roman"/>
                <w:b/>
                <w:bCs/>
                <w:color w:val="auto"/>
                <w:sz w:val="21"/>
                <w:szCs w:val="21"/>
                <w:vertAlign w:val="subscript"/>
                <w:lang w:val="en-US" w:eastAsia="zh-CN"/>
              </w:rPr>
              <w:t>2</w:t>
            </w:r>
          </w:p>
        </w:tc>
        <w:tc>
          <w:tcPr>
            <w:tcW w:w="5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NOx</w:t>
            </w:r>
          </w:p>
        </w:tc>
        <w:tc>
          <w:tcPr>
            <w:tcW w:w="4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沥青烟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147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呼图壁县锐源通化工责任有限公司</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1.17</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0.06</w:t>
            </w:r>
          </w:p>
        </w:tc>
        <w:tc>
          <w:tcPr>
            <w:tcW w:w="5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48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46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5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4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147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新疆新安特钢有限公司</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5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48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280</w:t>
            </w:r>
          </w:p>
        </w:tc>
        <w:tc>
          <w:tcPr>
            <w:tcW w:w="46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5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65.5</w:t>
            </w:r>
          </w:p>
        </w:tc>
        <w:tc>
          <w:tcPr>
            <w:tcW w:w="4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147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新疆昊睿新能源有限公司</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5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48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16.76</w:t>
            </w:r>
          </w:p>
        </w:tc>
        <w:tc>
          <w:tcPr>
            <w:tcW w:w="46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31.97</w:t>
            </w:r>
          </w:p>
        </w:tc>
        <w:tc>
          <w:tcPr>
            <w:tcW w:w="5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100.64</w:t>
            </w:r>
          </w:p>
        </w:tc>
        <w:tc>
          <w:tcPr>
            <w:tcW w:w="4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147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新疆峻宇新材料科技有限公司</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5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7.5</w:t>
            </w:r>
          </w:p>
        </w:tc>
        <w:tc>
          <w:tcPr>
            <w:tcW w:w="48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7.5</w:t>
            </w:r>
          </w:p>
        </w:tc>
        <w:tc>
          <w:tcPr>
            <w:tcW w:w="46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5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75.1</w:t>
            </w:r>
          </w:p>
        </w:tc>
        <w:tc>
          <w:tcPr>
            <w:tcW w:w="4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w:t>
            </w:r>
          </w:p>
        </w:tc>
        <w:tc>
          <w:tcPr>
            <w:tcW w:w="147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新疆万兴诚宇市政工程有限公司</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5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0.00844</w:t>
            </w:r>
          </w:p>
        </w:tc>
        <w:tc>
          <w:tcPr>
            <w:tcW w:w="48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0.2</w:t>
            </w:r>
          </w:p>
        </w:tc>
        <w:tc>
          <w:tcPr>
            <w:tcW w:w="46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0.122</w:t>
            </w:r>
          </w:p>
        </w:tc>
        <w:tc>
          <w:tcPr>
            <w:tcW w:w="5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0.673</w:t>
            </w:r>
          </w:p>
        </w:tc>
        <w:tc>
          <w:tcPr>
            <w:tcW w:w="4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1"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合计</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1.17</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0.06</w:t>
            </w:r>
          </w:p>
        </w:tc>
        <w:tc>
          <w:tcPr>
            <w:tcW w:w="5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7.50844</w:t>
            </w:r>
          </w:p>
        </w:tc>
        <w:tc>
          <w:tcPr>
            <w:tcW w:w="48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304.46</w:t>
            </w:r>
          </w:p>
        </w:tc>
        <w:tc>
          <w:tcPr>
            <w:tcW w:w="46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32.092</w:t>
            </w:r>
          </w:p>
        </w:tc>
        <w:tc>
          <w:tcPr>
            <w:tcW w:w="5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241.913</w:t>
            </w:r>
          </w:p>
        </w:tc>
        <w:tc>
          <w:tcPr>
            <w:tcW w:w="4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0.51</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4.3.2 废水污染源调查</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项目厂址位于呼图壁工业园区西区内，本次评价收集了园区相关企业的环评及排污许可证等相关资料，根据调查该片区现有企业废水污染物排放情况见表4.3.2-1。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4.3.2-1     区域水污染物排放调查表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3"/>
        <w:gridCol w:w="3185"/>
        <w:gridCol w:w="1204"/>
        <w:gridCol w:w="1492"/>
        <w:gridCol w:w="1004"/>
        <w:gridCol w:w="10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序号</w:t>
            </w:r>
          </w:p>
        </w:tc>
        <w:tc>
          <w:tcPr>
            <w:tcW w:w="1868"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企业名称</w:t>
            </w:r>
          </w:p>
        </w:tc>
        <w:tc>
          <w:tcPr>
            <w:tcW w:w="70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废水类型</w:t>
            </w:r>
          </w:p>
        </w:tc>
        <w:tc>
          <w:tcPr>
            <w:tcW w:w="2053"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主要污染物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21"/>
                <w:szCs w:val="21"/>
                <w:vertAlign w:val="baseline"/>
                <w:lang w:val="en-US" w:eastAsia="zh-CN"/>
              </w:rPr>
            </w:pPr>
          </w:p>
        </w:tc>
        <w:tc>
          <w:tcPr>
            <w:tcW w:w="1868"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21"/>
                <w:szCs w:val="21"/>
                <w:vertAlign w:val="baseline"/>
                <w:lang w:val="en-US" w:eastAsia="zh-CN"/>
              </w:rPr>
            </w:pPr>
          </w:p>
        </w:tc>
        <w:tc>
          <w:tcPr>
            <w:tcW w:w="70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21"/>
                <w:szCs w:val="21"/>
                <w:vertAlign w:val="baseline"/>
                <w:lang w:val="en-US" w:eastAsia="zh-CN"/>
              </w:rPr>
            </w:pPr>
          </w:p>
        </w:tc>
        <w:tc>
          <w:tcPr>
            <w:tcW w:w="8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废水量</w:t>
            </w:r>
          </w:p>
        </w:tc>
        <w:tc>
          <w:tcPr>
            <w:tcW w:w="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COD</w:t>
            </w:r>
          </w:p>
        </w:tc>
        <w:tc>
          <w:tcPr>
            <w:tcW w:w="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NH</w:t>
            </w:r>
            <w:r>
              <w:rPr>
                <w:rFonts w:hint="eastAsia" w:ascii="Times New Roman" w:hAnsi="Times New Roman" w:eastAsia="宋体" w:cs="Times New Roman"/>
                <w:b/>
                <w:bCs/>
                <w:color w:val="auto"/>
                <w:sz w:val="21"/>
                <w:szCs w:val="21"/>
                <w:vertAlign w:val="subscript"/>
                <w:lang w:val="en-US" w:eastAsia="zh-CN"/>
              </w:rPr>
              <w:t>3</w:t>
            </w:r>
            <w:r>
              <w:rPr>
                <w:rFonts w:hint="eastAsia" w:ascii="Times New Roman" w:hAnsi="Times New Roman" w:eastAsia="宋体" w:cs="Times New Roman"/>
                <w:b/>
                <w:bCs/>
                <w:color w:val="auto"/>
                <w:sz w:val="21"/>
                <w:szCs w:val="21"/>
                <w:vertAlign w:val="baseline"/>
                <w:lang w:val="en-US" w:eastAsia="zh-CN"/>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18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呼图壁县锐源通化工责任有限公司</w:t>
            </w:r>
          </w:p>
        </w:tc>
        <w:tc>
          <w:tcPr>
            <w:tcW w:w="7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生活污水</w:t>
            </w:r>
          </w:p>
        </w:tc>
        <w:tc>
          <w:tcPr>
            <w:tcW w:w="8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5.517万m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/a</w:t>
            </w:r>
          </w:p>
        </w:tc>
        <w:tc>
          <w:tcPr>
            <w:tcW w:w="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2.59t/a</w:t>
            </w:r>
          </w:p>
        </w:tc>
        <w:tc>
          <w:tcPr>
            <w:tcW w:w="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0.09t/a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2</w:t>
            </w:r>
          </w:p>
        </w:tc>
        <w:tc>
          <w:tcPr>
            <w:tcW w:w="18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新疆金马再生资源开发有限公司</w:t>
            </w:r>
          </w:p>
        </w:tc>
        <w:tc>
          <w:tcPr>
            <w:tcW w:w="7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综合废水</w:t>
            </w:r>
          </w:p>
        </w:tc>
        <w:tc>
          <w:tcPr>
            <w:tcW w:w="8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12600m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/a</w:t>
            </w:r>
          </w:p>
        </w:tc>
        <w:tc>
          <w:tcPr>
            <w:tcW w:w="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4.824t/a</w:t>
            </w:r>
          </w:p>
        </w:tc>
        <w:tc>
          <w:tcPr>
            <w:tcW w:w="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3</w:t>
            </w:r>
          </w:p>
        </w:tc>
        <w:tc>
          <w:tcPr>
            <w:tcW w:w="18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新疆新安特钢有限公司</w:t>
            </w:r>
          </w:p>
        </w:tc>
        <w:tc>
          <w:tcPr>
            <w:tcW w:w="7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综合废水</w:t>
            </w:r>
          </w:p>
        </w:tc>
        <w:tc>
          <w:tcPr>
            <w:tcW w:w="8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10080m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/a</w:t>
            </w:r>
          </w:p>
        </w:tc>
        <w:tc>
          <w:tcPr>
            <w:tcW w:w="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3.22t/a</w:t>
            </w:r>
          </w:p>
        </w:tc>
        <w:tc>
          <w:tcPr>
            <w:tcW w:w="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0.325t/a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4</w:t>
            </w:r>
          </w:p>
        </w:tc>
        <w:tc>
          <w:tcPr>
            <w:tcW w:w="18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新疆昊睿新能源有限公司</w:t>
            </w:r>
          </w:p>
        </w:tc>
        <w:tc>
          <w:tcPr>
            <w:tcW w:w="7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综合废水</w:t>
            </w:r>
          </w:p>
        </w:tc>
        <w:tc>
          <w:tcPr>
            <w:tcW w:w="8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101411.88m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/a</w:t>
            </w:r>
          </w:p>
        </w:tc>
        <w:tc>
          <w:tcPr>
            <w:tcW w:w="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0.008t/a</w:t>
            </w:r>
          </w:p>
        </w:tc>
        <w:tc>
          <w:tcPr>
            <w:tcW w:w="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0.001t/a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5</w:t>
            </w:r>
          </w:p>
        </w:tc>
        <w:tc>
          <w:tcPr>
            <w:tcW w:w="18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新疆峻宇新材料科技有限公司</w:t>
            </w:r>
          </w:p>
        </w:tc>
        <w:tc>
          <w:tcPr>
            <w:tcW w:w="7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综合废水</w:t>
            </w:r>
          </w:p>
        </w:tc>
        <w:tc>
          <w:tcPr>
            <w:tcW w:w="8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43.4万m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/a</w:t>
            </w:r>
          </w:p>
        </w:tc>
        <w:tc>
          <w:tcPr>
            <w:tcW w:w="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24.5t/a</w:t>
            </w:r>
          </w:p>
        </w:tc>
        <w:tc>
          <w:tcPr>
            <w:tcW w:w="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0.24t/a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w:t>
            </w:r>
          </w:p>
        </w:tc>
        <w:tc>
          <w:tcPr>
            <w:tcW w:w="18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新疆万兴诚宇市政工程有限公司</w:t>
            </w:r>
          </w:p>
        </w:tc>
        <w:tc>
          <w:tcPr>
            <w:tcW w:w="7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综合废水</w:t>
            </w:r>
          </w:p>
        </w:tc>
        <w:tc>
          <w:tcPr>
            <w:tcW w:w="8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3457m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/a</w:t>
            </w:r>
          </w:p>
        </w:tc>
        <w:tc>
          <w:tcPr>
            <w:tcW w:w="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0.075t/a</w:t>
            </w:r>
          </w:p>
        </w:tc>
        <w:tc>
          <w:tcPr>
            <w:tcW w:w="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0.0088t/a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6"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合计</w:t>
            </w:r>
          </w:p>
        </w:tc>
        <w:tc>
          <w:tcPr>
            <w:tcW w:w="8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616718.88m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/a</w:t>
            </w:r>
          </w:p>
        </w:tc>
        <w:tc>
          <w:tcPr>
            <w:tcW w:w="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35.217t/a</w:t>
            </w:r>
          </w:p>
        </w:tc>
        <w:tc>
          <w:tcPr>
            <w:tcW w:w="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0.7158t/a</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4.3.3 固废调查</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项目厂址位于哈密工业园南部循环经济产业园区内，本次评价收集了园区相关企业的环评及排污许可证等相关资料，根据调查该片区主要规模以上以及目前正常生产企业的固体废物排放情况见表 4.3.3-1。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4.3.3-1   主要企业固体废物排放情况</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7"/>
        <w:gridCol w:w="3807"/>
        <w:gridCol w:w="1701"/>
        <w:gridCol w:w="1144"/>
        <w:gridCol w:w="11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序号</w:t>
            </w:r>
          </w:p>
        </w:tc>
        <w:tc>
          <w:tcPr>
            <w:tcW w:w="2233"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企业名称</w:t>
            </w:r>
          </w:p>
        </w:tc>
        <w:tc>
          <w:tcPr>
            <w:tcW w:w="2344"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固废类型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21"/>
                <w:szCs w:val="21"/>
                <w:vertAlign w:val="baseline"/>
                <w:lang w:val="en-US" w:eastAsia="zh-CN"/>
              </w:rPr>
            </w:pPr>
          </w:p>
        </w:tc>
        <w:tc>
          <w:tcPr>
            <w:tcW w:w="2233"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21"/>
                <w:szCs w:val="21"/>
                <w:vertAlign w:val="baseline"/>
                <w:lang w:val="en-US" w:eastAsia="zh-CN"/>
              </w:rPr>
            </w:pPr>
          </w:p>
        </w:tc>
        <w:tc>
          <w:tcPr>
            <w:tcW w:w="9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一般固废（t/a）</w:t>
            </w:r>
          </w:p>
        </w:tc>
        <w:tc>
          <w:tcPr>
            <w:tcW w:w="67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危险废物（t/a）</w:t>
            </w:r>
          </w:p>
        </w:tc>
        <w:tc>
          <w:tcPr>
            <w:tcW w:w="67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生活垃圾（t/a）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22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呼图壁县锐源通化工责任有限公司</w:t>
            </w:r>
          </w:p>
        </w:tc>
        <w:tc>
          <w:tcPr>
            <w:tcW w:w="9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67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5.6</w:t>
            </w:r>
          </w:p>
        </w:tc>
        <w:tc>
          <w:tcPr>
            <w:tcW w:w="67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2</w:t>
            </w:r>
          </w:p>
        </w:tc>
        <w:tc>
          <w:tcPr>
            <w:tcW w:w="22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新疆金马再生资源开发有限公司</w:t>
            </w:r>
          </w:p>
        </w:tc>
        <w:tc>
          <w:tcPr>
            <w:tcW w:w="9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70</w:t>
            </w:r>
          </w:p>
        </w:tc>
        <w:tc>
          <w:tcPr>
            <w:tcW w:w="67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67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3</w:t>
            </w:r>
          </w:p>
        </w:tc>
        <w:tc>
          <w:tcPr>
            <w:tcW w:w="22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新疆新安特钢有限公司</w:t>
            </w:r>
          </w:p>
        </w:tc>
        <w:tc>
          <w:tcPr>
            <w:tcW w:w="9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150</w:t>
            </w:r>
          </w:p>
        </w:tc>
        <w:tc>
          <w:tcPr>
            <w:tcW w:w="67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0.5</w:t>
            </w:r>
          </w:p>
        </w:tc>
        <w:tc>
          <w:tcPr>
            <w:tcW w:w="67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4</w:t>
            </w:r>
          </w:p>
        </w:tc>
        <w:tc>
          <w:tcPr>
            <w:tcW w:w="22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新疆昊睿新能源有限公司</w:t>
            </w:r>
          </w:p>
        </w:tc>
        <w:tc>
          <w:tcPr>
            <w:tcW w:w="9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12.5</w:t>
            </w:r>
          </w:p>
        </w:tc>
        <w:tc>
          <w:tcPr>
            <w:tcW w:w="67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0.2</w:t>
            </w:r>
          </w:p>
        </w:tc>
        <w:tc>
          <w:tcPr>
            <w:tcW w:w="67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5</w:t>
            </w:r>
          </w:p>
        </w:tc>
        <w:tc>
          <w:tcPr>
            <w:tcW w:w="22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新疆峻宇新材料科技有限公司</w:t>
            </w:r>
          </w:p>
        </w:tc>
        <w:tc>
          <w:tcPr>
            <w:tcW w:w="9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170</w:t>
            </w:r>
          </w:p>
        </w:tc>
        <w:tc>
          <w:tcPr>
            <w:tcW w:w="67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4.5</w:t>
            </w:r>
          </w:p>
        </w:tc>
        <w:tc>
          <w:tcPr>
            <w:tcW w:w="67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5"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合计</w:t>
            </w:r>
          </w:p>
        </w:tc>
        <w:tc>
          <w:tcPr>
            <w:tcW w:w="9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402.5</w:t>
            </w:r>
          </w:p>
        </w:tc>
        <w:tc>
          <w:tcPr>
            <w:tcW w:w="67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10.8</w:t>
            </w:r>
          </w:p>
        </w:tc>
        <w:tc>
          <w:tcPr>
            <w:tcW w:w="67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40.75</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b/>
          <w:bCs/>
          <w:color w:val="auto"/>
          <w:sz w:val="30"/>
          <w:szCs w:val="30"/>
          <w:lang w:val="en-US" w:eastAsia="zh-CN"/>
        </w:rPr>
      </w:pPr>
      <w:bookmarkStart w:id="24" w:name="_Toc11971"/>
      <w:r>
        <w:rPr>
          <w:rFonts w:hint="eastAsia" w:ascii="Times New Roman" w:hAnsi="Times New Roman" w:eastAsia="宋体" w:cs="Times New Roman"/>
          <w:b/>
          <w:bCs/>
          <w:color w:val="auto"/>
          <w:sz w:val="30"/>
          <w:szCs w:val="30"/>
          <w:lang w:val="en-US" w:eastAsia="zh-CN"/>
        </w:rPr>
        <w:t>4.4 环境质量现状调查与评价</w:t>
      </w:r>
      <w:bookmarkEnd w:id="24"/>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4.4.1 环境空气质量现状调查与评价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根据《环境影响评价技术导则大气环境》（HJ2.2-2018），大气常规因子可直接采用国家或地方生态环保主管部门公开发布的评价基准年环境质量公告或环境质量报告中的数据或结论。本环评根据导则要求，选取 2022 年呼图壁县国控监测站点的监测数据，作为本项目环境空气现状评价基本污染物 SO</w:t>
      </w:r>
      <w:r>
        <w:rPr>
          <w:rFonts w:hint="eastAsia" w:ascii="Times New Roman" w:hAnsi="Times New Roman" w:eastAsia="宋体" w:cs="Times New Roman"/>
          <w:b w:val="0"/>
          <w:bCs w:val="0"/>
          <w:color w:val="auto"/>
          <w:sz w:val="24"/>
          <w:szCs w:val="24"/>
          <w:vertAlign w:val="subscript"/>
          <w:lang w:val="en-US" w:eastAsia="zh-CN"/>
        </w:rPr>
        <w:t>2</w:t>
      </w:r>
      <w:r>
        <w:rPr>
          <w:rFonts w:hint="eastAsia" w:ascii="Times New Roman" w:hAnsi="Times New Roman" w:eastAsia="宋体" w:cs="Times New Roman"/>
          <w:b w:val="0"/>
          <w:bCs w:val="0"/>
          <w:color w:val="auto"/>
          <w:sz w:val="24"/>
          <w:szCs w:val="24"/>
          <w:lang w:val="en-US" w:eastAsia="zh-CN"/>
        </w:rPr>
        <w:t>、NO</w:t>
      </w:r>
      <w:r>
        <w:rPr>
          <w:rFonts w:hint="eastAsia" w:ascii="Times New Roman" w:hAnsi="Times New Roman" w:eastAsia="宋体" w:cs="Times New Roman"/>
          <w:b w:val="0"/>
          <w:bCs w:val="0"/>
          <w:color w:val="auto"/>
          <w:sz w:val="24"/>
          <w:szCs w:val="24"/>
          <w:vertAlign w:val="subscript"/>
          <w:lang w:val="en-US" w:eastAsia="zh-CN"/>
        </w:rPr>
        <w:t>2</w:t>
      </w:r>
      <w:r>
        <w:rPr>
          <w:rFonts w:hint="eastAsia" w:ascii="Times New Roman" w:hAnsi="Times New Roman" w:eastAsia="宋体" w:cs="Times New Roman"/>
          <w:b w:val="0"/>
          <w:bCs w:val="0"/>
          <w:color w:val="auto"/>
          <w:sz w:val="24"/>
          <w:szCs w:val="24"/>
          <w:lang w:val="en-US" w:eastAsia="zh-CN"/>
        </w:rPr>
        <w:t>、PM</w:t>
      </w:r>
      <w:r>
        <w:rPr>
          <w:rFonts w:hint="eastAsia" w:ascii="Times New Roman" w:hAnsi="Times New Roman" w:eastAsia="宋体" w:cs="Times New Roman"/>
          <w:b w:val="0"/>
          <w:bCs w:val="0"/>
          <w:color w:val="auto"/>
          <w:sz w:val="24"/>
          <w:szCs w:val="24"/>
          <w:vertAlign w:val="subscript"/>
          <w:lang w:val="en-US" w:eastAsia="zh-CN"/>
        </w:rPr>
        <w:t>10</w:t>
      </w:r>
      <w:r>
        <w:rPr>
          <w:rFonts w:hint="eastAsia" w:ascii="Times New Roman" w:hAnsi="Times New Roman" w:eastAsia="宋体" w:cs="Times New Roman"/>
          <w:b w:val="0"/>
          <w:bCs w:val="0"/>
          <w:color w:val="auto"/>
          <w:sz w:val="24"/>
          <w:szCs w:val="24"/>
          <w:lang w:val="en-US" w:eastAsia="zh-CN"/>
        </w:rPr>
        <w:t>、PM</w:t>
      </w:r>
      <w:r>
        <w:rPr>
          <w:rFonts w:hint="eastAsia" w:ascii="Times New Roman" w:hAnsi="Times New Roman" w:eastAsia="宋体" w:cs="Times New Roman"/>
          <w:b w:val="0"/>
          <w:bCs w:val="0"/>
          <w:color w:val="auto"/>
          <w:sz w:val="24"/>
          <w:szCs w:val="24"/>
          <w:vertAlign w:val="subscript"/>
          <w:lang w:val="en-US" w:eastAsia="zh-CN"/>
        </w:rPr>
        <w:t>2.5</w:t>
      </w:r>
      <w:r>
        <w:rPr>
          <w:rFonts w:hint="eastAsia" w:ascii="Times New Roman" w:hAnsi="Times New Roman" w:eastAsia="宋体" w:cs="Times New Roman"/>
          <w:b w:val="0"/>
          <w:bCs w:val="0"/>
          <w:color w:val="auto"/>
          <w:sz w:val="24"/>
          <w:szCs w:val="24"/>
          <w:lang w:val="en-US" w:eastAsia="zh-CN"/>
        </w:rPr>
        <w:t>、CO 和 O</w:t>
      </w:r>
      <w:r>
        <w:rPr>
          <w:rFonts w:hint="eastAsia" w:ascii="Times New Roman" w:hAnsi="Times New Roman" w:eastAsia="宋体" w:cs="Times New Roman"/>
          <w:b w:val="0"/>
          <w:bCs w:val="0"/>
          <w:color w:val="auto"/>
          <w:sz w:val="24"/>
          <w:szCs w:val="24"/>
          <w:vertAlign w:val="subscript"/>
          <w:lang w:val="en-US" w:eastAsia="zh-CN"/>
        </w:rPr>
        <w:t>3</w:t>
      </w:r>
      <w:r>
        <w:rPr>
          <w:rFonts w:hint="eastAsia" w:ascii="Times New Roman" w:hAnsi="Times New Roman" w:eastAsia="宋体" w:cs="Times New Roman"/>
          <w:b w:val="0"/>
          <w:bCs w:val="0"/>
          <w:color w:val="auto"/>
          <w:sz w:val="24"/>
          <w:szCs w:val="24"/>
          <w:vertAlign w:val="baseline"/>
          <w:lang w:val="en-US" w:eastAsia="zh-CN"/>
        </w:rPr>
        <w:t xml:space="preserve"> </w:t>
      </w:r>
      <w:r>
        <w:rPr>
          <w:rFonts w:hint="eastAsia" w:ascii="Times New Roman" w:hAnsi="Times New Roman" w:eastAsia="宋体" w:cs="Times New Roman"/>
          <w:b w:val="0"/>
          <w:bCs w:val="0"/>
          <w:color w:val="auto"/>
          <w:sz w:val="24"/>
          <w:szCs w:val="24"/>
          <w:lang w:val="en-US" w:eastAsia="zh-CN"/>
        </w:rPr>
        <w:t>的数据来源。项目特征污染物 TSP、NH</w:t>
      </w:r>
      <w:r>
        <w:rPr>
          <w:rFonts w:hint="eastAsia" w:ascii="Times New Roman" w:hAnsi="Times New Roman" w:eastAsia="宋体" w:cs="Times New Roman"/>
          <w:b w:val="0"/>
          <w:bCs w:val="0"/>
          <w:color w:val="auto"/>
          <w:sz w:val="24"/>
          <w:szCs w:val="24"/>
          <w:vertAlign w:val="subscript"/>
          <w:lang w:val="en-US" w:eastAsia="zh-CN"/>
        </w:rPr>
        <w:t>3</w:t>
      </w:r>
      <w:r>
        <w:rPr>
          <w:rFonts w:hint="eastAsia" w:ascii="Times New Roman" w:hAnsi="Times New Roman" w:eastAsia="宋体" w:cs="Times New Roman"/>
          <w:b w:val="0"/>
          <w:bCs w:val="0"/>
          <w:color w:val="auto"/>
          <w:sz w:val="24"/>
          <w:szCs w:val="24"/>
          <w:lang w:val="en-US" w:eastAsia="zh-CN"/>
        </w:rPr>
        <w:t>、H</w:t>
      </w:r>
      <w:r>
        <w:rPr>
          <w:rFonts w:hint="eastAsia" w:ascii="Times New Roman" w:hAnsi="Times New Roman" w:eastAsia="宋体" w:cs="Times New Roman"/>
          <w:b w:val="0"/>
          <w:bCs w:val="0"/>
          <w:color w:val="auto"/>
          <w:sz w:val="24"/>
          <w:szCs w:val="24"/>
          <w:vertAlign w:val="subscript"/>
          <w:lang w:val="en-US" w:eastAsia="zh-CN"/>
        </w:rPr>
        <w:t>2</w:t>
      </w:r>
      <w:r>
        <w:rPr>
          <w:rFonts w:hint="eastAsia" w:ascii="Times New Roman" w:hAnsi="Times New Roman" w:eastAsia="宋体" w:cs="Times New Roman"/>
          <w:b w:val="0"/>
          <w:bCs w:val="0"/>
          <w:color w:val="auto"/>
          <w:sz w:val="24"/>
          <w:szCs w:val="24"/>
          <w:lang w:val="en-US" w:eastAsia="zh-CN"/>
        </w:rPr>
        <w:t>S、非甲烷总烃、氨、硫酸雾，本次评价委托新疆国泰民康职业环境检测评价有限责任公司就项目区特征污染物 TSP、NH</w:t>
      </w:r>
      <w:r>
        <w:rPr>
          <w:rFonts w:hint="eastAsia" w:ascii="Times New Roman" w:hAnsi="Times New Roman" w:eastAsia="宋体" w:cs="Times New Roman"/>
          <w:b w:val="0"/>
          <w:bCs w:val="0"/>
          <w:color w:val="auto"/>
          <w:sz w:val="24"/>
          <w:szCs w:val="24"/>
          <w:vertAlign w:val="subscript"/>
          <w:lang w:val="en-US" w:eastAsia="zh-CN"/>
        </w:rPr>
        <w:t>3</w:t>
      </w:r>
      <w:r>
        <w:rPr>
          <w:rFonts w:hint="eastAsia" w:ascii="Times New Roman" w:hAnsi="Times New Roman" w:eastAsia="宋体" w:cs="Times New Roman"/>
          <w:b w:val="0"/>
          <w:bCs w:val="0"/>
          <w:color w:val="auto"/>
          <w:sz w:val="24"/>
          <w:szCs w:val="24"/>
          <w:lang w:val="en-US" w:eastAsia="zh-CN"/>
        </w:rPr>
        <w:t>、H</w:t>
      </w:r>
      <w:r>
        <w:rPr>
          <w:rFonts w:hint="eastAsia" w:ascii="Times New Roman" w:hAnsi="Times New Roman" w:eastAsia="宋体" w:cs="Times New Roman"/>
          <w:b w:val="0"/>
          <w:bCs w:val="0"/>
          <w:color w:val="auto"/>
          <w:sz w:val="24"/>
          <w:szCs w:val="24"/>
          <w:vertAlign w:val="subscript"/>
          <w:lang w:val="en-US" w:eastAsia="zh-CN"/>
        </w:rPr>
        <w:t>2</w:t>
      </w:r>
      <w:r>
        <w:rPr>
          <w:rFonts w:hint="eastAsia" w:ascii="Times New Roman" w:hAnsi="Times New Roman" w:eastAsia="宋体" w:cs="Times New Roman"/>
          <w:b w:val="0"/>
          <w:bCs w:val="0"/>
          <w:color w:val="auto"/>
          <w:sz w:val="24"/>
          <w:szCs w:val="24"/>
          <w:lang w:val="en-US" w:eastAsia="zh-CN"/>
        </w:rPr>
        <w:t>S、非甲烷总烃、氨、硫酸雾进行了大气环境质量现状监测。</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4.4.1.1 基本污染物环境空气质量现状</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w:t>
      </w:r>
      <w:r>
        <w:rPr>
          <w:rFonts w:hint="default" w:ascii="Times New Roman" w:hAnsi="Times New Roman" w:eastAsia="宋体" w:cs="Times New Roman"/>
          <w:color w:val="auto"/>
          <w:kern w:val="2"/>
          <w:sz w:val="24"/>
          <w:szCs w:val="24"/>
          <w:lang w:val="en-US" w:eastAsia="zh-CN"/>
        </w:rPr>
        <w:t>1</w:t>
      </w:r>
      <w:r>
        <w:rPr>
          <w:rFonts w:hint="default" w:ascii="Times New Roman" w:hAnsi="Times New Roman" w:eastAsia="宋体" w:cs="Times New Roman"/>
          <w:color w:val="auto"/>
          <w:kern w:val="2"/>
          <w:sz w:val="24"/>
          <w:szCs w:val="24"/>
        </w:rPr>
        <w:t>）评价标准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本项目环境空气质量评价标准采用《环境空气质量标准》（GB3095-2012）的二级标准，见表</w:t>
      </w:r>
      <w:r>
        <w:rPr>
          <w:rFonts w:hint="eastAsia" w:ascii="Times New Roman" w:hAnsi="Times New Roman" w:eastAsia="宋体" w:cs="Times New Roman"/>
          <w:color w:val="auto"/>
          <w:kern w:val="2"/>
          <w:sz w:val="24"/>
          <w:szCs w:val="24"/>
          <w:lang w:val="en-US" w:eastAsia="zh-CN"/>
        </w:rPr>
        <w:t xml:space="preserve"> </w:t>
      </w:r>
      <w:r>
        <w:rPr>
          <w:rFonts w:hint="default" w:ascii="Times New Roman" w:hAnsi="Times New Roman" w:eastAsia="宋体" w:cs="Times New Roman"/>
          <w:color w:val="auto"/>
          <w:kern w:val="2"/>
          <w:sz w:val="24"/>
          <w:szCs w:val="24"/>
        </w:rPr>
        <w:t>4.</w:t>
      </w:r>
      <w:r>
        <w:rPr>
          <w:rFonts w:hint="eastAsia" w:ascii="Times New Roman" w:hAnsi="Times New Roman" w:eastAsia="宋体" w:cs="Times New Roman"/>
          <w:color w:val="auto"/>
          <w:kern w:val="2"/>
          <w:sz w:val="24"/>
          <w:szCs w:val="24"/>
          <w:lang w:val="en-US" w:eastAsia="zh-CN"/>
        </w:rPr>
        <w:t>4.1</w:t>
      </w:r>
      <w:r>
        <w:rPr>
          <w:rFonts w:hint="default" w:ascii="Times New Roman" w:hAnsi="Times New Roman" w:eastAsia="宋体" w:cs="Times New Roman"/>
          <w:color w:val="auto"/>
          <w:kern w:val="2"/>
          <w:sz w:val="24"/>
          <w:szCs w:val="24"/>
        </w:rPr>
        <w:t>-1。</w:t>
      </w:r>
    </w:p>
    <w:p>
      <w:pPr>
        <w:pStyle w:val="33"/>
        <w:keepNext w:val="0"/>
        <w:keepLines w:val="0"/>
        <w:pageBreakBefore w:val="0"/>
        <w:widowControl/>
        <w:kinsoku/>
        <w:wordWrap/>
        <w:overflowPunct/>
        <w:topLinePunct w:val="0"/>
        <w:autoSpaceDE/>
        <w:autoSpaceDN/>
        <w:bidi w:val="0"/>
        <w:adjustRightInd/>
        <w:snapToGrid w:val="0"/>
        <w:spacing w:after="0"/>
        <w:textAlignment w:val="auto"/>
        <w:rPr>
          <w:color w:val="auto"/>
          <w:sz w:val="24"/>
          <w:szCs w:val="24"/>
        </w:rPr>
      </w:pPr>
      <w:r>
        <w:rPr>
          <w:color w:val="auto"/>
          <w:sz w:val="24"/>
          <w:szCs w:val="24"/>
        </w:rPr>
        <w:t>表 4.</w:t>
      </w:r>
      <w:r>
        <w:rPr>
          <w:rFonts w:hint="eastAsia"/>
          <w:color w:val="auto"/>
          <w:sz w:val="24"/>
          <w:szCs w:val="24"/>
          <w:lang w:val="en-US" w:eastAsia="zh-CN"/>
        </w:rPr>
        <w:t>4.1</w:t>
      </w:r>
      <w:r>
        <w:rPr>
          <w:color w:val="auto"/>
          <w:sz w:val="24"/>
          <w:szCs w:val="24"/>
        </w:rPr>
        <w:t>-1</w:t>
      </w:r>
      <w:r>
        <w:rPr>
          <w:rFonts w:hint="eastAsia"/>
          <w:color w:val="auto"/>
          <w:sz w:val="24"/>
          <w:szCs w:val="24"/>
          <w:lang w:val="en-US" w:eastAsia="zh-CN"/>
        </w:rPr>
        <w:t xml:space="preserve">    </w:t>
      </w:r>
      <w:r>
        <w:rPr>
          <w:color w:val="auto"/>
          <w:sz w:val="24"/>
          <w:szCs w:val="24"/>
        </w:rPr>
        <w:t>环境空气质量评价标准限值</w:t>
      </w:r>
    </w:p>
    <w:tbl>
      <w:tblPr>
        <w:tblStyle w:val="21"/>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10"/>
        <w:gridCol w:w="1517"/>
        <w:gridCol w:w="1069"/>
        <w:gridCol w:w="2839"/>
        <w:gridCol w:w="906"/>
        <w:gridCol w:w="127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27" w:type="pct"/>
            <w:vMerge w:val="restart"/>
            <w:tcBorders>
              <w:tl2br w:val="nil"/>
              <w:tr2bl w:val="nil"/>
            </w:tcBorders>
            <w:noWrap w:val="0"/>
            <w:vAlign w:val="center"/>
          </w:tcPr>
          <w:p>
            <w:pPr>
              <w:pStyle w:val="34"/>
              <w:bidi w:val="0"/>
              <w:rPr>
                <w:b/>
                <w:bCs/>
                <w:color w:val="auto"/>
              </w:rPr>
            </w:pPr>
            <w:r>
              <w:rPr>
                <w:b/>
                <w:bCs/>
                <w:color w:val="auto"/>
              </w:rPr>
              <w:t>序号</w:t>
            </w:r>
          </w:p>
        </w:tc>
        <w:tc>
          <w:tcPr>
            <w:tcW w:w="912" w:type="pct"/>
            <w:vMerge w:val="restart"/>
            <w:tcBorders>
              <w:tl2br w:val="nil"/>
              <w:tr2bl w:val="nil"/>
            </w:tcBorders>
            <w:noWrap w:val="0"/>
            <w:vAlign w:val="center"/>
          </w:tcPr>
          <w:p>
            <w:pPr>
              <w:pStyle w:val="34"/>
              <w:bidi w:val="0"/>
              <w:rPr>
                <w:b/>
                <w:bCs/>
                <w:color w:val="auto"/>
              </w:rPr>
            </w:pPr>
            <w:r>
              <w:rPr>
                <w:b/>
                <w:bCs/>
                <w:color w:val="auto"/>
              </w:rPr>
              <w:t>污染物</w:t>
            </w:r>
          </w:p>
        </w:tc>
        <w:tc>
          <w:tcPr>
            <w:tcW w:w="2895" w:type="pct"/>
            <w:gridSpan w:val="3"/>
            <w:tcBorders>
              <w:tl2br w:val="nil"/>
              <w:tr2bl w:val="nil"/>
            </w:tcBorders>
            <w:noWrap w:val="0"/>
            <w:vAlign w:val="center"/>
          </w:tcPr>
          <w:p>
            <w:pPr>
              <w:pStyle w:val="34"/>
              <w:bidi w:val="0"/>
              <w:rPr>
                <w:b/>
                <w:bCs/>
                <w:color w:val="auto"/>
              </w:rPr>
            </w:pPr>
            <w:r>
              <w:rPr>
                <w:b/>
                <w:bCs/>
                <w:color w:val="auto"/>
              </w:rPr>
              <w:t>浓度限值（μg/m</w:t>
            </w:r>
            <w:r>
              <w:rPr>
                <w:b/>
                <w:bCs/>
                <w:color w:val="auto"/>
                <w:vertAlign w:val="superscript"/>
                <w:lang w:val="en-US"/>
              </w:rPr>
              <w:t>3</w:t>
            </w:r>
            <w:r>
              <w:rPr>
                <w:b/>
                <w:bCs/>
                <w:color w:val="auto"/>
              </w:rPr>
              <w:t>）</w:t>
            </w:r>
          </w:p>
        </w:tc>
        <w:tc>
          <w:tcPr>
            <w:tcW w:w="764" w:type="pct"/>
            <w:vMerge w:val="restart"/>
            <w:tcBorders>
              <w:tl2br w:val="nil"/>
              <w:tr2bl w:val="nil"/>
            </w:tcBorders>
            <w:noWrap w:val="0"/>
            <w:vAlign w:val="center"/>
          </w:tcPr>
          <w:p>
            <w:pPr>
              <w:pStyle w:val="34"/>
              <w:bidi w:val="0"/>
              <w:rPr>
                <w:color w:val="auto"/>
              </w:rPr>
            </w:pPr>
            <w:r>
              <w:rPr>
                <w:b/>
                <w:bCs/>
                <w:color w:val="auto"/>
              </w:rPr>
              <w:t>标准来源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27" w:type="pct"/>
            <w:vMerge w:val="continue"/>
            <w:tcBorders>
              <w:tl2br w:val="nil"/>
              <w:tr2bl w:val="nil"/>
            </w:tcBorders>
            <w:noWrap w:val="0"/>
            <w:vAlign w:val="center"/>
          </w:tcPr>
          <w:p>
            <w:pPr>
              <w:pStyle w:val="34"/>
              <w:bidi w:val="0"/>
              <w:rPr>
                <w:b/>
                <w:bCs/>
                <w:color w:val="auto"/>
              </w:rPr>
            </w:pPr>
          </w:p>
        </w:tc>
        <w:tc>
          <w:tcPr>
            <w:tcW w:w="912" w:type="pct"/>
            <w:vMerge w:val="continue"/>
            <w:tcBorders>
              <w:tl2br w:val="nil"/>
              <w:tr2bl w:val="nil"/>
            </w:tcBorders>
            <w:noWrap w:val="0"/>
            <w:vAlign w:val="center"/>
          </w:tcPr>
          <w:p>
            <w:pPr>
              <w:pStyle w:val="34"/>
              <w:bidi w:val="0"/>
              <w:rPr>
                <w:b/>
                <w:bCs/>
                <w:color w:val="auto"/>
              </w:rPr>
            </w:pPr>
          </w:p>
        </w:tc>
        <w:tc>
          <w:tcPr>
            <w:tcW w:w="643" w:type="pct"/>
            <w:tcBorders>
              <w:tl2br w:val="nil"/>
              <w:tr2bl w:val="nil"/>
            </w:tcBorders>
            <w:noWrap w:val="0"/>
            <w:vAlign w:val="center"/>
          </w:tcPr>
          <w:p>
            <w:pPr>
              <w:pStyle w:val="34"/>
              <w:bidi w:val="0"/>
              <w:rPr>
                <w:b/>
                <w:bCs/>
                <w:color w:val="auto"/>
              </w:rPr>
            </w:pPr>
            <w:r>
              <w:rPr>
                <w:b/>
                <w:bCs/>
                <w:color w:val="auto"/>
              </w:rPr>
              <w:t>小时平均</w:t>
            </w:r>
          </w:p>
        </w:tc>
        <w:tc>
          <w:tcPr>
            <w:tcW w:w="1707" w:type="pct"/>
            <w:tcBorders>
              <w:tl2br w:val="nil"/>
              <w:tr2bl w:val="nil"/>
            </w:tcBorders>
            <w:noWrap w:val="0"/>
            <w:vAlign w:val="center"/>
          </w:tcPr>
          <w:p>
            <w:pPr>
              <w:pStyle w:val="34"/>
              <w:bidi w:val="0"/>
              <w:rPr>
                <w:b/>
                <w:bCs/>
                <w:color w:val="auto"/>
              </w:rPr>
            </w:pPr>
            <w:r>
              <w:rPr>
                <w:b/>
                <w:bCs/>
                <w:color w:val="auto"/>
              </w:rPr>
              <w:t>24 小时平均</w:t>
            </w:r>
          </w:p>
        </w:tc>
        <w:tc>
          <w:tcPr>
            <w:tcW w:w="544" w:type="pct"/>
            <w:tcBorders>
              <w:tl2br w:val="nil"/>
              <w:tr2bl w:val="nil"/>
            </w:tcBorders>
            <w:noWrap w:val="0"/>
            <w:vAlign w:val="center"/>
          </w:tcPr>
          <w:p>
            <w:pPr>
              <w:pStyle w:val="34"/>
              <w:bidi w:val="0"/>
              <w:rPr>
                <w:b/>
                <w:bCs/>
                <w:color w:val="auto"/>
              </w:rPr>
            </w:pPr>
            <w:r>
              <w:rPr>
                <w:b/>
                <w:bCs/>
                <w:color w:val="auto"/>
              </w:rPr>
              <w:t>年平均</w:t>
            </w:r>
          </w:p>
        </w:tc>
        <w:tc>
          <w:tcPr>
            <w:tcW w:w="764" w:type="pct"/>
            <w:vMerge w:val="continue"/>
            <w:tcBorders>
              <w:tl2br w:val="nil"/>
              <w:tr2bl w:val="nil"/>
            </w:tcBorders>
            <w:noWrap w:val="0"/>
            <w:vAlign w:val="center"/>
          </w:tcPr>
          <w:p>
            <w:pPr>
              <w:pStyle w:val="34"/>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27" w:type="pct"/>
            <w:tcBorders>
              <w:tl2br w:val="nil"/>
              <w:tr2bl w:val="nil"/>
            </w:tcBorders>
            <w:noWrap w:val="0"/>
            <w:vAlign w:val="center"/>
          </w:tcPr>
          <w:p>
            <w:pPr>
              <w:pStyle w:val="34"/>
              <w:bidi w:val="0"/>
              <w:rPr>
                <w:color w:val="auto"/>
              </w:rPr>
            </w:pPr>
            <w:r>
              <w:rPr>
                <w:color w:val="auto"/>
              </w:rPr>
              <w:t>1</w:t>
            </w:r>
          </w:p>
        </w:tc>
        <w:tc>
          <w:tcPr>
            <w:tcW w:w="912" w:type="pct"/>
            <w:tcBorders>
              <w:tl2br w:val="nil"/>
              <w:tr2bl w:val="nil"/>
            </w:tcBorders>
            <w:noWrap w:val="0"/>
            <w:vAlign w:val="center"/>
          </w:tcPr>
          <w:p>
            <w:pPr>
              <w:pStyle w:val="34"/>
              <w:bidi w:val="0"/>
              <w:rPr>
                <w:color w:val="auto"/>
              </w:rPr>
            </w:pPr>
            <w:r>
              <w:rPr>
                <w:color w:val="auto"/>
              </w:rPr>
              <w:t>SO</w:t>
            </w:r>
            <w:r>
              <w:rPr>
                <w:color w:val="auto"/>
                <w:vertAlign w:val="subscript"/>
              </w:rPr>
              <w:t>2</w:t>
            </w:r>
          </w:p>
        </w:tc>
        <w:tc>
          <w:tcPr>
            <w:tcW w:w="643" w:type="pct"/>
            <w:tcBorders>
              <w:tl2br w:val="nil"/>
              <w:tr2bl w:val="nil"/>
            </w:tcBorders>
            <w:noWrap w:val="0"/>
            <w:vAlign w:val="center"/>
          </w:tcPr>
          <w:p>
            <w:pPr>
              <w:pStyle w:val="34"/>
              <w:bidi w:val="0"/>
              <w:rPr>
                <w:color w:val="auto"/>
              </w:rPr>
            </w:pPr>
            <w:r>
              <w:rPr>
                <w:color w:val="auto"/>
              </w:rPr>
              <w:t>500</w:t>
            </w:r>
          </w:p>
        </w:tc>
        <w:tc>
          <w:tcPr>
            <w:tcW w:w="1707" w:type="pct"/>
            <w:tcBorders>
              <w:tl2br w:val="nil"/>
              <w:tr2bl w:val="nil"/>
            </w:tcBorders>
            <w:noWrap w:val="0"/>
            <w:vAlign w:val="center"/>
          </w:tcPr>
          <w:p>
            <w:pPr>
              <w:pStyle w:val="34"/>
              <w:bidi w:val="0"/>
              <w:rPr>
                <w:color w:val="auto"/>
              </w:rPr>
            </w:pPr>
            <w:r>
              <w:rPr>
                <w:color w:val="auto"/>
              </w:rPr>
              <w:t>150</w:t>
            </w:r>
          </w:p>
        </w:tc>
        <w:tc>
          <w:tcPr>
            <w:tcW w:w="544" w:type="pct"/>
            <w:tcBorders>
              <w:tl2br w:val="nil"/>
              <w:tr2bl w:val="nil"/>
            </w:tcBorders>
            <w:noWrap w:val="0"/>
            <w:vAlign w:val="center"/>
          </w:tcPr>
          <w:p>
            <w:pPr>
              <w:pStyle w:val="34"/>
              <w:bidi w:val="0"/>
              <w:rPr>
                <w:color w:val="auto"/>
              </w:rPr>
            </w:pPr>
            <w:r>
              <w:rPr>
                <w:color w:val="auto"/>
              </w:rPr>
              <w:t>60</w:t>
            </w:r>
          </w:p>
        </w:tc>
        <w:tc>
          <w:tcPr>
            <w:tcW w:w="764" w:type="pct"/>
            <w:vMerge w:val="restart"/>
            <w:tcBorders>
              <w:tl2br w:val="nil"/>
              <w:tr2bl w:val="nil"/>
            </w:tcBorders>
            <w:noWrap w:val="0"/>
            <w:vAlign w:val="center"/>
          </w:tcPr>
          <w:p>
            <w:pPr>
              <w:pStyle w:val="34"/>
              <w:bidi w:val="0"/>
              <w:rPr>
                <w:color w:val="auto"/>
              </w:rPr>
            </w:pPr>
            <w:r>
              <w:rPr>
                <w:color w:val="auto"/>
              </w:rPr>
              <w:t>《环境空气质量标准》</w:t>
            </w:r>
          </w:p>
          <w:p>
            <w:pPr>
              <w:pStyle w:val="34"/>
              <w:bidi w:val="0"/>
              <w:rPr>
                <w:color w:val="auto"/>
              </w:rPr>
            </w:pPr>
            <w:r>
              <w:rPr>
                <w:color w:val="auto"/>
              </w:rPr>
              <w:t>（GB3095-</w:t>
            </w:r>
          </w:p>
          <w:p>
            <w:pPr>
              <w:pStyle w:val="34"/>
              <w:bidi w:val="0"/>
              <w:rPr>
                <w:color w:val="auto"/>
              </w:rPr>
            </w:pPr>
            <w:r>
              <w:rPr>
                <w:color w:val="auto"/>
              </w:rPr>
              <w:t>2012）的二级标准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27" w:type="pct"/>
            <w:tcBorders>
              <w:tl2br w:val="nil"/>
              <w:tr2bl w:val="nil"/>
            </w:tcBorders>
            <w:noWrap w:val="0"/>
            <w:vAlign w:val="center"/>
          </w:tcPr>
          <w:p>
            <w:pPr>
              <w:pStyle w:val="34"/>
              <w:bidi w:val="0"/>
              <w:rPr>
                <w:color w:val="auto"/>
              </w:rPr>
            </w:pPr>
            <w:r>
              <w:rPr>
                <w:color w:val="auto"/>
              </w:rPr>
              <w:t>2</w:t>
            </w:r>
          </w:p>
        </w:tc>
        <w:tc>
          <w:tcPr>
            <w:tcW w:w="912" w:type="pct"/>
            <w:tcBorders>
              <w:tl2br w:val="nil"/>
              <w:tr2bl w:val="nil"/>
            </w:tcBorders>
            <w:noWrap w:val="0"/>
            <w:vAlign w:val="center"/>
          </w:tcPr>
          <w:p>
            <w:pPr>
              <w:pStyle w:val="34"/>
              <w:bidi w:val="0"/>
              <w:rPr>
                <w:color w:val="auto"/>
              </w:rPr>
            </w:pPr>
            <w:r>
              <w:rPr>
                <w:color w:val="auto"/>
              </w:rPr>
              <w:t>NO</w:t>
            </w:r>
            <w:r>
              <w:rPr>
                <w:color w:val="auto"/>
                <w:vertAlign w:val="subscript"/>
              </w:rPr>
              <w:t>2</w:t>
            </w:r>
          </w:p>
        </w:tc>
        <w:tc>
          <w:tcPr>
            <w:tcW w:w="643" w:type="pct"/>
            <w:tcBorders>
              <w:tl2br w:val="nil"/>
              <w:tr2bl w:val="nil"/>
            </w:tcBorders>
            <w:noWrap w:val="0"/>
            <w:vAlign w:val="center"/>
          </w:tcPr>
          <w:p>
            <w:pPr>
              <w:pStyle w:val="34"/>
              <w:bidi w:val="0"/>
              <w:rPr>
                <w:color w:val="auto"/>
              </w:rPr>
            </w:pPr>
            <w:r>
              <w:rPr>
                <w:color w:val="auto"/>
              </w:rPr>
              <w:t>200</w:t>
            </w:r>
          </w:p>
        </w:tc>
        <w:tc>
          <w:tcPr>
            <w:tcW w:w="1707" w:type="pct"/>
            <w:tcBorders>
              <w:tl2br w:val="nil"/>
              <w:tr2bl w:val="nil"/>
            </w:tcBorders>
            <w:noWrap w:val="0"/>
            <w:vAlign w:val="center"/>
          </w:tcPr>
          <w:p>
            <w:pPr>
              <w:pStyle w:val="34"/>
              <w:bidi w:val="0"/>
              <w:rPr>
                <w:color w:val="auto"/>
              </w:rPr>
            </w:pPr>
            <w:r>
              <w:rPr>
                <w:color w:val="auto"/>
              </w:rPr>
              <w:t>80</w:t>
            </w:r>
          </w:p>
        </w:tc>
        <w:tc>
          <w:tcPr>
            <w:tcW w:w="544" w:type="pct"/>
            <w:tcBorders>
              <w:tl2br w:val="nil"/>
              <w:tr2bl w:val="nil"/>
            </w:tcBorders>
            <w:noWrap w:val="0"/>
            <w:vAlign w:val="center"/>
          </w:tcPr>
          <w:p>
            <w:pPr>
              <w:pStyle w:val="34"/>
              <w:bidi w:val="0"/>
              <w:rPr>
                <w:rFonts w:hint="default"/>
                <w:color w:val="auto"/>
                <w:lang w:val="en-US" w:eastAsia="zh-CN"/>
              </w:rPr>
            </w:pPr>
            <w:r>
              <w:rPr>
                <w:rFonts w:hint="eastAsia"/>
                <w:color w:val="auto"/>
                <w:lang w:val="en-US" w:eastAsia="zh-CN"/>
              </w:rPr>
              <w:t>40</w:t>
            </w:r>
          </w:p>
        </w:tc>
        <w:tc>
          <w:tcPr>
            <w:tcW w:w="764" w:type="pct"/>
            <w:vMerge w:val="continue"/>
            <w:tcBorders>
              <w:tl2br w:val="nil"/>
              <w:tr2bl w:val="nil"/>
            </w:tcBorders>
            <w:noWrap w:val="0"/>
            <w:vAlign w:val="center"/>
          </w:tcPr>
          <w:p>
            <w:pPr>
              <w:pStyle w:val="34"/>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27" w:type="pct"/>
            <w:tcBorders>
              <w:tl2br w:val="nil"/>
              <w:tr2bl w:val="nil"/>
            </w:tcBorders>
            <w:noWrap w:val="0"/>
            <w:vAlign w:val="center"/>
          </w:tcPr>
          <w:p>
            <w:pPr>
              <w:pStyle w:val="34"/>
              <w:bidi w:val="0"/>
              <w:rPr>
                <w:color w:val="auto"/>
              </w:rPr>
            </w:pPr>
            <w:r>
              <w:rPr>
                <w:color w:val="auto"/>
              </w:rPr>
              <w:t>3</w:t>
            </w:r>
          </w:p>
        </w:tc>
        <w:tc>
          <w:tcPr>
            <w:tcW w:w="912" w:type="pct"/>
            <w:tcBorders>
              <w:tl2br w:val="nil"/>
              <w:tr2bl w:val="nil"/>
            </w:tcBorders>
            <w:noWrap w:val="0"/>
            <w:vAlign w:val="center"/>
          </w:tcPr>
          <w:p>
            <w:pPr>
              <w:pStyle w:val="34"/>
              <w:bidi w:val="0"/>
              <w:rPr>
                <w:color w:val="auto"/>
              </w:rPr>
            </w:pPr>
            <w:r>
              <w:rPr>
                <w:color w:val="auto"/>
              </w:rPr>
              <w:t>CO（mg/m</w:t>
            </w:r>
            <w:r>
              <w:rPr>
                <w:color w:val="auto"/>
                <w:vertAlign w:val="superscript"/>
                <w:lang w:val="en-US"/>
              </w:rPr>
              <w:t>3</w:t>
            </w:r>
            <w:r>
              <w:rPr>
                <w:color w:val="auto"/>
              </w:rPr>
              <w:t>）</w:t>
            </w:r>
          </w:p>
        </w:tc>
        <w:tc>
          <w:tcPr>
            <w:tcW w:w="643" w:type="pct"/>
            <w:tcBorders>
              <w:tl2br w:val="nil"/>
              <w:tr2bl w:val="nil"/>
            </w:tcBorders>
            <w:noWrap w:val="0"/>
            <w:vAlign w:val="center"/>
          </w:tcPr>
          <w:p>
            <w:pPr>
              <w:pStyle w:val="34"/>
              <w:bidi w:val="0"/>
              <w:rPr>
                <w:color w:val="auto"/>
              </w:rPr>
            </w:pPr>
            <w:r>
              <w:rPr>
                <w:color w:val="auto"/>
              </w:rPr>
              <w:t>10</w:t>
            </w:r>
          </w:p>
        </w:tc>
        <w:tc>
          <w:tcPr>
            <w:tcW w:w="1707" w:type="pct"/>
            <w:tcBorders>
              <w:tl2br w:val="nil"/>
              <w:tr2bl w:val="nil"/>
            </w:tcBorders>
            <w:noWrap w:val="0"/>
            <w:vAlign w:val="center"/>
          </w:tcPr>
          <w:p>
            <w:pPr>
              <w:pStyle w:val="34"/>
              <w:bidi w:val="0"/>
              <w:rPr>
                <w:color w:val="auto"/>
              </w:rPr>
            </w:pPr>
            <w:r>
              <w:rPr>
                <w:color w:val="auto"/>
              </w:rPr>
              <w:t>4</w:t>
            </w:r>
          </w:p>
        </w:tc>
        <w:tc>
          <w:tcPr>
            <w:tcW w:w="544" w:type="pct"/>
            <w:tcBorders>
              <w:tl2br w:val="nil"/>
              <w:tr2bl w:val="nil"/>
            </w:tcBorders>
            <w:noWrap w:val="0"/>
            <w:vAlign w:val="center"/>
          </w:tcPr>
          <w:p>
            <w:pPr>
              <w:pStyle w:val="34"/>
              <w:bidi w:val="0"/>
              <w:rPr>
                <w:color w:val="auto"/>
              </w:rPr>
            </w:pPr>
            <w:r>
              <w:rPr>
                <w:color w:val="auto"/>
              </w:rPr>
              <w:t>/</w:t>
            </w:r>
          </w:p>
        </w:tc>
        <w:tc>
          <w:tcPr>
            <w:tcW w:w="764" w:type="pct"/>
            <w:vMerge w:val="continue"/>
            <w:tcBorders>
              <w:tl2br w:val="nil"/>
              <w:tr2bl w:val="nil"/>
            </w:tcBorders>
            <w:noWrap w:val="0"/>
            <w:vAlign w:val="center"/>
          </w:tcPr>
          <w:p>
            <w:pPr>
              <w:pStyle w:val="34"/>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27" w:type="pct"/>
            <w:tcBorders>
              <w:tl2br w:val="nil"/>
              <w:tr2bl w:val="nil"/>
            </w:tcBorders>
            <w:noWrap w:val="0"/>
            <w:vAlign w:val="center"/>
          </w:tcPr>
          <w:p>
            <w:pPr>
              <w:pStyle w:val="34"/>
              <w:bidi w:val="0"/>
              <w:rPr>
                <w:color w:val="auto"/>
              </w:rPr>
            </w:pPr>
            <w:r>
              <w:rPr>
                <w:color w:val="auto"/>
              </w:rPr>
              <w:t>4</w:t>
            </w:r>
          </w:p>
        </w:tc>
        <w:tc>
          <w:tcPr>
            <w:tcW w:w="912" w:type="pct"/>
            <w:tcBorders>
              <w:tl2br w:val="nil"/>
              <w:tr2bl w:val="nil"/>
            </w:tcBorders>
            <w:noWrap w:val="0"/>
            <w:vAlign w:val="center"/>
          </w:tcPr>
          <w:p>
            <w:pPr>
              <w:pStyle w:val="34"/>
              <w:bidi w:val="0"/>
              <w:rPr>
                <w:color w:val="auto"/>
              </w:rPr>
            </w:pPr>
            <w:r>
              <w:rPr>
                <w:color w:val="auto"/>
              </w:rPr>
              <w:t>O</w:t>
            </w:r>
            <w:r>
              <w:rPr>
                <w:color w:val="auto"/>
                <w:vertAlign w:val="subscript"/>
              </w:rPr>
              <w:t>3</w:t>
            </w:r>
          </w:p>
        </w:tc>
        <w:tc>
          <w:tcPr>
            <w:tcW w:w="643" w:type="pct"/>
            <w:tcBorders>
              <w:tl2br w:val="nil"/>
              <w:tr2bl w:val="nil"/>
            </w:tcBorders>
            <w:noWrap w:val="0"/>
            <w:vAlign w:val="center"/>
          </w:tcPr>
          <w:p>
            <w:pPr>
              <w:pStyle w:val="34"/>
              <w:bidi w:val="0"/>
              <w:rPr>
                <w:color w:val="auto"/>
              </w:rPr>
            </w:pPr>
            <w:r>
              <w:rPr>
                <w:color w:val="auto"/>
              </w:rPr>
              <w:t>200</w:t>
            </w:r>
          </w:p>
        </w:tc>
        <w:tc>
          <w:tcPr>
            <w:tcW w:w="1707" w:type="pct"/>
            <w:tcBorders>
              <w:tl2br w:val="nil"/>
              <w:tr2bl w:val="nil"/>
            </w:tcBorders>
            <w:noWrap w:val="0"/>
            <w:vAlign w:val="center"/>
          </w:tcPr>
          <w:p>
            <w:pPr>
              <w:pStyle w:val="34"/>
              <w:bidi w:val="0"/>
              <w:rPr>
                <w:color w:val="auto"/>
              </w:rPr>
            </w:pPr>
            <w:r>
              <w:rPr>
                <w:color w:val="auto"/>
              </w:rPr>
              <w:t>160（日最大 8 小时平均）</w:t>
            </w:r>
          </w:p>
        </w:tc>
        <w:tc>
          <w:tcPr>
            <w:tcW w:w="544" w:type="pct"/>
            <w:tcBorders>
              <w:tl2br w:val="nil"/>
              <w:tr2bl w:val="nil"/>
            </w:tcBorders>
            <w:noWrap w:val="0"/>
            <w:vAlign w:val="center"/>
          </w:tcPr>
          <w:p>
            <w:pPr>
              <w:pStyle w:val="34"/>
              <w:bidi w:val="0"/>
              <w:rPr>
                <w:color w:val="auto"/>
              </w:rPr>
            </w:pPr>
            <w:r>
              <w:rPr>
                <w:color w:val="auto"/>
              </w:rPr>
              <w:t>/</w:t>
            </w:r>
          </w:p>
        </w:tc>
        <w:tc>
          <w:tcPr>
            <w:tcW w:w="764" w:type="pct"/>
            <w:vMerge w:val="continue"/>
            <w:tcBorders>
              <w:tl2br w:val="nil"/>
              <w:tr2bl w:val="nil"/>
            </w:tcBorders>
            <w:noWrap w:val="0"/>
            <w:vAlign w:val="center"/>
          </w:tcPr>
          <w:p>
            <w:pPr>
              <w:pStyle w:val="34"/>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27" w:type="pct"/>
            <w:tcBorders>
              <w:tl2br w:val="nil"/>
              <w:tr2bl w:val="nil"/>
            </w:tcBorders>
            <w:noWrap w:val="0"/>
            <w:vAlign w:val="center"/>
          </w:tcPr>
          <w:p>
            <w:pPr>
              <w:pStyle w:val="34"/>
              <w:bidi w:val="0"/>
              <w:rPr>
                <w:color w:val="auto"/>
              </w:rPr>
            </w:pPr>
            <w:r>
              <w:rPr>
                <w:color w:val="auto"/>
                <w:lang w:val="en-US"/>
              </w:rPr>
              <w:t>5</w:t>
            </w:r>
          </w:p>
        </w:tc>
        <w:tc>
          <w:tcPr>
            <w:tcW w:w="912" w:type="pct"/>
            <w:tcBorders>
              <w:tl2br w:val="nil"/>
              <w:tr2bl w:val="nil"/>
            </w:tcBorders>
            <w:noWrap w:val="0"/>
            <w:vAlign w:val="center"/>
          </w:tcPr>
          <w:p>
            <w:pPr>
              <w:pStyle w:val="34"/>
              <w:bidi w:val="0"/>
              <w:rPr>
                <w:color w:val="auto"/>
              </w:rPr>
            </w:pPr>
            <w:r>
              <w:rPr>
                <w:color w:val="auto"/>
              </w:rPr>
              <w:t>PM</w:t>
            </w:r>
            <w:r>
              <w:rPr>
                <w:color w:val="auto"/>
                <w:vertAlign w:val="subscript"/>
              </w:rPr>
              <w:t>10</w:t>
            </w:r>
          </w:p>
        </w:tc>
        <w:tc>
          <w:tcPr>
            <w:tcW w:w="643" w:type="pct"/>
            <w:tcBorders>
              <w:tl2br w:val="nil"/>
              <w:tr2bl w:val="nil"/>
            </w:tcBorders>
            <w:noWrap w:val="0"/>
            <w:vAlign w:val="center"/>
          </w:tcPr>
          <w:p>
            <w:pPr>
              <w:pStyle w:val="34"/>
              <w:bidi w:val="0"/>
              <w:rPr>
                <w:color w:val="auto"/>
              </w:rPr>
            </w:pPr>
            <w:r>
              <w:rPr>
                <w:color w:val="auto"/>
              </w:rPr>
              <w:t>/</w:t>
            </w:r>
          </w:p>
        </w:tc>
        <w:tc>
          <w:tcPr>
            <w:tcW w:w="1707" w:type="pct"/>
            <w:tcBorders>
              <w:tl2br w:val="nil"/>
              <w:tr2bl w:val="nil"/>
            </w:tcBorders>
            <w:noWrap w:val="0"/>
            <w:vAlign w:val="center"/>
          </w:tcPr>
          <w:p>
            <w:pPr>
              <w:pStyle w:val="34"/>
              <w:bidi w:val="0"/>
              <w:rPr>
                <w:color w:val="auto"/>
              </w:rPr>
            </w:pPr>
            <w:r>
              <w:rPr>
                <w:color w:val="auto"/>
              </w:rPr>
              <w:t>150</w:t>
            </w:r>
          </w:p>
        </w:tc>
        <w:tc>
          <w:tcPr>
            <w:tcW w:w="544" w:type="pct"/>
            <w:tcBorders>
              <w:tl2br w:val="nil"/>
              <w:tr2bl w:val="nil"/>
            </w:tcBorders>
            <w:noWrap w:val="0"/>
            <w:vAlign w:val="center"/>
          </w:tcPr>
          <w:p>
            <w:pPr>
              <w:pStyle w:val="34"/>
              <w:bidi w:val="0"/>
              <w:rPr>
                <w:color w:val="auto"/>
              </w:rPr>
            </w:pPr>
            <w:r>
              <w:rPr>
                <w:color w:val="auto"/>
              </w:rPr>
              <w:t>70</w:t>
            </w:r>
          </w:p>
        </w:tc>
        <w:tc>
          <w:tcPr>
            <w:tcW w:w="764" w:type="pct"/>
            <w:vMerge w:val="continue"/>
            <w:tcBorders>
              <w:tl2br w:val="nil"/>
              <w:tr2bl w:val="nil"/>
            </w:tcBorders>
            <w:noWrap w:val="0"/>
            <w:vAlign w:val="center"/>
          </w:tcPr>
          <w:p>
            <w:pPr>
              <w:pStyle w:val="34"/>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27" w:type="pct"/>
            <w:tcBorders>
              <w:tl2br w:val="nil"/>
              <w:tr2bl w:val="nil"/>
            </w:tcBorders>
            <w:noWrap w:val="0"/>
            <w:vAlign w:val="center"/>
          </w:tcPr>
          <w:p>
            <w:pPr>
              <w:pStyle w:val="34"/>
              <w:bidi w:val="0"/>
              <w:rPr>
                <w:color w:val="auto"/>
              </w:rPr>
            </w:pPr>
            <w:r>
              <w:rPr>
                <w:color w:val="auto"/>
              </w:rPr>
              <w:t>6</w:t>
            </w:r>
          </w:p>
        </w:tc>
        <w:tc>
          <w:tcPr>
            <w:tcW w:w="912" w:type="pct"/>
            <w:tcBorders>
              <w:tl2br w:val="nil"/>
              <w:tr2bl w:val="nil"/>
            </w:tcBorders>
            <w:noWrap w:val="0"/>
            <w:vAlign w:val="center"/>
          </w:tcPr>
          <w:p>
            <w:pPr>
              <w:pStyle w:val="34"/>
              <w:bidi w:val="0"/>
              <w:rPr>
                <w:color w:val="auto"/>
              </w:rPr>
            </w:pPr>
            <w:r>
              <w:rPr>
                <w:color w:val="auto"/>
              </w:rPr>
              <w:t>PM</w:t>
            </w:r>
            <w:r>
              <w:rPr>
                <w:color w:val="auto"/>
                <w:vertAlign w:val="subscript"/>
              </w:rPr>
              <w:t>2.5</w:t>
            </w:r>
          </w:p>
        </w:tc>
        <w:tc>
          <w:tcPr>
            <w:tcW w:w="643" w:type="pct"/>
            <w:tcBorders>
              <w:tl2br w:val="nil"/>
              <w:tr2bl w:val="nil"/>
            </w:tcBorders>
            <w:noWrap w:val="0"/>
            <w:vAlign w:val="center"/>
          </w:tcPr>
          <w:p>
            <w:pPr>
              <w:pStyle w:val="34"/>
              <w:bidi w:val="0"/>
              <w:rPr>
                <w:color w:val="auto"/>
              </w:rPr>
            </w:pPr>
            <w:r>
              <w:rPr>
                <w:color w:val="auto"/>
              </w:rPr>
              <w:t>/</w:t>
            </w:r>
          </w:p>
        </w:tc>
        <w:tc>
          <w:tcPr>
            <w:tcW w:w="1707" w:type="pct"/>
            <w:tcBorders>
              <w:tl2br w:val="nil"/>
              <w:tr2bl w:val="nil"/>
            </w:tcBorders>
            <w:noWrap w:val="0"/>
            <w:vAlign w:val="center"/>
          </w:tcPr>
          <w:p>
            <w:pPr>
              <w:pStyle w:val="34"/>
              <w:bidi w:val="0"/>
              <w:rPr>
                <w:color w:val="auto"/>
              </w:rPr>
            </w:pPr>
            <w:r>
              <w:rPr>
                <w:color w:val="auto"/>
              </w:rPr>
              <w:t>75</w:t>
            </w:r>
          </w:p>
        </w:tc>
        <w:tc>
          <w:tcPr>
            <w:tcW w:w="544" w:type="pct"/>
            <w:tcBorders>
              <w:tl2br w:val="nil"/>
              <w:tr2bl w:val="nil"/>
            </w:tcBorders>
            <w:noWrap w:val="0"/>
            <w:vAlign w:val="center"/>
          </w:tcPr>
          <w:p>
            <w:pPr>
              <w:pStyle w:val="34"/>
              <w:bidi w:val="0"/>
              <w:rPr>
                <w:color w:val="auto"/>
              </w:rPr>
            </w:pPr>
            <w:r>
              <w:rPr>
                <w:color w:val="auto"/>
              </w:rPr>
              <w:t>35</w:t>
            </w:r>
          </w:p>
        </w:tc>
        <w:tc>
          <w:tcPr>
            <w:tcW w:w="764" w:type="pct"/>
            <w:vMerge w:val="continue"/>
            <w:tcBorders>
              <w:tl2br w:val="nil"/>
              <w:tr2bl w:val="nil"/>
            </w:tcBorders>
            <w:noWrap w:val="0"/>
            <w:vAlign w:val="center"/>
          </w:tcPr>
          <w:p>
            <w:pPr>
              <w:pStyle w:val="34"/>
              <w:bidi w:val="0"/>
              <w:rPr>
                <w:color w:val="auto"/>
              </w:rPr>
            </w:pP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）评价方法</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pacing w:val="-6"/>
          <w:sz w:val="24"/>
          <w:szCs w:val="24"/>
          <w:lang w:eastAsia="zh-TW"/>
        </w:rPr>
      </w:pPr>
      <w:r>
        <w:rPr>
          <w:rFonts w:hint="default" w:ascii="Times New Roman" w:hAnsi="Times New Roman" w:eastAsia="宋体" w:cs="Times New Roman"/>
          <w:color w:val="auto"/>
          <w:sz w:val="24"/>
          <w:szCs w:val="24"/>
        </w:rPr>
        <w:t>基本污染物按照《环境空气质量评价技术规范（试行）》（HJ 663-2013）中各评价项目的年评价指标进行判定。年评价指标中的年均浓度和相应百分位数24h</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平均或</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8h</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平均质量浓度满足</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GB3095</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中浓度限值要求的即为达标。对于超标的污染物，计算其超标倍数和超标率。</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w:t>
      </w:r>
      <w:r>
        <w:rPr>
          <w:rFonts w:hint="default" w:ascii="Times New Roman" w:hAnsi="Times New Roman" w:eastAsia="宋体" w:cs="Times New Roman"/>
          <w:color w:val="auto"/>
          <w:kern w:val="2"/>
          <w:sz w:val="24"/>
          <w:szCs w:val="24"/>
          <w:lang w:val="en-US" w:eastAsia="zh-CN"/>
        </w:rPr>
        <w:t>3</w:t>
      </w:r>
      <w:r>
        <w:rPr>
          <w:rFonts w:hint="default" w:ascii="Times New Roman" w:hAnsi="Times New Roman" w:eastAsia="宋体" w:cs="Times New Roman"/>
          <w:color w:val="auto"/>
          <w:kern w:val="2"/>
          <w:sz w:val="24"/>
          <w:szCs w:val="24"/>
        </w:rPr>
        <w:t>）</w:t>
      </w:r>
      <w:r>
        <w:rPr>
          <w:rFonts w:hint="default" w:ascii="Times New Roman" w:hAnsi="Times New Roman" w:eastAsia="宋体" w:cs="Times New Roman"/>
          <w:color w:val="auto"/>
          <w:kern w:val="2"/>
          <w:sz w:val="24"/>
          <w:szCs w:val="24"/>
          <w:lang w:val="en-US" w:eastAsia="zh-CN"/>
        </w:rPr>
        <w:t>评价</w:t>
      </w:r>
      <w:r>
        <w:rPr>
          <w:rFonts w:hint="default" w:ascii="Times New Roman" w:hAnsi="Times New Roman" w:eastAsia="宋体" w:cs="Times New Roman"/>
          <w:color w:val="auto"/>
          <w:kern w:val="2"/>
          <w:sz w:val="24"/>
          <w:szCs w:val="24"/>
        </w:rPr>
        <w:t>结果</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kern w:val="0"/>
          <w:sz w:val="24"/>
          <w:szCs w:val="24"/>
          <w:highlight w:val="none"/>
        </w:rPr>
        <w:t>基本污染物环境空气质量现状评价结果见表</w:t>
      </w:r>
      <w:r>
        <w:rPr>
          <w:rFonts w:hint="eastAsia" w:ascii="Times New Roman" w:hAnsi="Times New Roman" w:eastAsia="宋体" w:cs="Times New Roman"/>
          <w:color w:val="auto"/>
          <w:kern w:val="0"/>
          <w:sz w:val="24"/>
          <w:szCs w:val="24"/>
          <w:highlight w:val="none"/>
          <w:lang w:val="en-US" w:eastAsia="zh-CN"/>
        </w:rPr>
        <w:t xml:space="preserve"> </w:t>
      </w:r>
      <w:r>
        <w:rPr>
          <w:rFonts w:hint="default" w:ascii="Times New Roman" w:hAnsi="Times New Roman" w:eastAsia="宋体" w:cs="Times New Roman"/>
          <w:color w:val="auto"/>
          <w:sz w:val="24"/>
          <w:szCs w:val="24"/>
          <w:lang w:val="en-US" w:eastAsia="zh-CN"/>
        </w:rPr>
        <w:t>4.</w:t>
      </w:r>
      <w:r>
        <w:rPr>
          <w:rFonts w:hint="eastAsia" w:ascii="Times New Roman" w:hAnsi="Times New Roman" w:eastAsia="宋体" w:cs="Times New Roman"/>
          <w:color w:val="auto"/>
          <w:sz w:val="24"/>
          <w:szCs w:val="24"/>
          <w:lang w:val="en-US" w:eastAsia="zh-CN"/>
        </w:rPr>
        <w:t>4.1</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4"/>
          <w:szCs w:val="24"/>
          <w:vertAlign w:val="superscript"/>
        </w:rPr>
      </w:pPr>
      <w:r>
        <w:rPr>
          <w:rFonts w:hint="default" w:ascii="Times New Roman" w:hAnsi="Times New Roman" w:eastAsia="宋体" w:cs="Times New Roman"/>
          <w:b/>
          <w:color w:val="auto"/>
          <w:sz w:val="24"/>
          <w:szCs w:val="24"/>
        </w:rPr>
        <w:t>表</w:t>
      </w:r>
      <w:r>
        <w:rPr>
          <w:rFonts w:hint="eastAsia" w:ascii="Times New Roman" w:hAnsi="Times New Roman" w:eastAsia="宋体" w:cs="Times New Roman"/>
          <w:b/>
          <w:color w:val="auto"/>
          <w:sz w:val="24"/>
          <w:szCs w:val="24"/>
          <w:lang w:val="en-US" w:eastAsia="zh-CN"/>
        </w:rPr>
        <w:t xml:space="preserve"> </w:t>
      </w:r>
      <w:r>
        <w:rPr>
          <w:rFonts w:hint="eastAsia" w:ascii="Times New Roman" w:hAnsi="Times New Roman" w:cs="Times New Roman"/>
          <w:b/>
          <w:color w:val="auto"/>
          <w:sz w:val="24"/>
          <w:szCs w:val="24"/>
          <w:lang w:val="en-US" w:eastAsia="zh-CN"/>
        </w:rPr>
        <w:t xml:space="preserve">4.4.1-2   </w:t>
      </w:r>
      <w:r>
        <w:rPr>
          <w:rFonts w:hint="default" w:ascii="Times New Roman" w:hAnsi="Times New Roman" w:eastAsia="宋体" w:cs="Times New Roman"/>
          <w:b/>
          <w:color w:val="auto"/>
          <w:sz w:val="24"/>
          <w:szCs w:val="24"/>
        </w:rPr>
        <w:t>大气环境质量现状评价</w:t>
      </w:r>
      <w:r>
        <w:rPr>
          <w:rFonts w:hint="default" w:ascii="Times New Roman" w:hAnsi="Times New Roman" w:eastAsia="Times New Roman" w:cs="Times New Roman"/>
          <w:b/>
          <w:bCs/>
          <w:color w:val="auto"/>
          <w:kern w:val="0"/>
          <w:sz w:val="24"/>
          <w:szCs w:val="24"/>
          <w:highlight w:val="none"/>
          <w:lang w:val="zh-CN" w:eastAsia="zh-CN" w:bidi="zh-CN"/>
        </w:rPr>
        <w:t>表</w:t>
      </w:r>
      <w:r>
        <w:rPr>
          <w:rFonts w:hint="eastAsia" w:ascii="Times New Roman" w:hAnsi="Times New Roman" w:eastAsia="Times New Roman" w:cs="Times New Roman"/>
          <w:b/>
          <w:bCs/>
          <w:color w:val="auto"/>
          <w:kern w:val="0"/>
          <w:sz w:val="24"/>
          <w:szCs w:val="24"/>
          <w:highlight w:val="none"/>
          <w:lang w:val="en-US" w:eastAsia="zh-CN" w:bidi="zh-CN"/>
        </w:rPr>
        <w:t xml:space="preserve">   </w:t>
      </w:r>
      <w:r>
        <w:rPr>
          <w:rFonts w:hint="default" w:ascii="Times New Roman" w:hAnsi="Times New Roman" w:eastAsia="宋体" w:cs="Times New Roman"/>
          <w:b/>
          <w:color w:val="auto"/>
          <w:sz w:val="24"/>
          <w:szCs w:val="24"/>
        </w:rPr>
        <w:t>单位：μg/m</w:t>
      </w:r>
      <w:r>
        <w:rPr>
          <w:rFonts w:hint="default" w:ascii="Times New Roman" w:hAnsi="Times New Roman" w:eastAsia="宋体" w:cs="Times New Roman"/>
          <w:b/>
          <w:color w:val="auto"/>
          <w:sz w:val="24"/>
          <w:szCs w:val="24"/>
          <w:vertAlign w:val="superscript"/>
        </w:rPr>
        <w:t>3</w:t>
      </w:r>
    </w:p>
    <w:tbl>
      <w:tblPr>
        <w:tblStyle w:val="21"/>
        <w:tblW w:w="4995"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883"/>
        <w:gridCol w:w="2826"/>
        <w:gridCol w:w="1051"/>
        <w:gridCol w:w="1338"/>
        <w:gridCol w:w="1132"/>
        <w:gridCol w:w="107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31" w:type="pct"/>
            <w:tcBorders>
              <w:tl2br w:val="nil"/>
              <w:tr2bl w:val="nil"/>
            </w:tcBorders>
            <w:noWrap w:val="0"/>
            <w:vAlign w:val="center"/>
          </w:tcPr>
          <w:p>
            <w:pPr>
              <w:pStyle w:val="34"/>
              <w:bidi w:val="0"/>
              <w:rPr>
                <w:b/>
                <w:bCs/>
                <w:color w:val="auto"/>
              </w:rPr>
            </w:pPr>
            <w:r>
              <w:rPr>
                <w:b/>
                <w:bCs/>
                <w:color w:val="auto"/>
              </w:rPr>
              <w:t>污染物</w:t>
            </w:r>
          </w:p>
        </w:tc>
        <w:tc>
          <w:tcPr>
            <w:tcW w:w="1700" w:type="pct"/>
            <w:tcBorders>
              <w:tl2br w:val="nil"/>
              <w:tr2bl w:val="nil"/>
            </w:tcBorders>
            <w:noWrap w:val="0"/>
            <w:vAlign w:val="center"/>
          </w:tcPr>
          <w:p>
            <w:pPr>
              <w:pStyle w:val="34"/>
              <w:bidi w:val="0"/>
              <w:rPr>
                <w:b/>
                <w:bCs/>
                <w:color w:val="auto"/>
              </w:rPr>
            </w:pPr>
            <w:r>
              <w:rPr>
                <w:b/>
                <w:bCs/>
                <w:color w:val="auto"/>
              </w:rPr>
              <w:t>平均时段</w:t>
            </w:r>
          </w:p>
        </w:tc>
        <w:tc>
          <w:tcPr>
            <w:tcW w:w="632" w:type="pct"/>
            <w:tcBorders>
              <w:tl2br w:val="nil"/>
              <w:tr2bl w:val="nil"/>
            </w:tcBorders>
            <w:noWrap w:val="0"/>
            <w:vAlign w:val="center"/>
          </w:tcPr>
          <w:p>
            <w:pPr>
              <w:pStyle w:val="34"/>
              <w:bidi w:val="0"/>
              <w:rPr>
                <w:b/>
                <w:bCs/>
                <w:color w:val="auto"/>
              </w:rPr>
            </w:pPr>
            <w:r>
              <w:rPr>
                <w:b/>
                <w:bCs/>
                <w:color w:val="auto"/>
              </w:rPr>
              <w:t>现状浓度µg/m</w:t>
            </w:r>
            <w:r>
              <w:rPr>
                <w:rFonts w:hint="eastAsia"/>
                <w:b/>
                <w:bCs/>
                <w:color w:val="auto"/>
                <w:vertAlign w:val="superscript"/>
              </w:rPr>
              <w:t>3</w:t>
            </w:r>
          </w:p>
        </w:tc>
        <w:tc>
          <w:tcPr>
            <w:tcW w:w="805" w:type="pct"/>
            <w:tcBorders>
              <w:tl2br w:val="nil"/>
              <w:tr2bl w:val="nil"/>
            </w:tcBorders>
            <w:noWrap w:val="0"/>
            <w:vAlign w:val="center"/>
          </w:tcPr>
          <w:p>
            <w:pPr>
              <w:pStyle w:val="34"/>
              <w:bidi w:val="0"/>
              <w:rPr>
                <w:b/>
                <w:bCs/>
                <w:color w:val="auto"/>
              </w:rPr>
            </w:pPr>
            <w:r>
              <w:rPr>
                <w:b/>
                <w:bCs/>
                <w:color w:val="auto"/>
              </w:rPr>
              <w:t>标准值µg/m</w:t>
            </w:r>
            <w:r>
              <w:rPr>
                <w:rFonts w:hint="eastAsia"/>
                <w:b/>
                <w:bCs/>
                <w:color w:val="auto"/>
                <w:vertAlign w:val="superscript"/>
              </w:rPr>
              <w:t>3</w:t>
            </w:r>
          </w:p>
        </w:tc>
        <w:tc>
          <w:tcPr>
            <w:tcW w:w="681" w:type="pct"/>
            <w:tcBorders>
              <w:tl2br w:val="nil"/>
              <w:tr2bl w:val="nil"/>
            </w:tcBorders>
            <w:noWrap w:val="0"/>
            <w:vAlign w:val="center"/>
          </w:tcPr>
          <w:p>
            <w:pPr>
              <w:pStyle w:val="34"/>
              <w:bidi w:val="0"/>
              <w:rPr>
                <w:b/>
                <w:bCs/>
                <w:color w:val="auto"/>
              </w:rPr>
            </w:pPr>
            <w:r>
              <w:rPr>
                <w:b/>
                <w:bCs/>
                <w:color w:val="auto"/>
              </w:rPr>
              <w:t>占标率%</w:t>
            </w:r>
          </w:p>
        </w:tc>
        <w:tc>
          <w:tcPr>
            <w:tcW w:w="648" w:type="pct"/>
            <w:tcBorders>
              <w:tl2br w:val="nil"/>
              <w:tr2bl w:val="nil"/>
            </w:tcBorders>
            <w:noWrap w:val="0"/>
            <w:vAlign w:val="center"/>
          </w:tcPr>
          <w:p>
            <w:pPr>
              <w:pStyle w:val="34"/>
              <w:bidi w:val="0"/>
              <w:rPr>
                <w:b/>
                <w:bCs/>
                <w:color w:val="auto"/>
              </w:rPr>
            </w:pPr>
            <w:r>
              <w:rPr>
                <w:b/>
                <w:bCs/>
                <w:color w:val="auto"/>
              </w:rPr>
              <w:t>达标情况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31" w:type="pct"/>
            <w:tcBorders>
              <w:tl2br w:val="nil"/>
              <w:tr2bl w:val="nil"/>
            </w:tcBorders>
            <w:noWrap w:val="0"/>
            <w:vAlign w:val="center"/>
          </w:tcPr>
          <w:p>
            <w:pPr>
              <w:pStyle w:val="34"/>
              <w:bidi w:val="0"/>
              <w:rPr>
                <w:color w:val="auto"/>
              </w:rPr>
            </w:pPr>
            <w:r>
              <w:rPr>
                <w:color w:val="auto"/>
              </w:rPr>
              <w:t>SO</w:t>
            </w:r>
            <w:r>
              <w:rPr>
                <w:color w:val="auto"/>
                <w:vertAlign w:val="subscript"/>
              </w:rPr>
              <w:t>2</w:t>
            </w:r>
          </w:p>
        </w:tc>
        <w:tc>
          <w:tcPr>
            <w:tcW w:w="1700" w:type="pct"/>
            <w:tcBorders>
              <w:tl2br w:val="nil"/>
              <w:tr2bl w:val="nil"/>
            </w:tcBorders>
            <w:noWrap w:val="0"/>
            <w:vAlign w:val="center"/>
          </w:tcPr>
          <w:p>
            <w:pPr>
              <w:pStyle w:val="34"/>
              <w:bidi w:val="0"/>
              <w:rPr>
                <w:color w:val="auto"/>
              </w:rPr>
            </w:pPr>
            <w:r>
              <w:rPr>
                <w:color w:val="auto"/>
              </w:rPr>
              <w:t>年平均浓度</w:t>
            </w:r>
          </w:p>
        </w:tc>
        <w:tc>
          <w:tcPr>
            <w:tcW w:w="1051" w:type="dxa"/>
            <w:tcBorders>
              <w:tl2br w:val="nil"/>
              <w:tr2bl w:val="nil"/>
            </w:tcBorders>
            <w:noWrap w:val="0"/>
            <w:vAlign w:val="center"/>
          </w:tcPr>
          <w:p>
            <w:pPr>
              <w:pStyle w:val="34"/>
              <w:bidi w:val="0"/>
              <w:ind w:left="0" w:leftChars="0" w:right="0" w:rightChars="0" w:firstLine="0" w:firstLineChars="0"/>
              <w:rPr>
                <w:rFonts w:hint="default" w:eastAsia="宋体"/>
                <w:color w:val="auto"/>
                <w:lang w:val="en-US" w:eastAsia="zh-CN"/>
              </w:rPr>
            </w:pPr>
            <w:r>
              <w:rPr>
                <w:rFonts w:hint="eastAsia"/>
                <w:color w:val="auto"/>
                <w:lang w:val="en-US" w:eastAsia="zh-CN"/>
              </w:rPr>
              <w:t>14</w:t>
            </w:r>
          </w:p>
        </w:tc>
        <w:tc>
          <w:tcPr>
            <w:tcW w:w="805" w:type="pct"/>
            <w:tcBorders>
              <w:tl2br w:val="nil"/>
              <w:tr2bl w:val="nil"/>
            </w:tcBorders>
            <w:noWrap w:val="0"/>
            <w:vAlign w:val="center"/>
          </w:tcPr>
          <w:p>
            <w:pPr>
              <w:pStyle w:val="34"/>
              <w:bidi w:val="0"/>
              <w:rPr>
                <w:color w:val="auto"/>
              </w:rPr>
            </w:pPr>
            <w:r>
              <w:rPr>
                <w:color w:val="auto"/>
              </w:rPr>
              <w:t>60</w:t>
            </w:r>
          </w:p>
        </w:tc>
        <w:tc>
          <w:tcPr>
            <w:tcW w:w="1132" w:type="dxa"/>
            <w:tcBorders>
              <w:tl2br w:val="nil"/>
              <w:tr2bl w:val="nil"/>
            </w:tcBorders>
            <w:noWrap w:val="0"/>
            <w:vAlign w:val="center"/>
          </w:tcPr>
          <w:p>
            <w:pPr>
              <w:pStyle w:val="34"/>
              <w:bidi w:val="0"/>
              <w:ind w:left="0" w:leftChars="0" w:right="0" w:rightChars="0" w:firstLine="0" w:firstLineChars="0"/>
              <w:rPr>
                <w:rFonts w:hint="default" w:eastAsia="宋体"/>
                <w:color w:val="auto"/>
                <w:lang w:val="en-US" w:eastAsia="zh-CN"/>
              </w:rPr>
            </w:pPr>
            <w:r>
              <w:rPr>
                <w:rFonts w:hint="eastAsia"/>
                <w:color w:val="auto"/>
                <w:lang w:val="en-US" w:eastAsia="zh-CN"/>
              </w:rPr>
              <w:t>23.3</w:t>
            </w:r>
          </w:p>
        </w:tc>
        <w:tc>
          <w:tcPr>
            <w:tcW w:w="648" w:type="pct"/>
            <w:tcBorders>
              <w:tl2br w:val="nil"/>
              <w:tr2bl w:val="nil"/>
            </w:tcBorders>
            <w:noWrap w:val="0"/>
            <w:vAlign w:val="center"/>
          </w:tcPr>
          <w:p>
            <w:pPr>
              <w:pStyle w:val="34"/>
              <w:bidi w:val="0"/>
              <w:rPr>
                <w:color w:val="auto"/>
              </w:rPr>
            </w:pPr>
            <w:r>
              <w:rPr>
                <w:color w:val="auto"/>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31" w:type="pct"/>
            <w:tcBorders>
              <w:tl2br w:val="nil"/>
              <w:tr2bl w:val="nil"/>
            </w:tcBorders>
            <w:noWrap w:val="0"/>
            <w:vAlign w:val="center"/>
          </w:tcPr>
          <w:p>
            <w:pPr>
              <w:pStyle w:val="34"/>
              <w:bidi w:val="0"/>
              <w:rPr>
                <w:color w:val="auto"/>
              </w:rPr>
            </w:pPr>
            <w:r>
              <w:rPr>
                <w:color w:val="auto"/>
              </w:rPr>
              <w:t>NO</w:t>
            </w:r>
            <w:r>
              <w:rPr>
                <w:color w:val="auto"/>
                <w:vertAlign w:val="subscript"/>
              </w:rPr>
              <w:t>2</w:t>
            </w:r>
          </w:p>
        </w:tc>
        <w:tc>
          <w:tcPr>
            <w:tcW w:w="1700" w:type="pct"/>
            <w:tcBorders>
              <w:tl2br w:val="nil"/>
              <w:tr2bl w:val="nil"/>
            </w:tcBorders>
            <w:noWrap w:val="0"/>
            <w:vAlign w:val="center"/>
          </w:tcPr>
          <w:p>
            <w:pPr>
              <w:pStyle w:val="34"/>
              <w:bidi w:val="0"/>
              <w:rPr>
                <w:color w:val="auto"/>
              </w:rPr>
            </w:pPr>
            <w:r>
              <w:rPr>
                <w:color w:val="auto"/>
              </w:rPr>
              <w:t>年平均浓度</w:t>
            </w:r>
          </w:p>
        </w:tc>
        <w:tc>
          <w:tcPr>
            <w:tcW w:w="1051" w:type="dxa"/>
            <w:tcBorders>
              <w:tl2br w:val="nil"/>
              <w:tr2bl w:val="nil"/>
            </w:tcBorders>
            <w:noWrap w:val="0"/>
            <w:vAlign w:val="center"/>
          </w:tcPr>
          <w:p>
            <w:pPr>
              <w:pStyle w:val="34"/>
              <w:bidi w:val="0"/>
              <w:ind w:left="0" w:leftChars="0" w:right="0" w:rightChars="0" w:firstLine="0" w:firstLineChars="0"/>
              <w:rPr>
                <w:rFonts w:hint="default" w:eastAsia="宋体"/>
                <w:color w:val="auto"/>
                <w:lang w:val="en-US" w:eastAsia="zh-CN"/>
              </w:rPr>
            </w:pPr>
            <w:r>
              <w:rPr>
                <w:rFonts w:hint="eastAsia"/>
                <w:color w:val="auto"/>
                <w:lang w:val="en-US" w:eastAsia="zh-CN"/>
              </w:rPr>
              <w:t>31</w:t>
            </w:r>
          </w:p>
        </w:tc>
        <w:tc>
          <w:tcPr>
            <w:tcW w:w="805" w:type="pct"/>
            <w:tcBorders>
              <w:tl2br w:val="nil"/>
              <w:tr2bl w:val="nil"/>
            </w:tcBorders>
            <w:noWrap w:val="0"/>
            <w:vAlign w:val="center"/>
          </w:tcPr>
          <w:p>
            <w:pPr>
              <w:pStyle w:val="34"/>
              <w:bidi w:val="0"/>
              <w:rPr>
                <w:color w:val="auto"/>
              </w:rPr>
            </w:pPr>
            <w:r>
              <w:rPr>
                <w:color w:val="auto"/>
              </w:rPr>
              <w:t>40</w:t>
            </w:r>
          </w:p>
        </w:tc>
        <w:tc>
          <w:tcPr>
            <w:tcW w:w="1132" w:type="dxa"/>
            <w:tcBorders>
              <w:tl2br w:val="nil"/>
              <w:tr2bl w:val="nil"/>
            </w:tcBorders>
            <w:noWrap w:val="0"/>
            <w:vAlign w:val="center"/>
          </w:tcPr>
          <w:p>
            <w:pPr>
              <w:pStyle w:val="34"/>
              <w:bidi w:val="0"/>
              <w:ind w:left="0" w:leftChars="0" w:right="0" w:rightChars="0" w:firstLine="0" w:firstLineChars="0"/>
              <w:rPr>
                <w:rFonts w:hint="default" w:eastAsia="宋体"/>
                <w:color w:val="auto"/>
                <w:lang w:val="en-US" w:eastAsia="zh-CN"/>
              </w:rPr>
            </w:pPr>
            <w:r>
              <w:rPr>
                <w:rFonts w:hint="eastAsia"/>
                <w:color w:val="auto"/>
                <w:lang w:val="en-US" w:eastAsia="zh-CN"/>
              </w:rPr>
              <w:t>77.5</w:t>
            </w:r>
          </w:p>
        </w:tc>
        <w:tc>
          <w:tcPr>
            <w:tcW w:w="648" w:type="pct"/>
            <w:tcBorders>
              <w:tl2br w:val="nil"/>
              <w:tr2bl w:val="nil"/>
            </w:tcBorders>
            <w:noWrap w:val="0"/>
            <w:vAlign w:val="center"/>
          </w:tcPr>
          <w:p>
            <w:pPr>
              <w:pStyle w:val="34"/>
              <w:bidi w:val="0"/>
              <w:rPr>
                <w:color w:val="auto"/>
              </w:rPr>
            </w:pPr>
            <w:r>
              <w:rPr>
                <w:color w:val="auto"/>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31" w:type="pct"/>
            <w:tcBorders>
              <w:tl2br w:val="nil"/>
              <w:tr2bl w:val="nil"/>
            </w:tcBorders>
            <w:noWrap w:val="0"/>
            <w:vAlign w:val="center"/>
          </w:tcPr>
          <w:p>
            <w:pPr>
              <w:pStyle w:val="34"/>
              <w:bidi w:val="0"/>
              <w:rPr>
                <w:color w:val="auto"/>
              </w:rPr>
            </w:pPr>
            <w:r>
              <w:rPr>
                <w:color w:val="auto"/>
              </w:rPr>
              <w:t>PM</w:t>
            </w:r>
            <w:r>
              <w:rPr>
                <w:color w:val="auto"/>
                <w:vertAlign w:val="subscript"/>
              </w:rPr>
              <w:t>10</w:t>
            </w:r>
          </w:p>
        </w:tc>
        <w:tc>
          <w:tcPr>
            <w:tcW w:w="1700" w:type="pct"/>
            <w:tcBorders>
              <w:tl2br w:val="nil"/>
              <w:tr2bl w:val="nil"/>
            </w:tcBorders>
            <w:noWrap w:val="0"/>
            <w:vAlign w:val="center"/>
          </w:tcPr>
          <w:p>
            <w:pPr>
              <w:pStyle w:val="34"/>
              <w:bidi w:val="0"/>
              <w:rPr>
                <w:color w:val="auto"/>
              </w:rPr>
            </w:pPr>
            <w:r>
              <w:rPr>
                <w:color w:val="auto"/>
              </w:rPr>
              <w:t>年平均浓度</w:t>
            </w:r>
          </w:p>
        </w:tc>
        <w:tc>
          <w:tcPr>
            <w:tcW w:w="1051" w:type="dxa"/>
            <w:tcBorders>
              <w:tl2br w:val="nil"/>
              <w:tr2bl w:val="nil"/>
            </w:tcBorders>
            <w:noWrap w:val="0"/>
            <w:vAlign w:val="center"/>
          </w:tcPr>
          <w:p>
            <w:pPr>
              <w:pStyle w:val="34"/>
              <w:bidi w:val="0"/>
              <w:ind w:left="0" w:leftChars="0" w:right="0" w:rightChars="0" w:firstLine="0" w:firstLineChars="0"/>
              <w:rPr>
                <w:rFonts w:hint="default" w:eastAsia="宋体"/>
                <w:color w:val="auto"/>
                <w:lang w:val="en-US" w:eastAsia="zh-CN"/>
              </w:rPr>
            </w:pPr>
            <w:r>
              <w:rPr>
                <w:rFonts w:hint="eastAsia"/>
                <w:color w:val="auto"/>
                <w:lang w:val="en-US" w:eastAsia="zh-CN"/>
              </w:rPr>
              <w:t>77</w:t>
            </w:r>
          </w:p>
        </w:tc>
        <w:tc>
          <w:tcPr>
            <w:tcW w:w="805" w:type="pct"/>
            <w:tcBorders>
              <w:tl2br w:val="nil"/>
              <w:tr2bl w:val="nil"/>
            </w:tcBorders>
            <w:noWrap w:val="0"/>
            <w:vAlign w:val="center"/>
          </w:tcPr>
          <w:p>
            <w:pPr>
              <w:pStyle w:val="34"/>
              <w:bidi w:val="0"/>
              <w:rPr>
                <w:color w:val="auto"/>
              </w:rPr>
            </w:pPr>
            <w:r>
              <w:rPr>
                <w:color w:val="auto"/>
              </w:rPr>
              <w:t>70</w:t>
            </w:r>
          </w:p>
        </w:tc>
        <w:tc>
          <w:tcPr>
            <w:tcW w:w="1132" w:type="dxa"/>
            <w:tcBorders>
              <w:tl2br w:val="nil"/>
              <w:tr2bl w:val="nil"/>
            </w:tcBorders>
            <w:noWrap w:val="0"/>
            <w:vAlign w:val="center"/>
          </w:tcPr>
          <w:p>
            <w:pPr>
              <w:pStyle w:val="34"/>
              <w:bidi w:val="0"/>
              <w:ind w:left="0" w:leftChars="0" w:right="0" w:rightChars="0" w:firstLine="0" w:firstLineChars="0"/>
              <w:rPr>
                <w:rFonts w:hint="default" w:eastAsia="宋体"/>
                <w:color w:val="auto"/>
                <w:lang w:val="en-US" w:eastAsia="zh-CN"/>
              </w:rPr>
            </w:pPr>
            <w:r>
              <w:rPr>
                <w:rFonts w:hint="eastAsia"/>
                <w:color w:val="auto"/>
                <w:lang w:val="en-US" w:eastAsia="zh-CN"/>
              </w:rPr>
              <w:t>110</w:t>
            </w:r>
          </w:p>
        </w:tc>
        <w:tc>
          <w:tcPr>
            <w:tcW w:w="648" w:type="pct"/>
            <w:tcBorders>
              <w:tl2br w:val="nil"/>
              <w:tr2bl w:val="nil"/>
            </w:tcBorders>
            <w:noWrap w:val="0"/>
            <w:vAlign w:val="center"/>
          </w:tcPr>
          <w:p>
            <w:pPr>
              <w:pStyle w:val="34"/>
              <w:bidi w:val="0"/>
              <w:rPr>
                <w:color w:val="auto"/>
              </w:rPr>
            </w:pPr>
            <w:r>
              <w:rPr>
                <w:color w:val="auto"/>
              </w:rPr>
              <w:t>不达标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31" w:type="pct"/>
            <w:tcBorders>
              <w:tl2br w:val="nil"/>
              <w:tr2bl w:val="nil"/>
            </w:tcBorders>
            <w:noWrap w:val="0"/>
            <w:vAlign w:val="center"/>
          </w:tcPr>
          <w:p>
            <w:pPr>
              <w:pStyle w:val="34"/>
              <w:bidi w:val="0"/>
              <w:rPr>
                <w:color w:val="auto"/>
              </w:rPr>
            </w:pPr>
            <w:r>
              <w:rPr>
                <w:color w:val="auto"/>
              </w:rPr>
              <w:t>PM</w:t>
            </w:r>
            <w:r>
              <w:rPr>
                <w:color w:val="auto"/>
                <w:vertAlign w:val="subscript"/>
              </w:rPr>
              <w:t>2.5</w:t>
            </w:r>
          </w:p>
        </w:tc>
        <w:tc>
          <w:tcPr>
            <w:tcW w:w="1700" w:type="pct"/>
            <w:tcBorders>
              <w:tl2br w:val="nil"/>
              <w:tr2bl w:val="nil"/>
            </w:tcBorders>
            <w:noWrap w:val="0"/>
            <w:vAlign w:val="center"/>
          </w:tcPr>
          <w:p>
            <w:pPr>
              <w:pStyle w:val="34"/>
              <w:bidi w:val="0"/>
              <w:rPr>
                <w:color w:val="auto"/>
              </w:rPr>
            </w:pPr>
            <w:r>
              <w:rPr>
                <w:color w:val="auto"/>
              </w:rPr>
              <w:t>年平均浓度</w:t>
            </w:r>
          </w:p>
        </w:tc>
        <w:tc>
          <w:tcPr>
            <w:tcW w:w="1051" w:type="dxa"/>
            <w:tcBorders>
              <w:tl2br w:val="nil"/>
              <w:tr2bl w:val="nil"/>
            </w:tcBorders>
            <w:noWrap w:val="0"/>
            <w:vAlign w:val="center"/>
          </w:tcPr>
          <w:p>
            <w:pPr>
              <w:pStyle w:val="34"/>
              <w:bidi w:val="0"/>
              <w:ind w:left="0" w:leftChars="0" w:right="0" w:rightChars="0" w:firstLine="0" w:firstLineChars="0"/>
              <w:rPr>
                <w:rFonts w:hint="default" w:eastAsia="宋体"/>
                <w:color w:val="auto"/>
                <w:lang w:val="en-US" w:eastAsia="zh-CN"/>
              </w:rPr>
            </w:pPr>
            <w:r>
              <w:rPr>
                <w:rFonts w:hint="eastAsia"/>
                <w:color w:val="auto"/>
                <w:lang w:val="en-US" w:eastAsia="zh-CN"/>
              </w:rPr>
              <w:t>43</w:t>
            </w:r>
          </w:p>
        </w:tc>
        <w:tc>
          <w:tcPr>
            <w:tcW w:w="805" w:type="pct"/>
            <w:tcBorders>
              <w:tl2br w:val="nil"/>
              <w:tr2bl w:val="nil"/>
            </w:tcBorders>
            <w:noWrap w:val="0"/>
            <w:vAlign w:val="center"/>
          </w:tcPr>
          <w:p>
            <w:pPr>
              <w:pStyle w:val="34"/>
              <w:bidi w:val="0"/>
              <w:rPr>
                <w:color w:val="auto"/>
              </w:rPr>
            </w:pPr>
            <w:r>
              <w:rPr>
                <w:color w:val="auto"/>
              </w:rPr>
              <w:t>35</w:t>
            </w:r>
          </w:p>
        </w:tc>
        <w:tc>
          <w:tcPr>
            <w:tcW w:w="1132" w:type="dxa"/>
            <w:tcBorders>
              <w:tl2br w:val="nil"/>
              <w:tr2bl w:val="nil"/>
            </w:tcBorders>
            <w:noWrap w:val="0"/>
            <w:vAlign w:val="center"/>
          </w:tcPr>
          <w:p>
            <w:pPr>
              <w:pStyle w:val="34"/>
              <w:bidi w:val="0"/>
              <w:ind w:left="0" w:leftChars="0" w:right="0" w:rightChars="0" w:firstLine="0" w:firstLineChars="0"/>
              <w:rPr>
                <w:rFonts w:hint="default" w:eastAsia="宋体"/>
                <w:color w:val="auto"/>
                <w:lang w:val="en-US" w:eastAsia="zh-CN"/>
              </w:rPr>
            </w:pPr>
            <w:r>
              <w:rPr>
                <w:rFonts w:hint="eastAsia"/>
                <w:color w:val="auto"/>
                <w:lang w:val="en-US" w:eastAsia="zh-CN"/>
              </w:rPr>
              <w:t>123</w:t>
            </w:r>
          </w:p>
        </w:tc>
        <w:tc>
          <w:tcPr>
            <w:tcW w:w="648" w:type="pct"/>
            <w:tcBorders>
              <w:tl2br w:val="nil"/>
              <w:tr2bl w:val="nil"/>
            </w:tcBorders>
            <w:noWrap w:val="0"/>
            <w:vAlign w:val="center"/>
          </w:tcPr>
          <w:p>
            <w:pPr>
              <w:pStyle w:val="34"/>
              <w:bidi w:val="0"/>
              <w:rPr>
                <w:color w:val="auto"/>
              </w:rPr>
            </w:pPr>
            <w:r>
              <w:rPr>
                <w:color w:val="auto"/>
              </w:rPr>
              <w:t>不达标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31" w:type="pct"/>
            <w:tcBorders>
              <w:tl2br w:val="nil"/>
              <w:tr2bl w:val="nil"/>
            </w:tcBorders>
            <w:noWrap w:val="0"/>
            <w:vAlign w:val="center"/>
          </w:tcPr>
          <w:p>
            <w:pPr>
              <w:pStyle w:val="34"/>
              <w:bidi w:val="0"/>
              <w:rPr>
                <w:color w:val="auto"/>
              </w:rPr>
            </w:pPr>
            <w:r>
              <w:rPr>
                <w:color w:val="auto"/>
              </w:rPr>
              <w:t>CO</w:t>
            </w:r>
          </w:p>
        </w:tc>
        <w:tc>
          <w:tcPr>
            <w:tcW w:w="1700" w:type="pct"/>
            <w:tcBorders>
              <w:tl2br w:val="nil"/>
              <w:tr2bl w:val="nil"/>
            </w:tcBorders>
            <w:noWrap w:val="0"/>
            <w:vAlign w:val="center"/>
          </w:tcPr>
          <w:p>
            <w:pPr>
              <w:pStyle w:val="34"/>
              <w:bidi w:val="0"/>
              <w:rPr>
                <w:color w:val="auto"/>
              </w:rPr>
            </w:pPr>
            <w:r>
              <w:rPr>
                <w:rFonts w:hint="eastAsia"/>
                <w:color w:val="auto"/>
              </w:rPr>
              <w:t>24</w:t>
            </w:r>
            <w:r>
              <w:rPr>
                <w:rFonts w:hint="eastAsia"/>
                <w:color w:val="auto"/>
                <w:lang w:val="en-US" w:eastAsia="zh-CN"/>
              </w:rPr>
              <w:t xml:space="preserve"> </w:t>
            </w:r>
            <w:r>
              <w:rPr>
                <w:rFonts w:hint="eastAsia"/>
                <w:color w:val="auto"/>
              </w:rPr>
              <w:t>小时平均第</w:t>
            </w:r>
            <w:r>
              <w:rPr>
                <w:rFonts w:hint="eastAsia"/>
                <w:color w:val="auto"/>
                <w:lang w:val="en-US" w:eastAsia="zh-CN"/>
              </w:rPr>
              <w:t xml:space="preserve"> </w:t>
            </w:r>
            <w:r>
              <w:rPr>
                <w:rFonts w:hint="eastAsia"/>
                <w:color w:val="auto"/>
              </w:rPr>
              <w:t>95</w:t>
            </w:r>
            <w:r>
              <w:rPr>
                <w:rFonts w:hint="eastAsia"/>
                <w:color w:val="auto"/>
                <w:lang w:val="en-US" w:eastAsia="zh-CN"/>
              </w:rPr>
              <w:t xml:space="preserve"> </w:t>
            </w:r>
            <w:r>
              <w:rPr>
                <w:rFonts w:hint="eastAsia"/>
                <w:color w:val="auto"/>
              </w:rPr>
              <w:t>百分位数</w:t>
            </w:r>
          </w:p>
        </w:tc>
        <w:tc>
          <w:tcPr>
            <w:tcW w:w="1051" w:type="dxa"/>
            <w:tcBorders>
              <w:tl2br w:val="nil"/>
              <w:tr2bl w:val="nil"/>
            </w:tcBorders>
            <w:noWrap w:val="0"/>
            <w:vAlign w:val="center"/>
          </w:tcPr>
          <w:p>
            <w:pPr>
              <w:pStyle w:val="34"/>
              <w:bidi w:val="0"/>
              <w:ind w:left="0" w:leftChars="0" w:right="0" w:rightChars="0" w:firstLine="0" w:firstLineChars="0"/>
              <w:rPr>
                <w:rFonts w:hint="default" w:eastAsia="宋体"/>
                <w:color w:val="auto"/>
                <w:lang w:val="en-US" w:eastAsia="zh-CN"/>
              </w:rPr>
            </w:pPr>
            <w:r>
              <w:rPr>
                <w:rFonts w:hint="eastAsia"/>
                <w:color w:val="auto"/>
                <w:lang w:val="en-US" w:eastAsia="zh-CN"/>
              </w:rPr>
              <w:t>1700</w:t>
            </w:r>
          </w:p>
        </w:tc>
        <w:tc>
          <w:tcPr>
            <w:tcW w:w="805" w:type="pct"/>
            <w:tcBorders>
              <w:tl2br w:val="nil"/>
              <w:tr2bl w:val="nil"/>
            </w:tcBorders>
            <w:noWrap w:val="0"/>
            <w:vAlign w:val="center"/>
          </w:tcPr>
          <w:p>
            <w:pPr>
              <w:pStyle w:val="34"/>
              <w:bidi w:val="0"/>
              <w:rPr>
                <w:color w:val="auto"/>
              </w:rPr>
            </w:pPr>
            <w:r>
              <w:rPr>
                <w:color w:val="auto"/>
              </w:rPr>
              <w:t>4000</w:t>
            </w:r>
          </w:p>
        </w:tc>
        <w:tc>
          <w:tcPr>
            <w:tcW w:w="1132" w:type="dxa"/>
            <w:tcBorders>
              <w:tl2br w:val="nil"/>
              <w:tr2bl w:val="nil"/>
            </w:tcBorders>
            <w:noWrap w:val="0"/>
            <w:vAlign w:val="center"/>
          </w:tcPr>
          <w:p>
            <w:pPr>
              <w:pStyle w:val="34"/>
              <w:bidi w:val="0"/>
              <w:ind w:left="0" w:leftChars="0" w:right="0" w:rightChars="0" w:firstLine="0" w:firstLineChars="0"/>
              <w:rPr>
                <w:rFonts w:hint="default" w:eastAsia="宋体"/>
                <w:color w:val="auto"/>
                <w:lang w:val="en-US" w:eastAsia="zh-CN"/>
              </w:rPr>
            </w:pPr>
            <w:r>
              <w:rPr>
                <w:rFonts w:hint="eastAsia"/>
                <w:color w:val="auto"/>
                <w:lang w:val="en-US" w:eastAsia="zh-CN"/>
              </w:rPr>
              <w:t>42.5</w:t>
            </w:r>
          </w:p>
        </w:tc>
        <w:tc>
          <w:tcPr>
            <w:tcW w:w="648" w:type="pct"/>
            <w:tcBorders>
              <w:tl2br w:val="nil"/>
              <w:tr2bl w:val="nil"/>
            </w:tcBorders>
            <w:noWrap w:val="0"/>
            <w:vAlign w:val="center"/>
          </w:tcPr>
          <w:p>
            <w:pPr>
              <w:pStyle w:val="34"/>
              <w:bidi w:val="0"/>
              <w:rPr>
                <w:color w:val="auto"/>
              </w:rPr>
            </w:pPr>
            <w:r>
              <w:rPr>
                <w:color w:val="auto"/>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31" w:type="pct"/>
            <w:tcBorders>
              <w:tl2br w:val="nil"/>
              <w:tr2bl w:val="nil"/>
            </w:tcBorders>
            <w:noWrap w:val="0"/>
            <w:vAlign w:val="center"/>
          </w:tcPr>
          <w:p>
            <w:pPr>
              <w:pStyle w:val="34"/>
              <w:bidi w:val="0"/>
              <w:rPr>
                <w:color w:val="auto"/>
              </w:rPr>
            </w:pPr>
            <w:r>
              <w:rPr>
                <w:color w:val="auto"/>
              </w:rPr>
              <w:t>O</w:t>
            </w:r>
            <w:r>
              <w:rPr>
                <w:color w:val="auto"/>
                <w:vertAlign w:val="subscript"/>
              </w:rPr>
              <w:t>3</w:t>
            </w:r>
          </w:p>
        </w:tc>
        <w:tc>
          <w:tcPr>
            <w:tcW w:w="1700" w:type="pct"/>
            <w:tcBorders>
              <w:tl2br w:val="nil"/>
              <w:tr2bl w:val="nil"/>
            </w:tcBorders>
            <w:noWrap w:val="0"/>
            <w:vAlign w:val="center"/>
          </w:tcPr>
          <w:p>
            <w:pPr>
              <w:pStyle w:val="34"/>
              <w:bidi w:val="0"/>
              <w:rPr>
                <w:color w:val="auto"/>
              </w:rPr>
            </w:pPr>
            <w:r>
              <w:rPr>
                <w:rFonts w:hint="eastAsia"/>
                <w:color w:val="auto"/>
              </w:rPr>
              <w:t>日最大</w:t>
            </w:r>
            <w:r>
              <w:rPr>
                <w:rFonts w:hint="eastAsia"/>
                <w:color w:val="auto"/>
                <w:lang w:val="en-US" w:eastAsia="zh-CN"/>
              </w:rPr>
              <w:t xml:space="preserve"> </w:t>
            </w:r>
            <w:r>
              <w:rPr>
                <w:rFonts w:hint="eastAsia"/>
                <w:color w:val="auto"/>
              </w:rPr>
              <w:t>8h</w:t>
            </w:r>
            <w:r>
              <w:rPr>
                <w:rFonts w:hint="eastAsia"/>
                <w:color w:val="auto"/>
                <w:lang w:val="en-US" w:eastAsia="zh-CN"/>
              </w:rPr>
              <w:t xml:space="preserve"> </w:t>
            </w:r>
            <w:r>
              <w:rPr>
                <w:rFonts w:hint="eastAsia"/>
                <w:color w:val="auto"/>
              </w:rPr>
              <w:t>平均第</w:t>
            </w:r>
            <w:r>
              <w:rPr>
                <w:rFonts w:hint="eastAsia"/>
                <w:color w:val="auto"/>
                <w:lang w:val="en-US" w:eastAsia="zh-CN"/>
              </w:rPr>
              <w:t xml:space="preserve"> </w:t>
            </w:r>
            <w:r>
              <w:rPr>
                <w:rFonts w:hint="eastAsia"/>
                <w:color w:val="auto"/>
              </w:rPr>
              <w:t>90</w:t>
            </w:r>
            <w:r>
              <w:rPr>
                <w:rFonts w:hint="eastAsia"/>
                <w:color w:val="auto"/>
                <w:lang w:val="en-US" w:eastAsia="zh-CN"/>
              </w:rPr>
              <w:t xml:space="preserve"> </w:t>
            </w:r>
            <w:r>
              <w:rPr>
                <w:rFonts w:hint="eastAsia"/>
                <w:color w:val="auto"/>
              </w:rPr>
              <w:t>百分位</w:t>
            </w:r>
          </w:p>
        </w:tc>
        <w:tc>
          <w:tcPr>
            <w:tcW w:w="1051" w:type="dxa"/>
            <w:tcBorders>
              <w:tl2br w:val="nil"/>
              <w:tr2bl w:val="nil"/>
            </w:tcBorders>
            <w:noWrap w:val="0"/>
            <w:vAlign w:val="center"/>
          </w:tcPr>
          <w:p>
            <w:pPr>
              <w:pStyle w:val="34"/>
              <w:bidi w:val="0"/>
              <w:ind w:left="0" w:leftChars="0" w:right="0" w:rightChars="0" w:firstLine="0" w:firstLineChars="0"/>
              <w:rPr>
                <w:rFonts w:hint="default" w:eastAsia="宋体"/>
                <w:color w:val="auto"/>
                <w:lang w:val="en-US" w:eastAsia="zh-CN"/>
              </w:rPr>
            </w:pPr>
            <w:r>
              <w:rPr>
                <w:rFonts w:hint="eastAsia"/>
                <w:color w:val="auto"/>
                <w:lang w:val="en-US" w:eastAsia="zh-CN"/>
              </w:rPr>
              <w:t>91</w:t>
            </w:r>
          </w:p>
        </w:tc>
        <w:tc>
          <w:tcPr>
            <w:tcW w:w="805" w:type="pct"/>
            <w:tcBorders>
              <w:tl2br w:val="nil"/>
              <w:tr2bl w:val="nil"/>
            </w:tcBorders>
            <w:noWrap w:val="0"/>
            <w:vAlign w:val="center"/>
          </w:tcPr>
          <w:p>
            <w:pPr>
              <w:pStyle w:val="34"/>
              <w:bidi w:val="0"/>
              <w:rPr>
                <w:color w:val="auto"/>
              </w:rPr>
            </w:pPr>
            <w:r>
              <w:rPr>
                <w:color w:val="auto"/>
              </w:rPr>
              <w:t>160</w:t>
            </w:r>
          </w:p>
        </w:tc>
        <w:tc>
          <w:tcPr>
            <w:tcW w:w="1132" w:type="dxa"/>
            <w:tcBorders>
              <w:tl2br w:val="nil"/>
              <w:tr2bl w:val="nil"/>
            </w:tcBorders>
            <w:noWrap w:val="0"/>
            <w:vAlign w:val="center"/>
          </w:tcPr>
          <w:p>
            <w:pPr>
              <w:pStyle w:val="34"/>
              <w:bidi w:val="0"/>
              <w:ind w:left="0" w:leftChars="0" w:right="0" w:rightChars="0" w:firstLine="0" w:firstLineChars="0"/>
              <w:rPr>
                <w:rFonts w:hint="default" w:eastAsia="宋体"/>
                <w:color w:val="auto"/>
                <w:lang w:val="en-US" w:eastAsia="zh-CN"/>
              </w:rPr>
            </w:pPr>
            <w:r>
              <w:rPr>
                <w:rFonts w:hint="eastAsia"/>
                <w:color w:val="auto"/>
                <w:lang w:val="en-US" w:eastAsia="zh-CN"/>
              </w:rPr>
              <w:t>57</w:t>
            </w:r>
          </w:p>
        </w:tc>
        <w:tc>
          <w:tcPr>
            <w:tcW w:w="648" w:type="pct"/>
            <w:tcBorders>
              <w:tl2br w:val="nil"/>
              <w:tr2bl w:val="nil"/>
            </w:tcBorders>
            <w:noWrap w:val="0"/>
            <w:vAlign w:val="center"/>
          </w:tcPr>
          <w:p>
            <w:pPr>
              <w:pStyle w:val="34"/>
              <w:bidi w:val="0"/>
              <w:rPr>
                <w:color w:val="auto"/>
              </w:rPr>
            </w:pPr>
            <w:r>
              <w:rPr>
                <w:color w:val="auto"/>
              </w:rPr>
              <w:t>达标</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由上表可知，本项目所在区域 SO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、NO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、CO、O</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 xml:space="preserve"> 的年评价指标均满足《环境空气质量标准》（GB3095-2012）二级标准；PM</w:t>
      </w:r>
      <w:r>
        <w:rPr>
          <w:rFonts w:hint="eastAsia" w:ascii="Times New Roman" w:hAnsi="Times New Roman" w:eastAsia="宋体" w:cs="Times New Roman"/>
          <w:color w:val="auto"/>
          <w:sz w:val="24"/>
          <w:szCs w:val="24"/>
          <w:vertAlign w:val="subscript"/>
          <w:lang w:val="en-US" w:eastAsia="zh-CN"/>
        </w:rPr>
        <w:t>2.5</w:t>
      </w:r>
      <w:r>
        <w:rPr>
          <w:rFonts w:hint="eastAsia" w:ascii="Times New Roman" w:hAnsi="Times New Roman" w:eastAsia="宋体" w:cs="Times New Roman"/>
          <w:color w:val="auto"/>
          <w:sz w:val="24"/>
          <w:szCs w:val="24"/>
          <w:lang w:val="en-US" w:eastAsia="zh-CN"/>
        </w:rPr>
        <w:t>、PM</w:t>
      </w:r>
      <w:r>
        <w:rPr>
          <w:rFonts w:hint="eastAsia" w:ascii="Times New Roman" w:hAnsi="Times New Roman" w:eastAsia="宋体" w:cs="Times New Roman"/>
          <w:color w:val="auto"/>
          <w:sz w:val="24"/>
          <w:szCs w:val="24"/>
          <w:vertAlign w:val="subscript"/>
          <w:lang w:val="en-US" w:eastAsia="zh-CN"/>
        </w:rPr>
        <w:t>10</w:t>
      </w:r>
      <w:r>
        <w:rPr>
          <w:rFonts w:hint="eastAsia" w:ascii="Times New Roman" w:hAnsi="Times New Roman" w:eastAsia="宋体" w:cs="Times New Roman"/>
          <w:color w:val="auto"/>
          <w:sz w:val="24"/>
          <w:szCs w:val="24"/>
          <w:lang w:val="en-US" w:eastAsia="zh-CN"/>
        </w:rPr>
        <w:t>的年评价指标超过《环境空气质量标准》（GB3095-2012）二级标准，因此本项目区域为不达标区。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PM</w:t>
      </w:r>
      <w:r>
        <w:rPr>
          <w:rFonts w:hint="eastAsia" w:ascii="Times New Roman" w:hAnsi="Times New Roman" w:eastAsia="宋体" w:cs="Times New Roman"/>
          <w:color w:val="auto"/>
          <w:sz w:val="24"/>
          <w:szCs w:val="24"/>
          <w:vertAlign w:val="subscript"/>
          <w:lang w:val="en-US" w:eastAsia="zh-CN"/>
        </w:rPr>
        <w:t>10</w:t>
      </w:r>
      <w:r>
        <w:rPr>
          <w:rFonts w:hint="eastAsia" w:ascii="Times New Roman" w:hAnsi="Times New Roman" w:eastAsia="宋体" w:cs="Times New Roman"/>
          <w:color w:val="auto"/>
          <w:sz w:val="24"/>
          <w:szCs w:val="24"/>
          <w:lang w:val="en-US" w:eastAsia="zh-CN"/>
        </w:rPr>
        <w:t>、PM</w:t>
      </w:r>
      <w:r>
        <w:rPr>
          <w:rFonts w:hint="eastAsia" w:ascii="Times New Roman" w:hAnsi="Times New Roman" w:eastAsia="宋体" w:cs="Times New Roman"/>
          <w:color w:val="auto"/>
          <w:sz w:val="24"/>
          <w:szCs w:val="24"/>
          <w:vertAlign w:val="subscript"/>
          <w:lang w:val="en-US" w:eastAsia="zh-CN"/>
        </w:rPr>
        <w:t>2.5</w:t>
      </w:r>
      <w:r>
        <w:rPr>
          <w:rFonts w:hint="eastAsia" w:ascii="Times New Roman" w:hAnsi="Times New Roman" w:eastAsia="宋体" w:cs="Times New Roman"/>
          <w:color w:val="auto"/>
          <w:sz w:val="24"/>
          <w:szCs w:val="24"/>
          <w:lang w:val="en-US" w:eastAsia="zh-CN"/>
        </w:rPr>
        <w:t xml:space="preserve"> 年平均浓度有超标现象，超标原因有 2 点：① 生态环境不利，易受沙尘天气影响，主要是受西伯利亚较强冷空气东移南压的影响，呼图壁县春、夏季风沙较大。② 城市生态退化及区域外沙尘暴造访，影响了呼图壁县环境空气质量。</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4.4.1.2 特征污染物环境空气质量现状</w:t>
      </w:r>
    </w:p>
    <w:p>
      <w:pPr>
        <w:pStyle w:val="35"/>
        <w:keepNext w:val="0"/>
        <w:keepLines w:val="0"/>
        <w:pageBreakBefore w:val="0"/>
        <w:widowControl w:val="0"/>
        <w:kinsoku/>
        <w:overflowPunct/>
        <w:topLinePunct w:val="0"/>
        <w:autoSpaceDE/>
        <w:autoSpaceDN/>
        <w:bidi w:val="0"/>
        <w:adjustRightInd/>
        <w:snapToGrid/>
        <w:spacing w:line="560" w:lineRule="exact"/>
        <w:ind w:firstLine="480"/>
        <w:textAlignment w:val="auto"/>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eastAsia="宋体" w:cs="Times New Roman"/>
          <w:color w:val="auto"/>
          <w:sz w:val="24"/>
          <w:szCs w:val="24"/>
        </w:rPr>
        <w:t>（1）监测点位</w:t>
      </w:r>
    </w:p>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560" w:lineRule="exact"/>
        <w:ind w:left="0" w:leftChars="0" w:right="0" w:rightChars="0" w:firstLine="480" w:firstLineChars="200"/>
        <w:jc w:val="both"/>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highlight w:val="none"/>
        </w:rPr>
        <w:t>针对</w:t>
      </w:r>
      <w:r>
        <w:rPr>
          <w:rFonts w:hint="default" w:ascii="Times New Roman" w:hAnsi="Times New Roman" w:eastAsia="宋体" w:cs="Times New Roman"/>
          <w:color w:val="auto"/>
          <w:kern w:val="0"/>
          <w:sz w:val="24"/>
          <w:szCs w:val="24"/>
          <w:highlight w:val="none"/>
          <w:lang w:val="en-US" w:eastAsia="zh-CN"/>
        </w:rPr>
        <w:t>本项目特征污染物</w:t>
      </w:r>
      <w:r>
        <w:rPr>
          <w:rFonts w:hint="eastAsia" w:ascii="Times New Roman" w:hAnsi="Times New Roman" w:eastAsia="宋体" w:cs="Times New Roman"/>
          <w:color w:val="auto"/>
          <w:kern w:val="0"/>
          <w:sz w:val="24"/>
          <w:szCs w:val="24"/>
          <w:highlight w:val="none"/>
          <w:lang w:val="en-US" w:eastAsia="zh-CN"/>
        </w:rPr>
        <w:t xml:space="preserve"> </w:t>
      </w:r>
      <w:r>
        <w:rPr>
          <w:rFonts w:hint="eastAsia" w:ascii="Times New Roman" w:hAnsi="Times New Roman" w:eastAsia="宋体" w:cs="Times New Roman"/>
          <w:b w:val="0"/>
          <w:bCs w:val="0"/>
          <w:color w:val="auto"/>
          <w:sz w:val="24"/>
          <w:szCs w:val="24"/>
          <w:lang w:val="en-US" w:eastAsia="zh-CN"/>
        </w:rPr>
        <w:t>TSP、NH</w:t>
      </w:r>
      <w:r>
        <w:rPr>
          <w:rFonts w:hint="eastAsia" w:ascii="Times New Roman" w:hAnsi="Times New Roman" w:eastAsia="宋体" w:cs="Times New Roman"/>
          <w:b w:val="0"/>
          <w:bCs w:val="0"/>
          <w:color w:val="auto"/>
          <w:sz w:val="24"/>
          <w:szCs w:val="24"/>
          <w:vertAlign w:val="subscript"/>
          <w:lang w:val="en-US" w:eastAsia="zh-CN"/>
        </w:rPr>
        <w:t>3</w:t>
      </w:r>
      <w:r>
        <w:rPr>
          <w:rFonts w:hint="eastAsia" w:ascii="Times New Roman" w:hAnsi="Times New Roman" w:eastAsia="宋体" w:cs="Times New Roman"/>
          <w:b w:val="0"/>
          <w:bCs w:val="0"/>
          <w:color w:val="auto"/>
          <w:sz w:val="24"/>
          <w:szCs w:val="24"/>
          <w:lang w:val="en-US" w:eastAsia="zh-CN"/>
        </w:rPr>
        <w:t>、H</w:t>
      </w:r>
      <w:r>
        <w:rPr>
          <w:rFonts w:hint="eastAsia" w:ascii="Times New Roman" w:hAnsi="Times New Roman" w:eastAsia="宋体" w:cs="Times New Roman"/>
          <w:b w:val="0"/>
          <w:bCs w:val="0"/>
          <w:color w:val="auto"/>
          <w:sz w:val="24"/>
          <w:szCs w:val="24"/>
          <w:vertAlign w:val="subscript"/>
          <w:lang w:val="en-US" w:eastAsia="zh-CN"/>
        </w:rPr>
        <w:t>2</w:t>
      </w:r>
      <w:r>
        <w:rPr>
          <w:rFonts w:hint="eastAsia" w:ascii="Times New Roman" w:hAnsi="Times New Roman" w:eastAsia="宋体" w:cs="Times New Roman"/>
          <w:b w:val="0"/>
          <w:bCs w:val="0"/>
          <w:color w:val="auto"/>
          <w:sz w:val="24"/>
          <w:szCs w:val="24"/>
          <w:lang w:val="en-US" w:eastAsia="zh-CN"/>
        </w:rPr>
        <w:t>S、非甲烷总烃、氨</w:t>
      </w:r>
      <w:r>
        <w:rPr>
          <w:rFonts w:hint="default" w:ascii="Times New Roman" w:hAnsi="Times New Roman" w:eastAsia="宋体" w:cs="Times New Roman"/>
          <w:color w:val="auto"/>
          <w:sz w:val="24"/>
          <w:szCs w:val="24"/>
          <w:highlight w:val="none"/>
          <w:lang w:val="en-US" w:eastAsia="zh-CN"/>
        </w:rPr>
        <w:t>等</w:t>
      </w:r>
      <w:r>
        <w:rPr>
          <w:rFonts w:hint="default" w:ascii="Times New Roman" w:hAnsi="Times New Roman" w:eastAsia="宋体" w:cs="Times New Roman"/>
          <w:color w:val="auto"/>
          <w:kern w:val="0"/>
          <w:sz w:val="24"/>
          <w:szCs w:val="24"/>
          <w:highlight w:val="none"/>
        </w:rPr>
        <w:t>环境质量，</w:t>
      </w:r>
      <w:r>
        <w:rPr>
          <w:rFonts w:hint="default" w:ascii="Times New Roman" w:hAnsi="Times New Roman" w:eastAsia="宋体" w:cs="Times New Roman"/>
          <w:color w:val="auto"/>
          <w:kern w:val="0"/>
          <w:sz w:val="24"/>
          <w:szCs w:val="24"/>
          <w:highlight w:val="none"/>
          <w:lang w:val="en-US" w:eastAsia="zh-CN"/>
        </w:rPr>
        <w:t>本次评价</w:t>
      </w:r>
      <w:r>
        <w:rPr>
          <w:rFonts w:hint="default" w:ascii="Times New Roman" w:hAnsi="Times New Roman" w:eastAsia="宋体" w:cs="Times New Roman"/>
          <w:color w:val="auto"/>
          <w:kern w:val="0"/>
          <w:sz w:val="24"/>
          <w:szCs w:val="24"/>
          <w:highlight w:val="none"/>
        </w:rPr>
        <w:t>委托</w:t>
      </w:r>
      <w:r>
        <w:rPr>
          <w:rFonts w:hint="default" w:ascii="Times New Roman" w:hAnsi="Times New Roman" w:eastAsia="宋体" w:cs="Times New Roman"/>
          <w:color w:val="auto"/>
          <w:sz w:val="24"/>
          <w:szCs w:val="24"/>
        </w:rPr>
        <w:t>新疆国泰民康职业环境检测评价有限责任公司</w:t>
      </w:r>
      <w:r>
        <w:rPr>
          <w:rFonts w:hint="default" w:ascii="Times New Roman" w:hAnsi="Times New Roman" w:eastAsia="宋体" w:cs="Times New Roman"/>
          <w:color w:val="auto"/>
          <w:kern w:val="0"/>
          <w:sz w:val="24"/>
          <w:szCs w:val="24"/>
          <w:highlight w:val="none"/>
        </w:rPr>
        <w:t>进行大气环境质量现状监测，</w:t>
      </w:r>
      <w:r>
        <w:rPr>
          <w:rFonts w:hint="default" w:ascii="Times New Roman" w:hAnsi="Times New Roman" w:eastAsia="宋体" w:cs="Times New Roman"/>
          <w:color w:val="auto"/>
          <w:kern w:val="0"/>
          <w:sz w:val="24"/>
          <w:szCs w:val="24"/>
          <w:highlight w:val="none"/>
          <w:lang w:val="en-US" w:eastAsia="zh-CN"/>
        </w:rPr>
        <w:t>在项目区下风向</w:t>
      </w:r>
      <w:r>
        <w:rPr>
          <w:rFonts w:hint="default" w:ascii="Times New Roman" w:hAnsi="Times New Roman" w:eastAsia="宋体" w:cs="Times New Roman"/>
          <w:color w:val="auto"/>
          <w:kern w:val="0"/>
          <w:sz w:val="24"/>
          <w:szCs w:val="24"/>
          <w:highlight w:val="none"/>
        </w:rPr>
        <w:t>布设了</w:t>
      </w:r>
      <w:r>
        <w:rPr>
          <w:rFonts w:hint="eastAsia" w:ascii="Times New Roman" w:hAnsi="Times New Roman" w:eastAsia="宋体" w:cs="Times New Roman"/>
          <w:color w:val="auto"/>
          <w:kern w:val="0"/>
          <w:sz w:val="24"/>
          <w:szCs w:val="24"/>
          <w:highlight w:val="none"/>
          <w:lang w:val="en-US" w:eastAsia="zh-CN"/>
        </w:rPr>
        <w:t xml:space="preserve"> </w:t>
      </w:r>
      <w:r>
        <w:rPr>
          <w:rFonts w:hint="default" w:ascii="Times New Roman" w:hAnsi="Times New Roman" w:eastAsia="宋体" w:cs="Times New Roman"/>
          <w:color w:val="auto"/>
          <w:kern w:val="0"/>
          <w:sz w:val="24"/>
          <w:szCs w:val="24"/>
          <w:highlight w:val="none"/>
        </w:rPr>
        <w:t>1</w:t>
      </w:r>
      <w:r>
        <w:rPr>
          <w:rFonts w:hint="eastAsia" w:ascii="Times New Roman" w:hAnsi="Times New Roman" w:eastAsia="宋体" w:cs="Times New Roman"/>
          <w:color w:val="auto"/>
          <w:kern w:val="0"/>
          <w:sz w:val="24"/>
          <w:szCs w:val="24"/>
          <w:highlight w:val="none"/>
          <w:lang w:val="en-US" w:eastAsia="zh-CN"/>
        </w:rPr>
        <w:t xml:space="preserve"> </w:t>
      </w:r>
      <w:r>
        <w:rPr>
          <w:rFonts w:hint="default" w:ascii="Times New Roman" w:hAnsi="Times New Roman" w:eastAsia="宋体" w:cs="Times New Roman"/>
          <w:color w:val="auto"/>
          <w:kern w:val="0"/>
          <w:sz w:val="24"/>
          <w:szCs w:val="24"/>
          <w:highlight w:val="none"/>
        </w:rPr>
        <w:t>个环境空气监测点</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sz w:val="24"/>
          <w:szCs w:val="24"/>
          <w:lang w:bidi="en-US"/>
        </w:rPr>
        <w:t>监测点位置详</w:t>
      </w:r>
      <w:r>
        <w:rPr>
          <w:rFonts w:hint="default" w:ascii="Times New Roman" w:hAnsi="Times New Roman" w:eastAsia="宋体" w:cs="Times New Roman"/>
          <w:color w:val="auto"/>
          <w:sz w:val="24"/>
          <w:szCs w:val="24"/>
        </w:rPr>
        <w:t>见表</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4.</w:t>
      </w:r>
      <w:r>
        <w:rPr>
          <w:rFonts w:hint="eastAsia" w:ascii="Times New Roman" w:hAnsi="Times New Roman" w:eastAsia="宋体" w:cs="Times New Roman"/>
          <w:color w:val="auto"/>
          <w:sz w:val="24"/>
          <w:szCs w:val="24"/>
          <w:lang w:val="en-US" w:eastAsia="zh-CN"/>
        </w:rPr>
        <w:t>4.1</w:t>
      </w:r>
      <w:r>
        <w:rPr>
          <w:rFonts w:hint="default" w:ascii="Times New Roman" w:hAnsi="Times New Roman" w:eastAsia="宋体" w:cs="Times New Roman"/>
          <w:color w:val="auto"/>
          <w:sz w:val="24"/>
          <w:szCs w:val="24"/>
          <w:lang w:val="en-US" w:eastAsia="zh-CN"/>
        </w:rPr>
        <w:t>-3</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及</w:t>
      </w:r>
      <w:r>
        <w:rPr>
          <w:rFonts w:hint="eastAsia" w:ascii="Times New Roman" w:hAnsi="Times New Roman" w:eastAsia="宋体" w:cs="Times New Roman"/>
          <w:b/>
          <w:bCs/>
          <w:color w:val="auto"/>
          <w:sz w:val="24"/>
          <w:szCs w:val="24"/>
          <w:lang w:val="en-US" w:eastAsia="zh-CN"/>
        </w:rPr>
        <w:t>附</w:t>
      </w:r>
      <w:r>
        <w:rPr>
          <w:rFonts w:hint="default" w:ascii="Times New Roman" w:hAnsi="Times New Roman" w:eastAsia="宋体" w:cs="Times New Roman"/>
          <w:b/>
          <w:bCs/>
          <w:color w:val="auto"/>
          <w:sz w:val="24"/>
          <w:szCs w:val="24"/>
        </w:rPr>
        <w:t>图</w:t>
      </w:r>
      <w:r>
        <w:rPr>
          <w:rFonts w:hint="eastAsia" w:ascii="Times New Roman" w:hAnsi="Times New Roman" w:eastAsia="宋体" w:cs="Times New Roman"/>
          <w:b/>
          <w:bCs/>
          <w:color w:val="auto"/>
          <w:sz w:val="24"/>
          <w:szCs w:val="24"/>
          <w:lang w:val="en-US" w:eastAsia="zh-CN"/>
        </w:rPr>
        <w:t xml:space="preserve"> </w:t>
      </w:r>
      <w:r>
        <w:rPr>
          <w:rFonts w:hint="default" w:ascii="Times New Roman" w:hAnsi="Times New Roman" w:eastAsia="宋体" w:cs="Times New Roman"/>
          <w:b/>
          <w:bCs/>
          <w:color w:val="auto"/>
          <w:sz w:val="24"/>
          <w:szCs w:val="24"/>
          <w:lang w:val="en-US" w:eastAsia="zh-CN"/>
        </w:rPr>
        <w:t>4.</w:t>
      </w:r>
      <w:r>
        <w:rPr>
          <w:rFonts w:hint="eastAsia"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color w:val="auto"/>
          <w:sz w:val="24"/>
          <w:szCs w:val="24"/>
        </w:rPr>
        <w:t>。</w:t>
      </w:r>
    </w:p>
    <w:p>
      <w:pPr>
        <w:pStyle w:val="33"/>
        <w:keepNext w:val="0"/>
        <w:keepLines w:val="0"/>
        <w:pageBreakBefore w:val="0"/>
        <w:widowControl w:val="0"/>
        <w:kinsoku/>
        <w:wordWrap/>
        <w:overflowPunct/>
        <w:topLinePunct w:val="0"/>
        <w:autoSpaceDE/>
        <w:autoSpaceDN/>
        <w:bidi w:val="0"/>
        <w:adjustRightInd w:val="0"/>
        <w:snapToGrid w:val="0"/>
        <w:textAlignment w:val="baseline"/>
        <w:rPr>
          <w:rFonts w:hint="default"/>
          <w:color w:val="auto"/>
          <w:sz w:val="24"/>
          <w:szCs w:val="24"/>
        </w:rPr>
      </w:pPr>
      <w:r>
        <w:rPr>
          <w:rFonts w:hint="default"/>
          <w:color w:val="auto"/>
          <w:sz w:val="24"/>
          <w:szCs w:val="24"/>
        </w:rPr>
        <w:t>表</w:t>
      </w:r>
      <w:r>
        <w:rPr>
          <w:rFonts w:hint="eastAsia"/>
          <w:color w:val="auto"/>
          <w:sz w:val="24"/>
          <w:szCs w:val="24"/>
          <w:lang w:val="en-US" w:eastAsia="zh-CN"/>
        </w:rPr>
        <w:t xml:space="preserve"> 4.4.1</w:t>
      </w:r>
      <w:r>
        <w:rPr>
          <w:rFonts w:hint="default"/>
          <w:color w:val="auto"/>
          <w:sz w:val="24"/>
          <w:szCs w:val="24"/>
        </w:rPr>
        <w:t>-</w:t>
      </w:r>
      <w:r>
        <w:rPr>
          <w:rFonts w:hint="eastAsia"/>
          <w:color w:val="auto"/>
          <w:sz w:val="24"/>
          <w:szCs w:val="24"/>
          <w:lang w:val="en-US" w:eastAsia="zh-CN"/>
        </w:rPr>
        <w:t xml:space="preserve">3     </w:t>
      </w:r>
      <w:r>
        <w:rPr>
          <w:rFonts w:hint="default"/>
          <w:color w:val="auto"/>
          <w:sz w:val="24"/>
          <w:szCs w:val="24"/>
        </w:rPr>
        <w:t>环境空气质量现状监测点位置</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5"/>
        <w:gridCol w:w="1422"/>
        <w:gridCol w:w="1661"/>
        <w:gridCol w:w="1665"/>
        <w:gridCol w:w="1600"/>
        <w:gridCol w:w="11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2" w:type="pct"/>
            <w:tcBorders>
              <w:tl2br w:val="nil"/>
              <w:tr2bl w:val="nil"/>
            </w:tcBorders>
            <w:noWrap w:val="0"/>
            <w:vAlign w:val="center"/>
          </w:tcPr>
          <w:p>
            <w:pPr>
              <w:pStyle w:val="34"/>
              <w:bidi w:val="0"/>
              <w:rPr>
                <w:rFonts w:hint="default"/>
                <w:b/>
                <w:bCs/>
                <w:color w:val="auto"/>
              </w:rPr>
            </w:pPr>
            <w:r>
              <w:rPr>
                <w:rFonts w:hint="default"/>
                <w:b/>
                <w:bCs/>
                <w:color w:val="auto"/>
              </w:rPr>
              <w:t>点位编号</w:t>
            </w:r>
          </w:p>
        </w:tc>
        <w:tc>
          <w:tcPr>
            <w:tcW w:w="848" w:type="pct"/>
            <w:tcBorders>
              <w:tl2br w:val="nil"/>
              <w:tr2bl w:val="nil"/>
            </w:tcBorders>
            <w:noWrap w:val="0"/>
            <w:vAlign w:val="center"/>
          </w:tcPr>
          <w:p>
            <w:pPr>
              <w:pStyle w:val="34"/>
              <w:bidi w:val="0"/>
              <w:rPr>
                <w:rFonts w:hint="default"/>
                <w:b/>
                <w:bCs/>
                <w:color w:val="auto"/>
              </w:rPr>
            </w:pPr>
            <w:r>
              <w:rPr>
                <w:rFonts w:hint="default"/>
                <w:b/>
                <w:bCs/>
                <w:color w:val="auto"/>
              </w:rPr>
              <w:t>监测点位置</w:t>
            </w:r>
          </w:p>
        </w:tc>
        <w:tc>
          <w:tcPr>
            <w:tcW w:w="1896" w:type="pct"/>
            <w:gridSpan w:val="2"/>
            <w:tcBorders>
              <w:tl2br w:val="nil"/>
              <w:tr2bl w:val="nil"/>
            </w:tcBorders>
            <w:noWrap w:val="0"/>
            <w:vAlign w:val="center"/>
          </w:tcPr>
          <w:p>
            <w:pPr>
              <w:pStyle w:val="34"/>
              <w:bidi w:val="0"/>
              <w:rPr>
                <w:rFonts w:hint="default"/>
                <w:b/>
                <w:bCs/>
                <w:color w:val="auto"/>
              </w:rPr>
            </w:pPr>
            <w:r>
              <w:rPr>
                <w:rFonts w:hint="default"/>
                <w:b/>
                <w:bCs/>
                <w:color w:val="auto"/>
              </w:rPr>
              <w:t>监测点坐标</w:t>
            </w:r>
          </w:p>
        </w:tc>
        <w:tc>
          <w:tcPr>
            <w:tcW w:w="952" w:type="pct"/>
            <w:tcBorders>
              <w:tl2br w:val="nil"/>
              <w:tr2bl w:val="nil"/>
            </w:tcBorders>
            <w:noWrap w:val="0"/>
            <w:vAlign w:val="center"/>
          </w:tcPr>
          <w:p>
            <w:pPr>
              <w:pStyle w:val="34"/>
              <w:bidi w:val="0"/>
              <w:rPr>
                <w:rFonts w:hint="default"/>
                <w:b/>
                <w:bCs/>
                <w:color w:val="auto"/>
                <w:lang w:eastAsia="zh-CN"/>
              </w:rPr>
            </w:pPr>
            <w:r>
              <w:rPr>
                <w:rFonts w:hint="default"/>
                <w:b/>
                <w:bCs/>
                <w:color w:val="auto"/>
                <w:lang w:eastAsia="zh-CN"/>
              </w:rPr>
              <w:t>监测时段</w:t>
            </w:r>
          </w:p>
        </w:tc>
        <w:tc>
          <w:tcPr>
            <w:tcW w:w="709" w:type="pct"/>
            <w:tcBorders>
              <w:tl2br w:val="nil"/>
              <w:tr2bl w:val="nil"/>
            </w:tcBorders>
            <w:noWrap w:val="0"/>
            <w:vAlign w:val="center"/>
          </w:tcPr>
          <w:p>
            <w:pPr>
              <w:pStyle w:val="34"/>
              <w:bidi w:val="0"/>
              <w:rPr>
                <w:rFonts w:hint="default"/>
                <w:b/>
                <w:bCs/>
                <w:color w:val="auto"/>
                <w:lang w:eastAsia="zh-CN"/>
              </w:rPr>
            </w:pPr>
            <w:r>
              <w:rPr>
                <w:rFonts w:hint="default"/>
                <w:b/>
                <w:bCs/>
                <w:color w:val="auto"/>
                <w:lang w:eastAsia="zh-CN"/>
              </w:rPr>
              <w:t>相对厂址方位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2" w:type="pct"/>
            <w:tcBorders>
              <w:tl2br w:val="nil"/>
              <w:tr2bl w:val="nil"/>
            </w:tcBorders>
            <w:noWrap w:val="0"/>
            <w:vAlign w:val="center"/>
          </w:tcPr>
          <w:p>
            <w:pPr>
              <w:pStyle w:val="34"/>
              <w:bidi w:val="0"/>
              <w:rPr>
                <w:rFonts w:hint="default"/>
                <w:color w:val="auto"/>
                <w:lang w:val="en-US" w:eastAsia="zh-CN"/>
              </w:rPr>
            </w:pPr>
            <w:r>
              <w:rPr>
                <w:rFonts w:hint="eastAsia"/>
                <w:color w:val="auto"/>
                <w:lang w:val="en-US" w:eastAsia="zh-CN"/>
              </w:rPr>
              <w:t>7</w:t>
            </w:r>
            <w:r>
              <w:rPr>
                <w:rFonts w:hint="default"/>
                <w:color w:val="auto"/>
                <w:lang w:val="en-US" w:eastAsia="zh-CN"/>
              </w:rPr>
              <w:t>#</w:t>
            </w:r>
          </w:p>
        </w:tc>
        <w:tc>
          <w:tcPr>
            <w:tcW w:w="848" w:type="pct"/>
            <w:tcBorders>
              <w:tl2br w:val="nil"/>
              <w:tr2bl w:val="nil"/>
            </w:tcBorders>
            <w:noWrap w:val="0"/>
            <w:vAlign w:val="center"/>
          </w:tcPr>
          <w:p>
            <w:pPr>
              <w:pStyle w:val="34"/>
              <w:bidi w:val="0"/>
              <w:rPr>
                <w:rFonts w:hint="default"/>
                <w:color w:val="auto"/>
                <w:lang w:eastAsia="zh-CN"/>
              </w:rPr>
            </w:pPr>
            <w:r>
              <w:rPr>
                <w:rFonts w:hint="default"/>
                <w:color w:val="auto"/>
              </w:rPr>
              <w:t>下风向</w:t>
            </w:r>
            <w:r>
              <w:rPr>
                <w:rFonts w:hint="eastAsia"/>
                <w:color w:val="auto"/>
                <w:lang w:val="en-US" w:eastAsia="zh-CN"/>
              </w:rPr>
              <w:t>2</w:t>
            </w:r>
            <w:r>
              <w:rPr>
                <w:rFonts w:hint="default"/>
                <w:color w:val="auto"/>
              </w:rPr>
              <w:t>0m处</w:t>
            </w:r>
          </w:p>
        </w:tc>
        <w:tc>
          <w:tcPr>
            <w:tcW w:w="988" w:type="pct"/>
            <w:tcBorders>
              <w:tl2br w:val="nil"/>
              <w:tr2bl w:val="nil"/>
            </w:tcBorders>
            <w:noWrap w:val="0"/>
            <w:vAlign w:val="center"/>
          </w:tcPr>
          <w:p>
            <w:pPr>
              <w:pStyle w:val="34"/>
              <w:bidi w:val="0"/>
              <w:rPr>
                <w:rFonts w:hint="default"/>
                <w:color w:val="auto"/>
                <w:lang w:eastAsia="zh-CN"/>
              </w:rPr>
            </w:pPr>
            <w:r>
              <w:rPr>
                <w:rFonts w:hint="default"/>
                <w:color w:val="auto"/>
                <w:lang w:val="en-US" w:eastAsia="zh-CN"/>
              </w:rPr>
              <w:t>N44°16′38.622″</w:t>
            </w:r>
          </w:p>
        </w:tc>
        <w:tc>
          <w:tcPr>
            <w:tcW w:w="908" w:type="pct"/>
            <w:tcBorders>
              <w:tl2br w:val="nil"/>
              <w:tr2bl w:val="nil"/>
            </w:tcBorders>
            <w:noWrap w:val="0"/>
            <w:vAlign w:val="center"/>
          </w:tcPr>
          <w:p>
            <w:pPr>
              <w:pStyle w:val="34"/>
              <w:bidi w:val="0"/>
              <w:rPr>
                <w:rFonts w:hint="default"/>
                <w:color w:val="auto"/>
                <w:lang w:eastAsia="zh-CN"/>
              </w:rPr>
            </w:pPr>
            <w:r>
              <w:rPr>
                <w:rFonts w:hint="default"/>
                <w:color w:val="auto"/>
                <w:lang w:eastAsia="zh-CN"/>
              </w:rPr>
              <w:t>E</w:t>
            </w:r>
            <w:r>
              <w:rPr>
                <w:rFonts w:hint="default"/>
                <w:color w:val="auto"/>
                <w:lang w:val="en-US" w:eastAsia="zh-CN"/>
              </w:rPr>
              <w:t>86°35′5.38508″</w:t>
            </w:r>
          </w:p>
        </w:tc>
        <w:tc>
          <w:tcPr>
            <w:tcW w:w="952" w:type="pct"/>
            <w:tcBorders>
              <w:tl2br w:val="nil"/>
              <w:tr2bl w:val="nil"/>
            </w:tcBorders>
            <w:noWrap w:val="0"/>
            <w:vAlign w:val="center"/>
          </w:tcPr>
          <w:p>
            <w:pPr>
              <w:pStyle w:val="34"/>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202</w:t>
            </w:r>
            <w:r>
              <w:rPr>
                <w:rFonts w:hint="eastAsia" w:cs="Times New Roman"/>
                <w:color w:val="auto"/>
                <w:lang w:val="en-US" w:eastAsia="zh-CN"/>
              </w:rPr>
              <w:t>3</w:t>
            </w:r>
            <w:r>
              <w:rPr>
                <w:rFonts w:hint="default" w:ascii="Times New Roman" w:hAnsi="Times New Roman" w:eastAsia="宋体" w:cs="Times New Roman"/>
                <w:color w:val="auto"/>
                <w:lang w:val="en-US" w:eastAsia="zh-CN"/>
              </w:rPr>
              <w:t>年</w:t>
            </w:r>
            <w:r>
              <w:rPr>
                <w:rFonts w:hint="eastAsia" w:ascii="Times New Roman" w:hAnsi="Times New Roman" w:eastAsia="宋体" w:cs="Times New Roman"/>
                <w:color w:val="auto"/>
                <w:lang w:val="en-US" w:eastAsia="zh-CN"/>
              </w:rPr>
              <w:t>1</w:t>
            </w:r>
            <w:r>
              <w:rPr>
                <w:rFonts w:hint="eastAsia" w:cs="Times New Roman"/>
                <w:color w:val="auto"/>
                <w:lang w:val="en-US" w:eastAsia="zh-CN"/>
              </w:rPr>
              <w:t>0</w:t>
            </w:r>
            <w:r>
              <w:rPr>
                <w:rFonts w:hint="default" w:ascii="Times New Roman" w:hAnsi="Times New Roman" w:eastAsia="宋体" w:cs="Times New Roman"/>
                <w:color w:val="auto"/>
                <w:lang w:val="en-US" w:eastAsia="zh-CN"/>
              </w:rPr>
              <w:t>月</w:t>
            </w:r>
            <w:r>
              <w:rPr>
                <w:rFonts w:hint="eastAsia" w:cs="Times New Roman"/>
                <w:color w:val="auto"/>
                <w:lang w:val="en-US" w:eastAsia="zh-CN"/>
              </w:rPr>
              <w:t>15</w:t>
            </w:r>
            <w:r>
              <w:rPr>
                <w:rFonts w:hint="default" w:ascii="Times New Roman" w:hAnsi="Times New Roman" w:eastAsia="宋体" w:cs="Times New Roman"/>
                <w:color w:val="auto"/>
                <w:lang w:val="en-US" w:eastAsia="zh-CN"/>
              </w:rPr>
              <w:t>日-</w:t>
            </w:r>
            <w:r>
              <w:rPr>
                <w:rFonts w:hint="eastAsia" w:cs="Times New Roman"/>
                <w:color w:val="auto"/>
                <w:lang w:val="en-US" w:eastAsia="zh-CN"/>
              </w:rPr>
              <w:t>22</w:t>
            </w:r>
            <w:r>
              <w:rPr>
                <w:rFonts w:hint="default" w:ascii="Times New Roman" w:hAnsi="Times New Roman" w:eastAsia="宋体" w:cs="Times New Roman"/>
                <w:color w:val="auto"/>
                <w:lang w:val="en-US" w:eastAsia="zh-CN"/>
              </w:rPr>
              <w:t>日</w:t>
            </w:r>
          </w:p>
        </w:tc>
        <w:tc>
          <w:tcPr>
            <w:tcW w:w="709" w:type="pct"/>
            <w:tcBorders>
              <w:tl2br w:val="nil"/>
              <w:tr2bl w:val="nil"/>
            </w:tcBorders>
            <w:noWrap w:val="0"/>
            <w:vAlign w:val="center"/>
          </w:tcPr>
          <w:p>
            <w:pPr>
              <w:pStyle w:val="34"/>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项目东</w:t>
            </w:r>
            <w:r>
              <w:rPr>
                <w:rFonts w:hint="eastAsia" w:cs="Times New Roman"/>
                <w:color w:val="auto"/>
                <w:lang w:val="en-US" w:eastAsia="zh-CN"/>
              </w:rPr>
              <w:t>南</w:t>
            </w:r>
            <w:r>
              <w:rPr>
                <w:rFonts w:hint="default" w:ascii="Times New Roman" w:hAnsi="Times New Roman" w:eastAsia="宋体" w:cs="Times New Roman"/>
                <w:color w:val="auto"/>
                <w:lang w:val="en-US" w:eastAsia="zh-CN"/>
              </w:rPr>
              <w:t>侧</w:t>
            </w:r>
          </w:p>
        </w:tc>
      </w:tr>
    </w:tbl>
    <w:p>
      <w:pPr>
        <w:keepNext w:val="0"/>
        <w:keepLines w:val="0"/>
        <w:pageBreakBefore w:val="0"/>
        <w:widowControl w:val="0"/>
        <w:kinsoku/>
        <w:wordWrap/>
        <w:overflowPunct/>
        <w:topLinePunct w:val="0"/>
        <w:autoSpaceDE/>
        <w:autoSpaceDN/>
        <w:bidi w:val="0"/>
        <w:adjustRightInd/>
        <w:snapToGrid/>
        <w:spacing w:before="120" w:beforeLines="50" w:line="560" w:lineRule="exact"/>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（2）监测项目及分析方法</w:t>
      </w:r>
    </w:p>
    <w:p>
      <w:pPr>
        <w:pStyle w:val="35"/>
        <w:keepNext w:val="0"/>
        <w:keepLines w:val="0"/>
        <w:pageBreakBefore w:val="0"/>
        <w:widowControl w:val="0"/>
        <w:kinsoku/>
        <w:wordWrap/>
        <w:overflowPunct/>
        <w:topLinePunct w:val="0"/>
        <w:autoSpaceDE/>
        <w:autoSpaceDN/>
        <w:bidi w:val="0"/>
        <w:adjustRightInd/>
        <w:snapToGrid/>
        <w:spacing w:line="560" w:lineRule="exact"/>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本次评价环境空气补充监测因子选取</w:t>
      </w:r>
      <w:r>
        <w:rPr>
          <w:rFonts w:hint="eastAsia" w:ascii="Times New Roman" w:hAnsi="Times New Roman" w:eastAsia="宋体" w:cs="Times New Roman"/>
          <w:color w:val="auto"/>
          <w:kern w:val="0"/>
          <w:sz w:val="24"/>
          <w:szCs w:val="24"/>
          <w:highlight w:val="none"/>
          <w:lang w:val="en-US" w:eastAsia="zh-CN"/>
        </w:rPr>
        <w:t xml:space="preserve"> </w:t>
      </w:r>
      <w:r>
        <w:rPr>
          <w:rFonts w:hint="eastAsia" w:ascii="Times New Roman" w:hAnsi="Times New Roman" w:eastAsia="宋体" w:cs="Times New Roman"/>
          <w:b w:val="0"/>
          <w:bCs w:val="0"/>
          <w:color w:val="auto"/>
          <w:sz w:val="24"/>
          <w:szCs w:val="24"/>
          <w:lang w:val="en-US" w:eastAsia="zh-CN"/>
        </w:rPr>
        <w:t>TSP、NH</w:t>
      </w:r>
      <w:r>
        <w:rPr>
          <w:rFonts w:hint="eastAsia" w:ascii="Times New Roman" w:hAnsi="Times New Roman" w:eastAsia="宋体" w:cs="Times New Roman"/>
          <w:b w:val="0"/>
          <w:bCs w:val="0"/>
          <w:color w:val="auto"/>
          <w:sz w:val="24"/>
          <w:szCs w:val="24"/>
          <w:vertAlign w:val="subscript"/>
          <w:lang w:val="en-US" w:eastAsia="zh-CN"/>
        </w:rPr>
        <w:t>3</w:t>
      </w:r>
      <w:r>
        <w:rPr>
          <w:rFonts w:hint="eastAsia" w:ascii="Times New Roman" w:hAnsi="Times New Roman" w:eastAsia="宋体" w:cs="Times New Roman"/>
          <w:b w:val="0"/>
          <w:bCs w:val="0"/>
          <w:color w:val="auto"/>
          <w:sz w:val="24"/>
          <w:szCs w:val="24"/>
          <w:lang w:val="en-US" w:eastAsia="zh-CN"/>
        </w:rPr>
        <w:t>、H</w:t>
      </w:r>
      <w:r>
        <w:rPr>
          <w:rFonts w:hint="eastAsia" w:ascii="Times New Roman" w:hAnsi="Times New Roman" w:eastAsia="宋体" w:cs="Times New Roman"/>
          <w:b w:val="0"/>
          <w:bCs w:val="0"/>
          <w:color w:val="auto"/>
          <w:sz w:val="24"/>
          <w:szCs w:val="24"/>
          <w:vertAlign w:val="subscript"/>
          <w:lang w:val="en-US" w:eastAsia="zh-CN"/>
        </w:rPr>
        <w:t>2</w:t>
      </w:r>
      <w:r>
        <w:rPr>
          <w:rFonts w:hint="eastAsia" w:ascii="Times New Roman" w:hAnsi="Times New Roman" w:eastAsia="宋体" w:cs="Times New Roman"/>
          <w:b w:val="0"/>
          <w:bCs w:val="0"/>
          <w:color w:val="auto"/>
          <w:sz w:val="24"/>
          <w:szCs w:val="24"/>
          <w:lang w:val="en-US" w:eastAsia="zh-CN"/>
        </w:rPr>
        <w:t>S、非甲烷总烃、氨</w:t>
      </w:r>
      <w:r>
        <w:rPr>
          <w:rFonts w:hint="default" w:ascii="Times New Roman" w:hAnsi="Times New Roman" w:eastAsia="宋体" w:cs="Times New Roman"/>
          <w:color w:val="auto"/>
        </w:rPr>
        <w:t>。环境空气采样及分析方法均根据原国家环保总局颁布《空气和废气监测分析方法》</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《环境监测技术规范》中的有关规定执行环境空气监测项目分析方法见表</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4.</w:t>
      </w:r>
      <w:r>
        <w:rPr>
          <w:rFonts w:hint="eastAsia" w:ascii="Times New Roman" w:hAnsi="Times New Roman" w:cs="Times New Roman"/>
          <w:color w:val="auto"/>
          <w:lang w:val="en-US" w:eastAsia="zh-CN"/>
        </w:rPr>
        <w:t>4.1</w:t>
      </w:r>
      <w:r>
        <w:rPr>
          <w:rFonts w:hint="default" w:ascii="Times New Roman" w:hAnsi="Times New Roman" w:eastAsia="宋体" w:cs="Times New Roman"/>
          <w:color w:val="auto"/>
          <w:lang w:val="en-US" w:eastAsia="zh-CN"/>
        </w:rPr>
        <w:t>-4</w:t>
      </w:r>
      <w:r>
        <w:rPr>
          <w:rFonts w:hint="default" w:ascii="Times New Roman" w:hAnsi="Times New Roman" w:eastAsia="宋体" w:cs="Times New Roman"/>
          <w:color w:val="auto"/>
        </w:rPr>
        <w:t>。</w:t>
      </w:r>
    </w:p>
    <w:p>
      <w:pPr>
        <w:pStyle w:val="33"/>
        <w:bidi w:val="0"/>
        <w:rPr>
          <w:rFonts w:hint="default"/>
          <w:color w:val="auto"/>
        </w:rPr>
      </w:pPr>
      <w:r>
        <w:rPr>
          <w:rFonts w:hint="default"/>
          <w:color w:val="auto"/>
          <w:sz w:val="24"/>
          <w:szCs w:val="24"/>
        </w:rPr>
        <w:t>表</w:t>
      </w:r>
      <w:r>
        <w:rPr>
          <w:rFonts w:hint="eastAsia"/>
          <w:color w:val="auto"/>
          <w:sz w:val="24"/>
          <w:szCs w:val="24"/>
          <w:lang w:val="en-US" w:eastAsia="zh-CN"/>
        </w:rPr>
        <w:t xml:space="preserve"> 4.4.1-4  </w:t>
      </w:r>
      <w:r>
        <w:rPr>
          <w:rFonts w:hint="default"/>
          <w:color w:val="auto"/>
          <w:sz w:val="24"/>
          <w:szCs w:val="24"/>
        </w:rPr>
        <w:t>环境空气监测项目分析方法</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6"/>
        <w:gridCol w:w="3267"/>
        <w:gridCol w:w="1924"/>
        <w:gridCol w:w="19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5" w:type="pct"/>
            <w:tcBorders>
              <w:tl2br w:val="nil"/>
              <w:tr2bl w:val="nil"/>
            </w:tcBorders>
            <w:noWrap w:val="0"/>
            <w:vAlign w:val="center"/>
          </w:tcPr>
          <w:p>
            <w:pPr>
              <w:pStyle w:val="34"/>
              <w:bidi w:val="0"/>
              <w:rPr>
                <w:rFonts w:hint="default"/>
                <w:b/>
                <w:bCs/>
                <w:color w:val="auto"/>
                <w:sz w:val="21"/>
                <w:szCs w:val="21"/>
                <w:lang w:eastAsia="zh-CN"/>
              </w:rPr>
            </w:pPr>
            <w:r>
              <w:rPr>
                <w:rFonts w:hint="default"/>
                <w:b/>
                <w:bCs/>
                <w:color w:val="auto"/>
                <w:sz w:val="21"/>
                <w:szCs w:val="21"/>
                <w:lang w:eastAsia="zh-CN"/>
              </w:rPr>
              <w:t>名称</w:t>
            </w:r>
          </w:p>
        </w:tc>
        <w:tc>
          <w:tcPr>
            <w:tcW w:w="1917" w:type="pct"/>
            <w:tcBorders>
              <w:tl2br w:val="nil"/>
              <w:tr2bl w:val="nil"/>
            </w:tcBorders>
            <w:noWrap w:val="0"/>
            <w:vAlign w:val="center"/>
          </w:tcPr>
          <w:p>
            <w:pPr>
              <w:pStyle w:val="34"/>
              <w:bidi w:val="0"/>
              <w:rPr>
                <w:rFonts w:hint="default"/>
                <w:b/>
                <w:bCs/>
                <w:color w:val="auto"/>
                <w:sz w:val="21"/>
                <w:szCs w:val="21"/>
              </w:rPr>
            </w:pPr>
            <w:r>
              <w:rPr>
                <w:rFonts w:hint="default"/>
                <w:b/>
                <w:bCs/>
                <w:color w:val="auto"/>
                <w:sz w:val="21"/>
                <w:szCs w:val="21"/>
              </w:rPr>
              <w:t>分析方法</w:t>
            </w:r>
          </w:p>
        </w:tc>
        <w:tc>
          <w:tcPr>
            <w:tcW w:w="1129" w:type="pct"/>
            <w:tcBorders>
              <w:tl2br w:val="nil"/>
              <w:tr2bl w:val="nil"/>
            </w:tcBorders>
            <w:noWrap w:val="0"/>
            <w:vAlign w:val="center"/>
          </w:tcPr>
          <w:p>
            <w:pPr>
              <w:pStyle w:val="34"/>
              <w:bidi w:val="0"/>
              <w:rPr>
                <w:rFonts w:hint="default"/>
                <w:b/>
                <w:bCs/>
                <w:color w:val="auto"/>
                <w:sz w:val="21"/>
                <w:szCs w:val="21"/>
              </w:rPr>
            </w:pPr>
            <w:r>
              <w:rPr>
                <w:rFonts w:hint="default"/>
                <w:b/>
                <w:bCs/>
                <w:color w:val="auto"/>
                <w:sz w:val="21"/>
                <w:szCs w:val="21"/>
              </w:rPr>
              <w:t>标准号</w:t>
            </w:r>
          </w:p>
        </w:tc>
        <w:tc>
          <w:tcPr>
            <w:tcW w:w="1128" w:type="pct"/>
            <w:tcBorders>
              <w:tl2br w:val="nil"/>
              <w:tr2bl w:val="nil"/>
            </w:tcBorders>
            <w:noWrap w:val="0"/>
            <w:vAlign w:val="center"/>
          </w:tcPr>
          <w:p>
            <w:pPr>
              <w:pStyle w:val="34"/>
              <w:bidi w:val="0"/>
              <w:rPr>
                <w:rFonts w:hint="eastAsia"/>
                <w:b/>
                <w:bCs/>
                <w:color w:val="auto"/>
                <w:sz w:val="21"/>
                <w:szCs w:val="21"/>
                <w:lang w:eastAsia="zh-CN"/>
              </w:rPr>
            </w:pPr>
            <w:r>
              <w:rPr>
                <w:rFonts w:hint="default"/>
                <w:b/>
                <w:bCs/>
                <w:color w:val="auto"/>
                <w:sz w:val="21"/>
                <w:szCs w:val="21"/>
              </w:rPr>
              <w:t>检出限</w:t>
            </w:r>
            <w:r>
              <w:rPr>
                <w:rFonts w:hint="eastAsia"/>
                <w:b/>
                <w:bCs/>
                <w:color w:val="auto"/>
                <w:sz w:val="21"/>
                <w:szCs w:val="21"/>
                <w:lang w:eastAsia="zh-CN"/>
              </w:rPr>
              <w:t>（</w:t>
            </w:r>
            <w:r>
              <w:rPr>
                <w:rFonts w:hint="default"/>
                <w:b/>
                <w:bCs/>
                <w:color w:val="auto"/>
                <w:sz w:val="21"/>
                <w:szCs w:val="21"/>
              </w:rPr>
              <w:t>mg/m</w:t>
            </w:r>
            <w:r>
              <w:rPr>
                <w:rFonts w:hint="default"/>
                <w:b/>
                <w:bCs/>
                <w:color w:val="auto"/>
                <w:sz w:val="21"/>
                <w:szCs w:val="21"/>
                <w:vertAlign w:val="superscript"/>
              </w:rPr>
              <w:t>3</w:t>
            </w:r>
            <w:r>
              <w:rPr>
                <w:rFonts w:hint="eastAsia"/>
                <w:b/>
                <w:bCs/>
                <w:color w:val="auto"/>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5" w:type="pct"/>
            <w:tcBorders>
              <w:tl2br w:val="nil"/>
              <w:tr2bl w:val="nil"/>
            </w:tcBorders>
            <w:noWrap w:val="0"/>
            <w:vAlign w:val="center"/>
          </w:tcPr>
          <w:p>
            <w:pPr>
              <w:pStyle w:val="34"/>
              <w:bidi w:val="0"/>
              <w:rPr>
                <w:rFonts w:hint="default"/>
                <w:color w:val="auto"/>
                <w:sz w:val="21"/>
                <w:szCs w:val="21"/>
                <w:lang w:eastAsia="zh-CN"/>
              </w:rPr>
            </w:pPr>
            <w:r>
              <w:rPr>
                <w:rFonts w:hint="default"/>
                <w:color w:val="auto"/>
                <w:sz w:val="21"/>
                <w:szCs w:val="21"/>
                <w:lang w:eastAsia="zh-CN"/>
              </w:rPr>
              <w:t>非甲烷总烃</w:t>
            </w:r>
          </w:p>
        </w:tc>
        <w:tc>
          <w:tcPr>
            <w:tcW w:w="1917" w:type="pct"/>
            <w:tcBorders>
              <w:tl2br w:val="nil"/>
              <w:tr2bl w:val="nil"/>
            </w:tcBorders>
            <w:noWrap w:val="0"/>
            <w:vAlign w:val="center"/>
          </w:tcPr>
          <w:p>
            <w:pPr>
              <w:pStyle w:val="34"/>
              <w:bidi w:val="0"/>
              <w:rPr>
                <w:rFonts w:hint="default"/>
                <w:color w:val="auto"/>
                <w:sz w:val="21"/>
                <w:szCs w:val="21"/>
                <w:lang w:eastAsia="zh-CN"/>
              </w:rPr>
            </w:pPr>
            <w:r>
              <w:rPr>
                <w:rFonts w:hint="default"/>
                <w:color w:val="auto"/>
                <w:sz w:val="21"/>
                <w:szCs w:val="21"/>
                <w:lang w:eastAsia="zh-CN"/>
              </w:rPr>
              <w:t>环境空气总烃、甲烷和非甲烷总烃的测定直接进样-气相色谱法</w:t>
            </w:r>
          </w:p>
        </w:tc>
        <w:tc>
          <w:tcPr>
            <w:tcW w:w="1129" w:type="pct"/>
            <w:tcBorders>
              <w:tl2br w:val="nil"/>
              <w:tr2bl w:val="nil"/>
            </w:tcBorders>
            <w:noWrap w:val="0"/>
            <w:vAlign w:val="center"/>
          </w:tcPr>
          <w:p>
            <w:pPr>
              <w:pStyle w:val="34"/>
              <w:bidi w:val="0"/>
              <w:rPr>
                <w:rFonts w:hint="default"/>
                <w:color w:val="auto"/>
                <w:sz w:val="21"/>
                <w:szCs w:val="21"/>
                <w:lang w:eastAsia="zh-CN"/>
              </w:rPr>
            </w:pPr>
            <w:r>
              <w:rPr>
                <w:rFonts w:hint="default"/>
                <w:color w:val="auto"/>
                <w:sz w:val="21"/>
                <w:szCs w:val="21"/>
                <w:lang w:eastAsia="zh-CN"/>
              </w:rPr>
              <w:t>HJ604-2017</w:t>
            </w:r>
          </w:p>
        </w:tc>
        <w:tc>
          <w:tcPr>
            <w:tcW w:w="1128" w:type="pct"/>
            <w:tcBorders>
              <w:tl2br w:val="nil"/>
              <w:tr2bl w:val="nil"/>
            </w:tcBorders>
            <w:noWrap w:val="0"/>
            <w:vAlign w:val="center"/>
          </w:tcPr>
          <w:p>
            <w:pPr>
              <w:pStyle w:val="34"/>
              <w:bidi w:val="0"/>
              <w:rPr>
                <w:rFonts w:hint="default"/>
                <w:color w:val="auto"/>
                <w:sz w:val="21"/>
                <w:szCs w:val="21"/>
                <w:lang w:eastAsia="zh-CN"/>
              </w:rPr>
            </w:pPr>
            <w:r>
              <w:rPr>
                <w:rFonts w:hint="default"/>
                <w:color w:val="auto"/>
                <w:sz w:val="21"/>
                <w:szCs w:val="21"/>
                <w:lang w:eastAsia="zh-CN"/>
              </w:rPr>
              <w:t>0.07mg/m</w:t>
            </w:r>
            <w:r>
              <w:rPr>
                <w:rFonts w:hint="default"/>
                <w:color w:val="auto"/>
                <w:sz w:val="21"/>
                <w:szCs w:val="21"/>
                <w:vertAlign w:val="superscript"/>
                <w:lang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5" w:type="pct"/>
            <w:tcBorders>
              <w:tl2br w:val="nil"/>
              <w:tr2bl w:val="nil"/>
            </w:tcBorders>
            <w:noWrap w:val="0"/>
            <w:vAlign w:val="center"/>
          </w:tcPr>
          <w:p>
            <w:pPr>
              <w:pStyle w:val="34"/>
              <w:bidi w:val="0"/>
              <w:rPr>
                <w:rFonts w:hint="default"/>
                <w:color w:val="auto"/>
                <w:sz w:val="21"/>
                <w:szCs w:val="21"/>
                <w:lang w:eastAsia="zh-CN"/>
              </w:rPr>
            </w:pPr>
            <w:r>
              <w:rPr>
                <w:rFonts w:hint="default"/>
                <w:color w:val="auto"/>
                <w:sz w:val="21"/>
                <w:szCs w:val="21"/>
              </w:rPr>
              <w:t>H</w:t>
            </w:r>
            <w:r>
              <w:rPr>
                <w:rFonts w:hint="default"/>
                <w:color w:val="auto"/>
                <w:sz w:val="21"/>
                <w:szCs w:val="21"/>
                <w:vertAlign w:val="subscript"/>
              </w:rPr>
              <w:t>2</w:t>
            </w:r>
            <w:r>
              <w:rPr>
                <w:rFonts w:hint="default"/>
                <w:color w:val="auto"/>
                <w:sz w:val="21"/>
                <w:szCs w:val="21"/>
              </w:rPr>
              <w:t>S</w:t>
            </w:r>
          </w:p>
        </w:tc>
        <w:tc>
          <w:tcPr>
            <w:tcW w:w="1917" w:type="pct"/>
            <w:tcBorders>
              <w:tl2br w:val="nil"/>
              <w:tr2bl w:val="nil"/>
            </w:tcBorders>
            <w:noWrap w:val="0"/>
            <w:vAlign w:val="center"/>
          </w:tcPr>
          <w:p>
            <w:pPr>
              <w:pStyle w:val="34"/>
              <w:bidi w:val="0"/>
              <w:rPr>
                <w:rFonts w:hint="default"/>
                <w:color w:val="auto"/>
                <w:sz w:val="21"/>
                <w:szCs w:val="21"/>
                <w:lang w:eastAsia="zh-CN"/>
              </w:rPr>
            </w:pPr>
            <w:r>
              <w:rPr>
                <w:rFonts w:hint="default"/>
                <w:color w:val="auto"/>
                <w:sz w:val="21"/>
                <w:szCs w:val="21"/>
                <w:lang w:eastAsia="zh-CN"/>
              </w:rPr>
              <w:t>居住区大气中硫化氢卫生检验标准方法亚甲蓝分光光度法</w:t>
            </w:r>
          </w:p>
        </w:tc>
        <w:tc>
          <w:tcPr>
            <w:tcW w:w="1129" w:type="pct"/>
            <w:tcBorders>
              <w:tl2br w:val="nil"/>
              <w:tr2bl w:val="nil"/>
            </w:tcBorders>
            <w:noWrap w:val="0"/>
            <w:vAlign w:val="center"/>
          </w:tcPr>
          <w:p>
            <w:pPr>
              <w:pStyle w:val="34"/>
              <w:bidi w:val="0"/>
              <w:rPr>
                <w:rFonts w:hint="default"/>
                <w:color w:val="auto"/>
                <w:sz w:val="21"/>
                <w:szCs w:val="21"/>
                <w:lang w:eastAsia="zh-CN"/>
              </w:rPr>
            </w:pPr>
            <w:r>
              <w:rPr>
                <w:rFonts w:hint="default"/>
                <w:color w:val="auto"/>
                <w:sz w:val="21"/>
                <w:szCs w:val="21"/>
                <w:lang w:eastAsia="zh-CN"/>
              </w:rPr>
              <w:t>GB 11742-1989</w:t>
            </w:r>
          </w:p>
        </w:tc>
        <w:tc>
          <w:tcPr>
            <w:tcW w:w="1128" w:type="pct"/>
            <w:tcBorders>
              <w:tl2br w:val="nil"/>
              <w:tr2bl w:val="nil"/>
            </w:tcBorders>
            <w:noWrap w:val="0"/>
            <w:vAlign w:val="center"/>
          </w:tcPr>
          <w:p>
            <w:pPr>
              <w:pStyle w:val="34"/>
              <w:bidi w:val="0"/>
              <w:rPr>
                <w:rFonts w:hint="default"/>
                <w:color w:val="auto"/>
                <w:sz w:val="21"/>
                <w:szCs w:val="21"/>
                <w:lang w:val="en-US" w:eastAsia="zh-CN"/>
              </w:rPr>
            </w:pPr>
            <w:r>
              <w:rPr>
                <w:rFonts w:hint="default"/>
                <w:color w:val="auto"/>
                <w:sz w:val="21"/>
                <w:szCs w:val="21"/>
                <w:lang w:val="en-US" w:eastAsia="zh-CN"/>
              </w:rPr>
              <w:t>0.005mg/m</w:t>
            </w:r>
            <w:r>
              <w:rPr>
                <w:rFonts w:hint="default"/>
                <w:color w:val="auto"/>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5" w:type="pct"/>
            <w:tcBorders>
              <w:tl2br w:val="nil"/>
              <w:tr2bl w:val="nil"/>
            </w:tcBorders>
            <w:noWrap w:val="0"/>
            <w:vAlign w:val="center"/>
          </w:tcPr>
          <w:p>
            <w:pPr>
              <w:pStyle w:val="34"/>
              <w:bidi w:val="0"/>
              <w:rPr>
                <w:rFonts w:hint="default"/>
                <w:color w:val="auto"/>
                <w:sz w:val="21"/>
                <w:szCs w:val="21"/>
                <w:lang w:eastAsia="zh-CN"/>
              </w:rPr>
            </w:pPr>
            <w:r>
              <w:rPr>
                <w:rFonts w:hint="default"/>
                <w:color w:val="auto"/>
                <w:sz w:val="21"/>
                <w:szCs w:val="21"/>
              </w:rPr>
              <w:t>NH</w:t>
            </w:r>
            <w:r>
              <w:rPr>
                <w:rFonts w:hint="default"/>
                <w:color w:val="auto"/>
                <w:sz w:val="21"/>
                <w:szCs w:val="21"/>
                <w:vertAlign w:val="subscript"/>
              </w:rPr>
              <w:t>3</w:t>
            </w:r>
          </w:p>
        </w:tc>
        <w:tc>
          <w:tcPr>
            <w:tcW w:w="1917" w:type="pct"/>
            <w:tcBorders>
              <w:tl2br w:val="nil"/>
              <w:tr2bl w:val="nil"/>
            </w:tcBorders>
            <w:noWrap w:val="0"/>
            <w:vAlign w:val="center"/>
          </w:tcPr>
          <w:p>
            <w:pPr>
              <w:pStyle w:val="34"/>
              <w:bidi w:val="0"/>
              <w:rPr>
                <w:rFonts w:hint="default"/>
                <w:color w:val="auto"/>
                <w:sz w:val="21"/>
                <w:szCs w:val="21"/>
                <w:lang w:eastAsia="zh-CN"/>
              </w:rPr>
            </w:pPr>
            <w:r>
              <w:rPr>
                <w:rFonts w:hint="default"/>
                <w:color w:val="auto"/>
                <w:sz w:val="21"/>
                <w:szCs w:val="21"/>
                <w:lang w:eastAsia="zh-CN"/>
              </w:rPr>
              <w:t>环境空气和</w:t>
            </w:r>
          </w:p>
          <w:p>
            <w:pPr>
              <w:pStyle w:val="34"/>
              <w:bidi w:val="0"/>
              <w:rPr>
                <w:rFonts w:hint="default"/>
                <w:color w:val="auto"/>
                <w:sz w:val="21"/>
                <w:szCs w:val="21"/>
                <w:lang w:eastAsia="zh-CN"/>
              </w:rPr>
            </w:pPr>
            <w:r>
              <w:rPr>
                <w:rFonts w:hint="default"/>
                <w:color w:val="auto"/>
                <w:sz w:val="21"/>
                <w:szCs w:val="21"/>
                <w:lang w:eastAsia="zh-CN"/>
              </w:rPr>
              <w:t>废气</w:t>
            </w:r>
            <w:r>
              <w:rPr>
                <w:rFonts w:hint="default"/>
                <w:color w:val="auto"/>
                <w:sz w:val="21"/>
                <w:szCs w:val="21"/>
                <w:lang w:val="en-US" w:eastAsia="zh-CN"/>
              </w:rPr>
              <w:t xml:space="preserve"> 氨的测定 纳氏试剂分光光度法</w:t>
            </w:r>
          </w:p>
        </w:tc>
        <w:tc>
          <w:tcPr>
            <w:tcW w:w="1129" w:type="pct"/>
            <w:tcBorders>
              <w:tl2br w:val="nil"/>
              <w:tr2bl w:val="nil"/>
            </w:tcBorders>
            <w:noWrap w:val="0"/>
            <w:vAlign w:val="center"/>
          </w:tcPr>
          <w:p>
            <w:pPr>
              <w:pStyle w:val="34"/>
              <w:bidi w:val="0"/>
              <w:rPr>
                <w:rFonts w:hint="default"/>
                <w:color w:val="auto"/>
                <w:sz w:val="21"/>
                <w:szCs w:val="21"/>
                <w:lang w:val="en-US" w:eastAsia="zh-CN"/>
              </w:rPr>
            </w:pPr>
            <w:r>
              <w:rPr>
                <w:rFonts w:hint="default"/>
                <w:color w:val="auto"/>
                <w:sz w:val="21"/>
                <w:szCs w:val="21"/>
                <w:lang w:val="en-US" w:eastAsia="zh-CN"/>
              </w:rPr>
              <w:t>HJ 533-2009</w:t>
            </w:r>
          </w:p>
        </w:tc>
        <w:tc>
          <w:tcPr>
            <w:tcW w:w="1128"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0.01</w:t>
            </w:r>
            <w:r>
              <w:rPr>
                <w:rFonts w:hint="default"/>
                <w:color w:val="auto"/>
                <w:sz w:val="21"/>
                <w:szCs w:val="21"/>
                <w:lang w:eastAsia="zh-CN"/>
              </w:rPr>
              <w:t>mg/m</w:t>
            </w:r>
            <w:r>
              <w:rPr>
                <w:rFonts w:hint="default"/>
                <w:color w:val="auto"/>
                <w:sz w:val="21"/>
                <w:szCs w:val="21"/>
                <w:vertAlign w:val="superscript"/>
                <w:lang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5" w:type="pct"/>
            <w:tcBorders>
              <w:tl2br w:val="nil"/>
              <w:tr2bl w:val="nil"/>
            </w:tcBorders>
            <w:noWrap w:val="0"/>
            <w:vAlign w:val="center"/>
          </w:tcPr>
          <w:p>
            <w:pPr>
              <w:pStyle w:val="34"/>
              <w:bidi w:val="0"/>
              <w:rPr>
                <w:rFonts w:hint="default" w:eastAsia="宋体"/>
                <w:color w:val="auto"/>
                <w:sz w:val="21"/>
                <w:szCs w:val="21"/>
                <w:lang w:val="en-US" w:eastAsia="zh-CN"/>
              </w:rPr>
            </w:pPr>
            <w:r>
              <w:rPr>
                <w:rFonts w:hint="eastAsia"/>
                <w:color w:val="auto"/>
                <w:sz w:val="21"/>
                <w:szCs w:val="21"/>
                <w:lang w:val="en-US" w:eastAsia="zh-CN"/>
              </w:rPr>
              <w:t>TSP</w:t>
            </w:r>
          </w:p>
        </w:tc>
        <w:tc>
          <w:tcPr>
            <w:tcW w:w="1917" w:type="pct"/>
            <w:tcBorders>
              <w:tl2br w:val="nil"/>
              <w:tr2bl w:val="nil"/>
            </w:tcBorders>
            <w:noWrap w:val="0"/>
            <w:vAlign w:val="center"/>
          </w:tcPr>
          <w:p>
            <w:pPr>
              <w:pStyle w:val="34"/>
              <w:bidi w:val="0"/>
              <w:rPr>
                <w:rFonts w:hint="default"/>
                <w:color w:val="auto"/>
                <w:sz w:val="21"/>
                <w:szCs w:val="21"/>
                <w:lang w:eastAsia="zh-CN"/>
              </w:rPr>
            </w:pPr>
            <w:r>
              <w:rPr>
                <w:rFonts w:hint="default"/>
                <w:color w:val="auto"/>
                <w:sz w:val="21"/>
                <w:szCs w:val="21"/>
                <w:lang w:eastAsia="zh-CN"/>
              </w:rPr>
              <w:t>环境空气</w:t>
            </w:r>
          </w:p>
          <w:p>
            <w:pPr>
              <w:pStyle w:val="34"/>
              <w:bidi w:val="0"/>
              <w:rPr>
                <w:rFonts w:hint="default"/>
                <w:color w:val="auto"/>
                <w:sz w:val="21"/>
                <w:szCs w:val="21"/>
                <w:lang w:eastAsia="zh-CN"/>
              </w:rPr>
            </w:pPr>
            <w:r>
              <w:rPr>
                <w:rFonts w:hint="default"/>
                <w:color w:val="auto"/>
                <w:sz w:val="21"/>
                <w:szCs w:val="21"/>
                <w:lang w:eastAsia="zh-CN"/>
              </w:rPr>
              <w:t>总悬浮颗粒物的测定</w:t>
            </w:r>
            <w:r>
              <w:rPr>
                <w:rFonts w:hint="default"/>
                <w:color w:val="auto"/>
                <w:sz w:val="21"/>
                <w:szCs w:val="21"/>
                <w:lang w:val="en-US" w:eastAsia="zh-CN"/>
              </w:rPr>
              <w:t xml:space="preserve"> </w:t>
            </w:r>
            <w:r>
              <w:rPr>
                <w:rFonts w:hint="default"/>
                <w:color w:val="auto"/>
                <w:sz w:val="21"/>
                <w:szCs w:val="21"/>
                <w:lang w:eastAsia="zh-CN"/>
              </w:rPr>
              <w:t>重量法</w:t>
            </w:r>
          </w:p>
        </w:tc>
        <w:tc>
          <w:tcPr>
            <w:tcW w:w="1129" w:type="pct"/>
            <w:tcBorders>
              <w:tl2br w:val="nil"/>
              <w:tr2bl w:val="nil"/>
            </w:tcBorders>
            <w:noWrap w:val="0"/>
            <w:vAlign w:val="center"/>
          </w:tcPr>
          <w:p>
            <w:pPr>
              <w:pStyle w:val="34"/>
              <w:bidi w:val="0"/>
              <w:rPr>
                <w:rFonts w:hint="eastAsia"/>
                <w:color w:val="auto"/>
                <w:sz w:val="21"/>
                <w:szCs w:val="21"/>
                <w:lang w:val="en-US" w:eastAsia="zh-CN"/>
              </w:rPr>
            </w:pPr>
            <w:r>
              <w:rPr>
                <w:rFonts w:hint="eastAsia"/>
                <w:color w:val="auto"/>
                <w:sz w:val="21"/>
                <w:szCs w:val="21"/>
                <w:lang w:val="en-US" w:eastAsia="zh-CN"/>
              </w:rPr>
              <w:t>HJ1263-2022</w:t>
            </w:r>
          </w:p>
        </w:tc>
        <w:tc>
          <w:tcPr>
            <w:tcW w:w="1128" w:type="pct"/>
            <w:tcBorders>
              <w:tl2br w:val="nil"/>
              <w:tr2bl w:val="nil"/>
            </w:tcBorders>
            <w:noWrap w:val="0"/>
            <w:vAlign w:val="center"/>
          </w:tcPr>
          <w:p>
            <w:pPr>
              <w:pStyle w:val="34"/>
              <w:bidi w:val="0"/>
              <w:rPr>
                <w:rFonts w:hint="eastAsia"/>
                <w:color w:val="auto"/>
                <w:sz w:val="21"/>
                <w:szCs w:val="21"/>
                <w:lang w:val="en-US" w:eastAsia="zh-CN"/>
              </w:rPr>
            </w:pPr>
            <w:r>
              <w:rPr>
                <w:rFonts w:hint="eastAsia"/>
                <w:color w:val="auto"/>
                <w:sz w:val="21"/>
                <w:szCs w:val="21"/>
                <w:lang w:val="en-US" w:eastAsia="zh-CN"/>
              </w:rPr>
              <w:t>7μg/m</w:t>
            </w:r>
            <w:r>
              <w:rPr>
                <w:rFonts w:hint="eastAsia"/>
                <w:color w:val="auto"/>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5"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硫酸雾</w:t>
            </w:r>
          </w:p>
        </w:tc>
        <w:tc>
          <w:tcPr>
            <w:tcW w:w="1917" w:type="pct"/>
            <w:tcBorders>
              <w:tl2br w:val="nil"/>
              <w:tr2bl w:val="nil"/>
            </w:tcBorders>
            <w:noWrap w:val="0"/>
            <w:vAlign w:val="center"/>
          </w:tcPr>
          <w:p>
            <w:pPr>
              <w:pStyle w:val="34"/>
              <w:bidi w:val="0"/>
              <w:ind w:left="0" w:leftChars="0" w:right="0" w:rightChars="0" w:firstLine="0" w:firstLineChars="0"/>
              <w:rPr>
                <w:rFonts w:hint="default" w:ascii="Times New Roman" w:hAnsi="Times New Roman" w:eastAsia="宋体" w:cs="Times New Roman"/>
                <w:color w:val="auto"/>
                <w:kern w:val="0"/>
                <w:sz w:val="21"/>
                <w:szCs w:val="21"/>
                <w:lang w:val="en-US" w:eastAsia="zh-CN" w:bidi="ar-SA"/>
              </w:rPr>
            </w:pPr>
            <w:r>
              <w:rPr>
                <w:rFonts w:hint="default"/>
                <w:color w:val="auto"/>
                <w:sz w:val="21"/>
                <w:szCs w:val="21"/>
                <w:lang w:eastAsia="zh-CN"/>
              </w:rPr>
              <w:t>固定污染源废气 硫酸雾的测定 离子色谱法</w:t>
            </w:r>
          </w:p>
        </w:tc>
        <w:tc>
          <w:tcPr>
            <w:tcW w:w="1129" w:type="pct"/>
            <w:tcBorders>
              <w:tl2br w:val="nil"/>
              <w:tr2bl w:val="nil"/>
            </w:tcBorders>
            <w:noWrap w:val="0"/>
            <w:vAlign w:val="center"/>
          </w:tcPr>
          <w:p>
            <w:pPr>
              <w:pStyle w:val="34"/>
              <w:bidi w:val="0"/>
              <w:ind w:left="0" w:leftChars="0" w:right="0" w:rightChars="0" w:firstLine="0" w:firstLineChars="0"/>
              <w:rPr>
                <w:rFonts w:hint="eastAsia" w:ascii="Times New Roman" w:hAnsi="Times New Roman" w:eastAsia="宋体" w:cs="Times New Roman"/>
                <w:color w:val="auto"/>
                <w:kern w:val="0"/>
                <w:sz w:val="21"/>
                <w:szCs w:val="21"/>
                <w:lang w:val="en-US" w:eastAsia="zh-CN" w:bidi="ar-SA"/>
              </w:rPr>
            </w:pPr>
            <w:r>
              <w:rPr>
                <w:rFonts w:hint="eastAsia"/>
                <w:color w:val="auto"/>
                <w:sz w:val="21"/>
                <w:szCs w:val="21"/>
                <w:lang w:val="en-US" w:eastAsia="zh-CN"/>
              </w:rPr>
              <w:t>HJ 544-2016</w:t>
            </w:r>
          </w:p>
        </w:tc>
        <w:tc>
          <w:tcPr>
            <w:tcW w:w="1128" w:type="pct"/>
            <w:tcBorders>
              <w:tl2br w:val="nil"/>
              <w:tr2bl w:val="nil"/>
            </w:tcBorders>
            <w:noWrap w:val="0"/>
            <w:vAlign w:val="center"/>
          </w:tcPr>
          <w:p>
            <w:pPr>
              <w:pStyle w:val="34"/>
              <w:bidi w:val="0"/>
              <w:ind w:left="0" w:leftChars="0" w:right="0" w:rightChars="0" w:firstLine="0" w:firstLineChars="0"/>
              <w:rPr>
                <w:rFonts w:hint="eastAsia" w:ascii="Times New Roman" w:hAnsi="Times New Roman" w:eastAsia="宋体" w:cs="Times New Roman"/>
                <w:color w:val="auto"/>
                <w:kern w:val="0"/>
                <w:sz w:val="21"/>
                <w:szCs w:val="21"/>
                <w:lang w:val="en-US" w:eastAsia="zh-CN" w:bidi="ar-SA"/>
              </w:rPr>
            </w:pPr>
            <w:r>
              <w:rPr>
                <w:rFonts w:hint="eastAsia"/>
                <w:color w:val="auto"/>
                <w:sz w:val="21"/>
                <w:szCs w:val="21"/>
                <w:lang w:val="en-US" w:eastAsia="zh-CN"/>
              </w:rPr>
              <w:t>0.005mg/m</w:t>
            </w:r>
            <w:r>
              <w:rPr>
                <w:rFonts w:hint="eastAsia"/>
                <w:color w:val="auto"/>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5"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甲醇</w:t>
            </w:r>
          </w:p>
        </w:tc>
        <w:tc>
          <w:tcPr>
            <w:tcW w:w="1917" w:type="pct"/>
            <w:tcBorders>
              <w:tl2br w:val="nil"/>
              <w:tr2bl w:val="nil"/>
            </w:tcBorders>
            <w:noWrap w:val="0"/>
            <w:vAlign w:val="center"/>
          </w:tcPr>
          <w:p>
            <w:pPr>
              <w:pStyle w:val="34"/>
              <w:bidi w:val="0"/>
              <w:rPr>
                <w:rFonts w:hint="default"/>
                <w:color w:val="auto"/>
                <w:sz w:val="21"/>
                <w:szCs w:val="21"/>
                <w:lang w:eastAsia="zh-CN"/>
              </w:rPr>
            </w:pPr>
            <w:r>
              <w:rPr>
                <w:rFonts w:hint="default"/>
                <w:color w:val="auto"/>
                <w:sz w:val="21"/>
                <w:szCs w:val="21"/>
                <w:lang w:val="en-US" w:eastAsia="zh-CN"/>
              </w:rPr>
              <w:t>固定污染源排气中甲醇的测定 气相色谱法</w:t>
            </w:r>
          </w:p>
        </w:tc>
        <w:tc>
          <w:tcPr>
            <w:tcW w:w="1129" w:type="pct"/>
            <w:tcBorders>
              <w:tl2br w:val="nil"/>
              <w:tr2bl w:val="nil"/>
            </w:tcBorders>
            <w:noWrap w:val="0"/>
            <w:vAlign w:val="center"/>
          </w:tcPr>
          <w:p>
            <w:pPr>
              <w:pStyle w:val="34"/>
              <w:bidi w:val="0"/>
              <w:rPr>
                <w:rFonts w:hint="eastAsia"/>
                <w:color w:val="auto"/>
                <w:sz w:val="21"/>
                <w:szCs w:val="21"/>
                <w:lang w:val="en-US" w:eastAsia="zh-CN"/>
              </w:rPr>
            </w:pPr>
            <w:r>
              <w:rPr>
                <w:rFonts w:hint="eastAsia"/>
                <w:color w:val="auto"/>
                <w:sz w:val="21"/>
                <w:szCs w:val="21"/>
                <w:lang w:val="en-US" w:eastAsia="zh-CN"/>
              </w:rPr>
              <w:t>GB11738-1989</w:t>
            </w:r>
          </w:p>
        </w:tc>
        <w:tc>
          <w:tcPr>
            <w:tcW w:w="1128" w:type="pct"/>
            <w:tcBorders>
              <w:tl2br w:val="nil"/>
              <w:tr2bl w:val="nil"/>
            </w:tcBorders>
            <w:noWrap w:val="0"/>
            <w:vAlign w:val="center"/>
          </w:tcPr>
          <w:p>
            <w:pPr>
              <w:pStyle w:val="34"/>
              <w:bidi w:val="0"/>
              <w:rPr>
                <w:rFonts w:hint="eastAsia"/>
                <w:color w:val="auto"/>
                <w:sz w:val="21"/>
                <w:szCs w:val="21"/>
                <w:lang w:val="en-US" w:eastAsia="zh-CN"/>
              </w:rPr>
            </w:pPr>
            <w:r>
              <w:rPr>
                <w:rFonts w:hint="eastAsia"/>
                <w:color w:val="auto"/>
                <w:sz w:val="21"/>
                <w:szCs w:val="21"/>
                <w:lang w:val="en-US" w:eastAsia="zh-CN"/>
              </w:rPr>
              <w:t>0.40mg/m</w:t>
            </w:r>
            <w:r>
              <w:rPr>
                <w:rFonts w:hint="eastAsia"/>
                <w:color w:val="auto"/>
                <w:sz w:val="21"/>
                <w:szCs w:val="21"/>
                <w:vertAlign w:val="superscript"/>
                <w:lang w:val="en-US" w:eastAsia="zh-CN"/>
              </w:rPr>
              <w:t>3</w:t>
            </w:r>
          </w:p>
        </w:tc>
      </w:tr>
    </w:tbl>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560" w:lineRule="exact"/>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）环境空气现状评价方法</w:t>
      </w:r>
    </w:p>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560" w:lineRule="exact"/>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根据《环境影响评价技术导则—大气环境》，可通过计算污染物的占标率对其进行现状评价，具体的计算公式如下：</w:t>
      </w:r>
    </w:p>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position w:val="-30"/>
          <w:sz w:val="24"/>
          <w:szCs w:val="24"/>
          <w:highlight w:val="none"/>
          <w:lang w:eastAsia="zh-CN"/>
        </w:rPr>
        <w:object>
          <v:shape id="_x0000_i1028" o:spt="75" type="#_x0000_t75" style="height:34pt;width:78pt;" o:ole="t" filled="f" o:preferrelative="t" stroked="f" coordsize="21600,21600">
            <v:path/>
            <v:fill on="f" focussize="0,0"/>
            <v:stroke on="f"/>
            <v:imagedata r:id="rId25" o:title=""/>
            <o:lock v:ext="edit" aspectratio="t"/>
            <w10:wrap type="none"/>
            <w10:anchorlock/>
          </v:shape>
          <o:OLEObject Type="Embed" ProgID="Equation.KSEE3" ShapeID="_x0000_i1028" DrawAspect="Content" ObjectID="_1468075728" r:id="rId24">
            <o:LockedField>false</o:LockedField>
          </o:OLEObject>
        </w:object>
      </w:r>
    </w:p>
    <w:p>
      <w:pPr>
        <w:keepNext w:val="0"/>
        <w:keepLines w:val="0"/>
        <w:pageBreakBefore w:val="0"/>
        <w:widowControl w:val="0"/>
        <w:shd w:val="clear" w:color="auto" w:fill="auto"/>
        <w:kinsoku/>
        <w:wordWrap w:val="0"/>
        <w:overflowPunct/>
        <w:topLinePunct w:val="0"/>
        <w:autoSpaceDE/>
        <w:autoSpaceDN/>
        <w:bidi w:val="0"/>
        <w:adjustRightInd/>
        <w:spacing w:beforeAutospacing="0" w:line="560" w:lineRule="exact"/>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w:t>
      </w:r>
      <w:r>
        <w:rPr>
          <w:rFonts w:hint="default" w:ascii="Times New Roman" w:hAnsi="Times New Roman" w:eastAsia="宋体" w:cs="Times New Roman"/>
          <w:i/>
          <w:color w:val="auto"/>
          <w:sz w:val="24"/>
          <w:szCs w:val="24"/>
          <w:highlight w:val="none"/>
        </w:rPr>
        <w:t>P</w:t>
      </w:r>
      <w:r>
        <w:rPr>
          <w:rFonts w:hint="default" w:ascii="Times New Roman" w:hAnsi="Times New Roman" w:eastAsia="宋体" w:cs="Times New Roman"/>
          <w:i/>
          <w:color w:val="auto"/>
          <w:sz w:val="24"/>
          <w:szCs w:val="24"/>
          <w:highlight w:val="none"/>
          <w:vertAlign w:val="subscript"/>
        </w:rPr>
        <w:t>i</w:t>
      </w:r>
      <w:r>
        <w:rPr>
          <w:rFonts w:hint="default" w:ascii="Times New Roman" w:hAnsi="Times New Roman" w:eastAsia="宋体" w:cs="Times New Roman"/>
          <w:color w:val="auto"/>
          <w:sz w:val="24"/>
          <w:szCs w:val="24"/>
          <w:highlight w:val="none"/>
        </w:rPr>
        <w:t>——第</w:t>
      </w:r>
      <w:r>
        <w:rPr>
          <w:rFonts w:hint="default" w:ascii="Times New Roman" w:hAnsi="Times New Roman" w:eastAsia="宋体" w:cs="Times New Roman"/>
          <w:i/>
          <w:color w:val="auto"/>
          <w:sz w:val="24"/>
          <w:szCs w:val="24"/>
          <w:highlight w:val="none"/>
        </w:rPr>
        <w:t>i</w:t>
      </w:r>
      <w:r>
        <w:rPr>
          <w:rFonts w:hint="default" w:ascii="Times New Roman" w:hAnsi="Times New Roman" w:eastAsia="宋体" w:cs="Times New Roman"/>
          <w:color w:val="auto"/>
          <w:sz w:val="24"/>
          <w:szCs w:val="24"/>
          <w:highlight w:val="none"/>
        </w:rPr>
        <w:t>个污染物的地面浓度占标率，%；</w:t>
      </w:r>
    </w:p>
    <w:p>
      <w:pPr>
        <w:keepNext w:val="0"/>
        <w:keepLines w:val="0"/>
        <w:pageBreakBefore w:val="0"/>
        <w:widowControl w:val="0"/>
        <w:shd w:val="clear" w:color="auto" w:fill="auto"/>
        <w:kinsoku/>
        <w:wordWrap w:val="0"/>
        <w:overflowPunct/>
        <w:topLinePunct w:val="0"/>
        <w:autoSpaceDE/>
        <w:autoSpaceDN/>
        <w:bidi w:val="0"/>
        <w:adjustRightInd/>
        <w:spacing w:beforeAutospacing="0" w:line="560" w:lineRule="exact"/>
        <w:ind w:left="0" w:leftChars="0" w:right="0" w:rightChars="0" w:firstLine="1200" w:firstLineChars="5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color w:val="auto"/>
          <w:sz w:val="24"/>
          <w:szCs w:val="24"/>
          <w:highlight w:val="none"/>
        </w:rPr>
        <w:t>C</w:t>
      </w:r>
      <w:r>
        <w:rPr>
          <w:rFonts w:hint="default" w:ascii="Times New Roman" w:hAnsi="Times New Roman" w:eastAsia="宋体" w:cs="Times New Roman"/>
          <w:i/>
          <w:color w:val="auto"/>
          <w:sz w:val="24"/>
          <w:szCs w:val="24"/>
          <w:highlight w:val="none"/>
          <w:vertAlign w:val="subscript"/>
        </w:rPr>
        <w:t>i</w:t>
      </w:r>
      <w:r>
        <w:rPr>
          <w:rFonts w:hint="default" w:ascii="Times New Roman" w:hAnsi="Times New Roman" w:eastAsia="宋体" w:cs="Times New Roman"/>
          <w:color w:val="auto"/>
          <w:sz w:val="24"/>
          <w:szCs w:val="24"/>
          <w:highlight w:val="none"/>
        </w:rPr>
        <w:t>——第i个污染物的实测浓度</w:t>
      </w:r>
      <w:r>
        <w:rPr>
          <w:rFonts w:hint="eastAsia" w:ascii="Times New Roman" w:hAnsi="Times New Roman" w:eastAsia="宋体" w:cs="Times New Roman"/>
          <w:color w:val="auto"/>
          <w:sz w:val="24"/>
          <w:szCs w:val="24"/>
          <w:highlight w:val="none"/>
          <w:lang w:eastAsia="zh-CN"/>
        </w:rPr>
        <w:t>（m</w:t>
      </w:r>
      <w:r>
        <w:rPr>
          <w:rFonts w:hint="default" w:ascii="Times New Roman" w:hAnsi="Times New Roman" w:eastAsia="宋体" w:cs="Times New Roman"/>
          <w:color w:val="auto"/>
          <w:sz w:val="24"/>
          <w:szCs w:val="24"/>
          <w:highlight w:val="none"/>
        </w:rPr>
        <w:t>g/</w:t>
      </w:r>
      <w:r>
        <w:rPr>
          <w:rFonts w:hint="eastAsia" w:ascii="Times New Roman" w:hAnsi="Times New Roman" w:eastAsia="宋体" w:cs="Times New Roman"/>
          <w:color w:val="auto"/>
          <w:sz w:val="24"/>
          <w:szCs w:val="24"/>
          <w:highlight w:val="none"/>
          <w:vertAlign w:val="baseli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w:t>
      </w:r>
    </w:p>
    <w:p>
      <w:pPr>
        <w:keepNext w:val="0"/>
        <w:keepLines w:val="0"/>
        <w:pageBreakBefore w:val="0"/>
        <w:widowControl w:val="0"/>
        <w:shd w:val="clear" w:color="auto" w:fill="auto"/>
        <w:kinsoku/>
        <w:wordWrap w:val="0"/>
        <w:overflowPunct/>
        <w:topLinePunct w:val="0"/>
        <w:autoSpaceDE/>
        <w:autoSpaceDN/>
        <w:bidi w:val="0"/>
        <w:adjustRightInd/>
        <w:spacing w:beforeAutospacing="0" w:line="560" w:lineRule="exact"/>
        <w:ind w:left="0" w:leftChars="0" w:right="0" w:rightChars="0" w:firstLine="1200" w:firstLineChars="500"/>
        <w:textAlignment w:val="auto"/>
        <w:rPr>
          <w:rFonts w:hint="default" w:ascii="Times New Roman" w:hAnsi="Times New Roman" w:eastAsia="宋体" w:cs="Times New Roman"/>
          <w:b/>
          <w:color w:val="auto"/>
          <w:sz w:val="24"/>
          <w:szCs w:val="24"/>
          <w:highlight w:val="none"/>
          <w:lang w:eastAsia="zh-CN"/>
        </w:rPr>
      </w:pPr>
      <w:r>
        <w:rPr>
          <w:rFonts w:hint="default" w:ascii="Times New Roman" w:hAnsi="Times New Roman" w:eastAsia="宋体" w:cs="Times New Roman"/>
          <w:i/>
          <w:color w:val="auto"/>
          <w:sz w:val="24"/>
          <w:szCs w:val="24"/>
          <w:highlight w:val="none"/>
        </w:rPr>
        <w:t>C</w:t>
      </w:r>
      <w:r>
        <w:rPr>
          <w:rFonts w:hint="default" w:ascii="Times New Roman" w:hAnsi="Times New Roman" w:eastAsia="宋体" w:cs="Times New Roman"/>
          <w:i/>
          <w:color w:val="auto"/>
          <w:sz w:val="24"/>
          <w:szCs w:val="24"/>
          <w:highlight w:val="none"/>
          <w:vertAlign w:val="subscript"/>
        </w:rPr>
        <w:t>0i</w:t>
      </w:r>
      <w:r>
        <w:rPr>
          <w:rFonts w:hint="default" w:ascii="Times New Roman" w:hAnsi="Times New Roman" w:eastAsia="宋体" w:cs="Times New Roman"/>
          <w:color w:val="auto"/>
          <w:sz w:val="24"/>
          <w:szCs w:val="24"/>
          <w:highlight w:val="none"/>
        </w:rPr>
        <w:t>——第i个污染物的环境空气质量标准</w:t>
      </w:r>
      <w:r>
        <w:rPr>
          <w:rFonts w:hint="eastAsia" w:ascii="Times New Roman" w:hAnsi="Times New Roman" w:eastAsia="宋体" w:cs="Times New Roman"/>
          <w:color w:val="auto"/>
          <w:sz w:val="24"/>
          <w:szCs w:val="24"/>
          <w:highlight w:val="none"/>
          <w:lang w:eastAsia="zh-CN"/>
        </w:rPr>
        <w:t>（m</w:t>
      </w:r>
      <w:r>
        <w:rPr>
          <w:rFonts w:hint="default" w:ascii="Times New Roman" w:hAnsi="Times New Roman" w:eastAsia="宋体" w:cs="Times New Roman"/>
          <w:color w:val="auto"/>
          <w:sz w:val="24"/>
          <w:szCs w:val="24"/>
          <w:highlight w:val="none"/>
        </w:rPr>
        <w:t>g/</w:t>
      </w:r>
      <w:r>
        <w:rPr>
          <w:rFonts w:hint="eastAsia" w:ascii="Times New Roman" w:hAnsi="Times New Roman" w:eastAsia="宋体" w:cs="Times New Roman"/>
          <w:color w:val="auto"/>
          <w:sz w:val="24"/>
          <w:szCs w:val="24"/>
          <w:highlight w:val="none"/>
          <w:vertAlign w:val="baseli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w:t>
      </w:r>
    </w:p>
    <w:p>
      <w:pPr>
        <w:keepNext w:val="0"/>
        <w:keepLines w:val="0"/>
        <w:pageBreakBefore w:val="0"/>
        <w:widowControl w:val="0"/>
        <w:numPr>
          <w:ilvl w:val="0"/>
          <w:numId w:val="0"/>
        </w:numPr>
        <w:shd w:val="clear" w:color="auto" w:fill="auto"/>
        <w:kinsoku/>
        <w:wordWrap w:val="0"/>
        <w:overflowPunct/>
        <w:topLinePunct w:val="0"/>
        <w:autoSpaceDE/>
        <w:autoSpaceDN/>
        <w:bidi w:val="0"/>
        <w:adjustRightInd/>
        <w:snapToGrid w:val="0"/>
        <w:spacing w:beforeAutospacing="0" w:line="560" w:lineRule="exact"/>
        <w:ind w:right="0" w:rightChars="0" w:firstLine="480" w:firstLineChars="200"/>
        <w:jc w:val="both"/>
        <w:textAlignment w:val="auto"/>
        <w:rPr>
          <w:rFonts w:hint="default" w:ascii="Times New Roman" w:hAnsi="Times New Roman" w:eastAsia="宋体" w:cs="Times New Roman"/>
          <w:b w:val="0"/>
          <w:bCs/>
          <w:color w:val="auto"/>
          <w:sz w:val="24"/>
          <w:szCs w:val="24"/>
          <w:highlight w:val="none"/>
          <w:lang w:val="en-US" w:eastAsia="zh-CN"/>
        </w:rPr>
      </w:pPr>
      <w:r>
        <w:rPr>
          <w:rFonts w:hint="eastAsia" w:ascii="Times New Roman" w:hAnsi="Times New Roman" w:eastAsia="宋体" w:cs="Times New Roman"/>
          <w:b w:val="0"/>
          <w:bCs/>
          <w:color w:val="auto"/>
          <w:sz w:val="24"/>
          <w:szCs w:val="24"/>
          <w:highlight w:val="none"/>
          <w:lang w:val="en-US" w:eastAsia="zh-CN"/>
        </w:rPr>
        <w:t>（</w:t>
      </w:r>
      <w:r>
        <w:rPr>
          <w:rFonts w:hint="eastAsia" w:ascii="Times New Roman" w:hAnsi="Times New Roman" w:cs="Times New Roman"/>
          <w:b w:val="0"/>
          <w:bCs/>
          <w:color w:val="auto"/>
          <w:sz w:val="24"/>
          <w:szCs w:val="24"/>
          <w:highlight w:val="none"/>
          <w:lang w:val="en-US" w:eastAsia="zh-CN"/>
        </w:rPr>
        <w:t>4</w:t>
      </w:r>
      <w:r>
        <w:rPr>
          <w:rFonts w:hint="eastAsia" w:ascii="Times New Roman" w:hAnsi="Times New Roman" w:eastAsia="宋体" w:cs="Times New Roman"/>
          <w:b w:val="0"/>
          <w:bCs/>
          <w:color w:val="auto"/>
          <w:sz w:val="24"/>
          <w:szCs w:val="24"/>
          <w:highlight w:val="none"/>
          <w:lang w:val="en-US" w:eastAsia="zh-CN"/>
        </w:rPr>
        <w:t>）</w:t>
      </w:r>
      <w:r>
        <w:rPr>
          <w:rFonts w:hint="default" w:ascii="Times New Roman" w:hAnsi="Times New Roman" w:eastAsia="宋体" w:cs="Times New Roman"/>
          <w:b w:val="0"/>
          <w:bCs/>
          <w:color w:val="auto"/>
          <w:sz w:val="24"/>
          <w:szCs w:val="24"/>
          <w:highlight w:val="none"/>
          <w:lang w:val="en-US" w:eastAsia="zh-CN"/>
        </w:rPr>
        <w:t>执行标准</w:t>
      </w:r>
    </w:p>
    <w:p>
      <w:pPr>
        <w:keepNext w:val="0"/>
        <w:keepLines w:val="0"/>
        <w:pageBreakBefore w:val="0"/>
        <w:widowControl w:val="0"/>
        <w:numPr>
          <w:ilvl w:val="0"/>
          <w:numId w:val="0"/>
        </w:numPr>
        <w:shd w:val="clear" w:color="auto" w:fill="auto"/>
        <w:kinsoku/>
        <w:wordWrap w:val="0"/>
        <w:overflowPunct/>
        <w:topLinePunct w:val="0"/>
        <w:autoSpaceDE/>
        <w:autoSpaceDN/>
        <w:bidi w:val="0"/>
        <w:adjustRightInd/>
        <w:snapToGrid w:val="0"/>
        <w:spacing w:beforeAutospacing="0" w:line="560" w:lineRule="exact"/>
        <w:ind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lang w:eastAsia="zh-CN"/>
        </w:rPr>
      </w:pPr>
      <w:r>
        <w:rPr>
          <w:rFonts w:hint="eastAsia" w:ascii="Times New Roman" w:hAnsi="Times New Roman" w:eastAsia="宋体" w:cs="Times New Roman"/>
          <w:bCs/>
          <w:color w:val="auto"/>
          <w:kern w:val="0"/>
          <w:sz w:val="24"/>
          <w:szCs w:val="24"/>
          <w:highlight w:val="none"/>
          <w:lang w:val="en-US" w:eastAsia="zh-CN"/>
        </w:rPr>
        <w:t>TSP执行《环境空气质量标准》（GB3095-2012）中的二级标准限值要求；</w:t>
      </w:r>
      <w:r>
        <w:rPr>
          <w:rFonts w:hint="default" w:ascii="Times New Roman" w:hAnsi="Times New Roman" w:eastAsia="宋体" w:cs="Times New Roman"/>
          <w:bCs/>
          <w:color w:val="auto"/>
          <w:kern w:val="0"/>
          <w:sz w:val="24"/>
          <w:szCs w:val="24"/>
          <w:highlight w:val="none"/>
          <w:lang w:eastAsia="zh-CN"/>
        </w:rPr>
        <w:t>非甲烷总烃</w:t>
      </w:r>
      <w:r>
        <w:rPr>
          <w:rFonts w:hint="default" w:ascii="Times New Roman" w:hAnsi="Times New Roman" w:eastAsia="宋体" w:cs="Times New Roman"/>
          <w:b w:val="0"/>
          <w:bCs w:val="0"/>
          <w:color w:val="auto"/>
          <w:kern w:val="0"/>
          <w:sz w:val="24"/>
          <w:szCs w:val="24"/>
          <w:highlight w:val="none"/>
        </w:rPr>
        <w:t>执行</w:t>
      </w:r>
      <w:r>
        <w:rPr>
          <w:rFonts w:hint="default" w:ascii="Times New Roman" w:hAnsi="Times New Roman" w:eastAsia="宋体" w:cs="Times New Roman"/>
          <w:b w:val="0"/>
          <w:bCs w:val="0"/>
          <w:color w:val="auto"/>
          <w:kern w:val="0"/>
          <w:sz w:val="24"/>
          <w:szCs w:val="24"/>
          <w:highlight w:val="none"/>
          <w:lang w:eastAsia="zh-CN"/>
        </w:rPr>
        <w:t>《大气污染物综合排放标准详解》中标准限值；</w:t>
      </w:r>
      <w:r>
        <w:rPr>
          <w:rFonts w:hint="default" w:ascii="Times New Roman" w:hAnsi="Times New Roman" w:eastAsia="宋体" w:cs="Times New Roman"/>
          <w:bCs/>
          <w:color w:val="auto"/>
          <w:kern w:val="0"/>
          <w:sz w:val="24"/>
          <w:szCs w:val="24"/>
          <w:highlight w:val="none"/>
          <w:lang w:eastAsia="zh-CN"/>
        </w:rPr>
        <w:t>氨、硫化氢</w:t>
      </w:r>
      <w:r>
        <w:rPr>
          <w:rFonts w:hint="eastAsia" w:ascii="Times New Roman" w:hAnsi="Times New Roman" w:eastAsia="宋体" w:cs="Times New Roman"/>
          <w:bCs/>
          <w:color w:val="auto"/>
          <w:kern w:val="0"/>
          <w:sz w:val="24"/>
          <w:szCs w:val="24"/>
          <w:highlight w:val="none"/>
          <w:lang w:eastAsia="zh-CN"/>
        </w:rPr>
        <w:t>、</w:t>
      </w:r>
      <w:r>
        <w:rPr>
          <w:rFonts w:hint="eastAsia" w:ascii="Times New Roman" w:hAnsi="Times New Roman" w:eastAsia="宋体" w:cs="Times New Roman"/>
          <w:bCs/>
          <w:color w:val="auto"/>
          <w:kern w:val="0"/>
          <w:sz w:val="24"/>
          <w:szCs w:val="24"/>
          <w:highlight w:val="none"/>
          <w:lang w:val="en-US" w:eastAsia="zh-CN"/>
        </w:rPr>
        <w:t>甲醇</w:t>
      </w:r>
      <w:r>
        <w:rPr>
          <w:rFonts w:hint="default" w:ascii="Times New Roman" w:hAnsi="Times New Roman" w:eastAsia="宋体" w:cs="Times New Roman"/>
          <w:b w:val="0"/>
          <w:bCs w:val="0"/>
          <w:color w:val="auto"/>
          <w:kern w:val="0"/>
          <w:sz w:val="24"/>
          <w:szCs w:val="24"/>
          <w:highlight w:val="none"/>
        </w:rPr>
        <w:t>执行《环境影响评价技术导则 大气环境》（HJ2.2-2018）附录</w:t>
      </w:r>
      <w:r>
        <w:rPr>
          <w:rFonts w:hint="eastAsia" w:ascii="Times New Roman" w:hAnsi="Times New Roman" w:eastAsia="宋体" w:cs="Times New Roman"/>
          <w:b w:val="0"/>
          <w:bCs w:val="0"/>
          <w:color w:val="auto"/>
          <w:kern w:val="0"/>
          <w:sz w:val="24"/>
          <w:szCs w:val="24"/>
          <w:highlight w:val="none"/>
          <w:lang w:val="en-US" w:eastAsia="zh-CN"/>
        </w:rPr>
        <w:t xml:space="preserve"> </w:t>
      </w:r>
      <w:r>
        <w:rPr>
          <w:rFonts w:hint="default" w:ascii="Times New Roman" w:hAnsi="Times New Roman" w:eastAsia="宋体" w:cs="Times New Roman"/>
          <w:b w:val="0"/>
          <w:bCs w:val="0"/>
          <w:color w:val="auto"/>
          <w:kern w:val="0"/>
          <w:sz w:val="24"/>
          <w:szCs w:val="24"/>
          <w:highlight w:val="none"/>
        </w:rPr>
        <w:t>D</w:t>
      </w:r>
      <w:r>
        <w:rPr>
          <w:rFonts w:hint="eastAsia" w:ascii="Times New Roman" w:hAnsi="Times New Roman" w:eastAsia="宋体" w:cs="Times New Roman"/>
          <w:b w:val="0"/>
          <w:bCs w:val="0"/>
          <w:color w:val="auto"/>
          <w:kern w:val="0"/>
          <w:sz w:val="24"/>
          <w:szCs w:val="24"/>
          <w:highlight w:val="none"/>
          <w:lang w:val="en-US" w:eastAsia="zh-CN"/>
        </w:rPr>
        <w:t xml:space="preserve"> </w:t>
      </w:r>
      <w:r>
        <w:rPr>
          <w:rFonts w:hint="default" w:ascii="Times New Roman" w:hAnsi="Times New Roman" w:eastAsia="宋体" w:cs="Times New Roman"/>
          <w:b w:val="0"/>
          <w:bCs w:val="0"/>
          <w:color w:val="auto"/>
          <w:kern w:val="0"/>
          <w:sz w:val="24"/>
          <w:szCs w:val="24"/>
          <w:highlight w:val="none"/>
        </w:rPr>
        <w:t>的浓度限</w:t>
      </w:r>
      <w:r>
        <w:rPr>
          <w:rFonts w:hint="eastAsia" w:ascii="Times New Roman" w:hAnsi="Times New Roman" w:cs="Times New Roman"/>
          <w:b w:val="0"/>
          <w:bCs w:val="0"/>
          <w:color w:val="auto"/>
          <w:kern w:val="0"/>
          <w:sz w:val="24"/>
          <w:szCs w:val="24"/>
          <w:highlight w:val="none"/>
          <w:lang w:val="en-US" w:eastAsia="zh-CN"/>
        </w:rPr>
        <w:t>值</w:t>
      </w:r>
      <w:r>
        <w:rPr>
          <w:rFonts w:hint="eastAsia" w:ascii="Times New Roman" w:hAnsi="Times New Roman" w:eastAsia="宋体" w:cs="Times New Roman"/>
          <w:b w:val="0"/>
          <w:bCs w:val="0"/>
          <w:color w:val="auto"/>
          <w:kern w:val="0"/>
          <w:sz w:val="24"/>
          <w:szCs w:val="24"/>
          <w:highlight w:val="none"/>
          <w:lang w:eastAsia="zh-CN"/>
        </w:rPr>
        <w:t>。</w:t>
      </w:r>
    </w:p>
    <w:p>
      <w:pPr>
        <w:keepNext w:val="0"/>
        <w:keepLines w:val="0"/>
        <w:pageBreakBefore w:val="0"/>
        <w:widowControl w:val="0"/>
        <w:numPr>
          <w:ilvl w:val="0"/>
          <w:numId w:val="0"/>
        </w:numPr>
        <w:shd w:val="clear" w:color="auto" w:fill="auto"/>
        <w:kinsoku/>
        <w:wordWrap w:val="0"/>
        <w:overflowPunct/>
        <w:topLinePunct w:val="0"/>
        <w:autoSpaceDE/>
        <w:autoSpaceDN/>
        <w:bidi w:val="0"/>
        <w:adjustRightInd/>
        <w:snapToGrid w:val="0"/>
        <w:spacing w:beforeAutospacing="0" w:line="560" w:lineRule="exact"/>
        <w:ind w:right="0" w:rightChars="0" w:firstLine="480" w:firstLineChars="200"/>
        <w:jc w:val="both"/>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）评价结果及分析</w:t>
      </w:r>
    </w:p>
    <w:p>
      <w:pPr>
        <w:keepNext w:val="0"/>
        <w:keepLines w:val="0"/>
        <w:pageBreakBefore w:val="0"/>
        <w:widowControl w:val="0"/>
        <w:kinsoku/>
        <w:overflowPunct/>
        <w:topLinePunct w:val="0"/>
        <w:autoSpaceDE/>
        <w:autoSpaceDN/>
        <w:bidi w:val="0"/>
        <w:adjustRightInd/>
        <w:spacing w:line="560" w:lineRule="exact"/>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各监</w:t>
      </w:r>
      <w:r>
        <w:rPr>
          <w:rFonts w:hint="default" w:ascii="Times New Roman" w:hAnsi="Times New Roman" w:eastAsia="宋体" w:cs="Times New Roman"/>
          <w:color w:val="auto"/>
          <w:sz w:val="24"/>
          <w:szCs w:val="24"/>
        </w:rPr>
        <w:t>测点</w:t>
      </w:r>
      <w:r>
        <w:rPr>
          <w:rFonts w:hint="eastAsia" w:ascii="Times New Roman" w:hAnsi="Times New Roman" w:eastAsia="宋体" w:cs="Times New Roman"/>
          <w:color w:val="auto"/>
          <w:kern w:val="0"/>
          <w:sz w:val="24"/>
          <w:szCs w:val="24"/>
          <w:highlight w:val="none"/>
          <w:lang w:val="en-US" w:eastAsia="zh-CN"/>
        </w:rPr>
        <w:t xml:space="preserve"> </w:t>
      </w:r>
      <w:r>
        <w:rPr>
          <w:rFonts w:hint="eastAsia" w:ascii="Times New Roman" w:hAnsi="Times New Roman" w:eastAsia="宋体" w:cs="Times New Roman"/>
          <w:b w:val="0"/>
          <w:bCs w:val="0"/>
          <w:color w:val="auto"/>
          <w:sz w:val="24"/>
          <w:szCs w:val="24"/>
          <w:lang w:val="en-US" w:eastAsia="zh-CN"/>
        </w:rPr>
        <w:t>TSP、NH</w:t>
      </w:r>
      <w:r>
        <w:rPr>
          <w:rFonts w:hint="eastAsia" w:ascii="Times New Roman" w:hAnsi="Times New Roman" w:eastAsia="宋体" w:cs="Times New Roman"/>
          <w:b w:val="0"/>
          <w:bCs w:val="0"/>
          <w:color w:val="auto"/>
          <w:sz w:val="24"/>
          <w:szCs w:val="24"/>
          <w:vertAlign w:val="subscript"/>
          <w:lang w:val="en-US" w:eastAsia="zh-CN"/>
        </w:rPr>
        <w:t>3</w:t>
      </w:r>
      <w:r>
        <w:rPr>
          <w:rFonts w:hint="eastAsia" w:ascii="Times New Roman" w:hAnsi="Times New Roman" w:eastAsia="宋体" w:cs="Times New Roman"/>
          <w:b w:val="0"/>
          <w:bCs w:val="0"/>
          <w:color w:val="auto"/>
          <w:sz w:val="24"/>
          <w:szCs w:val="24"/>
          <w:lang w:val="en-US" w:eastAsia="zh-CN"/>
        </w:rPr>
        <w:t>、H</w:t>
      </w:r>
      <w:r>
        <w:rPr>
          <w:rFonts w:hint="eastAsia" w:ascii="Times New Roman" w:hAnsi="Times New Roman" w:eastAsia="宋体" w:cs="Times New Roman"/>
          <w:b w:val="0"/>
          <w:bCs w:val="0"/>
          <w:color w:val="auto"/>
          <w:sz w:val="24"/>
          <w:szCs w:val="24"/>
          <w:vertAlign w:val="subscript"/>
          <w:lang w:val="en-US" w:eastAsia="zh-CN"/>
        </w:rPr>
        <w:t>2</w:t>
      </w:r>
      <w:r>
        <w:rPr>
          <w:rFonts w:hint="eastAsia" w:ascii="Times New Roman" w:hAnsi="Times New Roman" w:eastAsia="宋体" w:cs="Times New Roman"/>
          <w:b w:val="0"/>
          <w:bCs w:val="0"/>
          <w:color w:val="auto"/>
          <w:sz w:val="24"/>
          <w:szCs w:val="24"/>
          <w:lang w:val="en-US" w:eastAsia="zh-CN"/>
        </w:rPr>
        <w:t>S、非甲烷总烃、甲醇、氨及硫酸雾</w:t>
      </w:r>
      <w:r>
        <w:rPr>
          <w:rFonts w:hint="default" w:ascii="Times New Roman" w:hAnsi="Times New Roman" w:eastAsia="宋体" w:cs="Times New Roman"/>
          <w:color w:val="auto"/>
          <w:sz w:val="24"/>
          <w:szCs w:val="24"/>
        </w:rPr>
        <w:t>现状监</w:t>
      </w:r>
      <w:r>
        <w:rPr>
          <w:rFonts w:hint="default" w:ascii="Times New Roman" w:hAnsi="Times New Roman" w:eastAsia="宋体" w:cs="Times New Roman"/>
          <w:color w:val="auto"/>
          <w:sz w:val="24"/>
        </w:rPr>
        <w:t>测结果浓度范围结果汇总见表</w:t>
      </w:r>
      <w:r>
        <w:rPr>
          <w:rFonts w:hint="eastAsia" w:ascii="Times New Roman" w:hAnsi="Times New Roman" w:eastAsia="宋体" w:cs="Times New Roman"/>
          <w:color w:val="auto"/>
          <w:sz w:val="24"/>
          <w:lang w:val="en-US" w:eastAsia="zh-CN"/>
        </w:rPr>
        <w:t xml:space="preserve"> </w:t>
      </w:r>
      <w:r>
        <w:rPr>
          <w:rFonts w:hint="eastAsia" w:ascii="Times New Roman" w:hAnsi="Times New Roman" w:cs="Times New Roman"/>
          <w:color w:val="auto"/>
          <w:sz w:val="24"/>
          <w:lang w:val="en-US" w:eastAsia="zh-CN"/>
        </w:rPr>
        <w:t>4.4.1-5</w:t>
      </w:r>
      <w:r>
        <w:rPr>
          <w:rFonts w:hint="default" w:ascii="Times New Roman" w:hAnsi="Times New Roman" w:eastAsia="宋体" w:cs="Times New Roman"/>
          <w:color w:val="auto"/>
          <w:sz w:val="24"/>
        </w:rPr>
        <w:t>。</w:t>
      </w:r>
    </w:p>
    <w:p>
      <w:pPr>
        <w:pStyle w:val="33"/>
        <w:bidi w:val="0"/>
        <w:rPr>
          <w:rFonts w:hint="default"/>
          <w:color w:val="auto"/>
          <w:sz w:val="24"/>
          <w:szCs w:val="24"/>
        </w:rPr>
      </w:pPr>
      <w:r>
        <w:rPr>
          <w:rFonts w:hint="default"/>
          <w:color w:val="auto"/>
          <w:sz w:val="24"/>
          <w:szCs w:val="24"/>
        </w:rPr>
        <w:t>表</w:t>
      </w:r>
      <w:r>
        <w:rPr>
          <w:rFonts w:hint="eastAsia"/>
          <w:color w:val="auto"/>
          <w:sz w:val="24"/>
          <w:szCs w:val="24"/>
          <w:lang w:val="en-US" w:eastAsia="zh-CN"/>
        </w:rPr>
        <w:t xml:space="preserve"> 4.4.1-5     </w:t>
      </w:r>
      <w:r>
        <w:rPr>
          <w:rFonts w:hint="default"/>
          <w:color w:val="auto"/>
          <w:sz w:val="24"/>
          <w:szCs w:val="24"/>
        </w:rPr>
        <w:t>环境空气质量现状监测及评价结果</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4"/>
        <w:gridCol w:w="735"/>
        <w:gridCol w:w="2297"/>
        <w:gridCol w:w="1559"/>
        <w:gridCol w:w="1215"/>
        <w:gridCol w:w="1249"/>
        <w:gridCol w:w="6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bCs/>
                <w:color w:val="auto"/>
                <w:spacing w:val="0"/>
                <w:kern w:val="0"/>
                <w:sz w:val="21"/>
                <w:szCs w:val="21"/>
              </w:rPr>
            </w:pPr>
            <w:r>
              <w:rPr>
                <w:rFonts w:hint="default" w:ascii="Times New Roman" w:hAnsi="Times New Roman" w:eastAsia="宋体" w:cs="Times New Roman"/>
                <w:b/>
                <w:bCs/>
                <w:color w:val="auto"/>
                <w:spacing w:val="0"/>
                <w:kern w:val="0"/>
                <w:sz w:val="21"/>
                <w:szCs w:val="21"/>
              </w:rPr>
              <w:t>监测点位</w:t>
            </w:r>
          </w:p>
        </w:tc>
        <w:tc>
          <w:tcPr>
            <w:tcW w:w="43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bCs/>
                <w:color w:val="auto"/>
                <w:spacing w:val="0"/>
                <w:kern w:val="0"/>
                <w:sz w:val="21"/>
                <w:szCs w:val="21"/>
              </w:rPr>
            </w:pPr>
            <w:r>
              <w:rPr>
                <w:rFonts w:hint="default" w:ascii="Times New Roman" w:hAnsi="Times New Roman" w:eastAsia="宋体" w:cs="Times New Roman"/>
                <w:b/>
                <w:bCs/>
                <w:color w:val="auto"/>
                <w:spacing w:val="0"/>
                <w:kern w:val="0"/>
                <w:sz w:val="21"/>
                <w:szCs w:val="21"/>
              </w:rPr>
              <w:t>项目</w:t>
            </w:r>
          </w:p>
        </w:tc>
        <w:tc>
          <w:tcPr>
            <w:tcW w:w="1347"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bCs/>
                <w:color w:val="auto"/>
                <w:spacing w:val="0"/>
                <w:kern w:val="0"/>
                <w:sz w:val="21"/>
                <w:szCs w:val="21"/>
              </w:rPr>
            </w:pPr>
            <w:r>
              <w:rPr>
                <w:rFonts w:hint="default" w:ascii="Times New Roman" w:hAnsi="Times New Roman" w:eastAsia="宋体" w:cs="Times New Roman"/>
                <w:b/>
                <w:bCs/>
                <w:color w:val="auto"/>
                <w:spacing w:val="0"/>
                <w:kern w:val="0"/>
                <w:sz w:val="21"/>
                <w:szCs w:val="21"/>
              </w:rPr>
              <w:t>监测时间</w:t>
            </w:r>
          </w:p>
        </w:tc>
        <w:tc>
          <w:tcPr>
            <w:tcW w:w="914"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bCs/>
                <w:color w:val="auto"/>
                <w:spacing w:val="0"/>
                <w:kern w:val="0"/>
                <w:sz w:val="21"/>
                <w:szCs w:val="21"/>
              </w:rPr>
            </w:pPr>
            <w:r>
              <w:rPr>
                <w:rFonts w:hint="default" w:ascii="Times New Roman" w:hAnsi="Times New Roman" w:eastAsia="宋体" w:cs="Times New Roman"/>
                <w:b/>
                <w:bCs/>
                <w:color w:val="auto"/>
                <w:spacing w:val="0"/>
                <w:kern w:val="0"/>
                <w:sz w:val="21"/>
                <w:szCs w:val="21"/>
              </w:rPr>
              <w:t>浓度范围（mg/m</w:t>
            </w:r>
            <w:r>
              <w:rPr>
                <w:rFonts w:hint="default" w:ascii="Times New Roman" w:hAnsi="Times New Roman" w:eastAsia="宋体" w:cs="Times New Roman"/>
                <w:b/>
                <w:bCs/>
                <w:color w:val="auto"/>
                <w:spacing w:val="0"/>
                <w:kern w:val="0"/>
                <w:sz w:val="21"/>
                <w:szCs w:val="21"/>
                <w:vertAlign w:val="superscript"/>
              </w:rPr>
              <w:t>3</w:t>
            </w:r>
            <w:r>
              <w:rPr>
                <w:rFonts w:hint="default" w:ascii="Times New Roman" w:hAnsi="Times New Roman" w:eastAsia="宋体" w:cs="Times New Roman"/>
                <w:b/>
                <w:bCs/>
                <w:color w:val="auto"/>
                <w:spacing w:val="0"/>
                <w:kern w:val="0"/>
                <w:sz w:val="21"/>
                <w:szCs w:val="21"/>
              </w:rPr>
              <w:t>）</w:t>
            </w:r>
          </w:p>
        </w:tc>
        <w:tc>
          <w:tcPr>
            <w:tcW w:w="71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bCs/>
                <w:color w:val="auto"/>
                <w:spacing w:val="0"/>
                <w:kern w:val="0"/>
                <w:sz w:val="21"/>
                <w:szCs w:val="21"/>
              </w:rPr>
            </w:pPr>
            <w:r>
              <w:rPr>
                <w:rFonts w:hint="default" w:ascii="Times New Roman" w:hAnsi="Times New Roman" w:eastAsia="宋体" w:cs="Times New Roman"/>
                <w:b/>
                <w:bCs/>
                <w:color w:val="auto"/>
                <w:spacing w:val="0"/>
                <w:kern w:val="0"/>
                <w:sz w:val="21"/>
                <w:szCs w:val="21"/>
              </w:rPr>
              <w:t>标准值（mg/m</w:t>
            </w:r>
            <w:r>
              <w:rPr>
                <w:rFonts w:hint="default" w:ascii="Times New Roman" w:hAnsi="Times New Roman" w:eastAsia="宋体" w:cs="Times New Roman"/>
                <w:b/>
                <w:bCs/>
                <w:color w:val="auto"/>
                <w:spacing w:val="0"/>
                <w:kern w:val="0"/>
                <w:sz w:val="21"/>
                <w:szCs w:val="21"/>
                <w:vertAlign w:val="superscript"/>
              </w:rPr>
              <w:t>3</w:t>
            </w:r>
            <w:r>
              <w:rPr>
                <w:rFonts w:hint="default" w:ascii="Times New Roman" w:hAnsi="Times New Roman" w:eastAsia="宋体" w:cs="Times New Roman"/>
                <w:b/>
                <w:bCs/>
                <w:color w:val="auto"/>
                <w:spacing w:val="0"/>
                <w:kern w:val="0"/>
                <w:sz w:val="21"/>
                <w:szCs w:val="21"/>
              </w:rPr>
              <w:t>）</w:t>
            </w: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bCs/>
                <w:color w:val="auto"/>
                <w:spacing w:val="0"/>
                <w:kern w:val="0"/>
                <w:sz w:val="21"/>
                <w:szCs w:val="21"/>
              </w:rPr>
            </w:pPr>
            <w:r>
              <w:rPr>
                <w:rFonts w:hint="default" w:ascii="Times New Roman" w:hAnsi="Times New Roman" w:eastAsia="宋体" w:cs="Times New Roman"/>
                <w:b/>
                <w:bCs/>
                <w:color w:val="auto"/>
                <w:spacing w:val="0"/>
                <w:kern w:val="0"/>
                <w:sz w:val="21"/>
                <w:szCs w:val="21"/>
              </w:rPr>
              <w:t>最大占标率（%）</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bCs/>
                <w:color w:val="auto"/>
                <w:spacing w:val="0"/>
                <w:kern w:val="0"/>
                <w:sz w:val="21"/>
                <w:szCs w:val="21"/>
              </w:rPr>
            </w:pPr>
            <w:r>
              <w:rPr>
                <w:rFonts w:hint="default" w:ascii="Times New Roman" w:hAnsi="Times New Roman" w:eastAsia="宋体" w:cs="Times New Roman"/>
                <w:b/>
                <w:bCs/>
                <w:color w:val="auto"/>
                <w:spacing w:val="0"/>
                <w:kern w:val="0"/>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项目区下风向</w:t>
            </w:r>
            <w:r>
              <w:rPr>
                <w:rFonts w:hint="default" w:ascii="Times New Roman" w:hAnsi="Times New Roman" w:eastAsia="宋体" w:cs="Times New Roman"/>
                <w:color w:val="auto"/>
                <w:spacing w:val="0"/>
                <w:kern w:val="0"/>
                <w:sz w:val="21"/>
                <w:szCs w:val="21"/>
                <w:lang w:val="en-US" w:eastAsia="zh-CN"/>
              </w:rPr>
              <w:t>2</w:t>
            </w:r>
            <w:r>
              <w:rPr>
                <w:rFonts w:hint="default" w:ascii="Times New Roman" w:hAnsi="Times New Roman" w:eastAsia="宋体" w:cs="Times New Roman"/>
                <w:color w:val="auto"/>
                <w:spacing w:val="0"/>
                <w:kern w:val="0"/>
                <w:sz w:val="21"/>
                <w:szCs w:val="21"/>
              </w:rPr>
              <w:t>0m处</w:t>
            </w:r>
          </w:p>
        </w:tc>
        <w:tc>
          <w:tcPr>
            <w:tcW w:w="431"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lang w:val="en-US" w:eastAsia="zh-CN"/>
              </w:rPr>
              <w:t>总悬浮颗粒物</w:t>
            </w: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10</w:t>
            </w:r>
            <w:r>
              <w:rPr>
                <w:rFonts w:hint="default" w:ascii="Times New Roman" w:hAnsi="Times New Roman" w:eastAsia="宋体" w:cs="Times New Roman"/>
                <w:color w:val="auto"/>
                <w:spacing w:val="0"/>
                <w:sz w:val="21"/>
                <w:szCs w:val="21"/>
                <w:lang w:eastAsia="zh-CN"/>
              </w:rPr>
              <w:t>月</w:t>
            </w:r>
            <w:r>
              <w:rPr>
                <w:rFonts w:hint="default" w:ascii="Times New Roman" w:hAnsi="Times New Roman" w:eastAsia="宋体" w:cs="Times New Roman"/>
                <w:color w:val="auto"/>
                <w:spacing w:val="0"/>
                <w:sz w:val="21"/>
                <w:szCs w:val="21"/>
                <w:lang w:val="en-US" w:eastAsia="zh-CN"/>
              </w:rPr>
              <w:t>15</w:t>
            </w:r>
            <w:r>
              <w:rPr>
                <w:rFonts w:hint="default" w:ascii="Times New Roman" w:hAnsi="Times New Roman" w:eastAsia="宋体" w:cs="Times New Roman"/>
                <w:color w:val="auto"/>
                <w:spacing w:val="0"/>
                <w:sz w:val="21"/>
                <w:szCs w:val="21"/>
                <w:lang w:eastAsia="zh-CN"/>
              </w:rPr>
              <w:t>日</w:t>
            </w:r>
            <w:r>
              <w:rPr>
                <w:rFonts w:hint="default" w:ascii="Times New Roman" w:hAnsi="Times New Roman" w:eastAsia="宋体" w:cs="Times New Roman"/>
                <w:color w:val="auto"/>
                <w:spacing w:val="0"/>
                <w:sz w:val="21"/>
                <w:szCs w:val="21"/>
                <w:lang w:val="en-US" w:eastAsia="zh-CN"/>
              </w:rPr>
              <w:t>-10</w:t>
            </w:r>
            <w:r>
              <w:rPr>
                <w:rFonts w:hint="default" w:ascii="Times New Roman" w:hAnsi="Times New Roman" w:eastAsia="宋体" w:cs="Times New Roman"/>
                <w:color w:val="auto"/>
                <w:spacing w:val="0"/>
                <w:sz w:val="21"/>
                <w:szCs w:val="21"/>
                <w:lang w:eastAsia="zh-CN"/>
              </w:rPr>
              <w:t>月</w:t>
            </w:r>
            <w:r>
              <w:rPr>
                <w:rFonts w:hint="default" w:ascii="Times New Roman" w:hAnsi="Times New Roman" w:eastAsia="宋体" w:cs="Times New Roman"/>
                <w:color w:val="auto"/>
                <w:spacing w:val="0"/>
                <w:sz w:val="21"/>
                <w:szCs w:val="21"/>
                <w:lang w:val="en-US" w:eastAsia="zh-CN"/>
              </w:rPr>
              <w:t>16</w:t>
            </w:r>
            <w:r>
              <w:rPr>
                <w:rFonts w:hint="default" w:ascii="Times New Roman" w:hAnsi="Times New Roman" w:eastAsia="宋体" w:cs="Times New Roman"/>
                <w:color w:val="auto"/>
                <w:spacing w:val="0"/>
                <w:sz w:val="21"/>
                <w:szCs w:val="21"/>
                <w:lang w:eastAsia="zh-CN"/>
              </w:rPr>
              <w:t>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0.120</w:t>
            </w:r>
          </w:p>
        </w:tc>
        <w:tc>
          <w:tcPr>
            <w:tcW w:w="712"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lang w:val="en-US" w:eastAsia="zh-CN"/>
              </w:rPr>
              <w:t>0.3</w:t>
            </w: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40.0</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10</w:t>
            </w:r>
            <w:r>
              <w:rPr>
                <w:rFonts w:hint="default" w:ascii="Times New Roman" w:hAnsi="Times New Roman" w:eastAsia="宋体" w:cs="Times New Roman"/>
                <w:color w:val="auto"/>
                <w:spacing w:val="0"/>
                <w:sz w:val="21"/>
                <w:szCs w:val="21"/>
                <w:lang w:eastAsia="zh-CN"/>
              </w:rPr>
              <w:t>月</w:t>
            </w:r>
            <w:r>
              <w:rPr>
                <w:rFonts w:hint="default" w:ascii="Times New Roman" w:hAnsi="Times New Roman" w:eastAsia="宋体" w:cs="Times New Roman"/>
                <w:color w:val="auto"/>
                <w:spacing w:val="0"/>
                <w:sz w:val="21"/>
                <w:szCs w:val="21"/>
                <w:lang w:val="en-US" w:eastAsia="zh-CN"/>
              </w:rPr>
              <w:t>16</w:t>
            </w:r>
            <w:r>
              <w:rPr>
                <w:rFonts w:hint="default" w:ascii="Times New Roman" w:hAnsi="Times New Roman" w:eastAsia="宋体" w:cs="Times New Roman"/>
                <w:color w:val="auto"/>
                <w:spacing w:val="0"/>
                <w:sz w:val="21"/>
                <w:szCs w:val="21"/>
                <w:lang w:eastAsia="zh-CN"/>
              </w:rPr>
              <w:t>日</w:t>
            </w:r>
            <w:r>
              <w:rPr>
                <w:rFonts w:hint="default" w:ascii="Times New Roman" w:hAnsi="Times New Roman" w:eastAsia="宋体" w:cs="Times New Roman"/>
                <w:color w:val="auto"/>
                <w:spacing w:val="0"/>
                <w:sz w:val="21"/>
                <w:szCs w:val="21"/>
                <w:lang w:val="en-US" w:eastAsia="zh-CN"/>
              </w:rPr>
              <w:t>-10</w:t>
            </w:r>
            <w:r>
              <w:rPr>
                <w:rFonts w:hint="default" w:ascii="Times New Roman" w:hAnsi="Times New Roman" w:eastAsia="宋体" w:cs="Times New Roman"/>
                <w:color w:val="auto"/>
                <w:spacing w:val="0"/>
                <w:sz w:val="21"/>
                <w:szCs w:val="21"/>
                <w:lang w:eastAsia="zh-CN"/>
              </w:rPr>
              <w:t>月</w:t>
            </w:r>
            <w:r>
              <w:rPr>
                <w:rFonts w:hint="default" w:ascii="Times New Roman" w:hAnsi="Times New Roman" w:eastAsia="宋体" w:cs="Times New Roman"/>
                <w:color w:val="auto"/>
                <w:spacing w:val="0"/>
                <w:sz w:val="21"/>
                <w:szCs w:val="21"/>
                <w:lang w:val="en-US" w:eastAsia="zh-CN"/>
              </w:rPr>
              <w:t>17</w:t>
            </w:r>
            <w:r>
              <w:rPr>
                <w:rFonts w:hint="default" w:ascii="Times New Roman" w:hAnsi="Times New Roman" w:eastAsia="宋体" w:cs="Times New Roman"/>
                <w:color w:val="auto"/>
                <w:spacing w:val="0"/>
                <w:sz w:val="21"/>
                <w:szCs w:val="21"/>
                <w:lang w:eastAsia="zh-CN"/>
              </w:rPr>
              <w:t>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0.138</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46.0</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10</w:t>
            </w:r>
            <w:r>
              <w:rPr>
                <w:rFonts w:hint="default" w:ascii="Times New Roman" w:hAnsi="Times New Roman" w:eastAsia="宋体" w:cs="Times New Roman"/>
                <w:color w:val="auto"/>
                <w:spacing w:val="0"/>
                <w:sz w:val="21"/>
                <w:szCs w:val="21"/>
                <w:lang w:eastAsia="zh-CN"/>
              </w:rPr>
              <w:t>月</w:t>
            </w:r>
            <w:r>
              <w:rPr>
                <w:rFonts w:hint="default" w:ascii="Times New Roman" w:hAnsi="Times New Roman" w:eastAsia="宋体" w:cs="Times New Roman"/>
                <w:color w:val="auto"/>
                <w:spacing w:val="0"/>
                <w:sz w:val="21"/>
                <w:szCs w:val="21"/>
                <w:lang w:val="en-US" w:eastAsia="zh-CN"/>
              </w:rPr>
              <w:t>17</w:t>
            </w:r>
            <w:r>
              <w:rPr>
                <w:rFonts w:hint="default" w:ascii="Times New Roman" w:hAnsi="Times New Roman" w:eastAsia="宋体" w:cs="Times New Roman"/>
                <w:color w:val="auto"/>
                <w:spacing w:val="0"/>
                <w:sz w:val="21"/>
                <w:szCs w:val="21"/>
                <w:lang w:eastAsia="zh-CN"/>
              </w:rPr>
              <w:t>日</w:t>
            </w:r>
            <w:r>
              <w:rPr>
                <w:rFonts w:hint="default" w:ascii="Times New Roman" w:hAnsi="Times New Roman" w:eastAsia="宋体" w:cs="Times New Roman"/>
                <w:color w:val="auto"/>
                <w:spacing w:val="0"/>
                <w:sz w:val="21"/>
                <w:szCs w:val="21"/>
                <w:lang w:val="en-US" w:eastAsia="zh-CN"/>
              </w:rPr>
              <w:t>-10</w:t>
            </w:r>
            <w:r>
              <w:rPr>
                <w:rFonts w:hint="default" w:ascii="Times New Roman" w:hAnsi="Times New Roman" w:eastAsia="宋体" w:cs="Times New Roman"/>
                <w:color w:val="auto"/>
                <w:spacing w:val="0"/>
                <w:sz w:val="21"/>
                <w:szCs w:val="21"/>
                <w:lang w:eastAsia="zh-CN"/>
              </w:rPr>
              <w:t>月</w:t>
            </w:r>
            <w:r>
              <w:rPr>
                <w:rFonts w:hint="default" w:ascii="Times New Roman" w:hAnsi="Times New Roman" w:eastAsia="宋体" w:cs="Times New Roman"/>
                <w:color w:val="auto"/>
                <w:spacing w:val="0"/>
                <w:sz w:val="21"/>
                <w:szCs w:val="21"/>
                <w:lang w:val="en-US" w:eastAsia="zh-CN"/>
              </w:rPr>
              <w:t>18</w:t>
            </w:r>
            <w:r>
              <w:rPr>
                <w:rFonts w:hint="default" w:ascii="Times New Roman" w:hAnsi="Times New Roman" w:eastAsia="宋体" w:cs="Times New Roman"/>
                <w:color w:val="auto"/>
                <w:spacing w:val="0"/>
                <w:sz w:val="21"/>
                <w:szCs w:val="21"/>
                <w:lang w:eastAsia="zh-CN"/>
              </w:rPr>
              <w:t>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0.115</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38.3</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10</w:t>
            </w:r>
            <w:r>
              <w:rPr>
                <w:rFonts w:hint="default" w:ascii="Times New Roman" w:hAnsi="Times New Roman" w:eastAsia="宋体" w:cs="Times New Roman"/>
                <w:color w:val="auto"/>
                <w:spacing w:val="0"/>
                <w:sz w:val="21"/>
                <w:szCs w:val="21"/>
                <w:lang w:eastAsia="zh-CN"/>
              </w:rPr>
              <w:t>月</w:t>
            </w:r>
            <w:r>
              <w:rPr>
                <w:rFonts w:hint="default" w:ascii="Times New Roman" w:hAnsi="Times New Roman" w:eastAsia="宋体" w:cs="Times New Roman"/>
                <w:color w:val="auto"/>
                <w:spacing w:val="0"/>
                <w:sz w:val="21"/>
                <w:szCs w:val="21"/>
                <w:lang w:val="en-US" w:eastAsia="zh-CN"/>
              </w:rPr>
              <w:t>18</w:t>
            </w:r>
            <w:r>
              <w:rPr>
                <w:rFonts w:hint="default" w:ascii="Times New Roman" w:hAnsi="Times New Roman" w:eastAsia="宋体" w:cs="Times New Roman"/>
                <w:color w:val="auto"/>
                <w:spacing w:val="0"/>
                <w:sz w:val="21"/>
                <w:szCs w:val="21"/>
                <w:lang w:eastAsia="zh-CN"/>
              </w:rPr>
              <w:t>日</w:t>
            </w:r>
            <w:r>
              <w:rPr>
                <w:rFonts w:hint="default" w:ascii="Times New Roman" w:hAnsi="Times New Roman" w:eastAsia="宋体" w:cs="Times New Roman"/>
                <w:color w:val="auto"/>
                <w:spacing w:val="0"/>
                <w:sz w:val="21"/>
                <w:szCs w:val="21"/>
                <w:lang w:val="en-US" w:eastAsia="zh-CN"/>
              </w:rPr>
              <w:t>-10</w:t>
            </w:r>
            <w:r>
              <w:rPr>
                <w:rFonts w:hint="default" w:ascii="Times New Roman" w:hAnsi="Times New Roman" w:eastAsia="宋体" w:cs="Times New Roman"/>
                <w:color w:val="auto"/>
                <w:spacing w:val="0"/>
                <w:sz w:val="21"/>
                <w:szCs w:val="21"/>
                <w:lang w:eastAsia="zh-CN"/>
              </w:rPr>
              <w:t>月</w:t>
            </w:r>
            <w:r>
              <w:rPr>
                <w:rFonts w:hint="default" w:ascii="Times New Roman" w:hAnsi="Times New Roman" w:eastAsia="宋体" w:cs="Times New Roman"/>
                <w:color w:val="auto"/>
                <w:spacing w:val="0"/>
                <w:sz w:val="21"/>
                <w:szCs w:val="21"/>
                <w:lang w:val="en-US" w:eastAsia="zh-CN"/>
              </w:rPr>
              <w:t>19</w:t>
            </w:r>
            <w:r>
              <w:rPr>
                <w:rFonts w:hint="default" w:ascii="Times New Roman" w:hAnsi="Times New Roman" w:eastAsia="宋体" w:cs="Times New Roman"/>
                <w:color w:val="auto"/>
                <w:spacing w:val="0"/>
                <w:sz w:val="21"/>
                <w:szCs w:val="21"/>
                <w:lang w:eastAsia="zh-CN"/>
              </w:rPr>
              <w:t>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0.141</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47.0</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10</w:t>
            </w:r>
            <w:r>
              <w:rPr>
                <w:rFonts w:hint="default" w:ascii="Times New Roman" w:hAnsi="Times New Roman" w:eastAsia="宋体" w:cs="Times New Roman"/>
                <w:color w:val="auto"/>
                <w:spacing w:val="0"/>
                <w:sz w:val="21"/>
                <w:szCs w:val="21"/>
                <w:lang w:eastAsia="zh-CN"/>
              </w:rPr>
              <w:t>月</w:t>
            </w:r>
            <w:r>
              <w:rPr>
                <w:rFonts w:hint="default" w:ascii="Times New Roman" w:hAnsi="Times New Roman" w:eastAsia="宋体" w:cs="Times New Roman"/>
                <w:color w:val="auto"/>
                <w:spacing w:val="0"/>
                <w:sz w:val="21"/>
                <w:szCs w:val="21"/>
                <w:lang w:val="en-US" w:eastAsia="zh-CN"/>
              </w:rPr>
              <w:t>19</w:t>
            </w:r>
            <w:r>
              <w:rPr>
                <w:rFonts w:hint="default" w:ascii="Times New Roman" w:hAnsi="Times New Roman" w:eastAsia="宋体" w:cs="Times New Roman"/>
                <w:color w:val="auto"/>
                <w:spacing w:val="0"/>
                <w:sz w:val="21"/>
                <w:szCs w:val="21"/>
                <w:lang w:eastAsia="zh-CN"/>
              </w:rPr>
              <w:t>日</w:t>
            </w:r>
            <w:r>
              <w:rPr>
                <w:rFonts w:hint="default" w:ascii="Times New Roman" w:hAnsi="Times New Roman" w:eastAsia="宋体" w:cs="Times New Roman"/>
                <w:color w:val="auto"/>
                <w:spacing w:val="0"/>
                <w:sz w:val="21"/>
                <w:szCs w:val="21"/>
                <w:lang w:val="en-US" w:eastAsia="zh-CN"/>
              </w:rPr>
              <w:t>-10</w:t>
            </w:r>
            <w:r>
              <w:rPr>
                <w:rFonts w:hint="default" w:ascii="Times New Roman" w:hAnsi="Times New Roman" w:eastAsia="宋体" w:cs="Times New Roman"/>
                <w:color w:val="auto"/>
                <w:spacing w:val="0"/>
                <w:sz w:val="21"/>
                <w:szCs w:val="21"/>
                <w:lang w:eastAsia="zh-CN"/>
              </w:rPr>
              <w:t>月</w:t>
            </w:r>
            <w:r>
              <w:rPr>
                <w:rFonts w:hint="default" w:ascii="Times New Roman" w:hAnsi="Times New Roman" w:eastAsia="宋体" w:cs="Times New Roman"/>
                <w:color w:val="auto"/>
                <w:spacing w:val="0"/>
                <w:sz w:val="21"/>
                <w:szCs w:val="21"/>
                <w:lang w:val="en-US" w:eastAsia="zh-CN"/>
              </w:rPr>
              <w:t>20</w:t>
            </w:r>
            <w:r>
              <w:rPr>
                <w:rFonts w:hint="default" w:ascii="Times New Roman" w:hAnsi="Times New Roman" w:eastAsia="宋体" w:cs="Times New Roman"/>
                <w:color w:val="auto"/>
                <w:spacing w:val="0"/>
                <w:sz w:val="21"/>
                <w:szCs w:val="21"/>
                <w:lang w:eastAsia="zh-CN"/>
              </w:rPr>
              <w:t>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0.121</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40..3</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10</w:t>
            </w:r>
            <w:r>
              <w:rPr>
                <w:rFonts w:hint="default" w:ascii="Times New Roman" w:hAnsi="Times New Roman" w:eastAsia="宋体" w:cs="Times New Roman"/>
                <w:color w:val="auto"/>
                <w:spacing w:val="0"/>
                <w:sz w:val="21"/>
                <w:szCs w:val="21"/>
                <w:lang w:eastAsia="zh-CN"/>
              </w:rPr>
              <w:t>月</w:t>
            </w:r>
            <w:r>
              <w:rPr>
                <w:rFonts w:hint="default" w:ascii="Times New Roman" w:hAnsi="Times New Roman" w:eastAsia="宋体" w:cs="Times New Roman"/>
                <w:color w:val="auto"/>
                <w:spacing w:val="0"/>
                <w:sz w:val="21"/>
                <w:szCs w:val="21"/>
                <w:lang w:val="en-US" w:eastAsia="zh-CN"/>
              </w:rPr>
              <w:t>20</w:t>
            </w:r>
            <w:r>
              <w:rPr>
                <w:rFonts w:hint="default" w:ascii="Times New Roman" w:hAnsi="Times New Roman" w:eastAsia="宋体" w:cs="Times New Roman"/>
                <w:color w:val="auto"/>
                <w:spacing w:val="0"/>
                <w:sz w:val="21"/>
                <w:szCs w:val="21"/>
                <w:lang w:eastAsia="zh-CN"/>
              </w:rPr>
              <w:t>日</w:t>
            </w:r>
            <w:r>
              <w:rPr>
                <w:rFonts w:hint="default" w:ascii="Times New Roman" w:hAnsi="Times New Roman" w:eastAsia="宋体" w:cs="Times New Roman"/>
                <w:color w:val="auto"/>
                <w:spacing w:val="0"/>
                <w:sz w:val="21"/>
                <w:szCs w:val="21"/>
                <w:lang w:val="en-US" w:eastAsia="zh-CN"/>
              </w:rPr>
              <w:t>-10</w:t>
            </w:r>
            <w:r>
              <w:rPr>
                <w:rFonts w:hint="default" w:ascii="Times New Roman" w:hAnsi="Times New Roman" w:eastAsia="宋体" w:cs="Times New Roman"/>
                <w:color w:val="auto"/>
                <w:spacing w:val="0"/>
                <w:sz w:val="21"/>
                <w:szCs w:val="21"/>
                <w:lang w:eastAsia="zh-CN"/>
              </w:rPr>
              <w:t>月</w:t>
            </w:r>
            <w:r>
              <w:rPr>
                <w:rFonts w:hint="default" w:ascii="Times New Roman" w:hAnsi="Times New Roman" w:eastAsia="宋体" w:cs="Times New Roman"/>
                <w:color w:val="auto"/>
                <w:spacing w:val="0"/>
                <w:sz w:val="21"/>
                <w:szCs w:val="21"/>
                <w:lang w:val="en-US" w:eastAsia="zh-CN"/>
              </w:rPr>
              <w:t>21</w:t>
            </w:r>
            <w:r>
              <w:rPr>
                <w:rFonts w:hint="default" w:ascii="Times New Roman" w:hAnsi="Times New Roman" w:eastAsia="宋体" w:cs="Times New Roman"/>
                <w:color w:val="auto"/>
                <w:spacing w:val="0"/>
                <w:sz w:val="21"/>
                <w:szCs w:val="21"/>
                <w:lang w:eastAsia="zh-CN"/>
              </w:rPr>
              <w:t>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0.104</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34.7</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10</w:t>
            </w:r>
            <w:r>
              <w:rPr>
                <w:rFonts w:hint="default" w:ascii="Times New Roman" w:hAnsi="Times New Roman" w:eastAsia="宋体" w:cs="Times New Roman"/>
                <w:color w:val="auto"/>
                <w:spacing w:val="0"/>
                <w:sz w:val="21"/>
                <w:szCs w:val="21"/>
                <w:lang w:eastAsia="zh-CN"/>
              </w:rPr>
              <w:t>月</w:t>
            </w:r>
            <w:r>
              <w:rPr>
                <w:rFonts w:hint="default" w:ascii="Times New Roman" w:hAnsi="Times New Roman" w:eastAsia="宋体" w:cs="Times New Roman"/>
                <w:color w:val="auto"/>
                <w:spacing w:val="0"/>
                <w:sz w:val="21"/>
                <w:szCs w:val="21"/>
                <w:lang w:val="en-US" w:eastAsia="zh-CN"/>
              </w:rPr>
              <w:t>21</w:t>
            </w:r>
            <w:r>
              <w:rPr>
                <w:rFonts w:hint="default" w:ascii="Times New Roman" w:hAnsi="Times New Roman" w:eastAsia="宋体" w:cs="Times New Roman"/>
                <w:color w:val="auto"/>
                <w:spacing w:val="0"/>
                <w:sz w:val="21"/>
                <w:szCs w:val="21"/>
                <w:lang w:eastAsia="zh-CN"/>
              </w:rPr>
              <w:t>日</w:t>
            </w:r>
            <w:r>
              <w:rPr>
                <w:rFonts w:hint="default" w:ascii="Times New Roman" w:hAnsi="Times New Roman" w:eastAsia="宋体" w:cs="Times New Roman"/>
                <w:color w:val="auto"/>
                <w:spacing w:val="0"/>
                <w:sz w:val="21"/>
                <w:szCs w:val="21"/>
                <w:lang w:val="en-US" w:eastAsia="zh-CN"/>
              </w:rPr>
              <w:t>-10</w:t>
            </w:r>
            <w:r>
              <w:rPr>
                <w:rFonts w:hint="default" w:ascii="Times New Roman" w:hAnsi="Times New Roman" w:eastAsia="宋体" w:cs="Times New Roman"/>
                <w:color w:val="auto"/>
                <w:spacing w:val="0"/>
                <w:sz w:val="21"/>
                <w:szCs w:val="21"/>
                <w:lang w:eastAsia="zh-CN"/>
              </w:rPr>
              <w:t>月</w:t>
            </w:r>
            <w:r>
              <w:rPr>
                <w:rFonts w:hint="default" w:ascii="Times New Roman" w:hAnsi="Times New Roman" w:eastAsia="宋体" w:cs="Times New Roman"/>
                <w:color w:val="auto"/>
                <w:spacing w:val="0"/>
                <w:sz w:val="21"/>
                <w:szCs w:val="21"/>
                <w:lang w:val="en-US" w:eastAsia="zh-CN"/>
              </w:rPr>
              <w:t>22</w:t>
            </w:r>
            <w:r>
              <w:rPr>
                <w:rFonts w:hint="default" w:ascii="Times New Roman" w:hAnsi="Times New Roman" w:eastAsia="宋体" w:cs="Times New Roman"/>
                <w:color w:val="auto"/>
                <w:spacing w:val="0"/>
                <w:sz w:val="21"/>
                <w:szCs w:val="21"/>
                <w:lang w:eastAsia="zh-CN"/>
              </w:rPr>
              <w:t>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0.113</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37.7</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lang w:val="en-US" w:eastAsia="zh-CN"/>
              </w:rPr>
              <w:t>硫化氢</w:t>
            </w: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10月15日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＜0.005</w:t>
            </w:r>
          </w:p>
        </w:tc>
        <w:tc>
          <w:tcPr>
            <w:tcW w:w="712"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lang w:val="en-US" w:eastAsia="zh-CN"/>
              </w:rPr>
              <w:t>0.01</w:t>
            </w: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10月16日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＜0.005</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10月17日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＜0.005</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10月18日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＜0.005</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10月19日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＜0.005</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10月20日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＜0.005</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10月21日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＜0.005</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lang w:val="en-US" w:eastAsia="zh-CN"/>
              </w:rPr>
              <w:t>氨</w:t>
            </w: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10月15日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0.04~0.07</w:t>
            </w:r>
          </w:p>
        </w:tc>
        <w:tc>
          <w:tcPr>
            <w:tcW w:w="712"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lang w:val="en-US" w:eastAsia="zh-CN"/>
              </w:rPr>
              <w:t>0.2</w:t>
            </w: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20.0~35.0</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10月16日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0.05-~0.08</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25.0~40.0</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10月17日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0.05~0.08</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25.0~40.0</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10月18日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0.05~0.07</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25.0~35.0</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10月19日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0.06~0.08</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30.0~40.0</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10月20日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0.06~0.08</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30.0~40.0</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10月21日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0.06~0.08</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30.0~40.0</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eastAsia" w:cs="Times New Roman"/>
                <w:color w:val="auto"/>
                <w:spacing w:val="0"/>
                <w:kern w:val="0"/>
                <w:sz w:val="21"/>
                <w:szCs w:val="21"/>
                <w:lang w:val="en-US" w:eastAsia="zh-CN"/>
              </w:rPr>
              <w:t>硫酸雾</w:t>
            </w: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10月15日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＜0.005</w:t>
            </w:r>
          </w:p>
        </w:tc>
        <w:tc>
          <w:tcPr>
            <w:tcW w:w="712"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eastAsia" w:cs="Times New Roman"/>
                <w:color w:val="auto"/>
                <w:spacing w:val="0"/>
                <w:kern w:val="0"/>
                <w:sz w:val="21"/>
                <w:szCs w:val="21"/>
                <w:lang w:val="en-US" w:eastAsia="zh-CN"/>
              </w:rPr>
              <w:t>0.3</w:t>
            </w: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10月16日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＜0.005</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10月17日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＜0.005</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10月18日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＜0.005</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10月19日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＜0.005</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10月20日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＜0.005</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10月21日</w:t>
            </w:r>
          </w:p>
        </w:tc>
        <w:tc>
          <w:tcPr>
            <w:tcW w:w="9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＜0.005</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非甲</w:t>
            </w:r>
          </w:p>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烷总</w:t>
            </w:r>
          </w:p>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烃</w:t>
            </w: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sz w:val="21"/>
                <w:szCs w:val="21"/>
                <w:lang w:val="en-US" w:eastAsia="zh-CN"/>
              </w:rPr>
              <w:t>10月15日</w:t>
            </w:r>
          </w:p>
        </w:tc>
        <w:tc>
          <w:tcPr>
            <w:tcW w:w="914"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lang w:val="en-US" w:eastAsia="zh-CN"/>
              </w:rPr>
              <w:t>1.19~1.42</w:t>
            </w:r>
          </w:p>
        </w:tc>
        <w:tc>
          <w:tcPr>
            <w:tcW w:w="712"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2</w:t>
            </w: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59.5~71.0</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sz w:val="21"/>
                <w:szCs w:val="21"/>
                <w:lang w:val="en-US" w:eastAsia="zh-CN"/>
              </w:rPr>
              <w:t>10月16日</w:t>
            </w:r>
          </w:p>
        </w:tc>
        <w:tc>
          <w:tcPr>
            <w:tcW w:w="914"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lang w:val="en-US" w:eastAsia="zh-CN"/>
              </w:rPr>
              <w:t>1.09~1.22</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54.5~61.0</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sz w:val="21"/>
                <w:szCs w:val="21"/>
                <w:lang w:val="en-US" w:eastAsia="zh-CN"/>
              </w:rPr>
              <w:t>10月17日</w:t>
            </w:r>
          </w:p>
        </w:tc>
        <w:tc>
          <w:tcPr>
            <w:tcW w:w="914"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lang w:val="en-US" w:eastAsia="zh-CN"/>
              </w:rPr>
              <w:t>1.11~1.30</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55.5~65.0</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sz w:val="21"/>
                <w:szCs w:val="21"/>
                <w:lang w:val="en-US" w:eastAsia="zh-CN"/>
              </w:rPr>
              <w:t>10月18日</w:t>
            </w:r>
          </w:p>
        </w:tc>
        <w:tc>
          <w:tcPr>
            <w:tcW w:w="914"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lang w:val="en-US" w:eastAsia="zh-CN"/>
              </w:rPr>
              <w:t>1.13~1.18</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56.5~59.0</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sz w:val="21"/>
                <w:szCs w:val="21"/>
                <w:lang w:val="en-US" w:eastAsia="zh-CN"/>
              </w:rPr>
              <w:t>10月19日</w:t>
            </w:r>
          </w:p>
        </w:tc>
        <w:tc>
          <w:tcPr>
            <w:tcW w:w="914"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lang w:val="en-US" w:eastAsia="zh-CN"/>
              </w:rPr>
              <w:t>1.24~1.34</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62.0~67.0</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sz w:val="21"/>
                <w:szCs w:val="21"/>
                <w:lang w:val="en-US" w:eastAsia="zh-CN"/>
              </w:rPr>
              <w:t>10月20日</w:t>
            </w:r>
          </w:p>
        </w:tc>
        <w:tc>
          <w:tcPr>
            <w:tcW w:w="914"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lang w:val="en-US" w:eastAsia="zh-CN"/>
              </w:rPr>
              <w:t>1.19~1.30</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59.5~65.0</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sz w:val="21"/>
                <w:szCs w:val="21"/>
                <w:lang w:val="en-US" w:eastAsia="zh-CN"/>
              </w:rPr>
              <w:t>10月21日</w:t>
            </w:r>
          </w:p>
        </w:tc>
        <w:tc>
          <w:tcPr>
            <w:tcW w:w="914"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lang w:val="en-US" w:eastAsia="zh-CN"/>
              </w:rPr>
              <w:t>1.24~1.33</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62.0~66.5</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eastAsia="zh-CN"/>
              </w:rPr>
            </w:pPr>
            <w:r>
              <w:rPr>
                <w:rFonts w:hint="default" w:ascii="Times New Roman" w:hAnsi="Times New Roman" w:eastAsia="宋体" w:cs="Times New Roman"/>
                <w:color w:val="auto"/>
                <w:spacing w:val="0"/>
                <w:kern w:val="0"/>
                <w:sz w:val="21"/>
                <w:szCs w:val="21"/>
                <w:lang w:val="en-US" w:eastAsia="zh-CN"/>
              </w:rPr>
              <w:t>甲醇</w:t>
            </w: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sz w:val="21"/>
                <w:szCs w:val="21"/>
                <w:lang w:val="en-US" w:eastAsia="zh-CN"/>
              </w:rPr>
              <w:t>10月15日</w:t>
            </w:r>
          </w:p>
        </w:tc>
        <w:tc>
          <w:tcPr>
            <w:tcW w:w="914"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sz w:val="21"/>
                <w:szCs w:val="21"/>
                <w:lang w:val="en-US" w:eastAsia="zh-CN"/>
              </w:rPr>
              <w:t>&lt;0.40</w:t>
            </w:r>
          </w:p>
        </w:tc>
        <w:tc>
          <w:tcPr>
            <w:tcW w:w="712"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lang w:val="en-US" w:eastAsia="zh-CN"/>
              </w:rPr>
              <w:t>3</w:t>
            </w: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sz w:val="21"/>
                <w:szCs w:val="21"/>
                <w:lang w:val="en-US" w:eastAsia="zh-CN"/>
              </w:rPr>
              <w:t>10月16日</w:t>
            </w:r>
          </w:p>
        </w:tc>
        <w:tc>
          <w:tcPr>
            <w:tcW w:w="914"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sz w:val="21"/>
                <w:szCs w:val="21"/>
                <w:lang w:val="en-US" w:eastAsia="zh-CN"/>
              </w:rPr>
              <w:t>&lt;0.40</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sz w:val="21"/>
                <w:szCs w:val="21"/>
                <w:lang w:val="en-US" w:eastAsia="zh-CN"/>
              </w:rPr>
              <w:t>10月17日</w:t>
            </w:r>
          </w:p>
        </w:tc>
        <w:tc>
          <w:tcPr>
            <w:tcW w:w="914"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sz w:val="21"/>
                <w:szCs w:val="21"/>
                <w:lang w:val="en-US" w:eastAsia="zh-CN"/>
              </w:rPr>
              <w:t>&lt;0.40</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sz w:val="21"/>
                <w:szCs w:val="21"/>
                <w:lang w:val="en-US" w:eastAsia="zh-CN"/>
              </w:rPr>
              <w:t>10月18日</w:t>
            </w:r>
          </w:p>
        </w:tc>
        <w:tc>
          <w:tcPr>
            <w:tcW w:w="914"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sz w:val="21"/>
                <w:szCs w:val="21"/>
                <w:lang w:val="en-US" w:eastAsia="zh-CN"/>
              </w:rPr>
              <w:t>&lt;0.40</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sz w:val="21"/>
                <w:szCs w:val="21"/>
                <w:lang w:val="en-US" w:eastAsia="zh-CN"/>
              </w:rPr>
              <w:t>10月19日</w:t>
            </w:r>
          </w:p>
        </w:tc>
        <w:tc>
          <w:tcPr>
            <w:tcW w:w="914"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sz w:val="21"/>
                <w:szCs w:val="21"/>
                <w:lang w:val="en-US" w:eastAsia="zh-CN"/>
              </w:rPr>
              <w:t>&lt;0.40</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sz w:val="21"/>
                <w:szCs w:val="21"/>
                <w:lang w:val="en-US" w:eastAsia="zh-CN"/>
              </w:rPr>
              <w:t>10月20日</w:t>
            </w:r>
          </w:p>
        </w:tc>
        <w:tc>
          <w:tcPr>
            <w:tcW w:w="914"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sz w:val="21"/>
                <w:szCs w:val="21"/>
                <w:lang w:val="en-US" w:eastAsia="zh-CN"/>
              </w:rPr>
              <w:t>&lt;0.40</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45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p>
        </w:tc>
        <w:tc>
          <w:tcPr>
            <w:tcW w:w="43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p>
        </w:tc>
        <w:tc>
          <w:tcPr>
            <w:tcW w:w="13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sz w:val="21"/>
                <w:szCs w:val="21"/>
                <w:lang w:val="en-US" w:eastAsia="zh-CN"/>
              </w:rPr>
              <w:t>10月21日</w:t>
            </w:r>
          </w:p>
        </w:tc>
        <w:tc>
          <w:tcPr>
            <w:tcW w:w="914"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sz w:val="21"/>
                <w:szCs w:val="21"/>
                <w:lang w:val="en-US" w:eastAsia="zh-CN"/>
              </w:rPr>
              <w:t>&lt;0.40</w:t>
            </w:r>
          </w:p>
        </w:tc>
        <w:tc>
          <w:tcPr>
            <w:tcW w:w="71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p>
        </w:tc>
        <w:tc>
          <w:tcPr>
            <w:tcW w:w="73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w:t>
            </w:r>
          </w:p>
        </w:tc>
        <w:tc>
          <w:tcPr>
            <w:tcW w:w="40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rPr>
              <w:t>达标</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kern w:val="0"/>
          <w:sz w:val="24"/>
          <w:szCs w:val="24"/>
          <w:highlight w:val="none"/>
        </w:rPr>
        <w:t>根据表</w:t>
      </w:r>
      <w:r>
        <w:rPr>
          <w:rFonts w:hint="eastAsia" w:ascii="Times New Roman" w:hAnsi="Times New Roman" w:eastAsia="宋体" w:cs="Times New Roman"/>
          <w:color w:val="auto"/>
          <w:kern w:val="0"/>
          <w:sz w:val="24"/>
          <w:szCs w:val="24"/>
          <w:highlight w:val="none"/>
          <w:lang w:val="en-US" w:eastAsia="zh-CN"/>
        </w:rPr>
        <w:t>4.4.1</w:t>
      </w:r>
      <w:r>
        <w:rPr>
          <w:rFonts w:hint="default" w:ascii="Times New Roman" w:hAnsi="Times New Roman" w:eastAsia="宋体" w:cs="Times New Roman"/>
          <w:color w:val="auto"/>
          <w:kern w:val="0"/>
          <w:sz w:val="24"/>
          <w:szCs w:val="24"/>
          <w:highlight w:val="none"/>
        </w:rPr>
        <w:t>-</w:t>
      </w:r>
      <w:r>
        <w:rPr>
          <w:rFonts w:hint="eastAsia" w:ascii="Times New Roman" w:hAnsi="Times New Roman" w:cs="Times New Roman"/>
          <w:color w:val="auto"/>
          <w:kern w:val="0"/>
          <w:sz w:val="24"/>
          <w:szCs w:val="24"/>
          <w:highlight w:val="none"/>
          <w:lang w:val="en-US" w:eastAsia="zh-CN"/>
        </w:rPr>
        <w:t>5</w:t>
      </w:r>
      <w:r>
        <w:rPr>
          <w:rFonts w:hint="default" w:ascii="Times New Roman" w:hAnsi="Times New Roman" w:eastAsia="宋体" w:cs="Times New Roman"/>
          <w:color w:val="auto"/>
          <w:kern w:val="0"/>
          <w:sz w:val="24"/>
          <w:szCs w:val="24"/>
          <w:highlight w:val="none"/>
        </w:rPr>
        <w:t>可知，H</w:t>
      </w:r>
      <w:r>
        <w:rPr>
          <w:rFonts w:hint="eastAsia" w:ascii="Times New Roman" w:hAnsi="Times New Roman" w:eastAsia="宋体" w:cs="Times New Roman"/>
          <w:color w:val="auto"/>
          <w:kern w:val="0"/>
          <w:sz w:val="24"/>
          <w:szCs w:val="24"/>
          <w:highlight w:val="none"/>
          <w:vertAlign w:val="subscript"/>
          <w:lang w:eastAsia="zh-CN"/>
        </w:rPr>
        <w:t>2</w:t>
      </w:r>
      <w:r>
        <w:rPr>
          <w:rFonts w:hint="eastAsia" w:ascii="Times New Roman" w:hAnsi="Times New Roman" w:eastAsia="宋体" w:cs="Times New Roman"/>
          <w:color w:val="auto"/>
          <w:kern w:val="0"/>
          <w:sz w:val="24"/>
          <w:szCs w:val="24"/>
          <w:highlight w:val="none"/>
          <w:vertAlign w:val="baseline"/>
          <w:lang w:eastAsia="zh-CN"/>
        </w:rPr>
        <w:t>S、NH</w:t>
      </w:r>
      <w:r>
        <w:rPr>
          <w:rFonts w:hint="eastAsia" w:ascii="Times New Roman" w:hAnsi="Times New Roman" w:eastAsia="宋体" w:cs="Times New Roman"/>
          <w:color w:val="auto"/>
          <w:kern w:val="0"/>
          <w:sz w:val="24"/>
          <w:szCs w:val="24"/>
          <w:highlight w:val="none"/>
          <w:vertAlign w:val="subscript"/>
          <w:lang w:eastAsia="zh-CN"/>
        </w:rPr>
        <w:t>3</w:t>
      </w:r>
      <w:r>
        <w:rPr>
          <w:rFonts w:hint="eastAsia" w:ascii="Times New Roman" w:hAnsi="Times New Roman" w:eastAsia="宋体" w:cs="Times New Roman"/>
          <w:color w:val="auto"/>
          <w:kern w:val="0"/>
          <w:sz w:val="24"/>
          <w:szCs w:val="24"/>
          <w:highlight w:val="none"/>
          <w:vertAlign w:val="baseline"/>
          <w:lang w:eastAsia="zh-CN"/>
        </w:rPr>
        <w:t>、</w:t>
      </w:r>
      <w:r>
        <w:rPr>
          <w:rFonts w:hint="eastAsia" w:ascii="Times New Roman" w:hAnsi="Times New Roman" w:eastAsia="宋体" w:cs="Times New Roman"/>
          <w:color w:val="auto"/>
          <w:kern w:val="0"/>
          <w:sz w:val="24"/>
          <w:szCs w:val="24"/>
          <w:highlight w:val="none"/>
          <w:vertAlign w:val="baseline"/>
          <w:lang w:val="en-US" w:eastAsia="zh-CN"/>
        </w:rPr>
        <w:t>硫酸雾及甲醇</w:t>
      </w:r>
      <w:r>
        <w:rPr>
          <w:rFonts w:hint="default" w:ascii="Times New Roman" w:hAnsi="Times New Roman" w:eastAsia="宋体" w:cs="Times New Roman"/>
          <w:color w:val="auto"/>
          <w:kern w:val="0"/>
          <w:sz w:val="24"/>
          <w:szCs w:val="24"/>
          <w:highlight w:val="none"/>
        </w:rPr>
        <w:t>的小时值满足《环境影响评价技术导则 大气环境》（HJ2.2-2018）附录</w:t>
      </w:r>
      <w:r>
        <w:rPr>
          <w:rFonts w:hint="eastAsia" w:ascii="Times New Roman" w:hAnsi="Times New Roman" w:eastAsia="宋体" w:cs="Times New Roman"/>
          <w:color w:val="auto"/>
          <w:kern w:val="0"/>
          <w:sz w:val="24"/>
          <w:szCs w:val="24"/>
          <w:highlight w:val="none"/>
          <w:lang w:val="en-US" w:eastAsia="zh-CN"/>
        </w:rPr>
        <w:t xml:space="preserve"> </w:t>
      </w:r>
      <w:r>
        <w:rPr>
          <w:rFonts w:hint="default" w:ascii="Times New Roman" w:hAnsi="Times New Roman" w:eastAsia="宋体" w:cs="Times New Roman"/>
          <w:color w:val="auto"/>
          <w:kern w:val="0"/>
          <w:sz w:val="24"/>
          <w:szCs w:val="24"/>
          <w:highlight w:val="none"/>
        </w:rPr>
        <w:t>D</w:t>
      </w:r>
      <w:r>
        <w:rPr>
          <w:rFonts w:hint="eastAsia" w:ascii="Times New Roman" w:hAnsi="Times New Roman" w:eastAsia="宋体" w:cs="Times New Roman"/>
          <w:color w:val="auto"/>
          <w:kern w:val="0"/>
          <w:sz w:val="24"/>
          <w:szCs w:val="24"/>
          <w:highlight w:val="none"/>
          <w:lang w:val="en-US" w:eastAsia="zh-CN"/>
        </w:rPr>
        <w:t xml:space="preserve"> </w:t>
      </w:r>
      <w:r>
        <w:rPr>
          <w:rFonts w:hint="default" w:ascii="Times New Roman" w:hAnsi="Times New Roman" w:eastAsia="宋体" w:cs="Times New Roman"/>
          <w:color w:val="auto"/>
          <w:kern w:val="0"/>
          <w:sz w:val="24"/>
          <w:szCs w:val="24"/>
          <w:highlight w:val="none"/>
        </w:rPr>
        <w:t>中其他污染物空气质量浓度参考限值要求</w:t>
      </w:r>
      <w:r>
        <w:rPr>
          <w:rFonts w:hint="eastAsia" w:ascii="Times New Roman" w:hAnsi="Times New Roman" w:cs="Times New Roman"/>
          <w:color w:val="auto"/>
          <w:kern w:val="0"/>
          <w:sz w:val="24"/>
          <w:szCs w:val="24"/>
          <w:highlight w:val="none"/>
          <w:lang w:eastAsia="zh-CN"/>
        </w:rPr>
        <w:t>，</w:t>
      </w:r>
      <w:r>
        <w:rPr>
          <w:rFonts w:hint="default" w:ascii="Times New Roman" w:hAnsi="Times New Roman" w:eastAsia="宋体" w:cs="Times New Roman"/>
          <w:snapToGrid w:val="0"/>
          <w:color w:val="auto"/>
          <w:kern w:val="0"/>
          <w:sz w:val="24"/>
          <w:szCs w:val="24"/>
          <w:highlight w:val="none"/>
        </w:rPr>
        <w:t>非甲烷总烃小时值满足《大气污染物综合排放标准详解》中2.0</w:t>
      </w:r>
      <w:r>
        <w:rPr>
          <w:rFonts w:hint="eastAsia" w:ascii="Times New Roman" w:hAnsi="Times New Roman" w:eastAsia="宋体" w:cs="Times New Roman"/>
          <w:snapToGrid w:val="0"/>
          <w:color w:val="auto"/>
          <w:kern w:val="0"/>
          <w:sz w:val="24"/>
          <w:szCs w:val="24"/>
          <w:highlight w:val="none"/>
          <w:lang w:eastAsia="zh-CN"/>
        </w:rPr>
        <w:t>m</w:t>
      </w:r>
      <w:r>
        <w:rPr>
          <w:rFonts w:hint="default" w:ascii="Times New Roman" w:hAnsi="Times New Roman" w:eastAsia="宋体" w:cs="Times New Roman"/>
          <w:snapToGrid w:val="0"/>
          <w:color w:val="auto"/>
          <w:kern w:val="0"/>
          <w:sz w:val="24"/>
          <w:szCs w:val="24"/>
          <w:highlight w:val="none"/>
        </w:rPr>
        <w:t>g/</w:t>
      </w:r>
      <w:r>
        <w:rPr>
          <w:rFonts w:hint="eastAsia" w:ascii="Times New Roman" w:hAnsi="Times New Roman" w:eastAsia="宋体" w:cs="Times New Roman"/>
          <w:snapToGrid w:val="0"/>
          <w:color w:val="auto"/>
          <w:kern w:val="0"/>
          <w:sz w:val="24"/>
          <w:szCs w:val="24"/>
          <w:highlight w:val="none"/>
          <w:vertAlign w:val="baseline"/>
          <w:lang w:eastAsia="zh-CN"/>
        </w:rPr>
        <w:t>m</w:t>
      </w:r>
      <w:r>
        <w:rPr>
          <w:rFonts w:hint="eastAsia" w:ascii="Times New Roman" w:hAnsi="Times New Roman" w:eastAsia="宋体" w:cs="Times New Roman"/>
          <w:snapToGrid w:val="0"/>
          <w:color w:val="auto"/>
          <w:kern w:val="0"/>
          <w:sz w:val="24"/>
          <w:szCs w:val="24"/>
          <w:highlight w:val="none"/>
          <w:vertAlign w:val="superscript"/>
          <w:lang w:eastAsia="zh-CN"/>
        </w:rPr>
        <w:t>3</w:t>
      </w:r>
      <w:r>
        <w:rPr>
          <w:rFonts w:hint="default" w:ascii="Times New Roman" w:hAnsi="Times New Roman" w:eastAsia="宋体" w:cs="Times New Roman"/>
          <w:snapToGrid w:val="0"/>
          <w:color w:val="auto"/>
          <w:kern w:val="0"/>
          <w:sz w:val="24"/>
          <w:szCs w:val="24"/>
          <w:highlight w:val="none"/>
        </w:rPr>
        <w:t>的要求</w:t>
      </w:r>
      <w:r>
        <w:rPr>
          <w:rFonts w:hint="eastAsia" w:ascii="Times New Roman" w:hAnsi="Times New Roman" w:eastAsia="宋体" w:cs="Times New Roman"/>
          <w:snapToGrid w:val="0"/>
          <w:color w:val="auto"/>
          <w:kern w:val="0"/>
          <w:sz w:val="24"/>
          <w:szCs w:val="24"/>
          <w:highlight w:val="none"/>
          <w:lang w:eastAsia="zh-CN"/>
        </w:rPr>
        <w:t>；</w:t>
      </w:r>
      <w:r>
        <w:rPr>
          <w:rFonts w:hint="eastAsia" w:ascii="Times New Roman" w:hAnsi="Times New Roman" w:eastAsia="宋体" w:cs="Times New Roman"/>
          <w:snapToGrid w:val="0"/>
          <w:color w:val="auto"/>
          <w:kern w:val="0"/>
          <w:sz w:val="24"/>
          <w:szCs w:val="24"/>
          <w:highlight w:val="none"/>
          <w:lang w:val="en-US" w:eastAsia="zh-CN"/>
        </w:rPr>
        <w:t>TSP日均值满足《环境空气质量标准》（GB3095-2012）中的二级标准限值要求</w:t>
      </w:r>
      <w:r>
        <w:rPr>
          <w:rFonts w:hint="default" w:ascii="Times New Roman" w:hAnsi="Times New Roman" w:eastAsia="宋体" w:cs="Times New Roman"/>
          <w:snapToGrid w:val="0"/>
          <w:color w:val="auto"/>
          <w:kern w:val="0"/>
          <w:sz w:val="24"/>
          <w:szCs w:val="24"/>
          <w:highlight w:val="none"/>
        </w:rPr>
        <w:t>。</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4.4.2 水环境质量现状调查与评价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拟建项目位于</w:t>
      </w:r>
      <w:r>
        <w:rPr>
          <w:rFonts w:hint="default" w:ascii="Times New Roman" w:hAnsi="Times New Roman" w:eastAsia="宋体" w:cs="Times New Roman"/>
          <w:color w:val="auto"/>
          <w:sz w:val="24"/>
          <w:szCs w:val="24"/>
          <w:lang w:val="en-US" w:eastAsia="zh-CN"/>
        </w:rPr>
        <w:t>昌吉州</w:t>
      </w:r>
      <w:r>
        <w:rPr>
          <w:rFonts w:hint="eastAsia" w:ascii="Times New Roman" w:hAnsi="Times New Roman" w:eastAsia="宋体" w:cs="Times New Roman"/>
          <w:color w:val="auto"/>
          <w:sz w:val="24"/>
          <w:szCs w:val="24"/>
          <w:lang w:val="en-US" w:eastAsia="zh-CN"/>
        </w:rPr>
        <w:t>呼图壁工业园西区内</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厂址东侧为呼图壁县安泰水泥有限责任公司，南侧紧邻爱特路，西侧紧邻园区道路，北侧为新疆助农丰节水管材有限责任公司，项目区周边无地表水体，本项目与地表水没有直接的水力联系，故不会对地表水产生影响，故本次不对地表水环境质量现状进行评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本次地下水环境质量现状采用现状监测 4 个监测点位与引用 1 个监测点位相结合的方式进行评价。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本次引用新疆锡水金山环境科技有限公司于 2021 年 7 月 6 日~7 月 8 日对《新疆金马再生资源开发有限公司回收6万吨农副产品一般固体废弃物综合利用项目环境影响报告书》中的下游井监测数据，引用数据位于本项目区西北侧，距离为730m。该项目与本项目属统一水文地质单元。本次共引用地下水监测点1 个，引用数据可反应项目区地下水质量现状，引用具有有效性。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本次现状评价委托新疆国泰民康职业环境检测评价有限责任公司于 2023 年10 月 28 日对项目区进行了地下水环境质量现状监测，共布设地下水监测点 4 个（地下水流向由东南向西北），地下水监测布点详见表 4.4.2-1、</w:t>
      </w:r>
      <w:r>
        <w:rPr>
          <w:rFonts w:hint="eastAsia" w:ascii="Times New Roman" w:hAnsi="Times New Roman" w:eastAsia="宋体" w:cs="Times New Roman"/>
          <w:b/>
          <w:bCs/>
          <w:color w:val="auto"/>
          <w:sz w:val="24"/>
          <w:szCs w:val="24"/>
          <w:lang w:val="en-US" w:eastAsia="zh-CN"/>
        </w:rPr>
        <w:t>附图4.3-1</w:t>
      </w:r>
      <w:r>
        <w:rPr>
          <w:rFonts w:hint="eastAsia" w:ascii="Times New Roman" w:hAnsi="Times New Roman" w:eastAsia="宋体" w:cs="Times New Roman"/>
          <w:color w:val="auto"/>
          <w:sz w:val="24"/>
          <w:szCs w:val="24"/>
          <w:lang w:val="en-US" w:eastAsia="zh-CN"/>
        </w:rPr>
        <w:t>。</w:t>
      </w:r>
    </w:p>
    <w:p>
      <w:pPr>
        <w:pStyle w:val="33"/>
        <w:bidi w:val="0"/>
        <w:rPr>
          <w:rFonts w:hint="default"/>
          <w:color w:val="auto"/>
          <w:sz w:val="24"/>
          <w:szCs w:val="24"/>
        </w:rPr>
      </w:pPr>
      <w:r>
        <w:rPr>
          <w:rFonts w:hint="default"/>
          <w:color w:val="auto"/>
          <w:sz w:val="24"/>
          <w:szCs w:val="24"/>
        </w:rPr>
        <w:t>表</w:t>
      </w:r>
      <w:r>
        <w:rPr>
          <w:rFonts w:hint="eastAsia"/>
          <w:color w:val="auto"/>
          <w:sz w:val="24"/>
          <w:szCs w:val="24"/>
          <w:lang w:val="en-US" w:eastAsia="zh-CN"/>
        </w:rPr>
        <w:t xml:space="preserve"> </w:t>
      </w:r>
      <w:r>
        <w:rPr>
          <w:rFonts w:hint="default"/>
          <w:color w:val="auto"/>
          <w:sz w:val="24"/>
          <w:szCs w:val="24"/>
        </w:rPr>
        <w:t>4.</w:t>
      </w:r>
      <w:r>
        <w:rPr>
          <w:rFonts w:hint="eastAsia"/>
          <w:color w:val="auto"/>
          <w:sz w:val="24"/>
          <w:szCs w:val="24"/>
          <w:lang w:val="en-US" w:eastAsia="zh-CN"/>
        </w:rPr>
        <w:t>4.</w:t>
      </w:r>
      <w:r>
        <w:rPr>
          <w:rFonts w:hint="default"/>
          <w:color w:val="auto"/>
          <w:sz w:val="24"/>
          <w:szCs w:val="24"/>
        </w:rPr>
        <w:t>2-</w:t>
      </w:r>
      <w:r>
        <w:rPr>
          <w:rFonts w:hint="eastAsia"/>
          <w:color w:val="auto"/>
          <w:sz w:val="24"/>
          <w:szCs w:val="24"/>
          <w:lang w:val="en-US" w:eastAsia="zh-CN"/>
        </w:rPr>
        <w:t>1</w:t>
      </w:r>
      <w:r>
        <w:rPr>
          <w:rFonts w:hint="default"/>
          <w:color w:val="auto"/>
          <w:sz w:val="24"/>
          <w:szCs w:val="24"/>
        </w:rPr>
        <w:t xml:space="preserve">   地下水监测布点情况</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2"/>
        <w:gridCol w:w="1883"/>
        <w:gridCol w:w="852"/>
        <w:gridCol w:w="1641"/>
        <w:gridCol w:w="1641"/>
        <w:gridCol w:w="790"/>
        <w:gridCol w:w="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pct"/>
            <w:tcBorders>
              <w:tl2br w:val="nil"/>
              <w:tr2bl w:val="nil"/>
            </w:tcBorders>
            <w:noWrap w:val="0"/>
            <w:vAlign w:val="center"/>
          </w:tcPr>
          <w:p>
            <w:pPr>
              <w:pStyle w:val="34"/>
              <w:bidi w:val="0"/>
              <w:rPr>
                <w:rFonts w:hint="default"/>
                <w:b/>
                <w:bCs/>
                <w:color w:val="auto"/>
              </w:rPr>
            </w:pPr>
            <w:r>
              <w:rPr>
                <w:rFonts w:hint="default"/>
                <w:b/>
                <w:bCs/>
                <w:color w:val="auto"/>
              </w:rPr>
              <w:t>名称</w:t>
            </w:r>
          </w:p>
        </w:tc>
        <w:tc>
          <w:tcPr>
            <w:tcW w:w="1106" w:type="pct"/>
            <w:tcBorders>
              <w:tl2br w:val="nil"/>
              <w:tr2bl w:val="nil"/>
            </w:tcBorders>
            <w:noWrap w:val="0"/>
            <w:vAlign w:val="center"/>
          </w:tcPr>
          <w:p>
            <w:pPr>
              <w:pStyle w:val="34"/>
              <w:bidi w:val="0"/>
              <w:rPr>
                <w:rFonts w:hint="default"/>
                <w:b/>
                <w:bCs/>
                <w:color w:val="auto"/>
              </w:rPr>
            </w:pPr>
            <w:r>
              <w:rPr>
                <w:rFonts w:hint="eastAsia"/>
                <w:b/>
                <w:bCs/>
                <w:color w:val="auto"/>
                <w:lang w:val="en-US" w:eastAsia="zh-CN"/>
              </w:rPr>
              <w:t>布点</w:t>
            </w:r>
            <w:r>
              <w:rPr>
                <w:rFonts w:hint="default"/>
                <w:b/>
                <w:bCs/>
                <w:color w:val="auto"/>
              </w:rPr>
              <w:t>位置</w:t>
            </w:r>
          </w:p>
        </w:tc>
        <w:tc>
          <w:tcPr>
            <w:tcW w:w="500" w:type="pct"/>
            <w:tcBorders>
              <w:tl2br w:val="nil"/>
              <w:tr2bl w:val="nil"/>
            </w:tcBorders>
            <w:noWrap w:val="0"/>
            <w:vAlign w:val="center"/>
          </w:tcPr>
          <w:p>
            <w:pPr>
              <w:pStyle w:val="34"/>
              <w:bidi w:val="0"/>
              <w:rPr>
                <w:rFonts w:hint="default"/>
                <w:b/>
                <w:bCs/>
                <w:color w:val="auto"/>
                <w:lang w:val="en-US" w:eastAsia="zh-CN"/>
              </w:rPr>
            </w:pPr>
            <w:r>
              <w:rPr>
                <w:rFonts w:hint="eastAsia"/>
                <w:b/>
                <w:bCs/>
                <w:color w:val="auto"/>
                <w:lang w:val="en-US" w:eastAsia="zh-CN"/>
              </w:rPr>
              <w:t>距离</w:t>
            </w:r>
          </w:p>
        </w:tc>
        <w:tc>
          <w:tcPr>
            <w:tcW w:w="963" w:type="pct"/>
            <w:tcBorders>
              <w:tl2br w:val="nil"/>
              <w:tr2bl w:val="nil"/>
            </w:tcBorders>
            <w:noWrap w:val="0"/>
            <w:vAlign w:val="center"/>
          </w:tcPr>
          <w:p>
            <w:pPr>
              <w:pStyle w:val="34"/>
              <w:bidi w:val="0"/>
              <w:rPr>
                <w:rFonts w:hint="default"/>
                <w:b/>
                <w:bCs/>
                <w:color w:val="auto"/>
              </w:rPr>
            </w:pPr>
            <w:r>
              <w:rPr>
                <w:rFonts w:hint="default"/>
                <w:b/>
                <w:bCs/>
                <w:color w:val="auto"/>
              </w:rPr>
              <w:t>经度</w:t>
            </w:r>
          </w:p>
        </w:tc>
        <w:tc>
          <w:tcPr>
            <w:tcW w:w="963" w:type="pct"/>
            <w:tcBorders>
              <w:tl2br w:val="nil"/>
              <w:tr2bl w:val="nil"/>
            </w:tcBorders>
            <w:noWrap w:val="0"/>
            <w:vAlign w:val="center"/>
          </w:tcPr>
          <w:p>
            <w:pPr>
              <w:pStyle w:val="34"/>
              <w:bidi w:val="0"/>
              <w:rPr>
                <w:rFonts w:hint="default"/>
                <w:b/>
                <w:bCs/>
                <w:color w:val="auto"/>
              </w:rPr>
            </w:pPr>
            <w:r>
              <w:rPr>
                <w:rFonts w:hint="default"/>
                <w:b/>
                <w:bCs/>
                <w:color w:val="auto"/>
              </w:rPr>
              <w:t>纬度</w:t>
            </w:r>
          </w:p>
        </w:tc>
        <w:tc>
          <w:tcPr>
            <w:tcW w:w="464" w:type="pct"/>
            <w:tcBorders>
              <w:tl2br w:val="nil"/>
              <w:tr2bl w:val="nil"/>
            </w:tcBorders>
            <w:noWrap w:val="0"/>
            <w:vAlign w:val="center"/>
          </w:tcPr>
          <w:p>
            <w:pPr>
              <w:pStyle w:val="34"/>
              <w:bidi w:val="0"/>
              <w:rPr>
                <w:rFonts w:hint="default" w:eastAsia="宋体"/>
                <w:b/>
                <w:bCs/>
                <w:color w:val="auto"/>
                <w:lang w:val="en-US" w:eastAsia="zh-CN"/>
              </w:rPr>
            </w:pPr>
            <w:r>
              <w:rPr>
                <w:rFonts w:hint="eastAsia"/>
                <w:b/>
                <w:bCs/>
                <w:color w:val="auto"/>
                <w:lang w:val="en-US" w:eastAsia="zh-CN"/>
              </w:rPr>
              <w:t>水位埋深</w:t>
            </w:r>
          </w:p>
        </w:tc>
        <w:tc>
          <w:tcPr>
            <w:tcW w:w="526" w:type="pct"/>
            <w:tcBorders>
              <w:tl2br w:val="nil"/>
              <w:tr2bl w:val="nil"/>
            </w:tcBorders>
            <w:noWrap w:val="0"/>
            <w:vAlign w:val="center"/>
          </w:tcPr>
          <w:p>
            <w:pPr>
              <w:pStyle w:val="34"/>
              <w:bidi w:val="0"/>
              <w:rPr>
                <w:rFonts w:hint="default" w:eastAsia="宋体"/>
                <w:b/>
                <w:bCs/>
                <w:color w:val="auto"/>
                <w:lang w:val="en-US" w:eastAsia="zh-CN"/>
              </w:rPr>
            </w:pPr>
            <w:r>
              <w:rPr>
                <w:rFonts w:hint="eastAsia"/>
                <w:b/>
                <w:bCs/>
                <w:color w:val="auto"/>
                <w:lang w:val="en-US" w:eastAsia="zh-CN"/>
              </w:rPr>
              <w:t>采样层位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476" w:type="pct"/>
            <w:tcBorders>
              <w:tl2br w:val="nil"/>
              <w:tr2bl w:val="nil"/>
            </w:tcBorders>
            <w:noWrap w:val="0"/>
            <w:vAlign w:val="center"/>
          </w:tcPr>
          <w:p>
            <w:pPr>
              <w:pStyle w:val="34"/>
              <w:bidi w:val="0"/>
              <w:rPr>
                <w:rFonts w:hint="default"/>
                <w:color w:val="auto"/>
              </w:rPr>
            </w:pPr>
            <w:r>
              <w:rPr>
                <w:rFonts w:hint="eastAsia"/>
                <w:color w:val="auto"/>
                <w:lang w:val="en-US" w:eastAsia="zh-CN"/>
              </w:rPr>
              <w:t>8</w:t>
            </w:r>
            <w:r>
              <w:rPr>
                <w:rFonts w:hint="default"/>
                <w:color w:val="auto"/>
              </w:rPr>
              <w:t>#</w:t>
            </w:r>
          </w:p>
        </w:tc>
        <w:tc>
          <w:tcPr>
            <w:tcW w:w="1106" w:type="pct"/>
            <w:tcBorders>
              <w:tl2br w:val="nil"/>
              <w:tr2bl w:val="nil"/>
            </w:tcBorders>
            <w:noWrap w:val="0"/>
            <w:vAlign w:val="center"/>
          </w:tcPr>
          <w:p>
            <w:pPr>
              <w:pStyle w:val="34"/>
              <w:bidi w:val="0"/>
              <w:rPr>
                <w:rFonts w:hint="default"/>
                <w:color w:val="auto"/>
                <w:lang w:val="en-US" w:eastAsia="zh-CN"/>
              </w:rPr>
            </w:pPr>
            <w:r>
              <w:rPr>
                <w:rFonts w:hint="eastAsia"/>
                <w:color w:val="auto"/>
                <w:lang w:val="en-US" w:eastAsia="zh-CN"/>
              </w:rPr>
              <w:t>项目区南侧树窝子村地下水井（上游）</w:t>
            </w:r>
          </w:p>
        </w:tc>
        <w:tc>
          <w:tcPr>
            <w:tcW w:w="500" w:type="pct"/>
            <w:tcBorders>
              <w:tl2br w:val="nil"/>
              <w:tr2bl w:val="nil"/>
            </w:tcBorders>
            <w:noWrap w:val="0"/>
            <w:vAlign w:val="center"/>
          </w:tcPr>
          <w:p>
            <w:pPr>
              <w:pStyle w:val="34"/>
              <w:bidi w:val="0"/>
              <w:rPr>
                <w:rFonts w:hint="default"/>
                <w:color w:val="auto"/>
                <w:lang w:val="en-US" w:eastAsia="zh-CN"/>
              </w:rPr>
            </w:pPr>
            <w:r>
              <w:rPr>
                <w:rFonts w:hint="eastAsia"/>
                <w:color w:val="auto"/>
                <w:lang w:val="en-US" w:eastAsia="zh-CN"/>
              </w:rPr>
              <w:t>5.89km</w:t>
            </w:r>
          </w:p>
        </w:tc>
        <w:tc>
          <w:tcPr>
            <w:tcW w:w="963" w:type="pct"/>
            <w:tcBorders>
              <w:tl2br w:val="nil"/>
              <w:tr2bl w:val="nil"/>
            </w:tcBorders>
            <w:noWrap w:val="0"/>
            <w:vAlign w:val="center"/>
          </w:tcPr>
          <w:p>
            <w:pPr>
              <w:pStyle w:val="34"/>
              <w:bidi w:val="0"/>
              <w:rPr>
                <w:rFonts w:hint="default"/>
                <w:color w:val="auto"/>
                <w:lang w:val="en-US" w:eastAsia="zh-CN"/>
              </w:rPr>
            </w:pPr>
            <w:r>
              <w:rPr>
                <w:rFonts w:hint="default"/>
                <w:color w:val="auto"/>
                <w:lang w:val="en-US" w:eastAsia="zh-CN"/>
              </w:rPr>
              <w:t>8</w:t>
            </w:r>
            <w:r>
              <w:rPr>
                <w:rFonts w:hint="eastAsia"/>
                <w:color w:val="auto"/>
                <w:lang w:val="en-US" w:eastAsia="zh-CN"/>
              </w:rPr>
              <w:t>6</w:t>
            </w:r>
            <w:r>
              <w:rPr>
                <w:rFonts w:hint="default"/>
                <w:color w:val="auto"/>
                <w:lang w:val="en-US" w:eastAsia="zh-CN"/>
              </w:rPr>
              <w:t>°</w:t>
            </w:r>
            <w:r>
              <w:rPr>
                <w:rFonts w:hint="eastAsia"/>
                <w:color w:val="auto"/>
                <w:lang w:val="en-US" w:eastAsia="zh-CN"/>
              </w:rPr>
              <w:t>34</w:t>
            </w:r>
            <w:r>
              <w:rPr>
                <w:rFonts w:hint="default"/>
                <w:color w:val="auto"/>
                <w:lang w:val="en-US" w:eastAsia="zh-CN"/>
              </w:rPr>
              <w:t>'</w:t>
            </w:r>
            <w:r>
              <w:rPr>
                <w:rFonts w:hint="eastAsia"/>
                <w:color w:val="auto"/>
                <w:lang w:val="en-US" w:eastAsia="zh-CN"/>
              </w:rPr>
              <w:t>37.50733</w:t>
            </w:r>
            <w:r>
              <w:rPr>
                <w:rFonts w:hint="default"/>
                <w:color w:val="auto"/>
                <w:lang w:val="en-US" w:eastAsia="zh-CN"/>
              </w:rPr>
              <w:t>"</w:t>
            </w:r>
          </w:p>
        </w:tc>
        <w:tc>
          <w:tcPr>
            <w:tcW w:w="963" w:type="pct"/>
            <w:tcBorders>
              <w:tl2br w:val="nil"/>
              <w:tr2bl w:val="nil"/>
            </w:tcBorders>
            <w:noWrap w:val="0"/>
            <w:vAlign w:val="center"/>
          </w:tcPr>
          <w:p>
            <w:pPr>
              <w:pStyle w:val="34"/>
              <w:bidi w:val="0"/>
              <w:rPr>
                <w:rFonts w:hint="default"/>
                <w:color w:val="auto"/>
                <w:lang w:val="en-US" w:eastAsia="zh-CN"/>
              </w:rPr>
            </w:pPr>
            <w:r>
              <w:rPr>
                <w:rFonts w:hint="default"/>
                <w:color w:val="auto"/>
                <w:lang w:val="en-US" w:eastAsia="zh-CN"/>
              </w:rPr>
              <w:t>44°13′24.2368″</w:t>
            </w:r>
          </w:p>
        </w:tc>
        <w:tc>
          <w:tcPr>
            <w:tcW w:w="464" w:type="pct"/>
            <w:tcBorders>
              <w:tl2br w:val="nil"/>
              <w:tr2bl w:val="nil"/>
            </w:tcBorders>
            <w:noWrap w:val="0"/>
            <w:vAlign w:val="center"/>
          </w:tcPr>
          <w:p>
            <w:pPr>
              <w:pStyle w:val="34"/>
              <w:bidi w:val="0"/>
              <w:rPr>
                <w:rFonts w:hint="default"/>
                <w:color w:val="auto"/>
                <w:lang w:val="en-US" w:eastAsia="zh-CN"/>
              </w:rPr>
            </w:pPr>
            <w:r>
              <w:rPr>
                <w:rFonts w:hint="eastAsia"/>
                <w:color w:val="auto"/>
                <w:lang w:val="en-US" w:eastAsia="zh-CN"/>
              </w:rPr>
              <w:t>9</w:t>
            </w:r>
          </w:p>
        </w:tc>
        <w:tc>
          <w:tcPr>
            <w:tcW w:w="526" w:type="pct"/>
            <w:tcBorders>
              <w:tl2br w:val="nil"/>
              <w:tr2bl w:val="nil"/>
            </w:tcBorders>
            <w:noWrap w:val="0"/>
            <w:vAlign w:val="center"/>
          </w:tcPr>
          <w:p>
            <w:pPr>
              <w:pStyle w:val="34"/>
              <w:bidi w:val="0"/>
              <w:rPr>
                <w:rFonts w:hint="default"/>
                <w:color w:val="auto"/>
                <w:lang w:val="en-US" w:eastAsia="zh-CN"/>
              </w:rPr>
            </w:pPr>
            <w:r>
              <w:rPr>
                <w:rFonts w:hint="default"/>
                <w:color w:val="auto"/>
                <w:lang w:val="en-US" w:eastAsia="zh-CN"/>
              </w:rPr>
              <w:t>潜水含水层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pct"/>
            <w:tcBorders>
              <w:tl2br w:val="nil"/>
              <w:tr2bl w:val="nil"/>
            </w:tcBorders>
            <w:noWrap w:val="0"/>
            <w:vAlign w:val="center"/>
          </w:tcPr>
          <w:p>
            <w:pPr>
              <w:pStyle w:val="34"/>
              <w:bidi w:val="0"/>
              <w:rPr>
                <w:rFonts w:hint="default"/>
                <w:color w:val="auto"/>
              </w:rPr>
            </w:pPr>
            <w:r>
              <w:rPr>
                <w:rFonts w:hint="eastAsia"/>
                <w:color w:val="auto"/>
                <w:lang w:val="en-US" w:eastAsia="zh-CN"/>
              </w:rPr>
              <w:t>9</w:t>
            </w:r>
            <w:r>
              <w:rPr>
                <w:rFonts w:hint="default"/>
                <w:color w:val="auto"/>
              </w:rPr>
              <w:t>#</w:t>
            </w:r>
          </w:p>
        </w:tc>
        <w:tc>
          <w:tcPr>
            <w:tcW w:w="1106" w:type="pct"/>
            <w:tcBorders>
              <w:tl2br w:val="nil"/>
              <w:tr2bl w:val="nil"/>
            </w:tcBorders>
            <w:noWrap w:val="0"/>
            <w:vAlign w:val="center"/>
          </w:tcPr>
          <w:p>
            <w:pPr>
              <w:pStyle w:val="34"/>
              <w:bidi w:val="0"/>
              <w:rPr>
                <w:rFonts w:hint="default"/>
                <w:color w:val="auto"/>
                <w:lang w:val="en-US"/>
              </w:rPr>
            </w:pPr>
            <w:r>
              <w:rPr>
                <w:rFonts w:hint="default"/>
                <w:color w:val="auto"/>
                <w:lang w:val="en-US" w:eastAsia="zh-CN"/>
              </w:rPr>
              <w:t>项目区左侧十八户五片区</w:t>
            </w:r>
            <w:r>
              <w:rPr>
                <w:rFonts w:hint="eastAsia"/>
                <w:color w:val="auto"/>
                <w:lang w:val="en-US" w:eastAsia="zh-CN"/>
              </w:rPr>
              <w:t>（中游）</w:t>
            </w:r>
          </w:p>
        </w:tc>
        <w:tc>
          <w:tcPr>
            <w:tcW w:w="500" w:type="pct"/>
            <w:tcBorders>
              <w:tl2br w:val="nil"/>
              <w:tr2bl w:val="nil"/>
            </w:tcBorders>
            <w:noWrap w:val="0"/>
            <w:vAlign w:val="center"/>
          </w:tcPr>
          <w:p>
            <w:pPr>
              <w:pStyle w:val="34"/>
              <w:bidi w:val="0"/>
              <w:rPr>
                <w:rFonts w:hint="default"/>
                <w:color w:val="auto"/>
                <w:lang w:val="en-US" w:eastAsia="zh-CN"/>
              </w:rPr>
            </w:pPr>
            <w:r>
              <w:rPr>
                <w:rFonts w:hint="eastAsia"/>
                <w:color w:val="auto"/>
                <w:lang w:val="en-US" w:eastAsia="zh-CN"/>
              </w:rPr>
              <w:t>6.14km</w:t>
            </w:r>
          </w:p>
        </w:tc>
        <w:tc>
          <w:tcPr>
            <w:tcW w:w="963" w:type="pct"/>
            <w:tcBorders>
              <w:tl2br w:val="nil"/>
              <w:tr2bl w:val="nil"/>
            </w:tcBorders>
            <w:noWrap w:val="0"/>
            <w:vAlign w:val="center"/>
          </w:tcPr>
          <w:p>
            <w:pPr>
              <w:pStyle w:val="34"/>
              <w:bidi w:val="0"/>
              <w:rPr>
                <w:rFonts w:hint="default"/>
                <w:color w:val="auto"/>
                <w:lang w:val="zh-CN" w:eastAsia="zh-CN"/>
              </w:rPr>
            </w:pPr>
            <w:r>
              <w:rPr>
                <w:rFonts w:hint="default" w:ascii="Times New Roman" w:hAnsi="Times New Roman" w:eastAsia="楷体" w:cs="Times New Roman"/>
                <w:color w:val="auto"/>
                <w:szCs w:val="21"/>
                <w:highlight w:val="none"/>
                <w:lang w:val="en-US" w:eastAsia="zh-CN"/>
              </w:rPr>
              <w:t>86°</w:t>
            </w:r>
            <w:r>
              <w:rPr>
                <w:rFonts w:hint="eastAsia" w:ascii="Times New Roman" w:hAnsi="Times New Roman" w:eastAsia="楷体" w:cs="Times New Roman"/>
                <w:color w:val="auto"/>
                <w:szCs w:val="21"/>
                <w:highlight w:val="none"/>
                <w:lang w:val="en-US" w:eastAsia="zh-CN"/>
              </w:rPr>
              <w:t>31</w:t>
            </w:r>
            <w:r>
              <w:rPr>
                <w:rFonts w:hint="default" w:ascii="Times New Roman" w:hAnsi="Times New Roman" w:eastAsia="楷体" w:cs="Times New Roman"/>
                <w:color w:val="auto"/>
                <w:szCs w:val="21"/>
                <w:highlight w:val="none"/>
                <w:lang w:val="en-US" w:eastAsia="zh-CN"/>
              </w:rPr>
              <w:t>′</w:t>
            </w:r>
            <w:r>
              <w:rPr>
                <w:rFonts w:hint="eastAsia" w:ascii="Times New Roman" w:hAnsi="Times New Roman" w:eastAsia="楷体" w:cs="Times New Roman"/>
                <w:color w:val="auto"/>
                <w:szCs w:val="21"/>
                <w:highlight w:val="none"/>
                <w:lang w:val="en-US" w:eastAsia="zh-CN"/>
              </w:rPr>
              <w:t>49.53004</w:t>
            </w:r>
            <w:r>
              <w:rPr>
                <w:rFonts w:hint="default" w:ascii="Times New Roman" w:hAnsi="Times New Roman" w:eastAsia="楷体" w:cs="Times New Roman"/>
                <w:color w:val="auto"/>
                <w:szCs w:val="21"/>
                <w:highlight w:val="none"/>
                <w:lang w:val="en-US" w:eastAsia="zh-CN"/>
              </w:rPr>
              <w:t>″</w:t>
            </w:r>
          </w:p>
        </w:tc>
        <w:tc>
          <w:tcPr>
            <w:tcW w:w="963" w:type="pct"/>
            <w:tcBorders>
              <w:tl2br w:val="nil"/>
              <w:tr2bl w:val="nil"/>
            </w:tcBorders>
            <w:noWrap w:val="0"/>
            <w:vAlign w:val="center"/>
          </w:tcPr>
          <w:p>
            <w:pPr>
              <w:pStyle w:val="34"/>
              <w:bidi w:val="0"/>
              <w:rPr>
                <w:rFonts w:hint="default"/>
                <w:color w:val="auto"/>
                <w:lang w:val="zh-CN" w:eastAsia="zh-CN"/>
              </w:rPr>
            </w:pPr>
            <w:r>
              <w:rPr>
                <w:rFonts w:hint="default" w:ascii="Times New Roman" w:hAnsi="Times New Roman" w:eastAsia="楷体" w:cs="Times New Roman"/>
                <w:color w:val="auto"/>
                <w:szCs w:val="21"/>
                <w:highlight w:val="none"/>
                <w:lang w:val="en-US" w:eastAsia="zh-CN"/>
              </w:rPr>
              <w:t>4</w:t>
            </w:r>
            <w:r>
              <w:rPr>
                <w:rFonts w:hint="eastAsia" w:ascii="Times New Roman" w:hAnsi="Times New Roman" w:eastAsia="楷体" w:cs="Times New Roman"/>
                <w:color w:val="auto"/>
                <w:szCs w:val="21"/>
                <w:highlight w:val="none"/>
                <w:lang w:val="en-US" w:eastAsia="zh-CN"/>
              </w:rPr>
              <w:t>4</w:t>
            </w:r>
            <w:r>
              <w:rPr>
                <w:rFonts w:hint="default" w:ascii="Times New Roman" w:hAnsi="Times New Roman" w:eastAsia="楷体" w:cs="Times New Roman"/>
                <w:color w:val="auto"/>
                <w:szCs w:val="21"/>
                <w:highlight w:val="none"/>
                <w:lang w:val="en-US" w:eastAsia="zh-CN"/>
              </w:rPr>
              <w:t>°</w:t>
            </w:r>
            <w:r>
              <w:rPr>
                <w:rFonts w:hint="eastAsia" w:ascii="Times New Roman" w:hAnsi="Times New Roman" w:eastAsia="楷体" w:cs="Times New Roman"/>
                <w:color w:val="auto"/>
                <w:szCs w:val="21"/>
                <w:highlight w:val="none"/>
                <w:lang w:val="en-US" w:eastAsia="zh-CN"/>
              </w:rPr>
              <w:t>14</w:t>
            </w:r>
            <w:r>
              <w:rPr>
                <w:rFonts w:hint="default" w:ascii="Times New Roman" w:hAnsi="Times New Roman" w:eastAsia="楷体" w:cs="Times New Roman"/>
                <w:color w:val="auto"/>
                <w:szCs w:val="21"/>
                <w:highlight w:val="none"/>
                <w:lang w:val="en-US" w:eastAsia="zh-CN"/>
              </w:rPr>
              <w:t>′</w:t>
            </w:r>
            <w:r>
              <w:rPr>
                <w:rFonts w:hint="eastAsia" w:ascii="Times New Roman" w:hAnsi="Times New Roman" w:eastAsia="楷体" w:cs="Times New Roman"/>
                <w:color w:val="auto"/>
                <w:szCs w:val="21"/>
                <w:highlight w:val="none"/>
                <w:lang w:val="en-US" w:eastAsia="zh-CN"/>
              </w:rPr>
              <w:t>13.11151</w:t>
            </w:r>
            <w:r>
              <w:rPr>
                <w:rFonts w:hint="default" w:ascii="Times New Roman" w:hAnsi="Times New Roman" w:eastAsia="楷体" w:cs="Times New Roman"/>
                <w:color w:val="auto"/>
                <w:szCs w:val="21"/>
                <w:highlight w:val="none"/>
                <w:lang w:val="en-US" w:eastAsia="zh-CN"/>
              </w:rPr>
              <w:t>″</w:t>
            </w:r>
          </w:p>
        </w:tc>
        <w:tc>
          <w:tcPr>
            <w:tcW w:w="464" w:type="pct"/>
            <w:tcBorders>
              <w:tl2br w:val="nil"/>
              <w:tr2bl w:val="nil"/>
            </w:tcBorders>
            <w:noWrap w:val="0"/>
            <w:vAlign w:val="center"/>
          </w:tcPr>
          <w:p>
            <w:pPr>
              <w:pStyle w:val="34"/>
              <w:bidi w:val="0"/>
              <w:rPr>
                <w:rFonts w:hint="default" w:ascii="Times New Roman" w:hAnsi="Times New Roman" w:eastAsia="楷体" w:cs="Times New Roman"/>
                <w:color w:val="auto"/>
                <w:szCs w:val="21"/>
                <w:highlight w:val="none"/>
                <w:lang w:val="en-US" w:eastAsia="zh-CN"/>
              </w:rPr>
            </w:pPr>
            <w:r>
              <w:rPr>
                <w:rFonts w:hint="eastAsia" w:eastAsia="楷体" w:cs="Times New Roman"/>
                <w:color w:val="auto"/>
                <w:szCs w:val="21"/>
                <w:highlight w:val="none"/>
                <w:lang w:val="en-US" w:eastAsia="zh-CN"/>
              </w:rPr>
              <w:t>11</w:t>
            </w:r>
          </w:p>
        </w:tc>
        <w:tc>
          <w:tcPr>
            <w:tcW w:w="526" w:type="pct"/>
            <w:tcBorders>
              <w:tl2br w:val="nil"/>
              <w:tr2bl w:val="nil"/>
            </w:tcBorders>
            <w:noWrap w:val="0"/>
            <w:vAlign w:val="center"/>
          </w:tcPr>
          <w:p>
            <w:pPr>
              <w:pStyle w:val="34"/>
              <w:bidi w:val="0"/>
              <w:rPr>
                <w:rFonts w:hint="default" w:ascii="Times New Roman" w:hAnsi="Times New Roman" w:eastAsia="楷体" w:cs="Times New Roman"/>
                <w:color w:val="auto"/>
                <w:szCs w:val="21"/>
                <w:highlight w:val="none"/>
                <w:lang w:val="en-US" w:eastAsia="zh-CN"/>
              </w:rPr>
            </w:pPr>
            <w:r>
              <w:rPr>
                <w:rFonts w:hint="default"/>
                <w:color w:val="auto"/>
                <w:lang w:val="en-US" w:eastAsia="zh-CN"/>
              </w:rPr>
              <w:t>潜水含水层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pct"/>
            <w:tcBorders>
              <w:tl2br w:val="nil"/>
              <w:tr2bl w:val="nil"/>
            </w:tcBorders>
            <w:noWrap w:val="0"/>
            <w:vAlign w:val="center"/>
          </w:tcPr>
          <w:p>
            <w:pPr>
              <w:pStyle w:val="34"/>
              <w:bidi w:val="0"/>
              <w:rPr>
                <w:rFonts w:hint="default"/>
                <w:color w:val="auto"/>
              </w:rPr>
            </w:pPr>
            <w:r>
              <w:rPr>
                <w:rFonts w:hint="eastAsia"/>
                <w:color w:val="auto"/>
                <w:lang w:val="en-US" w:eastAsia="zh-CN"/>
              </w:rPr>
              <w:t>10</w:t>
            </w:r>
            <w:r>
              <w:rPr>
                <w:rFonts w:hint="default"/>
                <w:color w:val="auto"/>
              </w:rPr>
              <w:t>#</w:t>
            </w:r>
          </w:p>
        </w:tc>
        <w:tc>
          <w:tcPr>
            <w:tcW w:w="1106" w:type="pct"/>
            <w:tcBorders>
              <w:tl2br w:val="nil"/>
              <w:tr2bl w:val="nil"/>
            </w:tcBorders>
            <w:noWrap w:val="0"/>
            <w:vAlign w:val="center"/>
          </w:tcPr>
          <w:p>
            <w:pPr>
              <w:pStyle w:val="34"/>
              <w:bidi w:val="0"/>
              <w:rPr>
                <w:rFonts w:hint="default"/>
                <w:color w:val="auto"/>
                <w:lang w:val="en-US"/>
              </w:rPr>
            </w:pPr>
            <w:r>
              <w:rPr>
                <w:rFonts w:hint="default"/>
                <w:color w:val="auto"/>
                <w:lang w:val="en-US" w:eastAsia="zh-CN"/>
              </w:rPr>
              <w:t>项目区右侧福海新村</w:t>
            </w:r>
            <w:r>
              <w:rPr>
                <w:rFonts w:hint="eastAsia"/>
                <w:color w:val="auto"/>
                <w:lang w:val="en-US" w:eastAsia="zh-CN"/>
              </w:rPr>
              <w:t>（中游）</w:t>
            </w:r>
          </w:p>
        </w:tc>
        <w:tc>
          <w:tcPr>
            <w:tcW w:w="500" w:type="pct"/>
            <w:tcBorders>
              <w:tl2br w:val="nil"/>
              <w:tr2bl w:val="nil"/>
            </w:tcBorders>
            <w:noWrap w:val="0"/>
            <w:vAlign w:val="center"/>
          </w:tcPr>
          <w:p>
            <w:pPr>
              <w:pStyle w:val="34"/>
              <w:bidi w:val="0"/>
              <w:rPr>
                <w:rFonts w:hint="default"/>
                <w:color w:val="auto"/>
                <w:lang w:val="en-US" w:eastAsia="zh-CN"/>
              </w:rPr>
            </w:pPr>
            <w:r>
              <w:rPr>
                <w:rFonts w:hint="eastAsia"/>
                <w:color w:val="auto"/>
                <w:lang w:val="en-US" w:eastAsia="zh-CN"/>
              </w:rPr>
              <w:t>8.8km</w:t>
            </w:r>
          </w:p>
        </w:tc>
        <w:tc>
          <w:tcPr>
            <w:tcW w:w="963" w:type="pct"/>
            <w:tcBorders>
              <w:tl2br w:val="nil"/>
              <w:tr2bl w:val="nil"/>
            </w:tcBorders>
            <w:noWrap w:val="0"/>
            <w:vAlign w:val="center"/>
          </w:tcPr>
          <w:p>
            <w:pPr>
              <w:pStyle w:val="34"/>
              <w:bidi w:val="0"/>
              <w:rPr>
                <w:rFonts w:hint="default"/>
                <w:color w:val="auto"/>
                <w:lang w:val="en-US" w:eastAsia="zh-CN"/>
              </w:rPr>
            </w:pPr>
            <w:r>
              <w:rPr>
                <w:rFonts w:hint="default"/>
                <w:color w:val="auto"/>
                <w:lang w:val="en-US" w:eastAsia="zh-CN"/>
              </w:rPr>
              <w:t>86°41′44.44555″</w:t>
            </w:r>
          </w:p>
        </w:tc>
        <w:tc>
          <w:tcPr>
            <w:tcW w:w="963" w:type="pct"/>
            <w:tcBorders>
              <w:tl2br w:val="nil"/>
              <w:tr2bl w:val="nil"/>
            </w:tcBorders>
            <w:noWrap w:val="0"/>
            <w:vAlign w:val="center"/>
          </w:tcPr>
          <w:p>
            <w:pPr>
              <w:pStyle w:val="34"/>
              <w:bidi w:val="0"/>
              <w:rPr>
                <w:rFonts w:hint="default"/>
                <w:color w:val="auto"/>
                <w:lang w:val="en-US" w:eastAsia="zh-CN"/>
              </w:rPr>
            </w:pPr>
            <w:r>
              <w:rPr>
                <w:rFonts w:hint="default" w:ascii="Times New Roman" w:hAnsi="Times New Roman" w:eastAsia="楷体" w:cs="Times New Roman"/>
                <w:color w:val="auto"/>
                <w:szCs w:val="21"/>
                <w:highlight w:val="none"/>
                <w:lang w:val="en-US" w:eastAsia="zh-CN"/>
              </w:rPr>
              <w:t>4</w:t>
            </w:r>
            <w:r>
              <w:rPr>
                <w:rFonts w:hint="eastAsia" w:ascii="Times New Roman" w:hAnsi="Times New Roman" w:eastAsia="楷体" w:cs="Times New Roman"/>
                <w:color w:val="auto"/>
                <w:szCs w:val="21"/>
                <w:highlight w:val="none"/>
                <w:lang w:val="en-US" w:eastAsia="zh-CN"/>
              </w:rPr>
              <w:t>4</w:t>
            </w:r>
            <w:r>
              <w:rPr>
                <w:rFonts w:hint="default" w:ascii="Times New Roman" w:hAnsi="Times New Roman" w:eastAsia="楷体" w:cs="Times New Roman"/>
                <w:color w:val="auto"/>
                <w:szCs w:val="21"/>
                <w:highlight w:val="none"/>
                <w:lang w:val="en-US" w:eastAsia="zh-CN"/>
              </w:rPr>
              <w:t>°</w:t>
            </w:r>
            <w:r>
              <w:rPr>
                <w:rFonts w:hint="eastAsia" w:ascii="Times New Roman" w:hAnsi="Times New Roman" w:eastAsia="楷体" w:cs="Times New Roman"/>
                <w:color w:val="auto"/>
                <w:szCs w:val="21"/>
                <w:highlight w:val="none"/>
                <w:lang w:val="en-US" w:eastAsia="zh-CN"/>
              </w:rPr>
              <w:t>15</w:t>
            </w:r>
            <w:r>
              <w:rPr>
                <w:rFonts w:hint="default" w:ascii="Times New Roman" w:hAnsi="Times New Roman" w:eastAsia="楷体" w:cs="Times New Roman"/>
                <w:color w:val="auto"/>
                <w:szCs w:val="21"/>
                <w:highlight w:val="none"/>
                <w:lang w:val="en-US" w:eastAsia="zh-CN"/>
              </w:rPr>
              <w:t>′</w:t>
            </w:r>
            <w:r>
              <w:rPr>
                <w:rFonts w:hint="eastAsia" w:ascii="Times New Roman" w:hAnsi="Times New Roman" w:eastAsia="楷体" w:cs="Times New Roman"/>
                <w:color w:val="auto"/>
                <w:szCs w:val="21"/>
                <w:highlight w:val="none"/>
                <w:lang w:val="en-US" w:eastAsia="zh-CN"/>
              </w:rPr>
              <w:t>56.264</w:t>
            </w:r>
            <w:r>
              <w:rPr>
                <w:rFonts w:hint="default" w:ascii="Times New Roman" w:hAnsi="Times New Roman" w:eastAsia="楷体" w:cs="Times New Roman"/>
                <w:color w:val="auto"/>
                <w:szCs w:val="21"/>
                <w:highlight w:val="none"/>
                <w:lang w:val="en-US" w:eastAsia="zh-CN"/>
              </w:rPr>
              <w:t>″</w:t>
            </w:r>
          </w:p>
        </w:tc>
        <w:tc>
          <w:tcPr>
            <w:tcW w:w="464" w:type="pct"/>
            <w:tcBorders>
              <w:tl2br w:val="nil"/>
              <w:tr2bl w:val="nil"/>
            </w:tcBorders>
            <w:noWrap w:val="0"/>
            <w:vAlign w:val="center"/>
          </w:tcPr>
          <w:p>
            <w:pPr>
              <w:pStyle w:val="34"/>
              <w:bidi w:val="0"/>
              <w:rPr>
                <w:rFonts w:hint="default" w:ascii="Times New Roman" w:hAnsi="Times New Roman" w:eastAsia="楷体" w:cs="Times New Roman"/>
                <w:color w:val="auto"/>
                <w:szCs w:val="21"/>
                <w:highlight w:val="none"/>
                <w:lang w:val="en-US" w:eastAsia="zh-CN"/>
              </w:rPr>
            </w:pPr>
            <w:r>
              <w:rPr>
                <w:rFonts w:hint="eastAsia" w:eastAsia="楷体" w:cs="Times New Roman"/>
                <w:color w:val="auto"/>
                <w:szCs w:val="21"/>
                <w:highlight w:val="none"/>
                <w:lang w:val="en-US" w:eastAsia="zh-CN"/>
              </w:rPr>
              <w:t>11</w:t>
            </w:r>
          </w:p>
        </w:tc>
        <w:tc>
          <w:tcPr>
            <w:tcW w:w="526" w:type="pct"/>
            <w:tcBorders>
              <w:tl2br w:val="nil"/>
              <w:tr2bl w:val="nil"/>
            </w:tcBorders>
            <w:noWrap w:val="0"/>
            <w:vAlign w:val="center"/>
          </w:tcPr>
          <w:p>
            <w:pPr>
              <w:pStyle w:val="34"/>
              <w:bidi w:val="0"/>
              <w:rPr>
                <w:rFonts w:hint="default" w:ascii="Times New Roman" w:hAnsi="Times New Roman" w:eastAsia="楷体" w:cs="Times New Roman"/>
                <w:color w:val="auto"/>
                <w:szCs w:val="21"/>
                <w:highlight w:val="none"/>
                <w:lang w:val="en-US" w:eastAsia="zh-CN"/>
              </w:rPr>
            </w:pPr>
            <w:r>
              <w:rPr>
                <w:rFonts w:hint="default"/>
                <w:color w:val="auto"/>
                <w:lang w:val="en-US" w:eastAsia="zh-CN"/>
              </w:rPr>
              <w:t>潜水含水层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6" w:type="pct"/>
            <w:tcBorders>
              <w:tl2br w:val="nil"/>
              <w:tr2bl w:val="nil"/>
            </w:tcBorders>
            <w:noWrap w:val="0"/>
            <w:vAlign w:val="center"/>
          </w:tcPr>
          <w:p>
            <w:pPr>
              <w:pStyle w:val="34"/>
              <w:bidi w:val="0"/>
              <w:rPr>
                <w:rFonts w:hint="default"/>
                <w:color w:val="auto"/>
              </w:rPr>
            </w:pPr>
            <w:r>
              <w:rPr>
                <w:rFonts w:hint="eastAsia"/>
                <w:color w:val="auto"/>
                <w:lang w:val="en-US" w:eastAsia="zh-CN"/>
              </w:rPr>
              <w:t>11</w:t>
            </w:r>
            <w:r>
              <w:rPr>
                <w:rFonts w:hint="default"/>
                <w:color w:val="auto"/>
              </w:rPr>
              <w:t>#</w:t>
            </w:r>
          </w:p>
        </w:tc>
        <w:tc>
          <w:tcPr>
            <w:tcW w:w="1106" w:type="pct"/>
            <w:tcBorders>
              <w:tl2br w:val="nil"/>
              <w:tr2bl w:val="nil"/>
            </w:tcBorders>
            <w:noWrap w:val="0"/>
            <w:vAlign w:val="center"/>
          </w:tcPr>
          <w:p>
            <w:pPr>
              <w:pStyle w:val="34"/>
              <w:bidi w:val="0"/>
              <w:rPr>
                <w:rFonts w:hint="default"/>
                <w:color w:val="auto"/>
                <w:lang w:val="en-US"/>
              </w:rPr>
            </w:pPr>
            <w:r>
              <w:rPr>
                <w:rFonts w:hint="default"/>
                <w:color w:val="auto"/>
                <w:lang w:val="en-US" w:eastAsia="zh-CN"/>
              </w:rPr>
              <w:t>项目区北侧晓晴环保地下水井</w:t>
            </w:r>
            <w:r>
              <w:rPr>
                <w:rFonts w:hint="eastAsia"/>
                <w:color w:val="auto"/>
                <w:lang w:val="en-US" w:eastAsia="zh-CN"/>
              </w:rPr>
              <w:t>（下游）</w:t>
            </w:r>
          </w:p>
        </w:tc>
        <w:tc>
          <w:tcPr>
            <w:tcW w:w="500" w:type="pct"/>
            <w:tcBorders>
              <w:tl2br w:val="nil"/>
              <w:tr2bl w:val="nil"/>
            </w:tcBorders>
            <w:noWrap w:val="0"/>
            <w:vAlign w:val="center"/>
          </w:tcPr>
          <w:p>
            <w:pPr>
              <w:pStyle w:val="34"/>
              <w:bidi w:val="0"/>
              <w:rPr>
                <w:rFonts w:hint="default"/>
                <w:color w:val="auto"/>
                <w:lang w:val="en-US" w:eastAsia="zh-CN"/>
              </w:rPr>
            </w:pPr>
            <w:r>
              <w:rPr>
                <w:rFonts w:hint="eastAsia"/>
                <w:color w:val="auto"/>
                <w:lang w:val="en-US" w:eastAsia="zh-CN"/>
              </w:rPr>
              <w:t>4.86km</w:t>
            </w:r>
          </w:p>
        </w:tc>
        <w:tc>
          <w:tcPr>
            <w:tcW w:w="963" w:type="pct"/>
            <w:tcBorders>
              <w:tl2br w:val="nil"/>
              <w:tr2bl w:val="nil"/>
            </w:tcBorders>
            <w:noWrap w:val="0"/>
            <w:vAlign w:val="center"/>
          </w:tcPr>
          <w:p>
            <w:pPr>
              <w:pStyle w:val="34"/>
              <w:bidi w:val="0"/>
              <w:rPr>
                <w:rFonts w:hint="default"/>
                <w:color w:val="auto"/>
                <w:lang w:val="en-US" w:eastAsia="zh-CN"/>
              </w:rPr>
            </w:pPr>
            <w:r>
              <w:rPr>
                <w:rFonts w:hint="default" w:ascii="Times New Roman" w:hAnsi="Times New Roman" w:eastAsia="楷体" w:cs="Times New Roman"/>
                <w:color w:val="auto"/>
                <w:szCs w:val="21"/>
                <w:highlight w:val="none"/>
                <w:lang w:val="en-US" w:eastAsia="zh-CN"/>
              </w:rPr>
              <w:t>86°</w:t>
            </w:r>
            <w:r>
              <w:rPr>
                <w:rFonts w:hint="eastAsia" w:ascii="Times New Roman" w:hAnsi="Times New Roman" w:eastAsia="楷体" w:cs="Times New Roman"/>
                <w:color w:val="auto"/>
                <w:szCs w:val="21"/>
                <w:highlight w:val="none"/>
                <w:lang w:val="en-US" w:eastAsia="zh-CN"/>
              </w:rPr>
              <w:t>36</w:t>
            </w:r>
            <w:r>
              <w:rPr>
                <w:rFonts w:hint="default" w:ascii="Times New Roman" w:hAnsi="Times New Roman" w:eastAsia="楷体" w:cs="Times New Roman"/>
                <w:color w:val="auto"/>
                <w:szCs w:val="21"/>
                <w:highlight w:val="none"/>
                <w:lang w:val="en-US" w:eastAsia="zh-CN"/>
              </w:rPr>
              <w:t>′</w:t>
            </w:r>
            <w:r>
              <w:rPr>
                <w:rFonts w:hint="eastAsia" w:ascii="Times New Roman" w:hAnsi="Times New Roman" w:eastAsia="楷体" w:cs="Times New Roman"/>
                <w:color w:val="auto"/>
                <w:szCs w:val="21"/>
                <w:highlight w:val="none"/>
                <w:lang w:val="en-US" w:eastAsia="zh-CN"/>
              </w:rPr>
              <w:t>36.60345</w:t>
            </w:r>
            <w:r>
              <w:rPr>
                <w:rFonts w:hint="default" w:ascii="Times New Roman" w:hAnsi="Times New Roman" w:eastAsia="楷体" w:cs="Times New Roman"/>
                <w:color w:val="auto"/>
                <w:szCs w:val="21"/>
                <w:highlight w:val="none"/>
                <w:lang w:val="en-US" w:eastAsia="zh-CN"/>
              </w:rPr>
              <w:t>″</w:t>
            </w:r>
          </w:p>
        </w:tc>
        <w:tc>
          <w:tcPr>
            <w:tcW w:w="963" w:type="pct"/>
            <w:tcBorders>
              <w:tl2br w:val="nil"/>
              <w:tr2bl w:val="nil"/>
            </w:tcBorders>
            <w:noWrap w:val="0"/>
            <w:vAlign w:val="center"/>
          </w:tcPr>
          <w:p>
            <w:pPr>
              <w:pStyle w:val="34"/>
              <w:bidi w:val="0"/>
              <w:rPr>
                <w:rFonts w:hint="default"/>
                <w:color w:val="auto"/>
                <w:lang w:val="en-US" w:eastAsia="zh-CN"/>
              </w:rPr>
            </w:pPr>
            <w:r>
              <w:rPr>
                <w:rFonts w:hint="default" w:ascii="Times New Roman" w:hAnsi="Times New Roman" w:eastAsia="楷体" w:cs="Times New Roman"/>
                <w:color w:val="auto"/>
                <w:szCs w:val="21"/>
                <w:highlight w:val="none"/>
                <w:lang w:val="en-US" w:eastAsia="zh-CN"/>
              </w:rPr>
              <w:t>4</w:t>
            </w:r>
            <w:r>
              <w:rPr>
                <w:rFonts w:hint="eastAsia" w:ascii="Times New Roman" w:hAnsi="Times New Roman" w:eastAsia="楷体" w:cs="Times New Roman"/>
                <w:color w:val="auto"/>
                <w:szCs w:val="21"/>
                <w:highlight w:val="none"/>
                <w:lang w:val="en-US" w:eastAsia="zh-CN"/>
              </w:rPr>
              <w:t>4</w:t>
            </w:r>
            <w:r>
              <w:rPr>
                <w:rFonts w:hint="default" w:ascii="Times New Roman" w:hAnsi="Times New Roman" w:eastAsia="楷体" w:cs="Times New Roman"/>
                <w:color w:val="auto"/>
                <w:szCs w:val="21"/>
                <w:highlight w:val="none"/>
                <w:lang w:val="en-US" w:eastAsia="zh-CN"/>
              </w:rPr>
              <w:t>°</w:t>
            </w:r>
            <w:r>
              <w:rPr>
                <w:rFonts w:hint="eastAsia" w:ascii="Times New Roman" w:hAnsi="Times New Roman" w:eastAsia="楷体" w:cs="Times New Roman"/>
                <w:color w:val="auto"/>
                <w:szCs w:val="21"/>
                <w:highlight w:val="none"/>
                <w:lang w:val="en-US" w:eastAsia="zh-CN"/>
              </w:rPr>
              <w:t>19</w:t>
            </w:r>
            <w:r>
              <w:rPr>
                <w:rFonts w:hint="default" w:ascii="Times New Roman" w:hAnsi="Times New Roman" w:eastAsia="楷体" w:cs="Times New Roman"/>
                <w:color w:val="auto"/>
                <w:szCs w:val="21"/>
                <w:highlight w:val="none"/>
                <w:lang w:val="en-US" w:eastAsia="zh-CN"/>
              </w:rPr>
              <w:t>′</w:t>
            </w:r>
            <w:r>
              <w:rPr>
                <w:rFonts w:hint="eastAsia" w:ascii="Times New Roman" w:hAnsi="Times New Roman" w:eastAsia="楷体" w:cs="Times New Roman"/>
                <w:color w:val="auto"/>
                <w:szCs w:val="21"/>
                <w:highlight w:val="none"/>
                <w:lang w:val="en-US" w:eastAsia="zh-CN"/>
              </w:rPr>
              <w:t>5.56684</w:t>
            </w:r>
            <w:r>
              <w:rPr>
                <w:rFonts w:hint="default" w:ascii="Times New Roman" w:hAnsi="Times New Roman" w:eastAsia="楷体" w:cs="Times New Roman"/>
                <w:color w:val="auto"/>
                <w:szCs w:val="21"/>
                <w:highlight w:val="none"/>
                <w:lang w:val="en-US" w:eastAsia="zh-CN"/>
              </w:rPr>
              <w:t>″</w:t>
            </w:r>
          </w:p>
        </w:tc>
        <w:tc>
          <w:tcPr>
            <w:tcW w:w="464" w:type="pct"/>
            <w:tcBorders>
              <w:tl2br w:val="nil"/>
              <w:tr2bl w:val="nil"/>
            </w:tcBorders>
            <w:noWrap w:val="0"/>
            <w:vAlign w:val="center"/>
          </w:tcPr>
          <w:p>
            <w:pPr>
              <w:pStyle w:val="34"/>
              <w:bidi w:val="0"/>
              <w:rPr>
                <w:rFonts w:hint="default" w:ascii="Times New Roman" w:hAnsi="Times New Roman" w:eastAsia="楷体" w:cs="Times New Roman"/>
                <w:color w:val="auto"/>
                <w:szCs w:val="21"/>
                <w:highlight w:val="none"/>
                <w:lang w:val="en-US" w:eastAsia="zh-CN"/>
              </w:rPr>
            </w:pPr>
            <w:r>
              <w:rPr>
                <w:rFonts w:hint="eastAsia" w:eastAsia="楷体" w:cs="Times New Roman"/>
                <w:color w:val="auto"/>
                <w:szCs w:val="21"/>
                <w:highlight w:val="none"/>
                <w:lang w:val="en-US" w:eastAsia="zh-CN"/>
              </w:rPr>
              <w:t>13</w:t>
            </w:r>
          </w:p>
        </w:tc>
        <w:tc>
          <w:tcPr>
            <w:tcW w:w="526" w:type="pct"/>
            <w:tcBorders>
              <w:tl2br w:val="nil"/>
              <w:tr2bl w:val="nil"/>
            </w:tcBorders>
            <w:noWrap w:val="0"/>
            <w:vAlign w:val="center"/>
          </w:tcPr>
          <w:p>
            <w:pPr>
              <w:pStyle w:val="34"/>
              <w:bidi w:val="0"/>
              <w:rPr>
                <w:rFonts w:hint="default" w:ascii="Times New Roman" w:hAnsi="Times New Roman" w:eastAsia="楷体" w:cs="Times New Roman"/>
                <w:color w:val="auto"/>
                <w:szCs w:val="21"/>
                <w:highlight w:val="none"/>
                <w:lang w:val="en-US" w:eastAsia="zh-CN"/>
              </w:rPr>
            </w:pPr>
            <w:r>
              <w:rPr>
                <w:rFonts w:hint="default"/>
                <w:color w:val="auto"/>
                <w:lang w:val="en-US" w:eastAsia="zh-CN"/>
              </w:rPr>
              <w:t>潜水含水层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pct"/>
            <w:tcBorders>
              <w:tl2br w:val="nil"/>
              <w:tr2bl w:val="nil"/>
            </w:tcBorders>
            <w:noWrap w:val="0"/>
            <w:vAlign w:val="center"/>
          </w:tcPr>
          <w:p>
            <w:pPr>
              <w:pStyle w:val="34"/>
              <w:bidi w:val="0"/>
              <w:rPr>
                <w:rFonts w:hint="default"/>
                <w:color w:val="auto"/>
              </w:rPr>
            </w:pPr>
            <w:r>
              <w:rPr>
                <w:rFonts w:hint="eastAsia"/>
                <w:color w:val="auto"/>
                <w:lang w:val="en-US" w:eastAsia="zh-CN"/>
              </w:rPr>
              <w:t>DXS-1</w:t>
            </w:r>
          </w:p>
        </w:tc>
        <w:tc>
          <w:tcPr>
            <w:tcW w:w="1106" w:type="pct"/>
            <w:tcBorders>
              <w:tl2br w:val="nil"/>
              <w:tr2bl w:val="nil"/>
            </w:tcBorders>
            <w:noWrap w:val="0"/>
            <w:vAlign w:val="center"/>
          </w:tcPr>
          <w:p>
            <w:pPr>
              <w:pStyle w:val="34"/>
              <w:bidi w:val="0"/>
              <w:ind w:left="0" w:leftChars="0" w:right="0" w:rightChars="0" w:firstLine="0" w:firstLineChars="0"/>
              <w:rPr>
                <w:rFonts w:hint="default"/>
                <w:color w:val="auto"/>
              </w:rPr>
            </w:pPr>
            <w:r>
              <w:rPr>
                <w:rFonts w:hint="eastAsia"/>
                <w:color w:val="auto"/>
                <w:lang w:val="en-US" w:eastAsia="zh-CN"/>
              </w:rPr>
              <w:t>项目（西北侧）下游</w:t>
            </w:r>
          </w:p>
        </w:tc>
        <w:tc>
          <w:tcPr>
            <w:tcW w:w="500" w:type="pct"/>
            <w:tcBorders>
              <w:tl2br w:val="nil"/>
              <w:tr2bl w:val="nil"/>
            </w:tcBorders>
            <w:noWrap w:val="0"/>
            <w:vAlign w:val="center"/>
          </w:tcPr>
          <w:p>
            <w:pPr>
              <w:pStyle w:val="34"/>
              <w:bidi w:val="0"/>
              <w:ind w:left="0" w:leftChars="0" w:right="0" w:rightChars="0" w:firstLine="0" w:firstLineChars="0"/>
              <w:rPr>
                <w:rFonts w:hint="default"/>
                <w:color w:val="auto"/>
                <w:lang w:val="en-US" w:eastAsia="zh-CN"/>
              </w:rPr>
            </w:pPr>
            <w:r>
              <w:rPr>
                <w:rFonts w:hint="eastAsia"/>
                <w:color w:val="auto"/>
                <w:lang w:val="en-US" w:eastAsia="zh-CN"/>
              </w:rPr>
              <w:t>0.73km</w:t>
            </w:r>
          </w:p>
        </w:tc>
        <w:tc>
          <w:tcPr>
            <w:tcW w:w="963" w:type="pct"/>
            <w:tcBorders>
              <w:tl2br w:val="nil"/>
              <w:tr2bl w:val="nil"/>
            </w:tcBorders>
            <w:noWrap w:val="0"/>
            <w:vAlign w:val="center"/>
          </w:tcPr>
          <w:p>
            <w:pPr>
              <w:pStyle w:val="34"/>
              <w:bidi w:val="0"/>
              <w:ind w:left="0" w:leftChars="0" w:right="0" w:rightChars="0" w:firstLine="0" w:firstLineChars="0"/>
              <w:rPr>
                <w:rFonts w:hint="default"/>
                <w:color w:val="auto"/>
                <w:lang w:val="en-US" w:eastAsia="zh-CN"/>
              </w:rPr>
            </w:pPr>
            <w:r>
              <w:rPr>
                <w:rFonts w:hint="default"/>
                <w:color w:val="auto"/>
                <w:lang w:val="en-US" w:eastAsia="zh-CN"/>
              </w:rPr>
              <w:t>86°34′43.03″</w:t>
            </w:r>
          </w:p>
        </w:tc>
        <w:tc>
          <w:tcPr>
            <w:tcW w:w="963" w:type="pct"/>
            <w:tcBorders>
              <w:tl2br w:val="nil"/>
              <w:tr2bl w:val="nil"/>
            </w:tcBorders>
            <w:noWrap w:val="0"/>
            <w:vAlign w:val="center"/>
          </w:tcPr>
          <w:p>
            <w:pPr>
              <w:pStyle w:val="34"/>
              <w:bidi w:val="0"/>
              <w:ind w:left="0" w:leftChars="0" w:right="0" w:rightChars="0" w:firstLine="0" w:firstLineChars="0"/>
              <w:rPr>
                <w:rFonts w:hint="default"/>
                <w:color w:val="auto"/>
                <w:lang w:val="en-US" w:eastAsia="zh-CN"/>
              </w:rPr>
            </w:pPr>
            <w:r>
              <w:rPr>
                <w:rFonts w:hint="default"/>
                <w:color w:val="auto"/>
                <w:lang w:val="en-US" w:eastAsia="zh-CN"/>
              </w:rPr>
              <w:t>44°17′1.530″</w:t>
            </w:r>
          </w:p>
        </w:tc>
        <w:tc>
          <w:tcPr>
            <w:tcW w:w="464" w:type="pct"/>
            <w:tcBorders>
              <w:tl2br w:val="nil"/>
              <w:tr2bl w:val="nil"/>
            </w:tcBorders>
            <w:noWrap w:val="0"/>
            <w:vAlign w:val="center"/>
          </w:tcPr>
          <w:p>
            <w:pPr>
              <w:pStyle w:val="34"/>
              <w:bidi w:val="0"/>
              <w:ind w:left="0" w:leftChars="0" w:right="0" w:rightChars="0" w:firstLine="0" w:firstLineChars="0"/>
              <w:rPr>
                <w:rFonts w:hint="default"/>
                <w:color w:val="auto"/>
                <w:lang w:val="en-US" w:eastAsia="zh-CN"/>
              </w:rPr>
            </w:pPr>
            <w:r>
              <w:rPr>
                <w:rFonts w:hint="eastAsia"/>
                <w:color w:val="auto"/>
                <w:lang w:val="en-US" w:eastAsia="zh-CN"/>
              </w:rPr>
              <w:t>13</w:t>
            </w:r>
          </w:p>
        </w:tc>
        <w:tc>
          <w:tcPr>
            <w:tcW w:w="526" w:type="pct"/>
            <w:tcBorders>
              <w:tl2br w:val="nil"/>
              <w:tr2bl w:val="nil"/>
            </w:tcBorders>
            <w:noWrap w:val="0"/>
            <w:vAlign w:val="center"/>
          </w:tcPr>
          <w:p>
            <w:pPr>
              <w:pStyle w:val="34"/>
              <w:bidi w:val="0"/>
              <w:ind w:left="0" w:leftChars="0" w:right="0" w:rightChars="0" w:firstLine="0" w:firstLineChars="0"/>
              <w:rPr>
                <w:rFonts w:hint="default"/>
                <w:color w:val="auto"/>
                <w:lang w:val="en-US" w:eastAsia="zh-CN"/>
              </w:rPr>
            </w:pPr>
            <w:r>
              <w:rPr>
                <w:rFonts w:hint="default"/>
                <w:color w:val="auto"/>
                <w:lang w:val="en-US" w:eastAsia="zh-CN"/>
              </w:rPr>
              <w:t>潜水含水层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7"/>
            <w:tcBorders>
              <w:tl2br w:val="nil"/>
              <w:tr2bl w:val="nil"/>
            </w:tcBorders>
            <w:noWrap w:val="0"/>
            <w:vAlign w:val="center"/>
          </w:tcPr>
          <w:p>
            <w:pPr>
              <w:pStyle w:val="34"/>
              <w:bidi w:val="0"/>
              <w:jc w:val="both"/>
              <w:rPr>
                <w:rFonts w:hint="eastAsia"/>
                <w:color w:val="auto"/>
                <w:lang w:val="en-US" w:eastAsia="zh-CN"/>
              </w:rPr>
            </w:pPr>
            <w:r>
              <w:rPr>
                <w:rFonts w:hint="eastAsia"/>
                <w:color w:val="auto"/>
                <w:lang w:val="en-US" w:eastAsia="zh-CN"/>
              </w:rPr>
              <w:t>注：DXS-1为引用数据点</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4.4.2.1 监测项目、时间和频率</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次监测因子：pH、氨氮、硝酸盐氮、亚硝酸盐氮、挥发性酚类、氰化物、硫化物、高锰酸盐指数、铜、砷、镉、铝、砷、汞、硒、铬（六价）、总硬度、氟化物、铅、苯、甲苯、石油类、镍、锌、铁、锰、溶解性总固体、氯化物、总大肠菌群、菌落总数、钴、K</w:t>
      </w:r>
      <w:r>
        <w:rPr>
          <w:rFonts w:hint="eastAsia" w:ascii="Times New Roman" w:hAnsi="Times New Roman" w:eastAsia="宋体" w:cs="Times New Roman"/>
          <w:color w:val="auto"/>
          <w:sz w:val="24"/>
          <w:szCs w:val="24"/>
          <w:vertAlign w:val="superscript"/>
          <w:lang w:val="en-US" w:eastAsia="zh-CN"/>
        </w:rPr>
        <w:t>+</w:t>
      </w:r>
      <w:r>
        <w:rPr>
          <w:rFonts w:hint="eastAsia" w:ascii="Times New Roman" w:hAnsi="Times New Roman" w:eastAsia="宋体" w:cs="Times New Roman"/>
          <w:color w:val="auto"/>
          <w:sz w:val="24"/>
          <w:szCs w:val="24"/>
          <w:lang w:val="en-US" w:eastAsia="zh-CN"/>
        </w:rPr>
        <w:t>、Na</w:t>
      </w:r>
      <w:r>
        <w:rPr>
          <w:rFonts w:hint="eastAsia" w:ascii="Times New Roman" w:hAnsi="Times New Roman" w:eastAsia="宋体" w:cs="Times New Roman"/>
          <w:color w:val="auto"/>
          <w:sz w:val="24"/>
          <w:szCs w:val="24"/>
          <w:vertAlign w:val="superscript"/>
          <w:lang w:val="en-US" w:eastAsia="zh-CN"/>
        </w:rPr>
        <w:t>+</w:t>
      </w:r>
      <w:r>
        <w:rPr>
          <w:rFonts w:hint="eastAsia" w:ascii="Times New Roman" w:hAnsi="Times New Roman" w:eastAsia="宋体" w:cs="Times New Roman"/>
          <w:color w:val="auto"/>
          <w:sz w:val="24"/>
          <w:szCs w:val="24"/>
          <w:lang w:val="en-US" w:eastAsia="zh-CN"/>
        </w:rPr>
        <w:t>、Ca</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pacing w:val="-9"/>
          <w:sz w:val="24"/>
          <w:szCs w:val="24"/>
          <w:highlight w:val="none"/>
          <w:lang w:val="en-US" w:eastAsia="zh-CN"/>
        </w:rPr>
        <w:t>Mg</w:t>
      </w:r>
      <w:r>
        <w:rPr>
          <w:rFonts w:hint="default" w:ascii="Times New Roman" w:hAnsi="Times New Roman" w:eastAsia="宋体" w:cs="Times New Roman"/>
          <w:color w:val="auto"/>
          <w:spacing w:val="-9"/>
          <w:sz w:val="24"/>
          <w:szCs w:val="24"/>
          <w:highlight w:val="none"/>
          <w:vertAlign w:val="superscript"/>
          <w:lang w:val="en-US" w:eastAsia="zh-CN"/>
        </w:rPr>
        <w:t>2+</w:t>
      </w:r>
      <w:r>
        <w:rPr>
          <w:rFonts w:hint="eastAsia" w:ascii="Times New Roman" w:hAnsi="Times New Roman" w:eastAsia="宋体" w:cs="Times New Roman"/>
          <w:color w:val="auto"/>
          <w:sz w:val="24"/>
          <w:szCs w:val="24"/>
          <w:lang w:val="en-US" w:eastAsia="zh-CN"/>
        </w:rPr>
        <w:t>、CO</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、HCO</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vertAlign w:val="superscript"/>
          <w:lang w:val="en-US" w:eastAsia="zh-CN"/>
        </w:rPr>
        <w:t>-</w:t>
      </w:r>
      <w:r>
        <w:rPr>
          <w:rFonts w:hint="eastAsia" w:ascii="Times New Roman" w:hAnsi="Times New Roman" w:eastAsia="宋体" w:cs="Times New Roman"/>
          <w:color w:val="auto"/>
          <w:sz w:val="24"/>
          <w:szCs w:val="24"/>
          <w:vertAlign w:val="baseline"/>
          <w:lang w:val="en-US" w:eastAsia="zh-CN"/>
        </w:rPr>
        <w:t>、</w:t>
      </w:r>
      <w:r>
        <w:rPr>
          <w:rFonts w:hint="default" w:ascii="Times New Roman" w:hAnsi="Times New Roman" w:eastAsia="宋体" w:cs="Times New Roman"/>
          <w:color w:val="auto"/>
          <w:spacing w:val="-9"/>
          <w:sz w:val="24"/>
          <w:szCs w:val="24"/>
          <w:highlight w:val="none"/>
          <w:lang w:val="en-US" w:eastAsia="zh-CN"/>
        </w:rPr>
        <w:t>Cl</w:t>
      </w:r>
      <w:r>
        <w:rPr>
          <w:rFonts w:hint="default" w:ascii="Times New Roman" w:hAnsi="Times New Roman" w:eastAsia="宋体" w:cs="Times New Roman"/>
          <w:color w:val="auto"/>
          <w:spacing w:val="-9"/>
          <w:sz w:val="24"/>
          <w:szCs w:val="24"/>
          <w:highlight w:val="none"/>
          <w:vertAlign w:val="superscript"/>
          <w:lang w:val="en-US" w:eastAsia="zh-CN"/>
        </w:rPr>
        <w:t>-</w:t>
      </w:r>
      <w:r>
        <w:rPr>
          <w:rFonts w:hint="default" w:ascii="Times New Roman" w:hAnsi="Times New Roman" w:eastAsia="宋体" w:cs="Times New Roman"/>
          <w:color w:val="auto"/>
          <w:spacing w:val="-9"/>
          <w:sz w:val="24"/>
          <w:szCs w:val="24"/>
          <w:highlight w:val="none"/>
          <w:vertAlign w:val="baseline"/>
          <w:lang w:val="en-US" w:eastAsia="zh-CN"/>
        </w:rPr>
        <w:t>、</w:t>
      </w:r>
      <w:r>
        <w:rPr>
          <w:rFonts w:hint="default" w:ascii="Times New Roman" w:hAnsi="Times New Roman" w:eastAsia="宋体" w:cs="Times New Roman"/>
          <w:color w:val="auto"/>
          <w:spacing w:val="-9"/>
          <w:sz w:val="24"/>
          <w:szCs w:val="24"/>
          <w:highlight w:val="none"/>
          <w:lang w:val="en-US" w:eastAsia="zh-CN"/>
        </w:rPr>
        <w:t>SO</w:t>
      </w:r>
      <w:r>
        <w:rPr>
          <w:rFonts w:hint="default" w:ascii="Times New Roman" w:hAnsi="Times New Roman" w:eastAsia="宋体" w:cs="Times New Roman"/>
          <w:color w:val="auto"/>
          <w:spacing w:val="-9"/>
          <w:sz w:val="24"/>
          <w:szCs w:val="24"/>
          <w:highlight w:val="none"/>
          <w:vertAlign w:val="subscript"/>
          <w:lang w:val="en-US" w:eastAsia="zh-CN"/>
        </w:rPr>
        <w:t>4</w:t>
      </w:r>
      <w:r>
        <w:rPr>
          <w:rFonts w:hint="default" w:ascii="Times New Roman" w:hAnsi="Times New Roman" w:eastAsia="宋体" w:cs="Times New Roman"/>
          <w:color w:val="auto"/>
          <w:spacing w:val="-9"/>
          <w:sz w:val="24"/>
          <w:szCs w:val="24"/>
          <w:highlight w:val="none"/>
          <w:vertAlign w:val="superscript"/>
          <w:lang w:val="en-US" w:eastAsia="zh-CN"/>
        </w:rPr>
        <w:t>2-</w:t>
      </w:r>
      <w:r>
        <w:rPr>
          <w:rFonts w:hint="eastAsia" w:ascii="Times New Roman" w:hAnsi="Times New Roman" w:eastAsia="宋体" w:cs="Times New Roman"/>
          <w:color w:val="auto"/>
          <w:spacing w:val="-9"/>
          <w:sz w:val="24"/>
          <w:szCs w:val="24"/>
          <w:highlight w:val="none"/>
          <w:vertAlign w:val="baseline"/>
          <w:lang w:val="en-US" w:eastAsia="zh-CN"/>
        </w:rPr>
        <w:t>等指标</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监测时间：2023年10月18日，本次评价监测一次数据。</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4.4.2.2 评价标准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地下水环境质量执行《地下水质量标准》（GB/T14848-2017））Ⅲ 类标准。</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4.4.2.3 监测方法和检出限</w:t>
      </w:r>
    </w:p>
    <w:p>
      <w:pPr>
        <w:pStyle w:val="9"/>
        <w:keepNext w:val="0"/>
        <w:keepLines w:val="0"/>
        <w:pageBreakBefore w:val="0"/>
        <w:widowControl w:val="0"/>
        <w:kinsoku/>
        <w:wordWrap/>
        <w:overflowPunct/>
        <w:topLinePunct w:val="0"/>
        <w:autoSpaceDE w:val="0"/>
        <w:autoSpaceDN w:val="0"/>
        <w:bidi w:val="0"/>
        <w:adjustRightInd w:val="0"/>
        <w:snapToGrid w:val="0"/>
        <w:spacing w:before="0" w:line="560" w:lineRule="exact"/>
        <w:ind w:left="0" w:right="0" w:firstLine="480" w:firstLine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监测方法</w:t>
      </w:r>
      <w:r>
        <w:rPr>
          <w:rFonts w:hint="eastAsia" w:ascii="Times New Roman" w:hAnsi="Times New Roman" w:cs="Times New Roman"/>
          <w:color w:val="auto"/>
          <w:highlight w:val="none"/>
          <w:lang w:val="en-US" w:eastAsia="zh-CN"/>
        </w:rPr>
        <w:t>及检出限</w:t>
      </w:r>
      <w:r>
        <w:rPr>
          <w:rFonts w:hint="eastAsia" w:ascii="Times New Roman" w:hAnsi="Times New Roman" w:eastAsia="宋体" w:cs="Times New Roman"/>
          <w:color w:val="auto"/>
          <w:highlight w:val="none"/>
          <w:lang w:val="en-US" w:eastAsia="zh-CN"/>
        </w:rPr>
        <w:t>见表</w:t>
      </w:r>
      <w:r>
        <w:rPr>
          <w:rFonts w:hint="eastAsia" w:ascii="Times New Roman" w:hAnsi="Times New Roman" w:cs="Times New Roman"/>
          <w:color w:val="auto"/>
          <w:highlight w:val="none"/>
          <w:lang w:val="en-US" w:eastAsia="zh-CN"/>
        </w:rPr>
        <w:t xml:space="preserve"> 4.4.2</w:t>
      </w:r>
      <w:r>
        <w:rPr>
          <w:rFonts w:hint="eastAsia" w:ascii="Times New Roman" w:hAnsi="Times New Roman" w:eastAsia="宋体" w:cs="Times New Roman"/>
          <w:color w:val="auto"/>
          <w:highlight w:val="none"/>
          <w:lang w:val="en-US" w:eastAsia="zh-CN"/>
        </w:rPr>
        <w:t>-</w:t>
      </w:r>
      <w:r>
        <w:rPr>
          <w:rFonts w:hint="eastAsia" w:ascii="Times New Roman" w:hAnsi="Times New Roman"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w:t>
      </w:r>
    </w:p>
    <w:p>
      <w:pPr>
        <w:pStyle w:val="33"/>
        <w:bidi w:val="0"/>
        <w:rPr>
          <w:rFonts w:hint="default"/>
          <w:color w:val="auto"/>
          <w:sz w:val="24"/>
          <w:szCs w:val="24"/>
        </w:rPr>
      </w:pPr>
      <w:r>
        <w:rPr>
          <w:rFonts w:hint="default"/>
          <w:color w:val="auto"/>
          <w:sz w:val="24"/>
          <w:szCs w:val="24"/>
        </w:rPr>
        <w:t>表</w:t>
      </w:r>
      <w:r>
        <w:rPr>
          <w:rFonts w:hint="eastAsia"/>
          <w:color w:val="auto"/>
          <w:sz w:val="24"/>
          <w:szCs w:val="24"/>
          <w:lang w:val="en-US" w:eastAsia="zh-CN"/>
        </w:rPr>
        <w:t xml:space="preserve"> 4.4.2-2     </w:t>
      </w:r>
      <w:r>
        <w:rPr>
          <w:rFonts w:hint="eastAsia"/>
          <w:color w:val="auto"/>
          <w:sz w:val="24"/>
          <w:szCs w:val="24"/>
          <w:lang w:eastAsia="zh-CN"/>
        </w:rPr>
        <w:t>地下水环境</w:t>
      </w:r>
      <w:r>
        <w:rPr>
          <w:rFonts w:hint="default"/>
          <w:color w:val="auto"/>
          <w:sz w:val="24"/>
          <w:szCs w:val="24"/>
        </w:rPr>
        <w:t>监测项目分析方法</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4"/>
        <w:gridCol w:w="5463"/>
        <w:gridCol w:w="14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监测项目</w:t>
            </w:r>
          </w:p>
        </w:tc>
        <w:tc>
          <w:tcPr>
            <w:tcW w:w="3204"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分析方法</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rPr>
              <w:t>检出限</w:t>
            </w: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rPr>
              <w:t>mg/</w:t>
            </w:r>
            <w:r>
              <w:rPr>
                <w:rFonts w:hint="default" w:ascii="Times New Roman" w:hAnsi="Times New Roman" w:eastAsia="宋体" w:cs="Times New Roman"/>
                <w:b/>
                <w:bCs/>
                <w:color w:val="auto"/>
                <w:sz w:val="21"/>
                <w:szCs w:val="21"/>
                <w:lang w:val="en-US" w:eastAsia="zh-CN"/>
              </w:rPr>
              <w:t>L</w:t>
            </w:r>
            <w:r>
              <w:rPr>
                <w:rFonts w:hint="default" w:ascii="Times New Roman" w:hAnsi="Times New Roman" w:eastAsia="宋体" w:cs="Times New Roman"/>
                <w:b/>
                <w:bCs/>
                <w:color w:val="auto"/>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pH值</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pH值的测定 电极法HJ 1147-2020</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硫酸盐</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硫酸盐的测定 铬酸钡分光光度法（试行）HJ/T 342-2007</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氯化物</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氯化物的测定 硝酸银滴定法GB 11896-89</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氨氮</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氨氮的测定 纳氏试剂分光光度法HJ 535-2009</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高锰酸盐指数（以O2计）</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生活饮用水标准检验方法 第7部分：有机物综合指标GB/T5750.7-2023</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挥发酚</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挥发酚的测定 氨基安替比林分光光度法HJ 503-2009</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numPr>
                <w:ilvl w:val="0"/>
                <w:numId w:val="0"/>
              </w:numPr>
              <w:tabs>
                <w:tab w:val="left" w:pos="0"/>
              </w:tabs>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硝酸盐氮</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硝酸盐氮的测定 紫外分光光度法HJ/T 346-2007</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氰化物</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氰化物的测定 容量法和分光光度法HJ 484-2009</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硫化物</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硫化物的测定亚甲蓝分光光度法HJ 1226-2021</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锌</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铜、锌、铅、镉的测定 原子吸收分光光度法 GB7475-87</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铁</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铁、锰的测定 火焰原子吸收分光光度法 B11911-89</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锰</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铁、锰的测定 火焰原子吸收分光光度法 B11911-89</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总硬度</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钙和镁总量的测定 EDTA滴定法 GB 7477-87</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0.05mmol/L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溶解性总固体</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生活饮用水标准检验方法 感官性状和物理指标 GB/T5750.4-2023</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亚硝酸盐氮</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亚硝酸盐氮的测定 分光光度法 GB7493-87</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钠</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钾和钠的测定 火焰原子吸收分光光度法 GB11904-89</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铜</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铜、锌、铅、镉的测定 原子吸收分光光度法 GB7475-87</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镉</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铜、锌、铅、镉的测定 原子吸收分光光度法 GB7475-87</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总大肠菌群</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生活饮用水标准检验方法 第12部分微生物指标GB/T5750.12-2006</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菌落总数</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生活饮用水标准检验方法 第12部分微生物指标GB/T5750.12-2006</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砷</w:t>
            </w:r>
          </w:p>
        </w:tc>
        <w:tc>
          <w:tcPr>
            <w:tcW w:w="320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汞、砷、硒、锑、铋的测定 原子荧光法HJ694-2014</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0.3μg/L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汞</w:t>
            </w:r>
          </w:p>
        </w:tc>
        <w:tc>
          <w:tcPr>
            <w:tcW w:w="320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eastAsia="zh-CN"/>
              </w:rPr>
            </w:pP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硒</w:t>
            </w:r>
          </w:p>
        </w:tc>
        <w:tc>
          <w:tcPr>
            <w:tcW w:w="320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氟化物</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氟化物的测定 离子选择电极法GB7484-87</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六价铬</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六价铬的测定 二苯碳酰二肼分光光度法GB7464-87</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铅</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铜、锌、铅、镉的测定 原子吸收分光光度法 GB7475-87</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lang w:val="en-US" w:eastAsia="zh-CN"/>
              </w:rPr>
              <w:t>碳酸盐</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lang w:val="en-US" w:eastAsia="zh-CN"/>
              </w:rPr>
              <w:t>碱度(总碱度、重碳酸盐和碳酸盐)的测定 (酸滴定法)SL 83-1994</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lang w:val="en-US" w:eastAsia="zh-CN"/>
              </w:rPr>
              <w:t>重碳酸盐</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lang w:val="en-US" w:eastAsia="zh-CN"/>
              </w:rPr>
              <w:t>碱度(总碱度、重碳酸盐和碳酸盐)的测定 (酸滴定法)SL 83-1994</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Cl</w:t>
            </w:r>
            <w:r>
              <w:rPr>
                <w:rFonts w:hint="default" w:ascii="Times New Roman" w:hAnsi="Times New Roman" w:eastAsia="宋体" w:cs="Times New Roman"/>
                <w:color w:val="auto"/>
                <w:sz w:val="21"/>
                <w:szCs w:val="21"/>
                <w:vertAlign w:val="superscript"/>
                <w:lang w:val="en-US" w:eastAsia="zh-CN"/>
              </w:rPr>
              <w:t>-</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水质 无机阴离子(F</w:t>
            </w:r>
            <w:r>
              <w:rPr>
                <w:rFonts w:hint="default" w:ascii="Times New Roman" w:hAnsi="Times New Roman" w:eastAsia="宋体" w:cs="Times New Roman"/>
                <w:color w:val="auto"/>
                <w:sz w:val="21"/>
                <w:szCs w:val="21"/>
                <w:vertAlign w:val="superscript"/>
                <w:lang w:val="en-US" w:eastAsia="zh-CN"/>
              </w:rPr>
              <w:t>-</w:t>
            </w:r>
            <w:r>
              <w:rPr>
                <w:rFonts w:hint="default" w:ascii="Times New Roman" w:hAnsi="Times New Roman" w:eastAsia="宋体" w:cs="Times New Roman"/>
                <w:color w:val="auto"/>
                <w:sz w:val="21"/>
                <w:szCs w:val="21"/>
                <w:lang w:val="en-US" w:eastAsia="zh-CN"/>
              </w:rPr>
              <w:t>、Cl</w:t>
            </w:r>
            <w:r>
              <w:rPr>
                <w:rFonts w:hint="default" w:ascii="Times New Roman" w:hAnsi="Times New Roman" w:eastAsia="宋体" w:cs="Times New Roman"/>
                <w:color w:val="auto"/>
                <w:sz w:val="21"/>
                <w:szCs w:val="21"/>
                <w:vertAlign w:val="superscript"/>
                <w:lang w:val="en-US" w:eastAsia="zh-CN"/>
              </w:rPr>
              <w:t>-</w:t>
            </w:r>
            <w:r>
              <w:rPr>
                <w:rFonts w:hint="default" w:ascii="Times New Roman" w:hAnsi="Times New Roman" w:eastAsia="宋体" w:cs="Times New Roman"/>
                <w:color w:val="auto"/>
                <w:sz w:val="21"/>
                <w:szCs w:val="21"/>
                <w:lang w:val="en-US" w:eastAsia="zh-CN"/>
              </w:rPr>
              <w:t>、NO2-、Br-、NO3-、PO43-、SO32-、SO42-)的测定 离子色谱法HJ/T 84-2016</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石油类</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水质 石油类和动植物油类的测定 紫外分光光度法HJ6970-2018</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highlight w:val="none"/>
                <w:lang w:val="en-US" w:eastAsia="zh-CN" w:bidi="ar-SA"/>
              </w:rPr>
              <w:t>镍</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生活饮用水标准检验方法第6部分：金属和类金属指标GB/T5750.6-2023</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highlight w:val="none"/>
                <w:lang w:val="en-US" w:eastAsia="zh-CN" w:bidi="ar-SA"/>
              </w:rPr>
              <w:t>钾</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钾和钠的测定 火焰原子吸收分光光度法 GB11904-89</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highlight w:val="none"/>
                <w:lang w:val="en-US" w:eastAsia="zh-CN" w:bidi="ar-SA"/>
              </w:rPr>
              <w:t>镁</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钙和镁的测定 火焰原子吸收分光光度法 GB11904-89</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highlight w:val="none"/>
                <w:lang w:val="en-US" w:eastAsia="zh-CN" w:bidi="ar-SA"/>
              </w:rPr>
              <w:t>钙</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钙和镁的测定 火焰原子吸收分光光度法 GB11904-89</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铝</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水质 65种元素的测定电感合等离子体质谱法HT 700-2014</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1.15μg/L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钴</w:t>
            </w:r>
          </w:p>
        </w:tc>
        <w:tc>
          <w:tcPr>
            <w:tcW w:w="32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水质 65种元素的测定电感合等离子体质谱法HT 700-2014</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0.03μg/L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苯</w:t>
            </w:r>
          </w:p>
        </w:tc>
        <w:tc>
          <w:tcPr>
            <w:tcW w:w="320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水质 挥发性有机物的测定 吹扫捕集气相色谱-质谱法</w:t>
            </w:r>
          </w:p>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HJ 639-2012</w:t>
            </w: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甲苯</w:t>
            </w:r>
          </w:p>
        </w:tc>
        <w:tc>
          <w:tcPr>
            <w:tcW w:w="3204"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eastAsia="zh-CN"/>
              </w:rPr>
            </w:pPr>
          </w:p>
        </w:tc>
        <w:tc>
          <w:tcPr>
            <w:tcW w:w="87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1.4μg/L</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4.4.2.4 评价方法</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对于评价标准为定值的水质因子，单项水质参数i在第j点的标准指数计算方法为：</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position w:val="-30"/>
          <w:sz w:val="24"/>
          <w:szCs w:val="24"/>
          <w:lang w:val="en-US" w:eastAsia="zh-CN"/>
        </w:rPr>
        <w:object>
          <v:shape id="_x0000_i1029" o:spt="75" type="#_x0000_t75" style="height:33.55pt;width:41.9pt;" o:ole="t" filled="f" o:preferrelative="t" stroked="f" coordsize="21600,21600">
            <v:path/>
            <v:fill on="f" focussize="0,0"/>
            <v:stroke on="f"/>
            <v:imagedata r:id="rId27" o:title=""/>
            <o:lock v:ext="edit" aspectratio="t"/>
            <w10:wrap type="none"/>
            <w10:anchorlock/>
          </v:shape>
          <o:OLEObject Type="Embed" ProgID="Equation.3" ShapeID="_x0000_i1029" DrawAspect="Content" ObjectID="_1468075729" r:id="rId26">
            <o:LockedField>false</o:LockedField>
          </o:OLEObject>
        </w:objec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式中：S</w:t>
      </w:r>
      <w:r>
        <w:rPr>
          <w:rFonts w:hint="eastAsia" w:ascii="Times New Roman" w:hAnsi="Times New Roman" w:eastAsia="宋体" w:cs="Times New Roman"/>
          <w:color w:val="auto"/>
          <w:sz w:val="24"/>
          <w:szCs w:val="24"/>
          <w:vertAlign w:val="subscript"/>
          <w:lang w:val="en-US" w:eastAsia="zh-CN"/>
        </w:rPr>
        <w:t>i</w:t>
      </w:r>
      <w:r>
        <w:rPr>
          <w:rFonts w:hint="eastAsia" w:ascii="Times New Roman" w:hAnsi="Times New Roman" w:eastAsia="宋体" w:cs="Times New Roman"/>
          <w:color w:val="auto"/>
          <w:sz w:val="24"/>
          <w:szCs w:val="24"/>
          <w:lang w:val="en-US" w:eastAsia="zh-CN"/>
        </w:rPr>
        <w:t>—第 i 个水质因子的标准指数，无量纲；</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C</w:t>
      </w:r>
      <w:r>
        <w:rPr>
          <w:rFonts w:hint="eastAsia" w:ascii="Times New Roman" w:hAnsi="Times New Roman" w:eastAsia="宋体" w:cs="Times New Roman"/>
          <w:color w:val="auto"/>
          <w:sz w:val="24"/>
          <w:szCs w:val="24"/>
          <w:vertAlign w:val="subscript"/>
          <w:lang w:val="en-US" w:eastAsia="zh-CN"/>
        </w:rPr>
        <w:t>i</w:t>
      </w:r>
      <w:r>
        <w:rPr>
          <w:rFonts w:hint="eastAsia" w:ascii="Times New Roman" w:hAnsi="Times New Roman" w:eastAsia="宋体" w:cs="Times New Roman"/>
          <w:color w:val="auto"/>
          <w:sz w:val="24"/>
          <w:szCs w:val="24"/>
          <w:lang w:val="en-US" w:eastAsia="zh-CN"/>
        </w:rPr>
        <w:t>—第 i 个水质因子的监测浓度值，mg/L；</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C</w:t>
      </w:r>
      <w:r>
        <w:rPr>
          <w:rFonts w:hint="eastAsia" w:ascii="Times New Roman" w:hAnsi="Times New Roman" w:eastAsia="宋体" w:cs="Times New Roman"/>
          <w:color w:val="auto"/>
          <w:sz w:val="24"/>
          <w:szCs w:val="24"/>
          <w:vertAlign w:val="subscript"/>
          <w:lang w:val="en-US" w:eastAsia="zh-CN"/>
        </w:rPr>
        <w:t>Si</w:t>
      </w:r>
      <w:r>
        <w:rPr>
          <w:rFonts w:hint="eastAsia" w:ascii="Times New Roman" w:hAnsi="Times New Roman" w:eastAsia="宋体" w:cs="Times New Roman"/>
          <w:color w:val="auto"/>
          <w:sz w:val="24"/>
          <w:szCs w:val="24"/>
          <w:lang w:val="en-US" w:eastAsia="zh-CN"/>
        </w:rPr>
        <w:t>—第 i 个水质因子的标准浓度值，mg/L。</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对于评价标准为区间值的水质因子（如 pH 值），其标准指数计算方法利用如下公式：</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position w:val="-30"/>
          <w:sz w:val="24"/>
          <w:szCs w:val="24"/>
          <w:lang w:val="en-US" w:eastAsia="zh-CN"/>
        </w:rPr>
        <w:object>
          <v:shape id="_x0000_i1030" o:spt="75" type="#_x0000_t75" style="height:35.5pt;width:91.55pt;" o:ole="t" filled="f" o:preferrelative="t" stroked="f" coordsize="21600,21600">
            <v:path/>
            <v:fill on="f" focussize="0,0"/>
            <v:stroke on="f"/>
            <v:imagedata r:id="rId29" o:title=""/>
            <o:lock v:ext="edit" aspectratio="t"/>
            <w10:wrap type="none"/>
            <w10:anchorlock/>
          </v:shape>
          <o:OLEObject Type="Embed" ProgID="Equation.3" ShapeID="_x0000_i1030" DrawAspect="Content" ObjectID="_1468075730" r:id="rId28">
            <o:LockedField>false</o:LockedField>
          </o:OLEObject>
        </w:object>
      </w:r>
      <w:r>
        <w:rPr>
          <w:rFonts w:hint="eastAsia" w:ascii="Times New Roman" w:hAnsi="Times New Roman" w:eastAsia="宋体" w:cs="Times New Roman"/>
          <w:color w:val="auto"/>
          <w:sz w:val="24"/>
          <w:szCs w:val="24"/>
          <w:lang w:val="en-US" w:eastAsia="zh-CN"/>
        </w:rPr>
        <w:t>当</w:t>
      </w:r>
      <w:r>
        <w:rPr>
          <w:rFonts w:hint="eastAsia" w:ascii="Times New Roman" w:hAnsi="Times New Roman" w:eastAsia="宋体" w:cs="Times New Roman"/>
          <w:color w:val="auto"/>
          <w:sz w:val="24"/>
          <w:szCs w:val="24"/>
          <w:lang w:val="en-US" w:eastAsia="zh-CN"/>
        </w:rPr>
        <w:object>
          <v:shape id="_x0000_i1031" o:spt="75" type="#_x0000_t75" style="height:18.75pt;width:53.25pt;" o:ole="t" filled="f" o:preferrelative="t" stroked="f" coordsize="21600,21600">
            <v:path/>
            <v:fill on="f" focussize="0,0"/>
            <v:stroke on="f"/>
            <v:imagedata r:id="rId31" o:title=""/>
            <o:lock v:ext="edit" aspectratio="t"/>
            <w10:wrap type="none"/>
            <w10:anchorlock/>
          </v:shape>
          <o:OLEObject Type="Embed" ProgID="Equation.3" ShapeID="_x0000_i1031" DrawAspect="Content" ObjectID="_1468075731" r:id="rId30">
            <o:LockedField>false</o:LockedField>
          </o:OLEObject>
        </w:objec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position w:val="-30"/>
          <w:sz w:val="24"/>
          <w:szCs w:val="24"/>
          <w:lang w:val="en-US" w:eastAsia="zh-CN"/>
        </w:rPr>
        <w:object>
          <v:shape id="_x0000_i1032" o:spt="75" type="#_x0000_t75" style="height:35.5pt;width:90.55pt;" o:ole="t" filled="f" o:preferrelative="t" stroked="f" coordsize="21600,21600">
            <v:path/>
            <v:fill on="f" focussize="0,0"/>
            <v:stroke on="f"/>
            <v:imagedata r:id="rId33" o:title=""/>
            <o:lock v:ext="edit" aspectratio="t"/>
            <w10:wrap type="none"/>
            <w10:anchorlock/>
          </v:shape>
          <o:OLEObject Type="Embed" ProgID="Equation.3" ShapeID="_x0000_i1032" DrawAspect="Content" ObjectID="_1468075732" r:id="rId32">
            <o:LockedField>false</o:LockedField>
          </o:OLEObject>
        </w:object>
      </w:r>
      <w:r>
        <w:rPr>
          <w:rFonts w:hint="eastAsia" w:ascii="Times New Roman" w:hAnsi="Times New Roman" w:eastAsia="宋体" w:cs="Times New Roman"/>
          <w:color w:val="auto"/>
          <w:sz w:val="24"/>
          <w:szCs w:val="24"/>
          <w:lang w:val="en-US" w:eastAsia="zh-CN"/>
        </w:rPr>
        <w:t>当</w:t>
      </w:r>
      <w:r>
        <w:rPr>
          <w:rFonts w:hint="eastAsia" w:ascii="Times New Roman" w:hAnsi="Times New Roman" w:eastAsia="宋体" w:cs="Times New Roman"/>
          <w:color w:val="auto"/>
          <w:sz w:val="24"/>
          <w:szCs w:val="24"/>
          <w:lang w:val="en-US" w:eastAsia="zh-CN"/>
        </w:rPr>
        <w:object>
          <v:shape id="_x0000_i1033" o:spt="75" type="#_x0000_t75" style="height:18.75pt;width:53.25pt;" o:ole="t" filled="f" o:preferrelative="t" stroked="f" coordsize="21600,21600">
            <v:path/>
            <v:fill on="f" focussize="0,0"/>
            <v:stroke on="f"/>
            <v:imagedata r:id="rId35" o:title=""/>
            <o:lock v:ext="edit" aspectratio="t"/>
            <w10:wrap type="none"/>
            <w10:anchorlock/>
          </v:shape>
          <o:OLEObject Type="Embed" ProgID="Equation.3" ShapeID="_x0000_i1033" DrawAspect="Content" ObjectID="_1468075733" r:id="rId34">
            <o:LockedField>false</o:LockedField>
          </o:OLEObject>
        </w:objec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其中：S</w:t>
      </w:r>
      <w:r>
        <w:rPr>
          <w:rFonts w:hint="eastAsia" w:ascii="Times New Roman" w:hAnsi="Times New Roman" w:eastAsia="宋体" w:cs="Times New Roman"/>
          <w:color w:val="auto"/>
          <w:sz w:val="24"/>
          <w:szCs w:val="24"/>
          <w:vertAlign w:val="subscript"/>
          <w:lang w:val="en-US" w:eastAsia="zh-CN"/>
        </w:rPr>
        <w:t>pH，j</w:t>
      </w:r>
      <w:r>
        <w:rPr>
          <w:rFonts w:hint="eastAsia" w:ascii="Times New Roman" w:hAnsi="Times New Roman" w:eastAsia="宋体" w:cs="Times New Roman"/>
          <w:color w:val="auto"/>
          <w:sz w:val="24"/>
          <w:szCs w:val="24"/>
          <w:lang w:val="en-US" w:eastAsia="zh-CN"/>
        </w:rPr>
        <w:t>—pH值的标准指数，无量纲；</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pH</w:t>
      </w:r>
      <w:r>
        <w:rPr>
          <w:rFonts w:hint="eastAsia" w:ascii="Times New Roman" w:hAnsi="Times New Roman" w:eastAsia="宋体" w:cs="Times New Roman"/>
          <w:color w:val="auto"/>
          <w:sz w:val="24"/>
          <w:szCs w:val="24"/>
          <w:vertAlign w:val="subscript"/>
          <w:lang w:val="en-US" w:eastAsia="zh-CN"/>
        </w:rPr>
        <w:t>j</w:t>
      </w:r>
      <w:r>
        <w:rPr>
          <w:rFonts w:hint="eastAsia" w:ascii="Times New Roman" w:hAnsi="Times New Roman" w:eastAsia="宋体" w:cs="Times New Roman"/>
          <w:color w:val="auto"/>
          <w:sz w:val="24"/>
          <w:szCs w:val="24"/>
          <w:lang w:val="en-US" w:eastAsia="zh-CN"/>
        </w:rPr>
        <w:t>—实测 pH 值；</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pH</w:t>
      </w:r>
      <w:r>
        <w:rPr>
          <w:rFonts w:hint="eastAsia" w:ascii="Times New Roman" w:hAnsi="Times New Roman" w:eastAsia="宋体" w:cs="Times New Roman"/>
          <w:color w:val="auto"/>
          <w:sz w:val="24"/>
          <w:szCs w:val="24"/>
          <w:vertAlign w:val="subscript"/>
          <w:lang w:val="en-US" w:eastAsia="zh-CN"/>
        </w:rPr>
        <w:t>Sd</w:t>
      </w:r>
      <w:r>
        <w:rPr>
          <w:rFonts w:hint="eastAsia" w:ascii="Times New Roman" w:hAnsi="Times New Roman" w:eastAsia="宋体" w:cs="Times New Roman"/>
          <w:color w:val="auto"/>
          <w:sz w:val="24"/>
          <w:szCs w:val="24"/>
          <w:lang w:val="en-US" w:eastAsia="zh-CN"/>
        </w:rPr>
        <w:t>—标准中的 pH 值的下限值（6.5）；</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pH</w:t>
      </w:r>
      <w:r>
        <w:rPr>
          <w:rFonts w:hint="eastAsia" w:ascii="Times New Roman" w:hAnsi="Times New Roman" w:eastAsia="宋体" w:cs="Times New Roman"/>
          <w:color w:val="auto"/>
          <w:sz w:val="24"/>
          <w:szCs w:val="24"/>
          <w:vertAlign w:val="subscript"/>
          <w:lang w:val="en-US" w:eastAsia="zh-CN"/>
        </w:rPr>
        <w:t>Su</w:t>
      </w:r>
      <w:r>
        <w:rPr>
          <w:rFonts w:hint="eastAsia" w:ascii="Times New Roman" w:hAnsi="Times New Roman" w:eastAsia="宋体" w:cs="Times New Roman"/>
          <w:color w:val="auto"/>
          <w:sz w:val="24"/>
          <w:szCs w:val="24"/>
          <w:lang w:val="en-US" w:eastAsia="zh-CN"/>
        </w:rPr>
        <w:t>—标准中的 pH 值的上限值（8.5）；</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4.4.2.5 评价结果</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eastAsia" w:ascii="Times New Roman" w:hAnsi="Times New Roman" w:eastAsia="宋体" w:cs="Times New Roman"/>
          <w:color w:val="auto"/>
          <w:sz w:val="24"/>
          <w:szCs w:val="24"/>
          <w:lang w:val="en-US" w:eastAsia="zh-CN"/>
        </w:rPr>
        <w:t>地下水检测及类比监测评价结果见下表。</w:t>
      </w:r>
    </w:p>
    <w:p>
      <w:pPr>
        <w:pStyle w:val="33"/>
        <w:bidi w:val="0"/>
        <w:rPr>
          <w:rFonts w:hint="default" w:ascii="Times New Roman" w:hAnsi="Times New Roman" w:eastAsia="宋体" w:cs="Times New Roman"/>
          <w:color w:val="auto"/>
          <w:sz w:val="24"/>
          <w:szCs w:val="24"/>
          <w:highlight w:val="none"/>
        </w:rPr>
      </w:pPr>
      <w:r>
        <w:rPr>
          <w:rFonts w:hint="default"/>
          <w:color w:val="auto"/>
          <w:sz w:val="24"/>
          <w:szCs w:val="24"/>
        </w:rPr>
        <w:t>表</w:t>
      </w:r>
      <w:r>
        <w:rPr>
          <w:rFonts w:hint="eastAsia"/>
          <w:color w:val="auto"/>
          <w:sz w:val="24"/>
          <w:szCs w:val="24"/>
          <w:lang w:val="en-US" w:eastAsia="zh-CN"/>
        </w:rPr>
        <w:t xml:space="preserve"> 4.4.2-3     </w:t>
      </w:r>
      <w:r>
        <w:rPr>
          <w:rFonts w:hint="default"/>
          <w:color w:val="auto"/>
          <w:sz w:val="24"/>
          <w:szCs w:val="24"/>
          <w:lang w:val="en-US" w:eastAsia="zh-CN"/>
        </w:rPr>
        <w:t xml:space="preserve">  </w:t>
      </w:r>
      <w:r>
        <w:rPr>
          <w:rFonts w:hint="default"/>
          <w:color w:val="auto"/>
          <w:sz w:val="24"/>
          <w:szCs w:val="24"/>
        </w:rPr>
        <w:t xml:space="preserve"> 地下水水质监测</w:t>
      </w:r>
      <w:r>
        <w:rPr>
          <w:rFonts w:hint="eastAsia"/>
          <w:color w:val="auto"/>
          <w:sz w:val="24"/>
          <w:szCs w:val="24"/>
          <w:lang w:val="en-US" w:eastAsia="zh-CN"/>
        </w:rPr>
        <w:t>评价</w:t>
      </w:r>
      <w:r>
        <w:rPr>
          <w:rFonts w:hint="default"/>
          <w:color w:val="auto"/>
          <w:sz w:val="24"/>
          <w:szCs w:val="24"/>
        </w:rPr>
        <w:t>结果</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50"/>
        <w:gridCol w:w="1228"/>
        <w:gridCol w:w="976"/>
        <w:gridCol w:w="1228"/>
        <w:gridCol w:w="976"/>
        <w:gridCol w:w="1228"/>
        <w:gridCol w:w="976"/>
        <w:gridCol w:w="1228"/>
        <w:gridCol w:w="976"/>
        <w:gridCol w:w="17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vMerge w:val="restart"/>
            <w:tcBorders>
              <w:tl2br w:val="nil"/>
              <w:tr2bl w:val="nil"/>
            </w:tcBorders>
            <w:noWrap w:val="0"/>
            <w:vAlign w:val="center"/>
          </w:tcPr>
          <w:p>
            <w:pPr>
              <w:pStyle w:val="34"/>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检测项目</w:t>
            </w:r>
          </w:p>
        </w:tc>
        <w:tc>
          <w:tcPr>
            <w:tcW w:w="777" w:type="pct"/>
            <w:gridSpan w:val="2"/>
            <w:tcBorders>
              <w:tl2br w:val="nil"/>
              <w:tr2bl w:val="nil"/>
            </w:tcBorders>
            <w:noWrap w:val="0"/>
            <w:vAlign w:val="center"/>
          </w:tcPr>
          <w:p>
            <w:pPr>
              <w:pStyle w:val="34"/>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8</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-1-1</w:t>
            </w:r>
          </w:p>
        </w:tc>
        <w:tc>
          <w:tcPr>
            <w:tcW w:w="777" w:type="pct"/>
            <w:gridSpan w:val="2"/>
            <w:tcBorders>
              <w:tl2br w:val="nil"/>
              <w:tr2bl w:val="nil"/>
            </w:tcBorders>
            <w:noWrap w:val="0"/>
            <w:vAlign w:val="center"/>
          </w:tcPr>
          <w:p>
            <w:pPr>
              <w:pStyle w:val="34"/>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9</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-1-1</w:t>
            </w:r>
          </w:p>
        </w:tc>
        <w:tc>
          <w:tcPr>
            <w:tcW w:w="777" w:type="pct"/>
            <w:gridSpan w:val="2"/>
            <w:tcBorders>
              <w:tl2br w:val="nil"/>
              <w:tr2bl w:val="nil"/>
            </w:tcBorders>
            <w:noWrap w:val="0"/>
            <w:vAlign w:val="center"/>
          </w:tcPr>
          <w:p>
            <w:pPr>
              <w:pStyle w:val="34"/>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10</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-1-1</w:t>
            </w:r>
          </w:p>
        </w:tc>
        <w:tc>
          <w:tcPr>
            <w:tcW w:w="777" w:type="pct"/>
            <w:gridSpan w:val="2"/>
            <w:tcBorders>
              <w:tl2br w:val="nil"/>
              <w:tr2bl w:val="nil"/>
            </w:tcBorders>
            <w:noWrap w:val="0"/>
            <w:vAlign w:val="center"/>
          </w:tcPr>
          <w:p>
            <w:pPr>
              <w:pStyle w:val="34"/>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11</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-1-1</w:t>
            </w:r>
          </w:p>
        </w:tc>
        <w:tc>
          <w:tcPr>
            <w:tcW w:w="600" w:type="pct"/>
            <w:vMerge w:val="restar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bCs/>
                <w:color w:val="auto"/>
                <w:sz w:val="21"/>
                <w:szCs w:val="21"/>
                <w:lang w:val="en-US" w:eastAsia="zh-CN"/>
              </w:rPr>
              <w:t>III类标准限值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vMerge w:val="continue"/>
            <w:tcBorders>
              <w:tl2br w:val="nil"/>
              <w:tr2bl w:val="nil"/>
            </w:tcBorders>
            <w:noWrap w:val="0"/>
            <w:vAlign w:val="center"/>
          </w:tcPr>
          <w:p>
            <w:pPr>
              <w:pStyle w:val="34"/>
              <w:bidi w:val="0"/>
              <w:jc w:val="center"/>
              <w:rPr>
                <w:rFonts w:hint="default" w:ascii="Times New Roman" w:hAnsi="Times New Roman" w:eastAsia="宋体" w:cs="Times New Roman"/>
                <w:b/>
                <w:bCs/>
                <w:color w:val="auto"/>
                <w:sz w:val="21"/>
                <w:szCs w:val="21"/>
              </w:rPr>
            </w:pPr>
          </w:p>
        </w:tc>
        <w:tc>
          <w:tcPr>
            <w:tcW w:w="433" w:type="pct"/>
            <w:tcBorders>
              <w:tl2br w:val="nil"/>
              <w:tr2bl w:val="nil"/>
            </w:tcBorders>
            <w:noWrap w:val="0"/>
            <w:vAlign w:val="center"/>
          </w:tcPr>
          <w:p>
            <w:pPr>
              <w:pStyle w:val="34"/>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监测值</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Si</w:t>
            </w:r>
          </w:p>
        </w:tc>
        <w:tc>
          <w:tcPr>
            <w:tcW w:w="433" w:type="pct"/>
            <w:tcBorders>
              <w:tl2br w:val="nil"/>
              <w:tr2bl w:val="nil"/>
            </w:tcBorders>
            <w:noWrap w:val="0"/>
            <w:vAlign w:val="center"/>
          </w:tcPr>
          <w:p>
            <w:pPr>
              <w:pStyle w:val="34"/>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监测值</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Si</w:t>
            </w:r>
          </w:p>
        </w:tc>
        <w:tc>
          <w:tcPr>
            <w:tcW w:w="433" w:type="pct"/>
            <w:tcBorders>
              <w:tl2br w:val="nil"/>
              <w:tr2bl w:val="nil"/>
            </w:tcBorders>
            <w:noWrap w:val="0"/>
            <w:vAlign w:val="center"/>
          </w:tcPr>
          <w:p>
            <w:pPr>
              <w:pStyle w:val="34"/>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监测值</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Si</w:t>
            </w:r>
          </w:p>
        </w:tc>
        <w:tc>
          <w:tcPr>
            <w:tcW w:w="433" w:type="pct"/>
            <w:tcBorders>
              <w:tl2br w:val="nil"/>
              <w:tr2bl w:val="nil"/>
            </w:tcBorders>
            <w:noWrap w:val="0"/>
            <w:vAlign w:val="center"/>
          </w:tcPr>
          <w:p>
            <w:pPr>
              <w:pStyle w:val="34"/>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监测值</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Si</w:t>
            </w:r>
          </w:p>
        </w:tc>
        <w:tc>
          <w:tcPr>
            <w:tcW w:w="600" w:type="pct"/>
            <w:vMerge w:val="continue"/>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pH值（无量纲）</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7.7</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0.47</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7.6</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0.40</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7.7</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0.47</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7.4</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0.27</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6.5≤pH≤8.5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硫酸盐（mg/L）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171</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0.684</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159</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0.636</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178</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0.712</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155</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0.62</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氯化物（mg/L）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178</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0.712</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127</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0.508</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61</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0.24</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102</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0.408</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氨氮（</w:t>
            </w:r>
            <w:r>
              <w:rPr>
                <w:rFonts w:hint="default" w:ascii="Times New Roman" w:hAnsi="Times New Roman" w:eastAsia="宋体" w:cs="Times New Roman"/>
                <w:color w:val="auto"/>
                <w:kern w:val="2"/>
                <w:sz w:val="21"/>
                <w:szCs w:val="21"/>
                <w:lang w:val="en-US" w:eastAsia="zh-CN" w:bidi="ar-SA"/>
              </w:rPr>
              <w:t>mg/L</w:t>
            </w:r>
            <w:r>
              <w:rPr>
                <w:rFonts w:hint="default" w:ascii="Times New Roman" w:hAnsi="Times New Roman" w:eastAsia="宋体" w:cs="Times New Roman"/>
                <w:color w:val="auto"/>
                <w:sz w:val="21"/>
                <w:szCs w:val="21"/>
                <w:lang w:val="en-US" w:eastAsia="zh-CN"/>
              </w:rPr>
              <w:t>）</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0.207</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0.414</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0.042</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0.084</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0.042</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0.084</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0.070</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0.14</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挥发酚（mg/L）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＜0.0003</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0.15</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＜0.0003</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0.15</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＜0.0003</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0.15</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＜0.0003</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0.15</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硝酸盐氮（mg/L）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6.25</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0.31</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4.54</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0.227</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2.59</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0.13</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1.73</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0.087</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亚硝酸盐氮（mg/L）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0.007</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0.007</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&lt;0.003</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0.003</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0.004</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0.004</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&lt;0.003</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0.003</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氰化物（mg/L）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lang w:val="en-US" w:eastAsia="zh-CN"/>
              </w:rPr>
              <w:t>0.001</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0.02</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lang w:val="en-US" w:eastAsia="zh-CN"/>
              </w:rPr>
              <w:t>0.001</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0.02</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lang w:val="en-US" w:eastAsia="zh-CN"/>
              </w:rPr>
              <w:t>0.001</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0.02</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lang w:val="en-US" w:eastAsia="zh-CN"/>
              </w:rPr>
              <w:t>0.001</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0.02</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硫化物（mg/L）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highlight w:val="none"/>
                <w:lang w:val="en-US" w:eastAsia="zh-CN"/>
              </w:rPr>
              <w:t>0.003</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0.15</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highlight w:val="none"/>
                <w:lang w:val="en-US" w:eastAsia="zh-CN"/>
              </w:rPr>
              <w:t>0.003</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0.15</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highlight w:val="none"/>
                <w:lang w:val="en-US" w:eastAsia="zh-CN"/>
              </w:rPr>
              <w:t>0.003</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0.15</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highlight w:val="none"/>
                <w:lang w:val="en-US" w:eastAsia="zh-CN"/>
              </w:rPr>
              <w:t>0.003</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0.15</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锌（mg/L）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highlight w:val="none"/>
                <w:lang w:val="en-US" w:eastAsia="zh-CN"/>
              </w:rPr>
              <w:t>0.05</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0.05</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highlight w:val="none"/>
                <w:lang w:val="en-US" w:eastAsia="zh-CN"/>
              </w:rPr>
              <w:t>0.05</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0.05</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highlight w:val="none"/>
                <w:lang w:val="en-US" w:eastAsia="zh-CN"/>
              </w:rPr>
              <w:t>0.05</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0.05</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highlight w:val="none"/>
                <w:lang w:val="en-US" w:eastAsia="zh-CN"/>
              </w:rPr>
              <w:t>0.05</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0.05</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铁（mg/L）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highlight w:val="none"/>
                <w:lang w:val="en-US" w:eastAsia="zh-CN" w:bidi="ar-SA"/>
              </w:rPr>
              <w:t>0.03</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0.03</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highlight w:val="none"/>
                <w:lang w:val="en-US" w:eastAsia="zh-CN" w:bidi="ar-SA"/>
              </w:rPr>
              <w:t>0.03</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0.03</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highlight w:val="none"/>
                <w:lang w:val="en-US" w:eastAsia="zh-CN" w:bidi="ar-SA"/>
              </w:rPr>
              <w:t>0.03</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0.03</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highlight w:val="none"/>
                <w:lang w:val="en-US" w:eastAsia="zh-CN" w:bidi="ar-SA"/>
              </w:rPr>
              <w:t>0.03</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0.03</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锰（mg/L）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highlight w:val="none"/>
                <w:lang w:val="en-US" w:eastAsia="zh-CN" w:bidi="ar-SA"/>
              </w:rPr>
              <w:t>0.01</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highlight w:val="none"/>
                <w:lang w:val="en-US" w:eastAsia="zh-CN" w:bidi="ar-SA"/>
              </w:rPr>
              <w:t>0.01</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0.1</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highlight w:val="none"/>
                <w:lang w:val="en-US" w:eastAsia="zh-CN" w:bidi="ar-SA"/>
              </w:rPr>
              <w:t>0.01</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0.1</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highlight w:val="none"/>
                <w:lang w:val="en-US" w:eastAsia="zh-CN" w:bidi="ar-SA"/>
              </w:rPr>
              <w:t>0.01</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0.1</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总硬度（mg/L）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highlight w:val="none"/>
                <w:lang w:val="en-US" w:eastAsia="zh-CN" w:bidi="ar-SA"/>
              </w:rPr>
              <w:t>227</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0.50</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103</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0.23</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96</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0.21</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119</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0.26</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高锰酸盐指数(以O</w:t>
            </w:r>
            <w:r>
              <w:rPr>
                <w:rFonts w:hint="default" w:ascii="Times New Roman" w:hAnsi="Times New Roman" w:eastAsia="宋体" w:cs="Times New Roman"/>
                <w:color w:val="auto"/>
                <w:kern w:val="2"/>
                <w:sz w:val="21"/>
                <w:szCs w:val="21"/>
                <w:vertAlign w:val="subscript"/>
                <w:lang w:val="en-US" w:eastAsia="zh-CN" w:bidi="ar-SA"/>
              </w:rPr>
              <w:t>2</w:t>
            </w:r>
            <w:r>
              <w:rPr>
                <w:rFonts w:hint="default" w:ascii="Times New Roman" w:hAnsi="Times New Roman" w:eastAsia="宋体" w:cs="Times New Roman"/>
                <w:color w:val="auto"/>
                <w:kern w:val="2"/>
                <w:sz w:val="21"/>
                <w:szCs w:val="21"/>
                <w:vertAlign w:val="baseline"/>
                <w:lang w:val="en-US" w:eastAsia="zh-CN" w:bidi="ar-SA"/>
              </w:rPr>
              <w:t>计）</w:t>
            </w:r>
            <w:r>
              <w:rPr>
                <w:rFonts w:hint="default" w:ascii="Times New Roman" w:hAnsi="Times New Roman" w:eastAsia="宋体" w:cs="Times New Roman"/>
                <w:color w:val="auto"/>
                <w:kern w:val="2"/>
                <w:sz w:val="21"/>
                <w:szCs w:val="21"/>
                <w:lang w:val="en-US" w:eastAsia="zh-CN" w:bidi="ar-SA"/>
              </w:rPr>
              <w:t>（mg/L）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1.08</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0.36</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1.02</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0.34</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1.13</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0.38</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1.07</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0.36</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溶解性总固体（mg/L）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717</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0.717</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557</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0.557</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523</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0.523</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486</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0.486</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钠（mg/L）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161</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0.805</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160</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0.8</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162</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0.81</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159</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0.795</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铜（mg/L）</w:t>
            </w:r>
          </w:p>
        </w:tc>
        <w:tc>
          <w:tcPr>
            <w:tcW w:w="433" w:type="pct"/>
            <w:tcBorders>
              <w:tl2br w:val="nil"/>
              <w:tr2bl w:val="nil"/>
            </w:tcBorders>
            <w:noWrap w:val="0"/>
            <w:vAlign w:val="center"/>
          </w:tcPr>
          <w:p>
            <w:pPr>
              <w:widowControl/>
              <w:jc w:val="center"/>
              <w:textAlignment w:val="bottom"/>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highlight w:val="none"/>
                <w:lang w:val="en-US" w:eastAsia="zh-CN"/>
              </w:rPr>
              <w:t>0.05</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0.05</w:t>
            </w:r>
          </w:p>
        </w:tc>
        <w:tc>
          <w:tcPr>
            <w:tcW w:w="433" w:type="pct"/>
            <w:tcBorders>
              <w:tl2br w:val="nil"/>
              <w:tr2bl w:val="nil"/>
            </w:tcBorders>
            <w:noWrap w:val="0"/>
            <w:vAlign w:val="center"/>
          </w:tcPr>
          <w:p>
            <w:pPr>
              <w:widowControl/>
              <w:jc w:val="center"/>
              <w:textAlignment w:val="bottom"/>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highlight w:val="none"/>
                <w:lang w:val="en-US" w:eastAsia="zh-CN"/>
              </w:rPr>
              <w:t>0.05</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0.05</w:t>
            </w:r>
          </w:p>
        </w:tc>
        <w:tc>
          <w:tcPr>
            <w:tcW w:w="433" w:type="pct"/>
            <w:tcBorders>
              <w:tl2br w:val="nil"/>
              <w:tr2bl w:val="nil"/>
            </w:tcBorders>
            <w:noWrap w:val="0"/>
            <w:vAlign w:val="center"/>
          </w:tcPr>
          <w:p>
            <w:pPr>
              <w:widowControl/>
              <w:jc w:val="center"/>
              <w:textAlignment w:val="bottom"/>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highlight w:val="none"/>
                <w:lang w:val="en-US" w:eastAsia="zh-CN"/>
              </w:rPr>
              <w:t>0.05</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0.05</w:t>
            </w:r>
          </w:p>
        </w:tc>
        <w:tc>
          <w:tcPr>
            <w:tcW w:w="433" w:type="pct"/>
            <w:tcBorders>
              <w:tl2br w:val="nil"/>
              <w:tr2bl w:val="nil"/>
            </w:tcBorders>
            <w:noWrap w:val="0"/>
            <w:vAlign w:val="center"/>
          </w:tcPr>
          <w:p>
            <w:pPr>
              <w:widowControl/>
              <w:jc w:val="center"/>
              <w:textAlignment w:val="bottom"/>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highlight w:val="none"/>
                <w:lang w:val="en-US" w:eastAsia="zh-CN"/>
              </w:rPr>
              <w:t>0.05</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0.05</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≤1</w:t>
            </w:r>
            <w:r>
              <w:rPr>
                <w:rFonts w:hint="eastAsia" w:ascii="Times New Roman" w:hAnsi="Times New Roman" w:eastAsia="宋体" w:cs="Times New Roman"/>
                <w:color w:val="auto"/>
                <w:sz w:val="21"/>
                <w:szCs w:val="21"/>
                <w:highlight w:val="none"/>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镉（mg/L）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highlight w:val="none"/>
                <w:lang w:val="en-US" w:eastAsia="zh-CN" w:bidi="ar-SA"/>
              </w:rPr>
              <w:t>0.0</w:t>
            </w:r>
            <w:r>
              <w:rPr>
                <w:rFonts w:hint="eastAsia" w:ascii="Times New Roman" w:hAnsi="Times New Roman" w:eastAsia="宋体" w:cs="Times New Roman"/>
                <w:color w:val="auto"/>
                <w:kern w:val="2"/>
                <w:sz w:val="21"/>
                <w:szCs w:val="21"/>
                <w:highlight w:val="none"/>
                <w:lang w:val="en-US" w:eastAsia="zh-CN" w:bidi="ar-SA"/>
              </w:rPr>
              <w:t>0</w:t>
            </w:r>
            <w:r>
              <w:rPr>
                <w:rFonts w:hint="default" w:ascii="Times New Roman" w:hAnsi="Times New Roman" w:eastAsia="宋体" w:cs="Times New Roman"/>
                <w:color w:val="auto"/>
                <w:kern w:val="2"/>
                <w:sz w:val="21"/>
                <w:szCs w:val="21"/>
                <w:highlight w:val="none"/>
                <w:lang w:val="en-US" w:eastAsia="zh-CN" w:bidi="ar-SA"/>
              </w:rPr>
              <w:t>1</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0.2</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highlight w:val="none"/>
                <w:lang w:val="en-US" w:eastAsia="zh-CN" w:bidi="ar-SA"/>
              </w:rPr>
              <w:t>0.0</w:t>
            </w:r>
            <w:r>
              <w:rPr>
                <w:rFonts w:hint="eastAsia" w:ascii="Times New Roman" w:hAnsi="Times New Roman" w:eastAsia="宋体" w:cs="Times New Roman"/>
                <w:color w:val="auto"/>
                <w:kern w:val="2"/>
                <w:sz w:val="21"/>
                <w:szCs w:val="21"/>
                <w:highlight w:val="none"/>
                <w:lang w:val="en-US" w:eastAsia="zh-CN" w:bidi="ar-SA"/>
              </w:rPr>
              <w:t>0</w:t>
            </w:r>
            <w:r>
              <w:rPr>
                <w:rFonts w:hint="default" w:ascii="Times New Roman" w:hAnsi="Times New Roman" w:eastAsia="宋体" w:cs="Times New Roman"/>
                <w:color w:val="auto"/>
                <w:kern w:val="2"/>
                <w:sz w:val="21"/>
                <w:szCs w:val="21"/>
                <w:highlight w:val="none"/>
                <w:lang w:val="en-US" w:eastAsia="zh-CN" w:bidi="ar-SA"/>
              </w:rPr>
              <w:t>1</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0.2</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highlight w:val="none"/>
                <w:lang w:val="en-US" w:eastAsia="zh-CN" w:bidi="ar-SA"/>
              </w:rPr>
              <w:t>0.0</w:t>
            </w:r>
            <w:r>
              <w:rPr>
                <w:rFonts w:hint="eastAsia" w:ascii="Times New Roman" w:hAnsi="Times New Roman" w:eastAsia="宋体" w:cs="Times New Roman"/>
                <w:color w:val="auto"/>
                <w:kern w:val="2"/>
                <w:sz w:val="21"/>
                <w:szCs w:val="21"/>
                <w:highlight w:val="none"/>
                <w:lang w:val="en-US" w:eastAsia="zh-CN" w:bidi="ar-SA"/>
              </w:rPr>
              <w:t>0</w:t>
            </w:r>
            <w:r>
              <w:rPr>
                <w:rFonts w:hint="default" w:ascii="Times New Roman" w:hAnsi="Times New Roman" w:eastAsia="宋体" w:cs="Times New Roman"/>
                <w:color w:val="auto"/>
                <w:kern w:val="2"/>
                <w:sz w:val="21"/>
                <w:szCs w:val="21"/>
                <w:highlight w:val="none"/>
                <w:lang w:val="en-US" w:eastAsia="zh-CN" w:bidi="ar-SA"/>
              </w:rPr>
              <w:t>1</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0.2</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highlight w:val="none"/>
                <w:lang w:val="en-US" w:eastAsia="zh-CN" w:bidi="ar-SA"/>
              </w:rPr>
              <w:t>0.0</w:t>
            </w:r>
            <w:r>
              <w:rPr>
                <w:rFonts w:hint="eastAsia" w:ascii="Times New Roman" w:hAnsi="Times New Roman" w:eastAsia="宋体" w:cs="Times New Roman"/>
                <w:color w:val="auto"/>
                <w:kern w:val="2"/>
                <w:sz w:val="21"/>
                <w:szCs w:val="21"/>
                <w:highlight w:val="none"/>
                <w:lang w:val="en-US" w:eastAsia="zh-CN" w:bidi="ar-SA"/>
              </w:rPr>
              <w:t>0</w:t>
            </w:r>
            <w:r>
              <w:rPr>
                <w:rFonts w:hint="default" w:ascii="Times New Roman" w:hAnsi="Times New Roman" w:eastAsia="宋体" w:cs="Times New Roman"/>
                <w:color w:val="auto"/>
                <w:kern w:val="2"/>
                <w:sz w:val="21"/>
                <w:szCs w:val="21"/>
                <w:highlight w:val="none"/>
                <w:lang w:val="en-US" w:eastAsia="zh-CN" w:bidi="ar-SA"/>
              </w:rPr>
              <w:t>1</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0.2</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w:t>
            </w:r>
            <w:r>
              <w:rPr>
                <w:rFonts w:hint="eastAsia" w:ascii="Times New Roman" w:hAnsi="Times New Roman" w:eastAsia="宋体" w:cs="Times New Roman"/>
                <w:color w:val="auto"/>
                <w:sz w:val="21"/>
                <w:szCs w:val="21"/>
                <w:highlight w:val="none"/>
                <w:vertAlign w:val="baseline"/>
                <w:lang w:val="en-US" w:eastAsia="zh-CN"/>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铝（</w:t>
            </w:r>
            <w:r>
              <w:rPr>
                <w:rFonts w:hint="default" w:ascii="Times New Roman" w:hAnsi="Times New Roman" w:eastAsia="宋体" w:cs="Times New Roman"/>
                <w:color w:val="auto"/>
                <w:kern w:val="2"/>
                <w:sz w:val="21"/>
                <w:szCs w:val="21"/>
                <w:lang w:val="en-US" w:eastAsia="zh-CN" w:bidi="ar-SA"/>
              </w:rPr>
              <w:t>μg</w:t>
            </w:r>
            <w:r>
              <w:rPr>
                <w:rFonts w:hint="default" w:ascii="Times New Roman" w:hAnsi="Times New Roman" w:eastAsia="宋体" w:cs="Times New Roman"/>
                <w:color w:val="auto"/>
                <w:kern w:val="2"/>
                <w:sz w:val="21"/>
                <w:szCs w:val="21"/>
                <w:highlight w:val="none"/>
                <w:lang w:val="en-US" w:eastAsia="zh-CN" w:bidi="ar-SA"/>
              </w:rPr>
              <w:t>/L）</w:t>
            </w:r>
          </w:p>
        </w:tc>
        <w:tc>
          <w:tcPr>
            <w:tcW w:w="433" w:type="pct"/>
            <w:tcBorders>
              <w:tl2br w:val="nil"/>
              <w:tr2bl w:val="nil"/>
            </w:tcBorders>
            <w:noWrap w:val="0"/>
            <w:vAlign w:val="center"/>
          </w:tcPr>
          <w:p>
            <w:pPr>
              <w:widowControl/>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8.07</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0.04</w:t>
            </w:r>
          </w:p>
        </w:tc>
        <w:tc>
          <w:tcPr>
            <w:tcW w:w="433" w:type="pct"/>
            <w:tcBorders>
              <w:tl2br w:val="nil"/>
              <w:tr2bl w:val="nil"/>
            </w:tcBorders>
            <w:noWrap w:val="0"/>
            <w:vAlign w:val="center"/>
          </w:tcPr>
          <w:p>
            <w:pPr>
              <w:widowControl/>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4.18</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0.02</w:t>
            </w:r>
          </w:p>
        </w:tc>
        <w:tc>
          <w:tcPr>
            <w:tcW w:w="433" w:type="pct"/>
            <w:tcBorders>
              <w:tl2br w:val="nil"/>
              <w:tr2bl w:val="nil"/>
            </w:tcBorders>
            <w:noWrap w:val="0"/>
            <w:vAlign w:val="center"/>
          </w:tcPr>
          <w:p>
            <w:pPr>
              <w:widowControl/>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3.21</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0.016</w:t>
            </w:r>
          </w:p>
        </w:tc>
        <w:tc>
          <w:tcPr>
            <w:tcW w:w="433" w:type="pct"/>
            <w:tcBorders>
              <w:tl2br w:val="nil"/>
              <w:tr2bl w:val="nil"/>
            </w:tcBorders>
            <w:noWrap w:val="0"/>
            <w:vAlign w:val="center"/>
          </w:tcPr>
          <w:p>
            <w:pPr>
              <w:widowControl/>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4.04</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0.02</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总大肠菌群（MPN/100L）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未检出</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未检出</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未检出</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未检出</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菌落总数（CFU/mL）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63</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0.63</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43</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0.43</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31</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0.31</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41</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0.41</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砷（mg/L）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＜3.0×10</w:t>
            </w:r>
            <w:r>
              <w:rPr>
                <w:rFonts w:hint="default" w:ascii="Times New Roman" w:hAnsi="Times New Roman" w:eastAsia="宋体" w:cs="Times New Roman"/>
                <w:color w:val="auto"/>
                <w:kern w:val="2"/>
                <w:sz w:val="21"/>
                <w:szCs w:val="21"/>
                <w:vertAlign w:val="superscript"/>
                <w:lang w:val="en-US" w:eastAsia="zh-CN" w:bidi="ar-SA"/>
              </w:rPr>
              <w:t>-4</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0.03</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＜3.0×10</w:t>
            </w:r>
            <w:r>
              <w:rPr>
                <w:rFonts w:hint="default" w:ascii="Times New Roman" w:hAnsi="Times New Roman" w:eastAsia="宋体" w:cs="Times New Roman"/>
                <w:color w:val="auto"/>
                <w:kern w:val="2"/>
                <w:sz w:val="21"/>
                <w:szCs w:val="21"/>
                <w:vertAlign w:val="superscript"/>
                <w:lang w:val="en-US" w:eastAsia="zh-CN" w:bidi="ar-SA"/>
              </w:rPr>
              <w:t>-4</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0.03</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＜3.0×10</w:t>
            </w:r>
            <w:r>
              <w:rPr>
                <w:rFonts w:hint="default" w:ascii="Times New Roman" w:hAnsi="Times New Roman" w:eastAsia="宋体" w:cs="Times New Roman"/>
                <w:color w:val="auto"/>
                <w:kern w:val="2"/>
                <w:sz w:val="21"/>
                <w:szCs w:val="21"/>
                <w:vertAlign w:val="superscript"/>
                <w:lang w:val="en-US" w:eastAsia="zh-CN" w:bidi="ar-SA"/>
              </w:rPr>
              <w:t>-4</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0.03</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＜3.0×10</w:t>
            </w:r>
            <w:r>
              <w:rPr>
                <w:rFonts w:hint="default" w:ascii="Times New Roman" w:hAnsi="Times New Roman" w:eastAsia="宋体" w:cs="Times New Roman"/>
                <w:color w:val="auto"/>
                <w:kern w:val="2"/>
                <w:sz w:val="21"/>
                <w:szCs w:val="21"/>
                <w:vertAlign w:val="superscript"/>
                <w:lang w:val="en-US" w:eastAsia="zh-CN" w:bidi="ar-SA"/>
              </w:rPr>
              <w:t>-4</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0.03</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汞（mg/L）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＜4.0×10</w:t>
            </w:r>
            <w:r>
              <w:rPr>
                <w:rFonts w:hint="default" w:ascii="Times New Roman" w:hAnsi="Times New Roman" w:eastAsia="宋体" w:cs="Times New Roman"/>
                <w:color w:val="auto"/>
                <w:kern w:val="2"/>
                <w:sz w:val="21"/>
                <w:szCs w:val="21"/>
                <w:vertAlign w:val="superscript"/>
                <w:lang w:val="en-US" w:eastAsia="zh-CN" w:bidi="ar-SA"/>
              </w:rPr>
              <w:t>-5</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0.04</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＜4.0×10</w:t>
            </w:r>
            <w:r>
              <w:rPr>
                <w:rFonts w:hint="default" w:ascii="Times New Roman" w:hAnsi="Times New Roman" w:eastAsia="宋体" w:cs="Times New Roman"/>
                <w:color w:val="auto"/>
                <w:kern w:val="2"/>
                <w:sz w:val="21"/>
                <w:szCs w:val="21"/>
                <w:vertAlign w:val="superscript"/>
                <w:lang w:val="en-US" w:eastAsia="zh-CN" w:bidi="ar-SA"/>
              </w:rPr>
              <w:t>-5</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0.04</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＜4.0×10</w:t>
            </w:r>
            <w:r>
              <w:rPr>
                <w:rFonts w:hint="default" w:ascii="Times New Roman" w:hAnsi="Times New Roman" w:eastAsia="宋体" w:cs="Times New Roman"/>
                <w:color w:val="auto"/>
                <w:kern w:val="2"/>
                <w:sz w:val="21"/>
                <w:szCs w:val="21"/>
                <w:vertAlign w:val="superscript"/>
                <w:lang w:val="en-US" w:eastAsia="zh-CN" w:bidi="ar-SA"/>
              </w:rPr>
              <w:t>-5</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0.04</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＜4.0×10</w:t>
            </w:r>
            <w:r>
              <w:rPr>
                <w:rFonts w:hint="default" w:ascii="Times New Roman" w:hAnsi="Times New Roman" w:eastAsia="宋体" w:cs="Times New Roman"/>
                <w:color w:val="auto"/>
                <w:kern w:val="2"/>
                <w:sz w:val="21"/>
                <w:szCs w:val="21"/>
                <w:vertAlign w:val="superscript"/>
                <w:lang w:val="en-US" w:eastAsia="zh-CN" w:bidi="ar-SA"/>
              </w:rPr>
              <w:t>-5</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0.04</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硒（mg/L）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＜4.0×10</w:t>
            </w:r>
            <w:r>
              <w:rPr>
                <w:rFonts w:hint="default" w:ascii="Times New Roman" w:hAnsi="Times New Roman" w:eastAsia="宋体" w:cs="Times New Roman"/>
                <w:color w:val="auto"/>
                <w:kern w:val="2"/>
                <w:sz w:val="21"/>
                <w:szCs w:val="21"/>
                <w:vertAlign w:val="superscript"/>
                <w:lang w:val="en-US" w:eastAsia="zh-CN" w:bidi="ar-SA"/>
              </w:rPr>
              <w:t>-4</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0.04</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＜4.0×10</w:t>
            </w:r>
            <w:r>
              <w:rPr>
                <w:rFonts w:hint="default" w:ascii="Times New Roman" w:hAnsi="Times New Roman" w:eastAsia="宋体" w:cs="Times New Roman"/>
                <w:color w:val="auto"/>
                <w:kern w:val="2"/>
                <w:sz w:val="21"/>
                <w:szCs w:val="21"/>
                <w:vertAlign w:val="superscript"/>
                <w:lang w:val="en-US" w:eastAsia="zh-CN" w:bidi="ar-SA"/>
              </w:rPr>
              <w:t>-4</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0.04</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＜4.0×10</w:t>
            </w:r>
            <w:r>
              <w:rPr>
                <w:rFonts w:hint="default" w:ascii="Times New Roman" w:hAnsi="Times New Roman" w:eastAsia="宋体" w:cs="Times New Roman"/>
                <w:color w:val="auto"/>
                <w:kern w:val="2"/>
                <w:sz w:val="21"/>
                <w:szCs w:val="21"/>
                <w:vertAlign w:val="superscript"/>
                <w:lang w:val="en-US" w:eastAsia="zh-CN" w:bidi="ar-SA"/>
              </w:rPr>
              <w:t>-4</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0.04</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＜4.0×10</w:t>
            </w:r>
            <w:r>
              <w:rPr>
                <w:rFonts w:hint="default" w:ascii="Times New Roman" w:hAnsi="Times New Roman" w:eastAsia="宋体" w:cs="Times New Roman"/>
                <w:color w:val="auto"/>
                <w:kern w:val="2"/>
                <w:sz w:val="21"/>
                <w:szCs w:val="21"/>
                <w:vertAlign w:val="superscript"/>
                <w:lang w:val="en-US" w:eastAsia="zh-CN" w:bidi="ar-SA"/>
              </w:rPr>
              <w:t>-4</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0.04</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氟化物（mg/L）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0.31</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0.31</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0.30</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0.30</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0.30</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0.30</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0.74</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0.74</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六价铬（mg/L）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＜0.004</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0.08</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＜0.004</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0.08</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＜0.004</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0.08</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＜0.004</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0.08</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铅（mg/L）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＜0.01</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1</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＜0.01</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1</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＜0.01</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1</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＜0.01</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1</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苯（μg/L）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＜1.4</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0.14</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＜1.4</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0.14</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＜1.4</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0.14</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＜1.4</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0.14</w:t>
            </w:r>
          </w:p>
        </w:tc>
        <w:tc>
          <w:tcPr>
            <w:tcW w:w="6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甲苯（μg/L）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＜1.4</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0.002</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＜1.4</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0.002</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＜1.4</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0.002</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＜1.4</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0.002</w:t>
            </w:r>
          </w:p>
        </w:tc>
        <w:tc>
          <w:tcPr>
            <w:tcW w:w="6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石油类（mg/L）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0.02</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＜0.01</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0.02</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＜0.01</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镍（mg/L）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highlight w:val="none"/>
                <w:lang w:val="en-US" w:eastAsia="zh-CN"/>
              </w:rPr>
              <w:t>0.005</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0.25</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highlight w:val="none"/>
                <w:lang w:val="en-US" w:eastAsia="zh-CN"/>
              </w:rPr>
              <w:t>0.005</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0.25</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highlight w:val="none"/>
                <w:lang w:val="en-US" w:eastAsia="zh-CN"/>
              </w:rPr>
              <w:t>0.005</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0.25</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highlight w:val="none"/>
                <w:lang w:val="en-US" w:eastAsia="zh-CN"/>
              </w:rPr>
              <w:t>0.005</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0.25</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碳酸盐（mg/L）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重碳酸酸盐（mg/L）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76.17</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86.94</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100.22</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93.08</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钾（mg/L）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1.79</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1.81</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1.80</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1.80</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钙（mg/L）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72.6</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26.0</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25.8</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25.8</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镁（mg/L）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15.3</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15.1</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16.4</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16.6</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Cl</w:t>
            </w:r>
            <w:r>
              <w:rPr>
                <w:rFonts w:hint="default" w:ascii="Times New Roman" w:hAnsi="Times New Roman" w:eastAsia="宋体" w:cs="Times New Roman"/>
                <w:color w:val="auto"/>
                <w:kern w:val="2"/>
                <w:sz w:val="21"/>
                <w:szCs w:val="21"/>
                <w:vertAlign w:val="superscript"/>
                <w:lang w:val="en-US" w:eastAsia="zh-CN" w:bidi="ar-SA"/>
              </w:rPr>
              <w:t>-</w:t>
            </w:r>
            <w:r>
              <w:rPr>
                <w:rFonts w:hint="default" w:ascii="Times New Roman" w:hAnsi="Times New Roman" w:eastAsia="宋体" w:cs="Times New Roman"/>
                <w:color w:val="auto"/>
                <w:kern w:val="2"/>
                <w:sz w:val="21"/>
                <w:szCs w:val="21"/>
                <w:lang w:val="en-US" w:eastAsia="zh-CN" w:bidi="ar-SA"/>
              </w:rPr>
              <w:t>（mg/L）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168</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130</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62.3</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108</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7"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钴（μg/L）</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＜0.03</w:t>
            </w:r>
          </w:p>
        </w:tc>
        <w:tc>
          <w:tcPr>
            <w:tcW w:w="3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0.0006</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＜0.03</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0.0006</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＜0.03</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0.0006</w:t>
            </w:r>
          </w:p>
        </w:tc>
        <w:tc>
          <w:tcPr>
            <w:tcW w:w="433"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＜0.03</w:t>
            </w:r>
          </w:p>
        </w:tc>
        <w:tc>
          <w:tcPr>
            <w:tcW w:w="3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0.0006</w:t>
            </w:r>
          </w:p>
        </w:tc>
        <w:tc>
          <w:tcPr>
            <w:tcW w:w="600"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≤50</w:t>
            </w:r>
          </w:p>
        </w:tc>
      </w:tr>
    </w:tbl>
    <w:p>
      <w:pPr>
        <w:pStyle w:val="33"/>
        <w:bidi w:val="0"/>
        <w:rPr>
          <w:rFonts w:hint="default" w:ascii="Times New Roman" w:hAnsi="Times New Roman" w:eastAsia="宋体" w:cs="Times New Roman"/>
          <w:color w:val="auto"/>
          <w:sz w:val="24"/>
          <w:szCs w:val="24"/>
          <w:highlight w:val="none"/>
        </w:rPr>
      </w:pPr>
      <w:r>
        <w:rPr>
          <w:rFonts w:hint="default"/>
          <w:color w:val="auto"/>
          <w:sz w:val="24"/>
          <w:szCs w:val="24"/>
        </w:rPr>
        <w:t>表</w:t>
      </w:r>
      <w:r>
        <w:rPr>
          <w:rFonts w:hint="eastAsia"/>
          <w:color w:val="auto"/>
          <w:sz w:val="24"/>
          <w:szCs w:val="24"/>
          <w:lang w:val="en-US" w:eastAsia="zh-CN"/>
        </w:rPr>
        <w:t xml:space="preserve"> 4.4.2-4     </w:t>
      </w:r>
      <w:r>
        <w:rPr>
          <w:rFonts w:hint="default"/>
          <w:color w:val="auto"/>
          <w:sz w:val="24"/>
          <w:szCs w:val="24"/>
          <w:lang w:val="en-US" w:eastAsia="zh-CN"/>
        </w:rPr>
        <w:t xml:space="preserve">  </w:t>
      </w:r>
      <w:r>
        <w:rPr>
          <w:rFonts w:hint="default"/>
          <w:color w:val="auto"/>
          <w:sz w:val="24"/>
          <w:szCs w:val="24"/>
        </w:rPr>
        <w:t xml:space="preserve"> </w:t>
      </w:r>
      <w:r>
        <w:rPr>
          <w:rFonts w:hint="eastAsia"/>
          <w:color w:val="auto"/>
          <w:sz w:val="24"/>
          <w:szCs w:val="24"/>
          <w:lang w:val="en-US" w:eastAsia="zh-CN"/>
        </w:rPr>
        <w:t>引用</w:t>
      </w:r>
      <w:r>
        <w:rPr>
          <w:rFonts w:hint="default"/>
          <w:color w:val="auto"/>
          <w:sz w:val="24"/>
          <w:szCs w:val="24"/>
        </w:rPr>
        <w:t>地下水水质监测</w:t>
      </w:r>
      <w:r>
        <w:rPr>
          <w:rFonts w:hint="eastAsia"/>
          <w:color w:val="auto"/>
          <w:sz w:val="24"/>
          <w:szCs w:val="24"/>
          <w:lang w:val="en-US" w:eastAsia="zh-CN"/>
        </w:rPr>
        <w:t>评价</w:t>
      </w:r>
      <w:r>
        <w:rPr>
          <w:rFonts w:hint="default"/>
          <w:color w:val="auto"/>
          <w:sz w:val="24"/>
          <w:szCs w:val="24"/>
        </w:rPr>
        <w:t>结果</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28"/>
        <w:gridCol w:w="2338"/>
        <w:gridCol w:w="1859"/>
        <w:gridCol w:w="32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74" w:type="pct"/>
            <w:vMerge w:val="restart"/>
            <w:tcBorders>
              <w:tl2br w:val="nil"/>
              <w:tr2bl w:val="nil"/>
            </w:tcBorders>
            <w:noWrap w:val="0"/>
            <w:vAlign w:val="center"/>
          </w:tcPr>
          <w:p>
            <w:pPr>
              <w:pStyle w:val="34"/>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检测项目</w:t>
            </w:r>
          </w:p>
        </w:tc>
        <w:tc>
          <w:tcPr>
            <w:tcW w:w="1481" w:type="pct"/>
            <w:gridSpan w:val="2"/>
            <w:tcBorders>
              <w:tl2br w:val="nil"/>
              <w:tr2bl w:val="nil"/>
            </w:tcBorders>
            <w:noWrap w:val="0"/>
            <w:vAlign w:val="center"/>
          </w:tcPr>
          <w:p>
            <w:pPr>
              <w:pStyle w:val="34"/>
              <w:bidi w:val="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DXS-1</w:t>
            </w:r>
          </w:p>
        </w:tc>
        <w:tc>
          <w:tcPr>
            <w:tcW w:w="1144" w:type="pct"/>
            <w:vMerge w:val="restar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bCs/>
                <w:color w:val="auto"/>
                <w:sz w:val="21"/>
                <w:szCs w:val="21"/>
                <w:lang w:val="en-US" w:eastAsia="zh-CN"/>
              </w:rPr>
              <w:t>III类标准限值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74" w:type="pct"/>
            <w:vMerge w:val="continue"/>
            <w:tcBorders>
              <w:tl2br w:val="nil"/>
              <w:tr2bl w:val="nil"/>
            </w:tcBorders>
            <w:noWrap w:val="0"/>
            <w:vAlign w:val="center"/>
          </w:tcPr>
          <w:p>
            <w:pPr>
              <w:pStyle w:val="34"/>
              <w:bidi w:val="0"/>
              <w:jc w:val="center"/>
              <w:rPr>
                <w:rFonts w:hint="default" w:ascii="Times New Roman" w:hAnsi="Times New Roman" w:eastAsia="宋体" w:cs="Times New Roman"/>
                <w:b/>
                <w:bCs/>
                <w:color w:val="auto"/>
                <w:sz w:val="21"/>
                <w:szCs w:val="21"/>
              </w:rPr>
            </w:pPr>
          </w:p>
        </w:tc>
        <w:tc>
          <w:tcPr>
            <w:tcW w:w="825" w:type="pct"/>
            <w:tcBorders>
              <w:tl2br w:val="nil"/>
              <w:tr2bl w:val="nil"/>
            </w:tcBorders>
            <w:noWrap w:val="0"/>
            <w:vAlign w:val="center"/>
          </w:tcPr>
          <w:p>
            <w:pPr>
              <w:pStyle w:val="34"/>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监测值</w:t>
            </w:r>
          </w:p>
        </w:tc>
        <w:tc>
          <w:tcPr>
            <w:tcW w:w="656" w:type="pct"/>
            <w:tcBorders>
              <w:tl2br w:val="nil"/>
              <w:tr2bl w:val="nil"/>
            </w:tcBorders>
            <w:noWrap w:val="0"/>
            <w:vAlign w:val="center"/>
          </w:tcPr>
          <w:p>
            <w:pPr>
              <w:pStyle w:val="34"/>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Si</w:t>
            </w:r>
          </w:p>
        </w:tc>
        <w:tc>
          <w:tcPr>
            <w:tcW w:w="1144" w:type="pct"/>
            <w:vMerge w:val="continue"/>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2374"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pH值（无量纲）</w:t>
            </w:r>
          </w:p>
        </w:tc>
        <w:tc>
          <w:tcPr>
            <w:tcW w:w="825"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7.0</w:t>
            </w:r>
          </w:p>
        </w:tc>
        <w:tc>
          <w:tcPr>
            <w:tcW w:w="656"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w:t>
            </w:r>
          </w:p>
        </w:tc>
        <w:tc>
          <w:tcPr>
            <w:tcW w:w="11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6.5≤pH≤8.5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2374"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氨氮（</w:t>
            </w:r>
            <w:r>
              <w:rPr>
                <w:rFonts w:hint="default" w:ascii="Times New Roman" w:hAnsi="Times New Roman" w:eastAsia="宋体" w:cs="Times New Roman"/>
                <w:color w:val="auto"/>
                <w:kern w:val="2"/>
                <w:sz w:val="21"/>
                <w:szCs w:val="21"/>
                <w:lang w:val="en-US" w:eastAsia="zh-CN" w:bidi="ar-SA"/>
              </w:rPr>
              <w:t>mg/L</w:t>
            </w:r>
            <w:r>
              <w:rPr>
                <w:rFonts w:hint="default" w:ascii="Times New Roman" w:hAnsi="Times New Roman" w:eastAsia="宋体" w:cs="Times New Roman"/>
                <w:color w:val="auto"/>
                <w:sz w:val="21"/>
                <w:szCs w:val="21"/>
                <w:lang w:val="en-US" w:eastAsia="zh-CN"/>
              </w:rPr>
              <w:t>）</w:t>
            </w:r>
          </w:p>
        </w:tc>
        <w:tc>
          <w:tcPr>
            <w:tcW w:w="825"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0.234</w:t>
            </w:r>
          </w:p>
        </w:tc>
        <w:tc>
          <w:tcPr>
            <w:tcW w:w="65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0.468</w:t>
            </w:r>
          </w:p>
        </w:tc>
        <w:tc>
          <w:tcPr>
            <w:tcW w:w="11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highlight w:val="none"/>
                <w:vertAlign w:val="baseline"/>
                <w:lang w:val="en-US" w:eastAsia="zh-CN"/>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2374"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硝酸盐氮（mg/L）</w:t>
            </w:r>
          </w:p>
        </w:tc>
        <w:tc>
          <w:tcPr>
            <w:tcW w:w="825"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0.677</w:t>
            </w:r>
          </w:p>
        </w:tc>
        <w:tc>
          <w:tcPr>
            <w:tcW w:w="65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0.034</w:t>
            </w:r>
          </w:p>
        </w:tc>
        <w:tc>
          <w:tcPr>
            <w:tcW w:w="11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highlight w:val="none"/>
                <w:vertAlign w:val="baseline"/>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2374" w:type="pct"/>
            <w:tcBorders>
              <w:tl2br w:val="nil"/>
              <w:tr2bl w:val="nil"/>
            </w:tcBorders>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挥发酚（mg/L）</w:t>
            </w:r>
          </w:p>
        </w:tc>
        <w:tc>
          <w:tcPr>
            <w:tcW w:w="825"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＜0.0003</w:t>
            </w:r>
          </w:p>
        </w:tc>
        <w:tc>
          <w:tcPr>
            <w:tcW w:w="65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0.15</w:t>
            </w:r>
          </w:p>
        </w:tc>
        <w:tc>
          <w:tcPr>
            <w:tcW w:w="11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highlight w:val="none"/>
                <w:vertAlign w:val="baseline"/>
                <w:lang w:val="en-US" w:eastAsia="zh-CN"/>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2374" w:type="pct"/>
            <w:tcBorders>
              <w:tl2br w:val="nil"/>
              <w:tr2bl w:val="nil"/>
            </w:tcBorders>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氰化物（mg/L）</w:t>
            </w:r>
          </w:p>
        </w:tc>
        <w:tc>
          <w:tcPr>
            <w:tcW w:w="825"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＜0.004</w:t>
            </w:r>
          </w:p>
        </w:tc>
        <w:tc>
          <w:tcPr>
            <w:tcW w:w="65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0.08</w:t>
            </w:r>
          </w:p>
        </w:tc>
        <w:tc>
          <w:tcPr>
            <w:tcW w:w="11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highlight w:val="none"/>
                <w:vertAlign w:val="baseli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2374"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砷（mg/L）</w:t>
            </w:r>
          </w:p>
        </w:tc>
        <w:tc>
          <w:tcPr>
            <w:tcW w:w="825"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＜0.0003</w:t>
            </w:r>
          </w:p>
        </w:tc>
        <w:tc>
          <w:tcPr>
            <w:tcW w:w="65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0.03</w:t>
            </w:r>
          </w:p>
        </w:tc>
        <w:tc>
          <w:tcPr>
            <w:tcW w:w="11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highlight w:val="none"/>
                <w:vertAlign w:val="baseline"/>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2374"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汞（mg/L）</w:t>
            </w:r>
          </w:p>
        </w:tc>
        <w:tc>
          <w:tcPr>
            <w:tcW w:w="825"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＜0.00004</w:t>
            </w:r>
          </w:p>
        </w:tc>
        <w:tc>
          <w:tcPr>
            <w:tcW w:w="65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0.04</w:t>
            </w:r>
          </w:p>
        </w:tc>
        <w:tc>
          <w:tcPr>
            <w:tcW w:w="11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highlight w:val="none"/>
                <w:vertAlign w:val="baseline"/>
                <w:lang w:val="en-US" w:eastAsia="zh-CN"/>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2374"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六价铬（mg/L）</w:t>
            </w:r>
          </w:p>
        </w:tc>
        <w:tc>
          <w:tcPr>
            <w:tcW w:w="825"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0.009</w:t>
            </w:r>
          </w:p>
        </w:tc>
        <w:tc>
          <w:tcPr>
            <w:tcW w:w="65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0.18</w:t>
            </w:r>
          </w:p>
        </w:tc>
        <w:tc>
          <w:tcPr>
            <w:tcW w:w="11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highlight w:val="none"/>
                <w:vertAlign w:val="baseli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2374"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总硬度（mg/L）</w:t>
            </w:r>
          </w:p>
        </w:tc>
        <w:tc>
          <w:tcPr>
            <w:tcW w:w="825"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195</w:t>
            </w:r>
          </w:p>
        </w:tc>
        <w:tc>
          <w:tcPr>
            <w:tcW w:w="65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0.43</w:t>
            </w:r>
          </w:p>
        </w:tc>
        <w:tc>
          <w:tcPr>
            <w:tcW w:w="11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highlight w:val="none"/>
                <w:vertAlign w:val="baseline"/>
                <w:lang w:val="en-US" w:eastAsia="zh-CN"/>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2374"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铅（mg/L）</w:t>
            </w:r>
          </w:p>
        </w:tc>
        <w:tc>
          <w:tcPr>
            <w:tcW w:w="825"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＜0.01</w:t>
            </w:r>
          </w:p>
        </w:tc>
        <w:tc>
          <w:tcPr>
            <w:tcW w:w="65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＜1</w:t>
            </w:r>
          </w:p>
        </w:tc>
        <w:tc>
          <w:tcPr>
            <w:tcW w:w="11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highlight w:val="none"/>
                <w:vertAlign w:val="baseline"/>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2374" w:type="pct"/>
            <w:tcBorders>
              <w:tl2br w:val="nil"/>
              <w:tr2bl w:val="nil"/>
            </w:tcBorders>
            <w:noWrap w:val="0"/>
            <w:vAlign w:val="center"/>
          </w:tcPr>
          <w:p>
            <w:pPr>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镉（mg/L）</w:t>
            </w:r>
          </w:p>
        </w:tc>
        <w:tc>
          <w:tcPr>
            <w:tcW w:w="825"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＜0.001</w:t>
            </w:r>
          </w:p>
        </w:tc>
        <w:tc>
          <w:tcPr>
            <w:tcW w:w="65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0.2</w:t>
            </w:r>
          </w:p>
        </w:tc>
        <w:tc>
          <w:tcPr>
            <w:tcW w:w="11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74" w:type="pct"/>
            <w:tcBorders>
              <w:tl2br w:val="nil"/>
              <w:tr2bl w:val="nil"/>
            </w:tcBorders>
            <w:noWrap w:val="0"/>
            <w:vAlign w:val="center"/>
          </w:tcPr>
          <w:p>
            <w:pPr>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铜（mg/L）</w:t>
            </w:r>
          </w:p>
        </w:tc>
        <w:tc>
          <w:tcPr>
            <w:tcW w:w="825" w:type="pct"/>
            <w:tcBorders>
              <w:tl2br w:val="nil"/>
              <w:tr2bl w:val="nil"/>
            </w:tcBorders>
            <w:noWrap w:val="0"/>
            <w:vAlign w:val="center"/>
          </w:tcPr>
          <w:p>
            <w:pPr>
              <w:widowControl/>
              <w:jc w:val="center"/>
              <w:textAlignment w:val="bottom"/>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＜0.001</w:t>
            </w:r>
          </w:p>
        </w:tc>
        <w:tc>
          <w:tcPr>
            <w:tcW w:w="65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0.001</w:t>
            </w:r>
          </w:p>
        </w:tc>
        <w:tc>
          <w:tcPr>
            <w:tcW w:w="11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2374"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银</w:t>
            </w:r>
            <w:r>
              <w:rPr>
                <w:rFonts w:hint="default" w:ascii="Times New Roman" w:hAnsi="Times New Roman" w:eastAsia="宋体" w:cs="Times New Roman"/>
                <w:color w:val="auto"/>
                <w:kern w:val="2"/>
                <w:sz w:val="21"/>
                <w:szCs w:val="21"/>
                <w:lang w:val="en-US" w:eastAsia="zh-CN" w:bidi="ar-SA"/>
              </w:rPr>
              <w:t>（mg/L）</w:t>
            </w:r>
          </w:p>
        </w:tc>
        <w:tc>
          <w:tcPr>
            <w:tcW w:w="825" w:type="pct"/>
            <w:tcBorders>
              <w:tl2br w:val="nil"/>
              <w:tr2bl w:val="nil"/>
            </w:tcBorders>
            <w:noWrap w:val="0"/>
            <w:vAlign w:val="center"/>
          </w:tcPr>
          <w:p>
            <w:pPr>
              <w:widowControl/>
              <w:jc w:val="center"/>
              <w:textAlignment w:val="bottom"/>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＜0.03</w:t>
            </w:r>
          </w:p>
        </w:tc>
        <w:tc>
          <w:tcPr>
            <w:tcW w:w="65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0.6</w:t>
            </w:r>
          </w:p>
        </w:tc>
        <w:tc>
          <w:tcPr>
            <w:tcW w:w="11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2374"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锌（mg/L）</w:t>
            </w:r>
          </w:p>
        </w:tc>
        <w:tc>
          <w:tcPr>
            <w:tcW w:w="825"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＜0.05</w:t>
            </w:r>
          </w:p>
        </w:tc>
        <w:tc>
          <w:tcPr>
            <w:tcW w:w="65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0.05</w:t>
            </w:r>
          </w:p>
        </w:tc>
        <w:tc>
          <w:tcPr>
            <w:tcW w:w="11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highlight w:val="none"/>
                <w:vertAlign w:val="baseli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2374" w:type="pct"/>
            <w:tcBorders>
              <w:tl2br w:val="nil"/>
              <w:tr2bl w:val="nil"/>
            </w:tcBorders>
            <w:noWrap w:val="0"/>
            <w:vAlign w:val="center"/>
          </w:tcPr>
          <w:p>
            <w:pPr>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铝（</w:t>
            </w:r>
            <w:r>
              <w:rPr>
                <w:rFonts w:hint="default" w:ascii="Times New Roman" w:hAnsi="Times New Roman" w:eastAsia="宋体" w:cs="Times New Roman"/>
                <w:color w:val="auto"/>
                <w:sz w:val="21"/>
                <w:szCs w:val="21"/>
                <w:lang w:val="en-US" w:eastAsia="zh-CN"/>
              </w:rPr>
              <w:t>mg</w:t>
            </w:r>
            <w:r>
              <w:rPr>
                <w:rFonts w:hint="default" w:ascii="Times New Roman" w:hAnsi="Times New Roman" w:eastAsia="宋体" w:cs="Times New Roman"/>
                <w:color w:val="auto"/>
                <w:kern w:val="2"/>
                <w:sz w:val="21"/>
                <w:szCs w:val="21"/>
                <w:highlight w:val="none"/>
                <w:lang w:val="en-US" w:eastAsia="zh-CN" w:bidi="ar-SA"/>
              </w:rPr>
              <w:t>/L）</w:t>
            </w:r>
          </w:p>
        </w:tc>
        <w:tc>
          <w:tcPr>
            <w:tcW w:w="825"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＜0.009</w:t>
            </w:r>
          </w:p>
        </w:tc>
        <w:tc>
          <w:tcPr>
            <w:tcW w:w="65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0.045</w:t>
            </w:r>
          </w:p>
        </w:tc>
        <w:tc>
          <w:tcPr>
            <w:tcW w:w="11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2374"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锰（mg/L）</w:t>
            </w:r>
          </w:p>
        </w:tc>
        <w:tc>
          <w:tcPr>
            <w:tcW w:w="825"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＜0.01</w:t>
            </w:r>
          </w:p>
        </w:tc>
        <w:tc>
          <w:tcPr>
            <w:tcW w:w="65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0.1</w:t>
            </w:r>
          </w:p>
        </w:tc>
        <w:tc>
          <w:tcPr>
            <w:tcW w:w="11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highlight w:val="none"/>
                <w:vertAlign w:val="baseline"/>
                <w:lang w:val="en-US" w:eastAsia="zh-CN"/>
              </w:rPr>
              <w:t>≤0.10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2374"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溶解性总固体（mg/L）</w:t>
            </w:r>
          </w:p>
        </w:tc>
        <w:tc>
          <w:tcPr>
            <w:tcW w:w="825"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661</w:t>
            </w:r>
          </w:p>
        </w:tc>
        <w:tc>
          <w:tcPr>
            <w:tcW w:w="65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0.661</w:t>
            </w:r>
          </w:p>
        </w:tc>
        <w:tc>
          <w:tcPr>
            <w:tcW w:w="11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highlight w:val="none"/>
                <w:vertAlign w:val="baseline"/>
                <w:lang w:val="en-US" w:eastAsia="zh-C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74"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硫酸盐（mg/L）</w:t>
            </w:r>
          </w:p>
        </w:tc>
        <w:tc>
          <w:tcPr>
            <w:tcW w:w="825"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98</w:t>
            </w:r>
          </w:p>
        </w:tc>
        <w:tc>
          <w:tcPr>
            <w:tcW w:w="656"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0.392</w:t>
            </w:r>
          </w:p>
        </w:tc>
        <w:tc>
          <w:tcPr>
            <w:tcW w:w="11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74"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氯化物（mg/L）</w:t>
            </w:r>
          </w:p>
        </w:tc>
        <w:tc>
          <w:tcPr>
            <w:tcW w:w="825"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65.7</w:t>
            </w:r>
          </w:p>
        </w:tc>
        <w:tc>
          <w:tcPr>
            <w:tcW w:w="656"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0.26</w:t>
            </w:r>
          </w:p>
        </w:tc>
        <w:tc>
          <w:tcPr>
            <w:tcW w:w="1144" w:type="pct"/>
            <w:tcBorders>
              <w:tl2br w:val="nil"/>
              <w:tr2bl w:val="nil"/>
            </w:tcBorders>
            <w:noWrap w:val="0"/>
            <w:vAlign w:val="center"/>
          </w:tcPr>
          <w:p>
            <w:pPr>
              <w:pStyle w:val="34"/>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vertAlign w:val="baseline"/>
                <w:lang w:val="en-US" w:eastAsia="zh-CN"/>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74"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高锰酸盐指数(以O</w:t>
            </w:r>
            <w:r>
              <w:rPr>
                <w:rFonts w:hint="default" w:ascii="Times New Roman" w:hAnsi="Times New Roman" w:eastAsia="宋体" w:cs="Times New Roman"/>
                <w:color w:val="auto"/>
                <w:kern w:val="2"/>
                <w:sz w:val="21"/>
                <w:szCs w:val="21"/>
                <w:vertAlign w:val="subscript"/>
                <w:lang w:val="en-US" w:eastAsia="zh-CN" w:bidi="ar-SA"/>
              </w:rPr>
              <w:t>2</w:t>
            </w:r>
            <w:r>
              <w:rPr>
                <w:rFonts w:hint="default" w:ascii="Times New Roman" w:hAnsi="Times New Roman" w:eastAsia="宋体" w:cs="Times New Roman"/>
                <w:color w:val="auto"/>
                <w:kern w:val="2"/>
                <w:sz w:val="21"/>
                <w:szCs w:val="21"/>
                <w:vertAlign w:val="baseline"/>
                <w:lang w:val="en-US" w:eastAsia="zh-CN" w:bidi="ar-SA"/>
              </w:rPr>
              <w:t>计）</w:t>
            </w:r>
            <w:r>
              <w:rPr>
                <w:rFonts w:hint="default" w:ascii="Times New Roman" w:hAnsi="Times New Roman" w:eastAsia="宋体" w:cs="Times New Roman"/>
                <w:color w:val="auto"/>
                <w:kern w:val="2"/>
                <w:sz w:val="21"/>
                <w:szCs w:val="21"/>
                <w:lang w:val="en-US" w:eastAsia="zh-CN" w:bidi="ar-SA"/>
              </w:rPr>
              <w:t>（mg/L）</w:t>
            </w:r>
          </w:p>
        </w:tc>
        <w:tc>
          <w:tcPr>
            <w:tcW w:w="825"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2.1</w:t>
            </w:r>
          </w:p>
        </w:tc>
        <w:tc>
          <w:tcPr>
            <w:tcW w:w="65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0.7</w:t>
            </w:r>
          </w:p>
        </w:tc>
        <w:tc>
          <w:tcPr>
            <w:tcW w:w="11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highlight w:val="none"/>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74"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总大肠菌群（MPN/100L）</w:t>
            </w:r>
          </w:p>
        </w:tc>
        <w:tc>
          <w:tcPr>
            <w:tcW w:w="825"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未检出</w:t>
            </w:r>
          </w:p>
        </w:tc>
        <w:tc>
          <w:tcPr>
            <w:tcW w:w="65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1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highlight w:val="none"/>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74"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氟化物（mg/L）</w:t>
            </w:r>
          </w:p>
        </w:tc>
        <w:tc>
          <w:tcPr>
            <w:tcW w:w="825" w:type="pct"/>
            <w:tcBorders>
              <w:tl2br w:val="nil"/>
              <w:tr2bl w:val="nil"/>
            </w:tcBorders>
            <w:noWrap w:val="0"/>
            <w:vAlign w:val="center"/>
          </w:tcPr>
          <w:p>
            <w:pPr>
              <w:ind w:left="-420" w:leftChars="-200" w:firstLine="420" w:firstLineChars="20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0.255</w:t>
            </w:r>
          </w:p>
        </w:tc>
        <w:tc>
          <w:tcPr>
            <w:tcW w:w="65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sz w:val="21"/>
                <w:szCs w:val="21"/>
                <w:lang w:val="en-US" w:eastAsia="zh-CN"/>
              </w:rPr>
              <w:t>0.255</w:t>
            </w:r>
          </w:p>
        </w:tc>
        <w:tc>
          <w:tcPr>
            <w:tcW w:w="114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highlight w:val="none"/>
                <w:vertAlign w:val="baseline"/>
                <w:lang w:val="en-US" w:eastAsia="zh-CN"/>
              </w:rPr>
              <w:t>≤1.0</w:t>
            </w:r>
          </w:p>
        </w:tc>
      </w:tr>
    </w:tbl>
    <w:p>
      <w:pPr>
        <w:pStyle w:val="29"/>
        <w:rPr>
          <w:rFonts w:hint="default"/>
          <w:color w:val="auto"/>
          <w:lang w:val="en-US" w:eastAsia="zh-CN"/>
        </w:rPr>
      </w:pPr>
      <w:r>
        <w:rPr>
          <w:rFonts w:hint="eastAsia"/>
          <w:color w:val="auto"/>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由监测结果可以看出，各点位的各项指标均满足《地下水质量标准》（GB/T 14848-2017）中 Ⅲ 类标准限值。 </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4.4.3 声环境质量现状调查与评价</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4.4.3.1 监测布点</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本次评价委托新疆国泰民康职业环境检测评价有限责任公司分别在拟建项目厂区的东（1#）、南（2#）、西（3#）、北（4#）四个方向的厂界处 1m 处进行了声环境质量现状监测，监测布点图见</w:t>
      </w:r>
      <w:r>
        <w:rPr>
          <w:rFonts w:hint="eastAsia" w:ascii="Times New Roman" w:hAnsi="Times New Roman" w:eastAsia="宋体" w:cs="Times New Roman"/>
          <w:b/>
          <w:bCs/>
          <w:color w:val="auto"/>
          <w:sz w:val="24"/>
          <w:szCs w:val="24"/>
          <w:lang w:val="en-US" w:eastAsia="zh-CN"/>
        </w:rPr>
        <w:t>附图 4.3-1。</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4.4.3.2 监测因子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监测因子为等效A声级，监测仪器采用 AWA6228 型声级计。</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4.4.3.3 监测时间及频率</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监测工作在 2023 年 1 月 6 日~7 日进行，分昼间和夜间两个时段，进行监测。</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4.4.3.4 评价标准与方法</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厂界噪声执行《声环境质量标准》（GB3096-2008）中的 3 类声环境功能区标准。评价方法采用监测值与标准值直接比较的方法。</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4.4.3.5 监测及评价结果</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噪声监测及评价结果见表</w:t>
      </w:r>
      <w:r>
        <w:rPr>
          <w:rFonts w:hint="default" w:ascii="Times New Roman" w:hAnsi="Times New Roman" w:eastAsia="宋体" w:cs="Times New Roman"/>
          <w:color w:val="auto"/>
          <w:sz w:val="24"/>
          <w:szCs w:val="24"/>
          <w:lang w:val="en-US" w:eastAsia="zh-CN"/>
        </w:rPr>
        <w:t xml:space="preserve"> 4</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4.3</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rPr>
        <w:t>。</w:t>
      </w:r>
    </w:p>
    <w:p>
      <w:pPr>
        <w:pStyle w:val="33"/>
        <w:keepNext w:val="0"/>
        <w:keepLines w:val="0"/>
        <w:pageBreakBefore w:val="0"/>
        <w:widowControl w:val="0"/>
        <w:kinsoku/>
        <w:wordWrap/>
        <w:overflowPunct/>
        <w:topLinePunct w:val="0"/>
        <w:autoSpaceDE/>
        <w:autoSpaceDN/>
        <w:bidi w:val="0"/>
        <w:adjustRightInd w:val="0"/>
        <w:snapToGrid w:val="0"/>
        <w:textAlignment w:val="baseline"/>
        <w:rPr>
          <w:rFonts w:hint="default" w:ascii="Times New Roman" w:hAnsi="Times New Roman" w:cs="Times New Roman"/>
          <w:b/>
          <w:color w:val="auto"/>
          <w:sz w:val="5"/>
          <w:highlight w:val="yellow"/>
        </w:rPr>
      </w:pPr>
      <w:r>
        <w:rPr>
          <w:rFonts w:hint="default"/>
          <w:color w:val="auto"/>
          <w:sz w:val="24"/>
          <w:szCs w:val="24"/>
        </w:rPr>
        <w:t xml:space="preserve">表 </w:t>
      </w:r>
      <w:r>
        <w:rPr>
          <w:rFonts w:hint="eastAsia"/>
          <w:color w:val="auto"/>
          <w:sz w:val="24"/>
          <w:szCs w:val="24"/>
          <w:lang w:val="en-US" w:eastAsia="zh-CN"/>
        </w:rPr>
        <w:t xml:space="preserve">4.4.1-1  </w:t>
      </w:r>
      <w:r>
        <w:rPr>
          <w:rFonts w:hint="default"/>
          <w:color w:val="auto"/>
          <w:sz w:val="24"/>
          <w:szCs w:val="24"/>
        </w:rPr>
        <w:t xml:space="preserve"> </w:t>
      </w:r>
      <w:r>
        <w:rPr>
          <w:rFonts w:hint="eastAsia"/>
          <w:color w:val="auto"/>
          <w:sz w:val="24"/>
          <w:szCs w:val="24"/>
          <w:lang w:val="en-US" w:eastAsia="zh-CN"/>
        </w:rPr>
        <w:t xml:space="preserve">   </w:t>
      </w:r>
      <w:r>
        <w:rPr>
          <w:rFonts w:hint="default"/>
          <w:color w:val="auto"/>
          <w:sz w:val="24"/>
          <w:szCs w:val="24"/>
        </w:rPr>
        <w:t>声环境监测结果</w:t>
      </w:r>
    </w:p>
    <w:tbl>
      <w:tblPr>
        <w:tblStyle w:val="21"/>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6" w:space="0"/>
        </w:tblBorders>
        <w:tblLayout w:type="autofit"/>
        <w:tblCellMar>
          <w:top w:w="0" w:type="dxa"/>
          <w:left w:w="0" w:type="dxa"/>
          <w:bottom w:w="0" w:type="dxa"/>
          <w:right w:w="0" w:type="dxa"/>
        </w:tblCellMar>
      </w:tblPr>
      <w:tblGrid>
        <w:gridCol w:w="2786"/>
        <w:gridCol w:w="1761"/>
        <w:gridCol w:w="502"/>
        <w:gridCol w:w="504"/>
        <w:gridCol w:w="1761"/>
        <w:gridCol w:w="502"/>
        <w:gridCol w:w="49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6" w:space="0"/>
          </w:tblBorders>
          <w:tblCellMar>
            <w:top w:w="0" w:type="dxa"/>
            <w:left w:w="0" w:type="dxa"/>
            <w:bottom w:w="0" w:type="dxa"/>
            <w:right w:w="0" w:type="dxa"/>
          </w:tblCellMar>
        </w:tblPrEx>
        <w:trPr>
          <w:trHeight w:val="263" w:hRule="atLeast"/>
          <w:jc w:val="center"/>
        </w:trPr>
        <w:tc>
          <w:tcPr>
            <w:tcW w:w="1675" w:type="pct"/>
            <w:vMerge w:val="restart"/>
            <w:tcBorders>
              <w:tl2br w:val="nil"/>
              <w:tr2bl w:val="nil"/>
            </w:tcBorders>
            <w:noWrap w:val="0"/>
            <w:vAlign w:val="center"/>
          </w:tcPr>
          <w:p>
            <w:pPr>
              <w:pStyle w:val="34"/>
              <w:bidi w:val="0"/>
              <w:jc w:val="center"/>
              <w:rPr>
                <w:rFonts w:hint="default"/>
                <w:b/>
                <w:bCs/>
                <w:color w:val="auto"/>
                <w:sz w:val="21"/>
                <w:szCs w:val="21"/>
              </w:rPr>
            </w:pPr>
            <w:r>
              <w:rPr>
                <w:rFonts w:hint="default"/>
                <w:b/>
                <w:bCs/>
                <w:color w:val="auto"/>
                <w:sz w:val="21"/>
                <w:szCs w:val="21"/>
              </w:rPr>
              <w:t>监测点</w:t>
            </w:r>
          </w:p>
        </w:tc>
        <w:tc>
          <w:tcPr>
            <w:tcW w:w="1664" w:type="pct"/>
            <w:gridSpan w:val="3"/>
            <w:tcBorders>
              <w:tl2br w:val="nil"/>
              <w:tr2bl w:val="nil"/>
            </w:tcBorders>
            <w:noWrap w:val="0"/>
            <w:vAlign w:val="center"/>
          </w:tcPr>
          <w:p>
            <w:pPr>
              <w:pStyle w:val="34"/>
              <w:bidi w:val="0"/>
              <w:jc w:val="center"/>
              <w:rPr>
                <w:rFonts w:hint="default"/>
                <w:b/>
                <w:bCs/>
                <w:color w:val="auto"/>
                <w:sz w:val="21"/>
                <w:szCs w:val="21"/>
              </w:rPr>
            </w:pPr>
            <w:r>
              <w:rPr>
                <w:rFonts w:hint="default"/>
                <w:b/>
                <w:bCs/>
                <w:color w:val="auto"/>
                <w:sz w:val="21"/>
                <w:szCs w:val="21"/>
              </w:rPr>
              <w:t>昼间</w:t>
            </w:r>
          </w:p>
        </w:tc>
        <w:tc>
          <w:tcPr>
            <w:tcW w:w="1659" w:type="pct"/>
            <w:gridSpan w:val="3"/>
            <w:tcBorders>
              <w:tl2br w:val="nil"/>
              <w:tr2bl w:val="nil"/>
            </w:tcBorders>
            <w:noWrap w:val="0"/>
            <w:vAlign w:val="center"/>
          </w:tcPr>
          <w:p>
            <w:pPr>
              <w:pStyle w:val="34"/>
              <w:bidi w:val="0"/>
              <w:jc w:val="center"/>
              <w:rPr>
                <w:rFonts w:hint="default"/>
                <w:b/>
                <w:bCs/>
                <w:color w:val="auto"/>
                <w:sz w:val="21"/>
                <w:szCs w:val="21"/>
              </w:rPr>
            </w:pPr>
            <w:r>
              <w:rPr>
                <w:rFonts w:hint="default"/>
                <w:b/>
                <w:bCs/>
                <w:color w:val="auto"/>
                <w:sz w:val="21"/>
                <w:szCs w:val="21"/>
              </w:rPr>
              <w:t>夜间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6" w:space="0"/>
          </w:tblBorders>
          <w:tblCellMar>
            <w:top w:w="0" w:type="dxa"/>
            <w:left w:w="0" w:type="dxa"/>
            <w:bottom w:w="0" w:type="dxa"/>
            <w:right w:w="0" w:type="dxa"/>
          </w:tblCellMar>
        </w:tblPrEx>
        <w:trPr>
          <w:trHeight w:val="538" w:hRule="atLeast"/>
          <w:jc w:val="center"/>
        </w:trPr>
        <w:tc>
          <w:tcPr>
            <w:tcW w:w="1675" w:type="pct"/>
            <w:vMerge w:val="continue"/>
            <w:tcBorders>
              <w:tl2br w:val="nil"/>
              <w:tr2bl w:val="nil"/>
            </w:tcBorders>
            <w:noWrap w:val="0"/>
            <w:vAlign w:val="center"/>
          </w:tcPr>
          <w:p>
            <w:pPr>
              <w:pStyle w:val="34"/>
              <w:bidi w:val="0"/>
              <w:jc w:val="center"/>
              <w:rPr>
                <w:rFonts w:hint="default"/>
                <w:b/>
                <w:bCs/>
                <w:color w:val="auto"/>
                <w:sz w:val="21"/>
                <w:szCs w:val="21"/>
              </w:rPr>
            </w:pPr>
          </w:p>
        </w:tc>
        <w:tc>
          <w:tcPr>
            <w:tcW w:w="1059" w:type="pct"/>
            <w:tcBorders>
              <w:tl2br w:val="nil"/>
              <w:tr2bl w:val="nil"/>
            </w:tcBorders>
            <w:noWrap w:val="0"/>
            <w:vAlign w:val="center"/>
          </w:tcPr>
          <w:p>
            <w:pPr>
              <w:pStyle w:val="34"/>
              <w:bidi w:val="0"/>
              <w:jc w:val="center"/>
              <w:rPr>
                <w:rFonts w:hint="default"/>
                <w:b/>
                <w:bCs/>
                <w:color w:val="auto"/>
                <w:sz w:val="21"/>
                <w:szCs w:val="21"/>
              </w:rPr>
            </w:pPr>
            <w:r>
              <w:rPr>
                <w:rFonts w:hint="default"/>
                <w:b/>
                <w:bCs/>
                <w:color w:val="auto"/>
                <w:sz w:val="21"/>
                <w:szCs w:val="21"/>
              </w:rPr>
              <w:t>监测值dB（A）</w:t>
            </w:r>
          </w:p>
        </w:tc>
        <w:tc>
          <w:tcPr>
            <w:tcW w:w="302" w:type="pct"/>
            <w:tcBorders>
              <w:tl2br w:val="nil"/>
              <w:tr2bl w:val="nil"/>
            </w:tcBorders>
            <w:noWrap w:val="0"/>
            <w:vAlign w:val="center"/>
          </w:tcPr>
          <w:p>
            <w:pPr>
              <w:pStyle w:val="34"/>
              <w:bidi w:val="0"/>
              <w:jc w:val="center"/>
              <w:rPr>
                <w:rFonts w:hint="default"/>
                <w:b/>
                <w:bCs/>
                <w:color w:val="auto"/>
                <w:sz w:val="21"/>
                <w:szCs w:val="21"/>
              </w:rPr>
            </w:pPr>
            <w:r>
              <w:rPr>
                <w:rFonts w:hint="default"/>
                <w:b/>
                <w:bCs/>
                <w:color w:val="auto"/>
                <w:sz w:val="21"/>
                <w:szCs w:val="21"/>
              </w:rPr>
              <w:t>标准</w:t>
            </w:r>
          </w:p>
        </w:tc>
        <w:tc>
          <w:tcPr>
            <w:tcW w:w="302" w:type="pct"/>
            <w:tcBorders>
              <w:tl2br w:val="nil"/>
              <w:tr2bl w:val="nil"/>
            </w:tcBorders>
            <w:noWrap w:val="0"/>
            <w:vAlign w:val="center"/>
          </w:tcPr>
          <w:p>
            <w:pPr>
              <w:pStyle w:val="34"/>
              <w:bidi w:val="0"/>
              <w:jc w:val="center"/>
              <w:rPr>
                <w:rFonts w:hint="default"/>
                <w:b/>
                <w:bCs/>
                <w:color w:val="auto"/>
                <w:sz w:val="21"/>
                <w:szCs w:val="21"/>
              </w:rPr>
            </w:pPr>
            <w:r>
              <w:rPr>
                <w:rFonts w:hint="default"/>
                <w:b/>
                <w:bCs/>
                <w:color w:val="auto"/>
                <w:sz w:val="21"/>
                <w:szCs w:val="21"/>
              </w:rPr>
              <w:t>达标</w:t>
            </w:r>
          </w:p>
        </w:tc>
        <w:tc>
          <w:tcPr>
            <w:tcW w:w="1059" w:type="pct"/>
            <w:tcBorders>
              <w:tl2br w:val="nil"/>
              <w:tr2bl w:val="nil"/>
            </w:tcBorders>
            <w:noWrap w:val="0"/>
            <w:vAlign w:val="center"/>
          </w:tcPr>
          <w:p>
            <w:pPr>
              <w:pStyle w:val="34"/>
              <w:bidi w:val="0"/>
              <w:jc w:val="center"/>
              <w:rPr>
                <w:rFonts w:hint="default"/>
                <w:b/>
                <w:bCs/>
                <w:color w:val="auto"/>
                <w:sz w:val="21"/>
                <w:szCs w:val="21"/>
              </w:rPr>
            </w:pPr>
            <w:r>
              <w:rPr>
                <w:rFonts w:hint="default"/>
                <w:b/>
                <w:bCs/>
                <w:color w:val="auto"/>
                <w:sz w:val="21"/>
                <w:szCs w:val="21"/>
              </w:rPr>
              <w:t>监测值dB（A）</w:t>
            </w:r>
          </w:p>
        </w:tc>
        <w:tc>
          <w:tcPr>
            <w:tcW w:w="302" w:type="pct"/>
            <w:tcBorders>
              <w:tl2br w:val="nil"/>
              <w:tr2bl w:val="nil"/>
            </w:tcBorders>
            <w:noWrap w:val="0"/>
            <w:vAlign w:val="center"/>
          </w:tcPr>
          <w:p>
            <w:pPr>
              <w:pStyle w:val="34"/>
              <w:bidi w:val="0"/>
              <w:jc w:val="center"/>
              <w:rPr>
                <w:rFonts w:hint="default"/>
                <w:b/>
                <w:bCs/>
                <w:color w:val="auto"/>
                <w:sz w:val="21"/>
                <w:szCs w:val="21"/>
              </w:rPr>
            </w:pPr>
            <w:r>
              <w:rPr>
                <w:rFonts w:hint="default"/>
                <w:b/>
                <w:bCs/>
                <w:color w:val="auto"/>
                <w:sz w:val="21"/>
                <w:szCs w:val="21"/>
              </w:rPr>
              <w:t>标准</w:t>
            </w:r>
          </w:p>
        </w:tc>
        <w:tc>
          <w:tcPr>
            <w:tcW w:w="297" w:type="pct"/>
            <w:tcBorders>
              <w:tl2br w:val="nil"/>
              <w:tr2bl w:val="nil"/>
            </w:tcBorders>
            <w:noWrap w:val="0"/>
            <w:vAlign w:val="center"/>
          </w:tcPr>
          <w:p>
            <w:pPr>
              <w:pStyle w:val="34"/>
              <w:bidi w:val="0"/>
              <w:jc w:val="center"/>
              <w:rPr>
                <w:rFonts w:hint="default"/>
                <w:b/>
                <w:bCs/>
                <w:color w:val="auto"/>
                <w:sz w:val="21"/>
                <w:szCs w:val="21"/>
              </w:rPr>
            </w:pPr>
            <w:r>
              <w:rPr>
                <w:rFonts w:hint="default"/>
                <w:b/>
                <w:bCs/>
                <w:color w:val="auto"/>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6" w:space="0"/>
          </w:tblBorders>
          <w:tblCellMar>
            <w:top w:w="0" w:type="dxa"/>
            <w:left w:w="0" w:type="dxa"/>
            <w:bottom w:w="0" w:type="dxa"/>
            <w:right w:w="0" w:type="dxa"/>
          </w:tblCellMar>
        </w:tblPrEx>
        <w:trPr>
          <w:trHeight w:val="273" w:hRule="atLeast"/>
          <w:jc w:val="center"/>
        </w:trPr>
        <w:tc>
          <w:tcPr>
            <w:tcW w:w="1675" w:type="pct"/>
            <w:tcBorders>
              <w:tl2br w:val="nil"/>
              <w:tr2bl w:val="nil"/>
            </w:tcBorders>
            <w:noWrap w:val="0"/>
            <w:vAlign w:val="center"/>
          </w:tcPr>
          <w:p>
            <w:pPr>
              <w:pStyle w:val="34"/>
              <w:bidi w:val="0"/>
              <w:jc w:val="center"/>
              <w:rPr>
                <w:rFonts w:hint="default" w:eastAsia="宋体"/>
                <w:color w:val="auto"/>
                <w:sz w:val="21"/>
                <w:szCs w:val="21"/>
                <w:lang w:val="en-US" w:eastAsia="zh-CN"/>
              </w:rPr>
            </w:pPr>
            <w:r>
              <w:rPr>
                <w:rFonts w:hint="eastAsia"/>
                <w:color w:val="auto"/>
                <w:sz w:val="21"/>
                <w:szCs w:val="21"/>
                <w:lang w:val="en-US" w:eastAsia="zh-CN"/>
              </w:rPr>
              <w:t>12</w:t>
            </w:r>
            <w:r>
              <w:rPr>
                <w:rFonts w:hint="default"/>
                <w:color w:val="auto"/>
                <w:sz w:val="21"/>
                <w:szCs w:val="21"/>
              </w:rPr>
              <w:t>#（</w:t>
            </w:r>
            <w:r>
              <w:rPr>
                <w:rFonts w:hint="eastAsia"/>
                <w:color w:val="auto"/>
                <w:sz w:val="21"/>
                <w:szCs w:val="21"/>
                <w:lang w:val="en-US" w:eastAsia="zh-CN"/>
              </w:rPr>
              <w:t>厂界东侧外1米处</w:t>
            </w:r>
            <w:r>
              <w:rPr>
                <w:rFonts w:hint="default"/>
                <w:color w:val="auto"/>
                <w:sz w:val="21"/>
                <w:szCs w:val="21"/>
              </w:rPr>
              <w:t>）</w:t>
            </w:r>
          </w:p>
        </w:tc>
        <w:tc>
          <w:tcPr>
            <w:tcW w:w="1059" w:type="pct"/>
            <w:tcBorders>
              <w:tl2br w:val="nil"/>
              <w:tr2bl w:val="nil"/>
            </w:tcBorders>
            <w:noWrap w:val="0"/>
            <w:vAlign w:val="center"/>
          </w:tcPr>
          <w:p>
            <w:pPr>
              <w:pStyle w:val="34"/>
              <w:bidi w:val="0"/>
              <w:jc w:val="center"/>
              <w:rPr>
                <w:rFonts w:hint="default" w:eastAsia="宋体"/>
                <w:color w:val="auto"/>
                <w:sz w:val="21"/>
                <w:szCs w:val="21"/>
                <w:lang w:val="en-US" w:eastAsia="zh-CN"/>
              </w:rPr>
            </w:pPr>
            <w:r>
              <w:rPr>
                <w:rFonts w:hint="eastAsia"/>
                <w:color w:val="auto"/>
                <w:sz w:val="21"/>
                <w:szCs w:val="21"/>
                <w:lang w:val="en-US" w:eastAsia="zh-CN"/>
              </w:rPr>
              <w:t>45</w:t>
            </w:r>
          </w:p>
        </w:tc>
        <w:tc>
          <w:tcPr>
            <w:tcW w:w="302" w:type="pct"/>
            <w:vMerge w:val="restart"/>
            <w:tcBorders>
              <w:tl2br w:val="nil"/>
              <w:tr2bl w:val="nil"/>
            </w:tcBorders>
            <w:noWrap w:val="0"/>
            <w:vAlign w:val="center"/>
          </w:tcPr>
          <w:p>
            <w:pPr>
              <w:pStyle w:val="34"/>
              <w:bidi w:val="0"/>
              <w:jc w:val="center"/>
              <w:rPr>
                <w:rFonts w:hint="default" w:eastAsia="宋体"/>
                <w:color w:val="auto"/>
                <w:sz w:val="21"/>
                <w:szCs w:val="21"/>
                <w:lang w:val="en-US" w:eastAsia="zh-CN"/>
              </w:rPr>
            </w:pPr>
            <w:r>
              <w:rPr>
                <w:rFonts w:hint="eastAsia"/>
                <w:color w:val="auto"/>
                <w:sz w:val="21"/>
                <w:szCs w:val="21"/>
                <w:lang w:val="en-US" w:eastAsia="zh-CN"/>
              </w:rPr>
              <w:t>65</w:t>
            </w:r>
          </w:p>
        </w:tc>
        <w:tc>
          <w:tcPr>
            <w:tcW w:w="302" w:type="pct"/>
            <w:tcBorders>
              <w:tl2br w:val="nil"/>
              <w:tr2bl w:val="nil"/>
            </w:tcBorders>
            <w:noWrap w:val="0"/>
            <w:vAlign w:val="center"/>
          </w:tcPr>
          <w:p>
            <w:pPr>
              <w:pStyle w:val="34"/>
              <w:bidi w:val="0"/>
              <w:jc w:val="center"/>
              <w:rPr>
                <w:rFonts w:hint="default"/>
                <w:color w:val="auto"/>
                <w:sz w:val="21"/>
                <w:szCs w:val="21"/>
              </w:rPr>
            </w:pPr>
            <w:r>
              <w:rPr>
                <w:rFonts w:hint="default"/>
                <w:color w:val="auto"/>
                <w:sz w:val="21"/>
                <w:szCs w:val="21"/>
              </w:rPr>
              <w:t>达标</w:t>
            </w:r>
          </w:p>
        </w:tc>
        <w:tc>
          <w:tcPr>
            <w:tcW w:w="1059" w:type="pct"/>
            <w:tcBorders>
              <w:tl2br w:val="nil"/>
              <w:tr2bl w:val="nil"/>
            </w:tcBorders>
            <w:noWrap w:val="0"/>
            <w:vAlign w:val="center"/>
          </w:tcPr>
          <w:p>
            <w:pPr>
              <w:pStyle w:val="34"/>
              <w:bidi w:val="0"/>
              <w:jc w:val="center"/>
              <w:rPr>
                <w:rFonts w:hint="default" w:eastAsia="宋体"/>
                <w:color w:val="auto"/>
                <w:sz w:val="21"/>
                <w:szCs w:val="21"/>
                <w:lang w:val="en-US" w:eastAsia="zh-CN"/>
              </w:rPr>
            </w:pPr>
            <w:r>
              <w:rPr>
                <w:rFonts w:hint="eastAsia"/>
                <w:color w:val="auto"/>
                <w:sz w:val="21"/>
                <w:szCs w:val="21"/>
                <w:lang w:val="en-US" w:eastAsia="zh-CN"/>
              </w:rPr>
              <w:t>42</w:t>
            </w:r>
          </w:p>
        </w:tc>
        <w:tc>
          <w:tcPr>
            <w:tcW w:w="302" w:type="pct"/>
            <w:vMerge w:val="restart"/>
            <w:tcBorders>
              <w:tl2br w:val="nil"/>
              <w:tr2bl w:val="nil"/>
            </w:tcBorders>
            <w:noWrap w:val="0"/>
            <w:vAlign w:val="center"/>
          </w:tcPr>
          <w:p>
            <w:pPr>
              <w:pStyle w:val="34"/>
              <w:bidi w:val="0"/>
              <w:jc w:val="center"/>
              <w:rPr>
                <w:rFonts w:hint="default" w:eastAsia="宋体"/>
                <w:color w:val="auto"/>
                <w:sz w:val="21"/>
                <w:szCs w:val="21"/>
                <w:lang w:val="en-US" w:eastAsia="zh-CN"/>
              </w:rPr>
            </w:pPr>
            <w:r>
              <w:rPr>
                <w:rFonts w:hint="eastAsia"/>
                <w:color w:val="auto"/>
                <w:sz w:val="21"/>
                <w:szCs w:val="21"/>
                <w:lang w:val="en-US" w:eastAsia="zh-CN"/>
              </w:rPr>
              <w:t>55</w:t>
            </w:r>
          </w:p>
        </w:tc>
        <w:tc>
          <w:tcPr>
            <w:tcW w:w="297" w:type="pct"/>
            <w:tcBorders>
              <w:tl2br w:val="nil"/>
              <w:tr2bl w:val="nil"/>
            </w:tcBorders>
            <w:noWrap w:val="0"/>
            <w:vAlign w:val="center"/>
          </w:tcPr>
          <w:p>
            <w:pPr>
              <w:pStyle w:val="34"/>
              <w:bidi w:val="0"/>
              <w:jc w:val="center"/>
              <w:rPr>
                <w:rFonts w:hint="default"/>
                <w:color w:val="auto"/>
                <w:sz w:val="21"/>
                <w:szCs w:val="21"/>
              </w:rPr>
            </w:pPr>
            <w:r>
              <w:rPr>
                <w:rFonts w:hint="default"/>
                <w:color w:val="auto"/>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6" w:space="0"/>
          </w:tblBorders>
          <w:tblCellMar>
            <w:top w:w="0" w:type="dxa"/>
            <w:left w:w="0" w:type="dxa"/>
            <w:bottom w:w="0" w:type="dxa"/>
            <w:right w:w="0" w:type="dxa"/>
          </w:tblCellMar>
        </w:tblPrEx>
        <w:trPr>
          <w:trHeight w:val="262" w:hRule="atLeast"/>
          <w:jc w:val="center"/>
        </w:trPr>
        <w:tc>
          <w:tcPr>
            <w:tcW w:w="1675" w:type="pct"/>
            <w:tcBorders>
              <w:tl2br w:val="nil"/>
              <w:tr2bl w:val="nil"/>
            </w:tcBorders>
            <w:noWrap w:val="0"/>
            <w:vAlign w:val="center"/>
          </w:tcPr>
          <w:p>
            <w:pPr>
              <w:pStyle w:val="34"/>
              <w:bidi w:val="0"/>
              <w:jc w:val="center"/>
              <w:rPr>
                <w:rFonts w:hint="default" w:eastAsia="宋体"/>
                <w:color w:val="auto"/>
                <w:sz w:val="21"/>
                <w:szCs w:val="21"/>
                <w:lang w:val="en-US" w:eastAsia="zh-CN"/>
              </w:rPr>
            </w:pPr>
            <w:r>
              <w:rPr>
                <w:rFonts w:hint="eastAsia"/>
                <w:color w:val="auto"/>
                <w:sz w:val="21"/>
                <w:szCs w:val="21"/>
                <w:lang w:val="en-US" w:eastAsia="zh-CN"/>
              </w:rPr>
              <w:t>13</w:t>
            </w:r>
            <w:r>
              <w:rPr>
                <w:rFonts w:hint="default"/>
                <w:color w:val="auto"/>
                <w:sz w:val="21"/>
                <w:szCs w:val="21"/>
              </w:rPr>
              <w:t>#（</w:t>
            </w:r>
            <w:r>
              <w:rPr>
                <w:rFonts w:hint="eastAsia"/>
                <w:color w:val="auto"/>
                <w:sz w:val="21"/>
                <w:szCs w:val="21"/>
                <w:lang w:val="en-US" w:eastAsia="zh-CN"/>
              </w:rPr>
              <w:t>厂界南侧外1米处</w:t>
            </w:r>
            <w:r>
              <w:rPr>
                <w:rFonts w:hint="default"/>
                <w:color w:val="auto"/>
                <w:sz w:val="21"/>
                <w:szCs w:val="21"/>
              </w:rPr>
              <w:t>）</w:t>
            </w:r>
          </w:p>
        </w:tc>
        <w:tc>
          <w:tcPr>
            <w:tcW w:w="1059" w:type="pct"/>
            <w:tcBorders>
              <w:tl2br w:val="nil"/>
              <w:tr2bl w:val="nil"/>
            </w:tcBorders>
            <w:noWrap w:val="0"/>
            <w:vAlign w:val="center"/>
          </w:tcPr>
          <w:p>
            <w:pPr>
              <w:pStyle w:val="34"/>
              <w:bidi w:val="0"/>
              <w:jc w:val="center"/>
              <w:rPr>
                <w:rFonts w:hint="default"/>
                <w:color w:val="auto"/>
                <w:sz w:val="21"/>
                <w:szCs w:val="21"/>
              </w:rPr>
            </w:pPr>
            <w:r>
              <w:rPr>
                <w:rFonts w:hint="eastAsia"/>
                <w:color w:val="auto"/>
                <w:sz w:val="21"/>
                <w:szCs w:val="21"/>
                <w:lang w:val="en-US" w:eastAsia="zh-CN"/>
              </w:rPr>
              <w:t>45</w:t>
            </w:r>
          </w:p>
        </w:tc>
        <w:tc>
          <w:tcPr>
            <w:tcW w:w="302" w:type="pct"/>
            <w:vMerge w:val="continue"/>
            <w:tcBorders>
              <w:tl2br w:val="nil"/>
              <w:tr2bl w:val="nil"/>
            </w:tcBorders>
            <w:noWrap w:val="0"/>
            <w:vAlign w:val="center"/>
          </w:tcPr>
          <w:p>
            <w:pPr>
              <w:pStyle w:val="34"/>
              <w:bidi w:val="0"/>
              <w:jc w:val="center"/>
              <w:rPr>
                <w:rFonts w:hint="default"/>
                <w:color w:val="auto"/>
                <w:sz w:val="21"/>
                <w:szCs w:val="21"/>
              </w:rPr>
            </w:pPr>
          </w:p>
        </w:tc>
        <w:tc>
          <w:tcPr>
            <w:tcW w:w="302" w:type="pct"/>
            <w:tcBorders>
              <w:tl2br w:val="nil"/>
              <w:tr2bl w:val="nil"/>
            </w:tcBorders>
            <w:noWrap w:val="0"/>
            <w:vAlign w:val="center"/>
          </w:tcPr>
          <w:p>
            <w:pPr>
              <w:pStyle w:val="34"/>
              <w:bidi w:val="0"/>
              <w:jc w:val="center"/>
              <w:rPr>
                <w:rFonts w:hint="default"/>
                <w:color w:val="auto"/>
                <w:sz w:val="21"/>
                <w:szCs w:val="21"/>
              </w:rPr>
            </w:pPr>
            <w:r>
              <w:rPr>
                <w:rFonts w:hint="default"/>
                <w:color w:val="auto"/>
                <w:sz w:val="21"/>
                <w:szCs w:val="21"/>
              </w:rPr>
              <w:t>达标</w:t>
            </w:r>
          </w:p>
        </w:tc>
        <w:tc>
          <w:tcPr>
            <w:tcW w:w="1059" w:type="pct"/>
            <w:tcBorders>
              <w:tl2br w:val="nil"/>
              <w:tr2bl w:val="nil"/>
            </w:tcBorders>
            <w:noWrap w:val="0"/>
            <w:vAlign w:val="center"/>
          </w:tcPr>
          <w:p>
            <w:pPr>
              <w:pStyle w:val="34"/>
              <w:bidi w:val="0"/>
              <w:jc w:val="center"/>
              <w:rPr>
                <w:rFonts w:hint="default" w:eastAsia="宋体"/>
                <w:color w:val="auto"/>
                <w:sz w:val="21"/>
                <w:szCs w:val="21"/>
                <w:lang w:val="en-US" w:eastAsia="zh-CN"/>
              </w:rPr>
            </w:pPr>
            <w:r>
              <w:rPr>
                <w:rFonts w:hint="eastAsia"/>
                <w:color w:val="auto"/>
                <w:sz w:val="21"/>
                <w:szCs w:val="21"/>
                <w:lang w:val="en-US" w:eastAsia="zh-CN"/>
              </w:rPr>
              <w:t>40</w:t>
            </w:r>
          </w:p>
        </w:tc>
        <w:tc>
          <w:tcPr>
            <w:tcW w:w="302" w:type="pct"/>
            <w:vMerge w:val="continue"/>
            <w:tcBorders>
              <w:tl2br w:val="nil"/>
              <w:tr2bl w:val="nil"/>
            </w:tcBorders>
            <w:noWrap w:val="0"/>
            <w:vAlign w:val="center"/>
          </w:tcPr>
          <w:p>
            <w:pPr>
              <w:pStyle w:val="34"/>
              <w:bidi w:val="0"/>
              <w:jc w:val="center"/>
              <w:rPr>
                <w:rFonts w:hint="default"/>
                <w:color w:val="auto"/>
                <w:sz w:val="21"/>
                <w:szCs w:val="21"/>
              </w:rPr>
            </w:pPr>
          </w:p>
        </w:tc>
        <w:tc>
          <w:tcPr>
            <w:tcW w:w="297" w:type="pct"/>
            <w:tcBorders>
              <w:tl2br w:val="nil"/>
              <w:tr2bl w:val="nil"/>
            </w:tcBorders>
            <w:noWrap w:val="0"/>
            <w:vAlign w:val="center"/>
          </w:tcPr>
          <w:p>
            <w:pPr>
              <w:pStyle w:val="34"/>
              <w:bidi w:val="0"/>
              <w:jc w:val="center"/>
              <w:rPr>
                <w:rFonts w:hint="default"/>
                <w:color w:val="auto"/>
                <w:sz w:val="21"/>
                <w:szCs w:val="21"/>
              </w:rPr>
            </w:pPr>
            <w:r>
              <w:rPr>
                <w:rFonts w:hint="default"/>
                <w:color w:val="auto"/>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6" w:space="0"/>
          </w:tblBorders>
          <w:tblCellMar>
            <w:top w:w="0" w:type="dxa"/>
            <w:left w:w="0" w:type="dxa"/>
            <w:bottom w:w="0" w:type="dxa"/>
            <w:right w:w="0" w:type="dxa"/>
          </w:tblCellMar>
        </w:tblPrEx>
        <w:trPr>
          <w:trHeight w:val="265" w:hRule="atLeast"/>
          <w:jc w:val="center"/>
        </w:trPr>
        <w:tc>
          <w:tcPr>
            <w:tcW w:w="1675" w:type="pct"/>
            <w:tcBorders>
              <w:tl2br w:val="nil"/>
              <w:tr2bl w:val="nil"/>
            </w:tcBorders>
            <w:noWrap w:val="0"/>
            <w:vAlign w:val="center"/>
          </w:tcPr>
          <w:p>
            <w:pPr>
              <w:pStyle w:val="34"/>
              <w:bidi w:val="0"/>
              <w:jc w:val="center"/>
              <w:rPr>
                <w:rFonts w:hint="default"/>
                <w:color w:val="auto"/>
                <w:sz w:val="21"/>
                <w:szCs w:val="21"/>
              </w:rPr>
            </w:pPr>
            <w:r>
              <w:rPr>
                <w:rFonts w:hint="eastAsia"/>
                <w:color w:val="auto"/>
                <w:sz w:val="21"/>
                <w:szCs w:val="21"/>
                <w:lang w:val="en-US" w:eastAsia="zh-CN"/>
              </w:rPr>
              <w:t>14</w:t>
            </w:r>
            <w:r>
              <w:rPr>
                <w:rFonts w:hint="default"/>
                <w:color w:val="auto"/>
                <w:sz w:val="21"/>
                <w:szCs w:val="21"/>
              </w:rPr>
              <w:t>#（</w:t>
            </w:r>
            <w:r>
              <w:rPr>
                <w:rFonts w:hint="eastAsia"/>
                <w:color w:val="auto"/>
                <w:sz w:val="21"/>
                <w:szCs w:val="21"/>
                <w:lang w:val="en-US" w:eastAsia="zh-CN"/>
              </w:rPr>
              <w:t>厂界西侧外1米处</w:t>
            </w:r>
            <w:r>
              <w:rPr>
                <w:rFonts w:hint="default"/>
                <w:color w:val="auto"/>
                <w:sz w:val="21"/>
                <w:szCs w:val="21"/>
              </w:rPr>
              <w:t>）</w:t>
            </w:r>
          </w:p>
        </w:tc>
        <w:tc>
          <w:tcPr>
            <w:tcW w:w="1059" w:type="pct"/>
            <w:tcBorders>
              <w:tl2br w:val="nil"/>
              <w:tr2bl w:val="nil"/>
            </w:tcBorders>
            <w:noWrap w:val="0"/>
            <w:vAlign w:val="center"/>
          </w:tcPr>
          <w:p>
            <w:pPr>
              <w:pStyle w:val="34"/>
              <w:bidi w:val="0"/>
              <w:jc w:val="center"/>
              <w:rPr>
                <w:rFonts w:hint="default"/>
                <w:color w:val="auto"/>
                <w:sz w:val="21"/>
                <w:szCs w:val="21"/>
                <w:lang w:val="en-US"/>
              </w:rPr>
            </w:pPr>
            <w:r>
              <w:rPr>
                <w:rFonts w:hint="eastAsia"/>
                <w:color w:val="auto"/>
                <w:sz w:val="21"/>
                <w:szCs w:val="21"/>
                <w:lang w:val="en-US" w:eastAsia="zh-CN"/>
              </w:rPr>
              <w:t>45</w:t>
            </w:r>
          </w:p>
        </w:tc>
        <w:tc>
          <w:tcPr>
            <w:tcW w:w="302" w:type="pct"/>
            <w:vMerge w:val="continue"/>
            <w:tcBorders>
              <w:tl2br w:val="nil"/>
              <w:tr2bl w:val="nil"/>
            </w:tcBorders>
            <w:noWrap w:val="0"/>
            <w:vAlign w:val="center"/>
          </w:tcPr>
          <w:p>
            <w:pPr>
              <w:pStyle w:val="34"/>
              <w:bidi w:val="0"/>
              <w:jc w:val="center"/>
              <w:rPr>
                <w:rFonts w:hint="default"/>
                <w:color w:val="auto"/>
                <w:sz w:val="21"/>
                <w:szCs w:val="21"/>
              </w:rPr>
            </w:pPr>
          </w:p>
        </w:tc>
        <w:tc>
          <w:tcPr>
            <w:tcW w:w="302" w:type="pct"/>
            <w:tcBorders>
              <w:tl2br w:val="nil"/>
              <w:tr2bl w:val="nil"/>
            </w:tcBorders>
            <w:noWrap w:val="0"/>
            <w:vAlign w:val="center"/>
          </w:tcPr>
          <w:p>
            <w:pPr>
              <w:pStyle w:val="34"/>
              <w:bidi w:val="0"/>
              <w:jc w:val="center"/>
              <w:rPr>
                <w:rFonts w:hint="default"/>
                <w:color w:val="auto"/>
                <w:sz w:val="21"/>
                <w:szCs w:val="21"/>
              </w:rPr>
            </w:pPr>
            <w:r>
              <w:rPr>
                <w:rFonts w:hint="default"/>
                <w:color w:val="auto"/>
                <w:sz w:val="21"/>
                <w:szCs w:val="21"/>
              </w:rPr>
              <w:t>达标</w:t>
            </w:r>
          </w:p>
        </w:tc>
        <w:tc>
          <w:tcPr>
            <w:tcW w:w="1059" w:type="pct"/>
            <w:tcBorders>
              <w:tl2br w:val="nil"/>
              <w:tr2bl w:val="nil"/>
            </w:tcBorders>
            <w:noWrap w:val="0"/>
            <w:vAlign w:val="center"/>
          </w:tcPr>
          <w:p>
            <w:pPr>
              <w:pStyle w:val="34"/>
              <w:bidi w:val="0"/>
              <w:jc w:val="center"/>
              <w:rPr>
                <w:rFonts w:hint="default" w:eastAsia="宋体"/>
                <w:color w:val="auto"/>
                <w:sz w:val="21"/>
                <w:szCs w:val="21"/>
                <w:lang w:val="en-US" w:eastAsia="zh-CN"/>
              </w:rPr>
            </w:pPr>
            <w:r>
              <w:rPr>
                <w:rFonts w:hint="eastAsia"/>
                <w:color w:val="auto"/>
                <w:sz w:val="21"/>
                <w:szCs w:val="21"/>
                <w:lang w:val="en-US" w:eastAsia="zh-CN"/>
              </w:rPr>
              <w:t>41</w:t>
            </w:r>
          </w:p>
        </w:tc>
        <w:tc>
          <w:tcPr>
            <w:tcW w:w="302" w:type="pct"/>
            <w:vMerge w:val="continue"/>
            <w:tcBorders>
              <w:tl2br w:val="nil"/>
              <w:tr2bl w:val="nil"/>
            </w:tcBorders>
            <w:noWrap w:val="0"/>
            <w:vAlign w:val="center"/>
          </w:tcPr>
          <w:p>
            <w:pPr>
              <w:pStyle w:val="34"/>
              <w:bidi w:val="0"/>
              <w:jc w:val="center"/>
              <w:rPr>
                <w:rFonts w:hint="default"/>
                <w:color w:val="auto"/>
                <w:sz w:val="21"/>
                <w:szCs w:val="21"/>
              </w:rPr>
            </w:pPr>
          </w:p>
        </w:tc>
        <w:tc>
          <w:tcPr>
            <w:tcW w:w="297" w:type="pct"/>
            <w:tcBorders>
              <w:tl2br w:val="nil"/>
              <w:tr2bl w:val="nil"/>
            </w:tcBorders>
            <w:noWrap w:val="0"/>
            <w:vAlign w:val="center"/>
          </w:tcPr>
          <w:p>
            <w:pPr>
              <w:pStyle w:val="34"/>
              <w:bidi w:val="0"/>
              <w:jc w:val="center"/>
              <w:rPr>
                <w:rFonts w:hint="default"/>
                <w:color w:val="auto"/>
                <w:sz w:val="21"/>
                <w:szCs w:val="21"/>
              </w:rPr>
            </w:pPr>
            <w:r>
              <w:rPr>
                <w:rFonts w:hint="default"/>
                <w:color w:val="auto"/>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6" w:space="0"/>
          </w:tblBorders>
          <w:tblCellMar>
            <w:top w:w="0" w:type="dxa"/>
            <w:left w:w="0" w:type="dxa"/>
            <w:bottom w:w="0" w:type="dxa"/>
            <w:right w:w="0" w:type="dxa"/>
          </w:tblCellMar>
        </w:tblPrEx>
        <w:trPr>
          <w:trHeight w:val="272" w:hRule="atLeast"/>
          <w:jc w:val="center"/>
        </w:trPr>
        <w:tc>
          <w:tcPr>
            <w:tcW w:w="1675" w:type="pct"/>
            <w:tcBorders>
              <w:tl2br w:val="nil"/>
              <w:tr2bl w:val="nil"/>
            </w:tcBorders>
            <w:noWrap w:val="0"/>
            <w:vAlign w:val="center"/>
          </w:tcPr>
          <w:p>
            <w:pPr>
              <w:pStyle w:val="34"/>
              <w:bidi w:val="0"/>
              <w:jc w:val="center"/>
              <w:rPr>
                <w:rFonts w:hint="default"/>
                <w:color w:val="auto"/>
                <w:sz w:val="21"/>
                <w:szCs w:val="21"/>
              </w:rPr>
            </w:pPr>
            <w:r>
              <w:rPr>
                <w:rFonts w:hint="eastAsia"/>
                <w:color w:val="auto"/>
                <w:sz w:val="21"/>
                <w:szCs w:val="21"/>
                <w:lang w:val="en-US" w:eastAsia="zh-CN"/>
              </w:rPr>
              <w:t>15</w:t>
            </w:r>
            <w:r>
              <w:rPr>
                <w:rFonts w:hint="default"/>
                <w:color w:val="auto"/>
                <w:sz w:val="21"/>
                <w:szCs w:val="21"/>
              </w:rPr>
              <w:t>#（</w:t>
            </w:r>
            <w:r>
              <w:rPr>
                <w:rFonts w:hint="eastAsia"/>
                <w:color w:val="auto"/>
                <w:sz w:val="21"/>
                <w:szCs w:val="21"/>
                <w:lang w:val="en-US" w:eastAsia="zh-CN"/>
              </w:rPr>
              <w:t>厂界北侧外1米处</w:t>
            </w:r>
            <w:r>
              <w:rPr>
                <w:rFonts w:hint="default"/>
                <w:color w:val="auto"/>
                <w:sz w:val="21"/>
                <w:szCs w:val="21"/>
              </w:rPr>
              <w:t>）</w:t>
            </w:r>
          </w:p>
        </w:tc>
        <w:tc>
          <w:tcPr>
            <w:tcW w:w="1059" w:type="pct"/>
            <w:tcBorders>
              <w:tl2br w:val="nil"/>
              <w:tr2bl w:val="nil"/>
            </w:tcBorders>
            <w:noWrap w:val="0"/>
            <w:vAlign w:val="center"/>
          </w:tcPr>
          <w:p>
            <w:pPr>
              <w:pStyle w:val="34"/>
              <w:bidi w:val="0"/>
              <w:jc w:val="center"/>
              <w:rPr>
                <w:rFonts w:hint="default" w:eastAsia="宋体"/>
                <w:color w:val="auto"/>
                <w:sz w:val="21"/>
                <w:szCs w:val="21"/>
                <w:lang w:val="en-US" w:eastAsia="zh-CN"/>
              </w:rPr>
            </w:pPr>
            <w:r>
              <w:rPr>
                <w:rFonts w:hint="eastAsia"/>
                <w:color w:val="auto"/>
                <w:sz w:val="21"/>
                <w:szCs w:val="21"/>
                <w:lang w:val="en-US" w:eastAsia="zh-CN"/>
              </w:rPr>
              <w:t>47</w:t>
            </w:r>
          </w:p>
        </w:tc>
        <w:tc>
          <w:tcPr>
            <w:tcW w:w="302" w:type="pct"/>
            <w:vMerge w:val="continue"/>
            <w:tcBorders>
              <w:tl2br w:val="nil"/>
              <w:tr2bl w:val="nil"/>
            </w:tcBorders>
            <w:noWrap w:val="0"/>
            <w:vAlign w:val="center"/>
          </w:tcPr>
          <w:p>
            <w:pPr>
              <w:pStyle w:val="34"/>
              <w:bidi w:val="0"/>
              <w:jc w:val="center"/>
              <w:rPr>
                <w:rFonts w:hint="default"/>
                <w:color w:val="auto"/>
                <w:sz w:val="21"/>
                <w:szCs w:val="21"/>
              </w:rPr>
            </w:pPr>
          </w:p>
        </w:tc>
        <w:tc>
          <w:tcPr>
            <w:tcW w:w="302" w:type="pct"/>
            <w:tcBorders>
              <w:tl2br w:val="nil"/>
              <w:tr2bl w:val="nil"/>
            </w:tcBorders>
            <w:noWrap w:val="0"/>
            <w:vAlign w:val="center"/>
          </w:tcPr>
          <w:p>
            <w:pPr>
              <w:pStyle w:val="34"/>
              <w:bidi w:val="0"/>
              <w:jc w:val="center"/>
              <w:rPr>
                <w:rFonts w:hint="default"/>
                <w:color w:val="auto"/>
                <w:sz w:val="21"/>
                <w:szCs w:val="21"/>
              </w:rPr>
            </w:pPr>
            <w:r>
              <w:rPr>
                <w:rFonts w:hint="default"/>
                <w:color w:val="auto"/>
                <w:sz w:val="21"/>
                <w:szCs w:val="21"/>
              </w:rPr>
              <w:t>达标</w:t>
            </w:r>
          </w:p>
        </w:tc>
        <w:tc>
          <w:tcPr>
            <w:tcW w:w="1059" w:type="pct"/>
            <w:tcBorders>
              <w:tl2br w:val="nil"/>
              <w:tr2bl w:val="nil"/>
            </w:tcBorders>
            <w:noWrap w:val="0"/>
            <w:vAlign w:val="center"/>
          </w:tcPr>
          <w:p>
            <w:pPr>
              <w:pStyle w:val="34"/>
              <w:bidi w:val="0"/>
              <w:jc w:val="center"/>
              <w:rPr>
                <w:rFonts w:hint="default" w:eastAsia="宋体"/>
                <w:color w:val="auto"/>
                <w:sz w:val="21"/>
                <w:szCs w:val="21"/>
                <w:lang w:val="en-US" w:eastAsia="zh-CN"/>
              </w:rPr>
            </w:pPr>
            <w:r>
              <w:rPr>
                <w:rFonts w:hint="eastAsia"/>
                <w:color w:val="auto"/>
                <w:sz w:val="21"/>
                <w:szCs w:val="21"/>
                <w:lang w:val="en-US" w:eastAsia="zh-CN"/>
              </w:rPr>
              <w:t>43</w:t>
            </w:r>
          </w:p>
        </w:tc>
        <w:tc>
          <w:tcPr>
            <w:tcW w:w="302" w:type="pct"/>
            <w:vMerge w:val="continue"/>
            <w:tcBorders>
              <w:tl2br w:val="nil"/>
              <w:tr2bl w:val="nil"/>
            </w:tcBorders>
            <w:noWrap w:val="0"/>
            <w:vAlign w:val="center"/>
          </w:tcPr>
          <w:p>
            <w:pPr>
              <w:pStyle w:val="34"/>
              <w:bidi w:val="0"/>
              <w:jc w:val="center"/>
              <w:rPr>
                <w:rFonts w:hint="default"/>
                <w:color w:val="auto"/>
                <w:sz w:val="21"/>
                <w:szCs w:val="21"/>
              </w:rPr>
            </w:pPr>
          </w:p>
        </w:tc>
        <w:tc>
          <w:tcPr>
            <w:tcW w:w="297" w:type="pct"/>
            <w:tcBorders>
              <w:tl2br w:val="nil"/>
              <w:tr2bl w:val="nil"/>
            </w:tcBorders>
            <w:noWrap w:val="0"/>
            <w:vAlign w:val="center"/>
          </w:tcPr>
          <w:p>
            <w:pPr>
              <w:pStyle w:val="34"/>
              <w:bidi w:val="0"/>
              <w:jc w:val="center"/>
              <w:rPr>
                <w:rFonts w:hint="default"/>
                <w:color w:val="auto"/>
                <w:sz w:val="21"/>
                <w:szCs w:val="21"/>
              </w:rPr>
            </w:pPr>
            <w:r>
              <w:rPr>
                <w:rFonts w:hint="default"/>
                <w:color w:val="auto"/>
                <w:sz w:val="21"/>
                <w:szCs w:val="21"/>
              </w:rPr>
              <w:t>达标</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由监测结果可知，厂界四个监测点昼间、夜间噪声监测值均符合《声环境质量标准》（GB3096-2008）中 3 类功能区限值要求，项目区声环境质量良好。 </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4.4.4 土壤环境质量现状调查与评价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本次土壤环境质量现状评价委托新疆国泰民康职业环境检测评价有限责任公司于 2023 年 10 月 18 日对项目区占地范围内及范围外的土壤环境进行监测，以作为评价区域土壤环境质量现状的分析资料数据。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（1）监测点位设置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本项目土壤评价等级为二级，根据《环境影响评价技术导则 土壤环境（试行）》（HJ964-2018）中 7.4.3 现状监测点数量要求，评价等级为二级的污染影响型类项目，土壤监测点在占地范围内需设置 3 个柱状样点，1 个表层样点；在占地范围外需设置 2 个表层样点。</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本次土壤监测布点布设情况见表4.4.4-1、</w:t>
      </w:r>
      <w:r>
        <w:rPr>
          <w:rFonts w:hint="eastAsia" w:ascii="Times New Roman" w:hAnsi="Times New Roman" w:eastAsia="宋体" w:cs="Times New Roman"/>
          <w:b/>
          <w:bCs/>
          <w:color w:val="auto"/>
          <w:sz w:val="24"/>
          <w:szCs w:val="24"/>
          <w:lang w:val="en-US" w:eastAsia="zh-CN"/>
        </w:rPr>
        <w:t>附图 4.3-1</w:t>
      </w:r>
      <w:r>
        <w:rPr>
          <w:rFonts w:hint="eastAsia" w:ascii="Times New Roman" w:hAnsi="Times New Roman" w:eastAsia="宋体" w:cs="Times New Roman"/>
          <w:color w:val="auto"/>
          <w:sz w:val="24"/>
          <w:szCs w:val="24"/>
          <w:lang w:val="en-US" w:eastAsia="zh-CN"/>
        </w:rPr>
        <w:t>。</w:t>
      </w:r>
    </w:p>
    <w:p>
      <w:pPr>
        <w:pStyle w:val="33"/>
        <w:bidi w:val="0"/>
        <w:rPr>
          <w:rFonts w:hint="default"/>
          <w:color w:val="auto"/>
          <w:sz w:val="24"/>
          <w:szCs w:val="24"/>
        </w:rPr>
      </w:pPr>
      <w:r>
        <w:rPr>
          <w:rFonts w:hint="default"/>
          <w:color w:val="auto"/>
          <w:sz w:val="24"/>
          <w:szCs w:val="24"/>
        </w:rPr>
        <w:t>表</w:t>
      </w:r>
      <w:r>
        <w:rPr>
          <w:rFonts w:hint="eastAsia"/>
          <w:color w:val="auto"/>
          <w:sz w:val="24"/>
          <w:szCs w:val="24"/>
          <w:lang w:val="en-US" w:eastAsia="zh-CN"/>
        </w:rPr>
        <w:t xml:space="preserve"> 4.4.4-1    </w:t>
      </w:r>
      <w:r>
        <w:rPr>
          <w:rFonts w:hint="default"/>
          <w:color w:val="auto"/>
          <w:sz w:val="24"/>
          <w:szCs w:val="24"/>
        </w:rPr>
        <w:t xml:space="preserve">  </w:t>
      </w:r>
      <w:r>
        <w:rPr>
          <w:rFonts w:hint="eastAsia"/>
          <w:color w:val="auto"/>
          <w:sz w:val="24"/>
          <w:szCs w:val="24"/>
          <w:lang w:val="en-US" w:eastAsia="zh-CN"/>
        </w:rPr>
        <w:t>土</w:t>
      </w:r>
      <w:r>
        <w:rPr>
          <w:rFonts w:hint="default"/>
          <w:color w:val="auto"/>
          <w:sz w:val="24"/>
          <w:szCs w:val="24"/>
        </w:rPr>
        <w:t>壤监测点位布设情况一览表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7"/>
        <w:gridCol w:w="783"/>
        <w:gridCol w:w="2017"/>
        <w:gridCol w:w="1050"/>
        <w:gridCol w:w="1296"/>
        <w:gridCol w:w="28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5"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序号</w:t>
            </w:r>
          </w:p>
        </w:tc>
        <w:tc>
          <w:tcPr>
            <w:tcW w:w="459"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监测点</w:t>
            </w:r>
          </w:p>
        </w:tc>
        <w:tc>
          <w:tcPr>
            <w:tcW w:w="1183"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监测点位坐标</w:t>
            </w:r>
          </w:p>
        </w:tc>
        <w:tc>
          <w:tcPr>
            <w:tcW w:w="616"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样点类别</w:t>
            </w:r>
          </w:p>
        </w:tc>
        <w:tc>
          <w:tcPr>
            <w:tcW w:w="76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采样深度</w:t>
            </w:r>
          </w:p>
        </w:tc>
        <w:tc>
          <w:tcPr>
            <w:tcW w:w="1665"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监测因子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5"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T1#</w:t>
            </w:r>
          </w:p>
        </w:tc>
        <w:tc>
          <w:tcPr>
            <w:tcW w:w="459" w:type="pct"/>
            <w:vMerge w:val="restar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占地范围内</w:t>
            </w:r>
          </w:p>
        </w:tc>
        <w:tc>
          <w:tcPr>
            <w:tcW w:w="1183"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N44°16′39.36824″，E86°35′0.1203″</w:t>
            </w:r>
          </w:p>
        </w:tc>
        <w:tc>
          <w:tcPr>
            <w:tcW w:w="616"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表层样点</w:t>
            </w:r>
          </w:p>
        </w:tc>
        <w:tc>
          <w:tcPr>
            <w:tcW w:w="76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20cm</w:t>
            </w:r>
          </w:p>
        </w:tc>
        <w:tc>
          <w:tcPr>
            <w:tcW w:w="1665" w:type="pct"/>
            <w:tcBorders>
              <w:tl2br w:val="nil"/>
              <w:tr2bl w:val="nil"/>
            </w:tcBorders>
            <w:noWrap w:val="0"/>
            <w:vAlign w:val="center"/>
          </w:tcPr>
          <w:p>
            <w:pPr>
              <w:keepNext w:val="0"/>
              <w:keepLines w:val="0"/>
              <w:widowControl/>
              <w:suppressLineNumbers w:val="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基本因子45项</w:t>
            </w:r>
            <w:r>
              <w:rPr>
                <w:rFonts w:hint="default" w:ascii="Times New Roman" w:hAnsi="Times New Roman" w:eastAsia="宋体" w:cs="Times New Roman"/>
                <w:color w:val="auto"/>
                <w:kern w:val="0"/>
                <w:sz w:val="21"/>
                <w:szCs w:val="21"/>
                <w:lang w:val="en-US" w:eastAsia="zh-CN" w:bidi="ar"/>
              </w:rPr>
              <w:t>+</w:t>
            </w:r>
            <w:r>
              <w:rPr>
                <w:rFonts w:hint="default" w:ascii="Times New Roman" w:hAnsi="Times New Roman" w:eastAsia="宋体" w:cs="Times New Roman"/>
                <w:color w:val="auto"/>
                <w:sz w:val="21"/>
                <w:szCs w:val="21"/>
                <w:highlight w:val="none"/>
                <w:lang w:val="en-US" w:eastAsia="zh-CN"/>
              </w:rPr>
              <w:t>pH+石油烃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5"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T2#</w:t>
            </w:r>
          </w:p>
        </w:tc>
        <w:tc>
          <w:tcPr>
            <w:tcW w:w="459"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183"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N44°16′39.93218″，E86°35′96.988″</w:t>
            </w:r>
          </w:p>
        </w:tc>
        <w:tc>
          <w:tcPr>
            <w:tcW w:w="616"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柱状样点</w:t>
            </w:r>
          </w:p>
        </w:tc>
        <w:tc>
          <w:tcPr>
            <w:tcW w:w="760" w:type="pct"/>
            <w:vMerge w:val="restar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0-50cm，50-150cm，150-300cm分别取样</w:t>
            </w:r>
          </w:p>
        </w:tc>
        <w:tc>
          <w:tcPr>
            <w:tcW w:w="1665" w:type="pct"/>
            <w:vMerge w:val="restar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pH、</w:t>
            </w:r>
            <w:r>
              <w:rPr>
                <w:rFonts w:hint="default" w:ascii="Times New Roman" w:hAnsi="Times New Roman" w:eastAsia="宋体" w:cs="Times New Roman"/>
                <w:color w:val="auto"/>
                <w:sz w:val="21"/>
                <w:szCs w:val="21"/>
                <w:highlight w:val="none"/>
              </w:rPr>
              <w:t>砷、镉、铬（六价铬）、铜、铅、汞、镍</w:t>
            </w:r>
            <w:r>
              <w:rPr>
                <w:rFonts w:hint="default" w:ascii="Times New Roman" w:hAnsi="Times New Roman" w:eastAsia="宋体" w:cs="Times New Roman"/>
                <w:color w:val="auto"/>
                <w:sz w:val="21"/>
                <w:szCs w:val="21"/>
                <w:highlight w:val="none"/>
                <w:lang w:val="en-US" w:eastAsia="zh-CN"/>
              </w:rPr>
              <w:t>、锌、石油烃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5"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T3#</w:t>
            </w:r>
          </w:p>
        </w:tc>
        <w:tc>
          <w:tcPr>
            <w:tcW w:w="459"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183"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N44°16′41.48126″，E86°35′5.66192″</w:t>
            </w:r>
          </w:p>
        </w:tc>
        <w:tc>
          <w:tcPr>
            <w:tcW w:w="616"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柱状样点</w:t>
            </w:r>
          </w:p>
        </w:tc>
        <w:tc>
          <w:tcPr>
            <w:tcW w:w="760"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665"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5"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T4#</w:t>
            </w:r>
          </w:p>
        </w:tc>
        <w:tc>
          <w:tcPr>
            <w:tcW w:w="459"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183"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N44°16′40.26018″，E86°35′3.52496″</w:t>
            </w:r>
          </w:p>
        </w:tc>
        <w:tc>
          <w:tcPr>
            <w:tcW w:w="616"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柱状样点</w:t>
            </w:r>
          </w:p>
        </w:tc>
        <w:tc>
          <w:tcPr>
            <w:tcW w:w="760"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665"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基本因子45项</w:t>
            </w:r>
            <w:r>
              <w:rPr>
                <w:rFonts w:hint="default" w:ascii="Times New Roman" w:hAnsi="Times New Roman" w:eastAsia="宋体" w:cs="Times New Roman"/>
                <w:color w:val="auto"/>
                <w:kern w:val="0"/>
                <w:sz w:val="21"/>
                <w:szCs w:val="21"/>
                <w:lang w:val="en-US" w:eastAsia="zh-CN" w:bidi="ar"/>
              </w:rPr>
              <w:t>+</w:t>
            </w:r>
            <w:r>
              <w:rPr>
                <w:rFonts w:hint="default" w:ascii="Times New Roman" w:hAnsi="Times New Roman" w:eastAsia="宋体" w:cs="Times New Roman"/>
                <w:color w:val="auto"/>
                <w:sz w:val="21"/>
                <w:szCs w:val="21"/>
                <w:highlight w:val="none"/>
                <w:lang w:val="en-US" w:eastAsia="zh-CN"/>
              </w:rPr>
              <w:t>pH+石油烃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5"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T5#</w:t>
            </w:r>
          </w:p>
        </w:tc>
        <w:tc>
          <w:tcPr>
            <w:tcW w:w="459" w:type="pct"/>
            <w:vMerge w:val="restar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占地范围外</w:t>
            </w:r>
          </w:p>
        </w:tc>
        <w:tc>
          <w:tcPr>
            <w:tcW w:w="1183"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N44°16′41.92864″，E86°34′58.37592″</w:t>
            </w:r>
          </w:p>
        </w:tc>
        <w:tc>
          <w:tcPr>
            <w:tcW w:w="616"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表层样点</w:t>
            </w:r>
          </w:p>
        </w:tc>
        <w:tc>
          <w:tcPr>
            <w:tcW w:w="760" w:type="pct"/>
            <w:vMerge w:val="restar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20cm</w:t>
            </w:r>
          </w:p>
        </w:tc>
        <w:tc>
          <w:tcPr>
            <w:tcW w:w="1665" w:type="pct"/>
            <w:vMerge w:val="restar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基本因子45项</w:t>
            </w:r>
            <w:r>
              <w:rPr>
                <w:rFonts w:hint="default" w:ascii="Times New Roman" w:hAnsi="Times New Roman" w:eastAsia="宋体" w:cs="Times New Roman"/>
                <w:color w:val="auto"/>
                <w:kern w:val="0"/>
                <w:sz w:val="21"/>
                <w:szCs w:val="21"/>
                <w:lang w:val="en-US" w:eastAsia="zh-CN" w:bidi="ar"/>
              </w:rPr>
              <w:t>+</w:t>
            </w:r>
            <w:r>
              <w:rPr>
                <w:rFonts w:hint="default" w:ascii="Times New Roman" w:hAnsi="Times New Roman" w:eastAsia="宋体" w:cs="Times New Roman"/>
                <w:color w:val="auto"/>
                <w:sz w:val="21"/>
                <w:szCs w:val="21"/>
                <w:highlight w:val="none"/>
                <w:lang w:val="en-US" w:eastAsia="zh-CN"/>
              </w:rPr>
              <w:t>pH+石油烃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5"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T6#</w:t>
            </w:r>
          </w:p>
        </w:tc>
        <w:tc>
          <w:tcPr>
            <w:tcW w:w="459"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183"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N44°16′37.40149″，E86°35′5.96558″</w:t>
            </w:r>
          </w:p>
        </w:tc>
        <w:tc>
          <w:tcPr>
            <w:tcW w:w="616"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表层样点</w:t>
            </w:r>
          </w:p>
        </w:tc>
        <w:tc>
          <w:tcPr>
            <w:tcW w:w="760"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665"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（2）监测因子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T1、T4、T5、T6#点位监测因子为45项基本项、pH、石油烃，T2#、3#点位监测因子为“</w:t>
      </w:r>
      <w:r>
        <w:rPr>
          <w:rFonts w:hint="eastAsia" w:ascii="Times New Roman" w:hAnsi="Times New Roman" w:eastAsia="宋体" w:cs="Times New Roman"/>
          <w:color w:val="auto"/>
          <w:sz w:val="24"/>
          <w:szCs w:val="24"/>
          <w:highlight w:val="none"/>
          <w:lang w:val="en-US" w:eastAsia="zh-CN"/>
        </w:rPr>
        <w:t>pH、</w:t>
      </w:r>
      <w:r>
        <w:rPr>
          <w:rFonts w:hint="eastAsia" w:ascii="Times New Roman" w:hAnsi="Times New Roman" w:eastAsia="宋体" w:cs="Times New Roman"/>
          <w:color w:val="auto"/>
          <w:sz w:val="24"/>
          <w:szCs w:val="24"/>
          <w:lang w:val="en-US" w:eastAsia="zh-CN"/>
        </w:rPr>
        <w:t>砷、镉、铬（六价）、铜、铅、汞、镍、</w:t>
      </w:r>
      <w:r>
        <w:rPr>
          <w:rFonts w:hint="eastAsia" w:ascii="Times New Roman" w:hAnsi="Times New Roman" w:eastAsia="宋体" w:cs="Times New Roman"/>
          <w:color w:val="auto"/>
          <w:sz w:val="24"/>
          <w:szCs w:val="24"/>
          <w:highlight w:val="none"/>
          <w:lang w:val="en-US" w:eastAsia="zh-CN"/>
        </w:rPr>
        <w:t>锌、石油烃</w:t>
      </w:r>
      <w:r>
        <w:rPr>
          <w:rFonts w:hint="eastAsia" w:ascii="Times New Roman" w:hAnsi="Times New Roman" w:eastAsia="宋体" w:cs="Times New Roman"/>
          <w:color w:val="auto"/>
          <w:sz w:val="24"/>
          <w:szCs w:val="24"/>
          <w:lang w:val="en-US" w:eastAsia="zh-CN"/>
        </w:rPr>
        <w:t>”等10项重金属因子。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（3）评价标准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项目区及占地范围外建设用地土壤环境质量执行《土壤环境质量建设用地土壤污染风险管控标准（试行）》（GB36600-2018）第二类用地筛选值标准限值，具体标准限值见表 2.2.3-1。</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（4）监测及评价结果</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土壤环境质量现状监测及评价结果见表 4.4.4-2。</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pStyle w:val="33"/>
        <w:bidi w:val="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表 4.</w:t>
      </w:r>
      <w:r>
        <w:rPr>
          <w:rFonts w:hint="eastAsia" w:cs="Times New Roman"/>
          <w:color w:val="auto"/>
          <w:sz w:val="24"/>
          <w:szCs w:val="24"/>
          <w:lang w:val="en-US" w:eastAsia="zh-CN"/>
        </w:rPr>
        <w:t>4</w:t>
      </w:r>
      <w:r>
        <w:rPr>
          <w:rFonts w:hint="default" w:ascii="Times New Roman" w:hAnsi="Times New Roman" w:eastAsia="宋体" w:cs="Times New Roman"/>
          <w:color w:val="auto"/>
          <w:sz w:val="24"/>
          <w:szCs w:val="24"/>
          <w:lang w:val="en-US" w:eastAsia="zh-CN"/>
        </w:rPr>
        <w:t>.4-</w:t>
      </w:r>
      <w:r>
        <w:rPr>
          <w:rFonts w:hint="eastAsia"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 xml:space="preserve">       土壤监测及评价结果        单位：mg/kg</w:t>
      </w:r>
    </w:p>
    <w:tbl>
      <w:tblPr>
        <w:tblStyle w:val="21"/>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849"/>
        <w:gridCol w:w="888"/>
        <w:gridCol w:w="799"/>
        <w:gridCol w:w="835"/>
        <w:gridCol w:w="651"/>
        <w:gridCol w:w="643"/>
        <w:gridCol w:w="699"/>
        <w:gridCol w:w="651"/>
        <w:gridCol w:w="749"/>
        <w:gridCol w:w="852"/>
        <w:gridCol w:w="847"/>
        <w:gridCol w:w="752"/>
        <w:gridCol w:w="1160"/>
        <w:gridCol w:w="1634"/>
        <w:gridCol w:w="95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1" w:hRule="atLeast"/>
          <w:jc w:val="center"/>
        </w:trPr>
        <w:tc>
          <w:tcPr>
            <w:tcW w:w="662"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监测因子</w:t>
            </w:r>
          </w:p>
        </w:tc>
        <w:tc>
          <w:tcPr>
            <w:tcW w:w="3409" w:type="pct"/>
            <w:gridSpan w:val="12"/>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监测结果</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val="en-US" w:eastAsia="zh-CN"/>
              </w:rPr>
              <w:t>限值</w:t>
            </w:r>
          </w:p>
        </w:tc>
        <w:tc>
          <w:tcPr>
            <w:tcW w:w="341"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bCs/>
                <w:color w:val="auto"/>
                <w:sz w:val="21"/>
                <w:szCs w:val="21"/>
                <w:lang w:val="en-US" w:eastAsia="zh-CN"/>
              </w:rPr>
              <w:t>达标情况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1" w:hRule="atLeast"/>
          <w:jc w:val="center"/>
        </w:trPr>
        <w:tc>
          <w:tcPr>
            <w:tcW w:w="66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b/>
                <w:bCs/>
                <w:color w:val="auto"/>
                <w:sz w:val="21"/>
                <w:szCs w:val="21"/>
              </w:rPr>
            </w:pPr>
          </w:p>
        </w:tc>
        <w:tc>
          <w:tcPr>
            <w:tcW w:w="318"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1#-1-1</w:t>
            </w:r>
          </w:p>
        </w:tc>
        <w:tc>
          <w:tcPr>
            <w:tcW w:w="28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2#-1-1</w:t>
            </w:r>
          </w:p>
        </w:tc>
        <w:tc>
          <w:tcPr>
            <w:tcW w:w="299"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2#-1-2</w:t>
            </w:r>
          </w:p>
        </w:tc>
        <w:tc>
          <w:tcPr>
            <w:tcW w:w="23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2#-1-3</w:t>
            </w:r>
          </w:p>
        </w:tc>
        <w:tc>
          <w:tcPr>
            <w:tcW w:w="230"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3#-1-1</w:t>
            </w:r>
          </w:p>
        </w:tc>
        <w:tc>
          <w:tcPr>
            <w:tcW w:w="250"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3#-1-2</w:t>
            </w:r>
          </w:p>
        </w:tc>
        <w:tc>
          <w:tcPr>
            <w:tcW w:w="23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3#-1-3</w:t>
            </w:r>
          </w:p>
        </w:tc>
        <w:tc>
          <w:tcPr>
            <w:tcW w:w="268"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4#-1-1</w:t>
            </w:r>
          </w:p>
        </w:tc>
        <w:tc>
          <w:tcPr>
            <w:tcW w:w="30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4#-1-2</w:t>
            </w:r>
          </w:p>
        </w:tc>
        <w:tc>
          <w:tcPr>
            <w:tcW w:w="30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4#-1-3</w:t>
            </w:r>
          </w:p>
        </w:tc>
        <w:tc>
          <w:tcPr>
            <w:tcW w:w="269"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5#-1-1</w:t>
            </w:r>
          </w:p>
        </w:tc>
        <w:tc>
          <w:tcPr>
            <w:tcW w:w="409"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6#-1-1</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第二类用地筛选值</w:t>
            </w:r>
          </w:p>
        </w:tc>
        <w:tc>
          <w:tcPr>
            <w:tcW w:w="34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pH值（无量纲）</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8.63</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8.68</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8.50</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8.16</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8.78</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8.66</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8.58</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8.24</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8.04</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8.48</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8.86</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8.24</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六价铬</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1.2</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1.4</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0.9</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1.7</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1.6</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1.9</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1.7</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1.5</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1.5</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1.7</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1.7</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1.7</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5.7</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5"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镉</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0.91</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0.09</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0.09</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0.09</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0.08</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0.08</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0.08</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0.06</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0.06</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0.07</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0.11</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0.11</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65</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汞</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0.126</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0.190</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0.150</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0.274</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0.253</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0.260</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0.272</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0.256</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0.388</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0.293</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0.314</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0.341</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38</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砷</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1.02</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1.32</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0.73</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0.73</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0.68</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0.67</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2.15</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2.09</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2.83</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1.71</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1.93</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3.28</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60</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镍</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28</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24</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22</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20</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18</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23</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19</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19</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15</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20</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27</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24</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900</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铅</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64</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49</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50</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54</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58</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58</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54</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66</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22</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32</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42</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800</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铜</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27</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27</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26</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28</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24</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27</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27</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25</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21</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26</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30</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29</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18000</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锌</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42</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37</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33</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29</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33</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40</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石油烃</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47</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40</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38</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37</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36</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39</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35</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42</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35</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36</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42</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43</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4500</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土壤容重</w:t>
            </w:r>
          </w:p>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g/cm³</w:t>
            </w:r>
            <w:r>
              <w:rPr>
                <w:rFonts w:hint="default" w:ascii="Times New Roman" w:hAnsi="Times New Roman" w:eastAsia="宋体" w:cs="Times New Roman"/>
                <w:color w:val="auto"/>
                <w:sz w:val="21"/>
                <w:szCs w:val="21"/>
                <w:lang w:eastAsia="zh-CN"/>
              </w:rPr>
              <w:t>）</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2.17</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2.48</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2.12</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2.35</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2.24</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2.19</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2.62</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2.75</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2.44</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2.07</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2.10</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2.85</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阳离子交换量</w:t>
            </w:r>
          </w:p>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（cmol</w:t>
            </w:r>
            <w:r>
              <w:rPr>
                <w:rFonts w:hint="default" w:ascii="Times New Roman" w:hAnsi="Times New Roman" w:eastAsia="宋体" w:cs="Times New Roman"/>
                <w:color w:val="auto"/>
                <w:sz w:val="21"/>
                <w:szCs w:val="21"/>
                <w:vertAlign w:val="superscript"/>
                <w:lang w:val="en-US" w:eastAsia="zh-CN"/>
              </w:rPr>
              <w:t>＋</w:t>
            </w:r>
            <w:r>
              <w:rPr>
                <w:rFonts w:hint="default" w:ascii="Times New Roman" w:hAnsi="Times New Roman" w:eastAsia="宋体" w:cs="Times New Roman"/>
                <w:color w:val="auto"/>
                <w:sz w:val="21"/>
                <w:szCs w:val="21"/>
                <w:lang w:val="en-US" w:eastAsia="zh-CN"/>
              </w:rPr>
              <w:t>/kg）</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10.2</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9.6</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10.2</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10.5</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3.0</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3.3</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4.0</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4.0</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&lt;0.8</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&lt;0.8</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5.4</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10.1</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氯甲烷</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37</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氯乙烯</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0.43</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1,1-二氯乙烯</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66</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二氯甲烷</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616</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反-1,2-二氯乙烯</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54</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1,1-二氯乙烷</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顺-1,2-二氯乙烯</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596</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氯仿</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0.9</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1,1,1-三氯乙烷</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840</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四氯化碳</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2.8</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苯</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1,2-二氯乙烷</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三氯乙烯</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2.8</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1,2-二氯丙烷</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甲苯</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1200</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1,1,2-三氯乙烷</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2.8</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四氯乙烯</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53</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氯苯</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270</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1,1,1,2-四氯乙烷</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乙苯</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28</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间，对-二甲苯</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570</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邻-二甲苯</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640</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苯乙烯</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1290</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1,1,2,2-四氯乙烷</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6.8</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1,2,3-三氯丙烷</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0.5</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1,4-二氯苯</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1,2-二氯苯</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560</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numPr>
                <w:ilvl w:val="0"/>
                <w:numId w:val="1"/>
              </w:numPr>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氯苯酚</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2256</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硝基苯</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76</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萘</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0"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50"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70</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4-氯苯胺</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0"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50"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260</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2-硝基</w:t>
            </w:r>
            <w:r>
              <w:rPr>
                <w:rFonts w:hint="default" w:ascii="Times New Roman" w:hAnsi="Times New Roman" w:eastAsia="宋体" w:cs="Times New Roman"/>
                <w:color w:val="auto"/>
                <w:sz w:val="21"/>
                <w:szCs w:val="21"/>
                <w:lang w:eastAsia="zh-CN"/>
              </w:rPr>
              <w:t>苯胺</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0"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50"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76</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3-硝基</w:t>
            </w:r>
            <w:r>
              <w:rPr>
                <w:rFonts w:hint="default" w:ascii="Times New Roman" w:hAnsi="Times New Roman" w:eastAsia="宋体" w:cs="Times New Roman"/>
                <w:color w:val="auto"/>
                <w:sz w:val="21"/>
                <w:szCs w:val="21"/>
                <w:lang w:eastAsia="zh-CN"/>
              </w:rPr>
              <w:t>苯胺</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0"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50"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rPr>
            </w:pP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4-硝基</w:t>
            </w:r>
            <w:r>
              <w:rPr>
                <w:rFonts w:hint="default" w:ascii="Times New Roman" w:hAnsi="Times New Roman" w:eastAsia="宋体" w:cs="Times New Roman"/>
                <w:color w:val="auto"/>
                <w:sz w:val="21"/>
                <w:szCs w:val="21"/>
                <w:lang w:eastAsia="zh-CN"/>
              </w:rPr>
              <w:t>苯胺</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0"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50"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rPr>
            </w:pP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苯并(a)蒽</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0"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50"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䓛</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0"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50"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1293</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二苯并（</w:t>
            </w:r>
            <w:r>
              <w:rPr>
                <w:rFonts w:hint="default" w:ascii="Times New Roman" w:hAnsi="Times New Roman" w:eastAsia="宋体" w:cs="Times New Roman"/>
                <w:color w:val="auto"/>
                <w:sz w:val="21"/>
                <w:szCs w:val="21"/>
                <w:lang w:val="en-US" w:eastAsia="zh-CN"/>
              </w:rPr>
              <w:t>a、h</w:t>
            </w:r>
            <w:r>
              <w:rPr>
                <w:rFonts w:hint="default" w:ascii="Times New Roman" w:hAnsi="Times New Roman" w:eastAsia="宋体" w:cs="Times New Roman"/>
                <w:color w:val="auto"/>
                <w:sz w:val="21"/>
                <w:szCs w:val="21"/>
                <w:lang w:eastAsia="zh-CN"/>
              </w:rPr>
              <w:t>）蒽</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0"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50"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苯并(a)芘</w:t>
            </w:r>
          </w:p>
        </w:tc>
        <w:tc>
          <w:tcPr>
            <w:tcW w:w="3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0"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50"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c>
          <w:tcPr>
            <w:tcW w:w="34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苯并(b)荧蒽</w:t>
            </w:r>
          </w:p>
        </w:tc>
        <w:tc>
          <w:tcPr>
            <w:tcW w:w="318"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9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0"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50"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68"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c>
          <w:tcPr>
            <w:tcW w:w="341"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苯并(k)荧蒽</w:t>
            </w:r>
          </w:p>
        </w:tc>
        <w:tc>
          <w:tcPr>
            <w:tcW w:w="318"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9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0"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50"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68"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151</w:t>
            </w:r>
          </w:p>
        </w:tc>
        <w:tc>
          <w:tcPr>
            <w:tcW w:w="341"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茚并（</w:t>
            </w:r>
            <w:r>
              <w:rPr>
                <w:rFonts w:hint="default" w:ascii="Times New Roman" w:hAnsi="Times New Roman" w:eastAsia="宋体" w:cs="Times New Roman"/>
                <w:color w:val="auto"/>
                <w:sz w:val="21"/>
                <w:szCs w:val="21"/>
                <w:lang w:val="en-US" w:eastAsia="zh-CN"/>
              </w:rPr>
              <w:t>1、2、3-cd</w:t>
            </w:r>
            <w:r>
              <w:rPr>
                <w:rFonts w:hint="default" w:ascii="Times New Roman" w:hAnsi="Times New Roman" w:eastAsia="宋体" w:cs="Times New Roman"/>
                <w:color w:val="auto"/>
                <w:sz w:val="21"/>
                <w:szCs w:val="21"/>
                <w:lang w:eastAsia="zh-CN"/>
              </w:rPr>
              <w:t>）芘</w:t>
            </w:r>
          </w:p>
        </w:tc>
        <w:tc>
          <w:tcPr>
            <w:tcW w:w="318"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9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0"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50"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68"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c>
          <w:tcPr>
            <w:tcW w:w="341"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苊</w:t>
            </w:r>
          </w:p>
        </w:tc>
        <w:tc>
          <w:tcPr>
            <w:tcW w:w="318"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9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0"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50"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68"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41"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芴</w:t>
            </w:r>
          </w:p>
        </w:tc>
        <w:tc>
          <w:tcPr>
            <w:tcW w:w="318"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9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0"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50"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68"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341"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菲</w:t>
            </w:r>
          </w:p>
        </w:tc>
        <w:tc>
          <w:tcPr>
            <w:tcW w:w="318"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9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0"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50"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68"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341"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蒽</w:t>
            </w:r>
          </w:p>
        </w:tc>
        <w:tc>
          <w:tcPr>
            <w:tcW w:w="318"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9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0"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50"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68"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341"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荧蒽</w:t>
            </w:r>
          </w:p>
        </w:tc>
        <w:tc>
          <w:tcPr>
            <w:tcW w:w="318"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9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0"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50"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68"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341"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芘</w:t>
            </w:r>
          </w:p>
        </w:tc>
        <w:tc>
          <w:tcPr>
            <w:tcW w:w="318"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9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0"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50"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68"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341"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62" w:type="pct"/>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苯并</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g、h、i</w:t>
            </w:r>
            <w:r>
              <w:rPr>
                <w:rFonts w:hint="default" w:ascii="Times New Roman" w:hAnsi="Times New Roman" w:eastAsia="宋体" w:cs="Times New Roman"/>
                <w:color w:val="auto"/>
                <w:sz w:val="21"/>
                <w:szCs w:val="21"/>
                <w:lang w:eastAsia="zh-CN"/>
              </w:rPr>
              <w:t>）芘</w:t>
            </w:r>
          </w:p>
        </w:tc>
        <w:tc>
          <w:tcPr>
            <w:tcW w:w="318"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86"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9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0"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50"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3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p>
        </w:tc>
        <w:tc>
          <w:tcPr>
            <w:tcW w:w="268"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5"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303"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26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409" w:type="pct"/>
            <w:tcBorders>
              <w:tl2br w:val="nil"/>
              <w:tr2bl w:val="nil"/>
            </w:tcBorders>
            <w:vAlign w:val="center"/>
          </w:tcPr>
          <w:p>
            <w:pPr>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未检出</w:t>
            </w:r>
          </w:p>
        </w:tc>
        <w:tc>
          <w:tcPr>
            <w:tcW w:w="585"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341"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r>
    </w:tbl>
    <w:p>
      <w:pPr>
        <w:pStyle w:val="9"/>
        <w:rPr>
          <w:rFonts w:hint="eastAsia"/>
          <w:color w:val="auto"/>
          <w:lang w:val="en-US" w:eastAsia="zh-CN"/>
        </w:rPr>
      </w:pPr>
    </w:p>
    <w:p>
      <w:pPr>
        <w:pStyle w:val="9"/>
        <w:rPr>
          <w:rFonts w:hint="default"/>
          <w:color w:val="auto"/>
          <w:lang w:val="en-US" w:eastAsia="zh-CN"/>
        </w:rPr>
      </w:pPr>
      <w:r>
        <w:rPr>
          <w:rFonts w:hint="eastAsia"/>
          <w:color w:val="auto"/>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项目区及占地范围外建设用地土壤中各监测因子环境质量均满足《土壤环境质量建设用地土壤污染风险管控标准（试行）》（GB36600-2018）第二类用地筛选值标准限值，项目区及周边土壤现状环境质量状况良好。</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4.4.5 生态环境现状调查与评价</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4.4.5.1 生态功能区划定位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新疆生态环境功能区划》，本园区所在地区属准噶尔盆地温性荒漠与绿洲农业生态区，准噶尔盆地南部荒漠绿洲农业生态亚区，乌苏-石河子-昌吉城镇与绿洲农业生态功能区。区域主要的生态服务功能为工农畜产品生产、人居环境、荒漠化控制，主要生态环境问题是地下水超采、荒漠植被退化、土地荒漠化与盐渍化、大气和水质及土壤污染、良田减少、绿洲外围受到沙漠化威胁。主要保护目标是保护绿洲农田、保护城市大气和水环境质量、保护荒漠植被、保护农田土壤环境质量。区域适宜发展方向是发展优质高效农牧业，美化城市环境，建设健康、稳定的城乡生态系统愈人居环境。</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4.4.5.2 区域土壤类型调查</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主要为硫酸盐化灰漠土、硫酸盐草甸盐土和硫酸盐化潮土。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硫酸盐化灰漠土的剖面属于残积盐化的盐化灰漠土类型，聚盐层在土体下部厚达 80 厘米以上，全盐量高达 18-25 克每千克，盐分组成为硫酸盐-氯化物混合型，并含较多的重碳酸盐。熟化土厚 40~60 厘米，少数可达 60~100 厘米，耕层厚 20~30 厘米，有机质含量 1％~3％。</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硫酸盐草甸盐土是盐土的一个亚类。由各种类型的草甸土逐渐演变而成。其形成受地下水常年上下活动的影响，积盐过程和草甸过程相伴进行，而以积盐过程为主。土壤积盐状况各地差异很大，愈干旱积盐愈重，积盐层或盐壳愈厚。表层有一定数量的有机质积累，底土有明显的锈色斑纹。</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硫酸盐化潮土地下水位多在 1~3 米。耕作层厚 15~25 厘米、有机质含量 1％~2％。此类土壤土层深厚，质地适中，具有耕性好，保肥性高，养分充足，后劲大，土体湿润抗旱性能力强，适种性广等特点。</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4.4.5.3 区域野生动物、植被现状调查与评价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（1）植被</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新疆植被及其利用》，评价区在中国植被区划中属新疆荒漠区、北疆荒漠亚区、准噶尔荒漠省、乌苏——奇台州。区域内气候干旱，植物群落较为单一，主要是由小蓬、假木贼、伊犁绢蒿等组成的小半灌木荒漠。大部分区域植被稀疏、覆盖度为 10%～15%。</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（2）野生动物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在动物区系上属蒙新区的西部荒漠亚区中的准噶尔盆地小区，动物区系组成简单，野生动物种类及分布均很少。据资料记载，项目区分布有野生动物 34 种，其中两栖类 1 种，爬行类 2 种，鸟类 22 种，哺乳类 9 种。</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4.4.5.4 生态现状调查小结</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根据上文分析，生态保护红线及环境敏感区现状情况如下：通过叠图对比分析，调查评价范围内不压占生态保护红线。</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根据调查，调查评价范围内不涉及世界遗产、自然保护区、风景名胜区、文物保护单位等需要特殊保护的环境敏感区，评价范围内无古树名木，尚未发现重点保护的动植物，调查评价范围内环境敏感目标主要为村庄、城镇及耕地等，根据《昌吉回族自治州“三线一单”生态环境分区管控方案及生态环境准入清单》（昌州政办发〔2021〕41 号），本项目属于重点管控单元，符合重点管控单元管控要求。根据《新疆生态功能区划》，本项目所在区域在《新疆生态功能区划》中，本项目所在地区属准噶尔盆地温性荒漠与绿洲农业生态区，准噶尔盆地南部荒漠绿洲农业生态亚区，乌苏-石河子-昌吉城镇与绿洲农业生态功能区。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eastAsia" w:ascii="Times New Roman" w:hAnsi="Times New Roman" w:eastAsia="宋体" w:cs="Times New Roman"/>
          <w:color w:val="auto"/>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0"/>
        <w:rPr>
          <w:rFonts w:hint="default" w:ascii="Times New Roman" w:hAnsi="Times New Roman" w:eastAsia="宋体" w:cs="Times New Roman"/>
          <w:color w:val="auto"/>
          <w:sz w:val="24"/>
          <w:szCs w:val="24"/>
          <w:lang w:val="en-US" w:eastAsia="zh-CN"/>
        </w:rPr>
      </w:pPr>
      <w:bookmarkStart w:id="25" w:name="_Toc20184"/>
      <w:r>
        <w:rPr>
          <w:rFonts w:hint="eastAsia" w:ascii="Times New Roman" w:hAnsi="Times New Roman" w:eastAsia="宋体" w:cs="Times New Roman"/>
          <w:b/>
          <w:bCs/>
          <w:color w:val="auto"/>
          <w:sz w:val="32"/>
          <w:szCs w:val="32"/>
          <w:lang w:val="en-US" w:eastAsia="zh-CN"/>
        </w:rPr>
        <w:t>5 环境影响预测与评价</w:t>
      </w:r>
      <w:bookmarkEnd w:id="25"/>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color w:val="auto"/>
          <w:sz w:val="24"/>
          <w:szCs w:val="24"/>
          <w:lang w:val="en-US" w:eastAsia="zh-CN"/>
        </w:rPr>
      </w:pPr>
      <w:bookmarkStart w:id="26" w:name="_Toc7740"/>
      <w:r>
        <w:rPr>
          <w:rFonts w:hint="eastAsia" w:ascii="Times New Roman" w:hAnsi="Times New Roman" w:eastAsia="宋体" w:cs="Times New Roman"/>
          <w:b/>
          <w:bCs/>
          <w:color w:val="auto"/>
          <w:sz w:val="30"/>
          <w:szCs w:val="30"/>
          <w:lang w:val="en-US" w:eastAsia="zh-CN"/>
        </w:rPr>
        <w:t>5.1 施工期环境影响分析</w:t>
      </w:r>
      <w:bookmarkEnd w:id="26"/>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由于建筑施工的每个施工阶段所进行的项目内容和采用的机械设备不同，对周围环境要素在不同程度上将产生一定影响。建筑施工对周围环境的影响主要表现在生态破坏、水土流失、扬尘、噪声、固体废物及废水等方面。施工期的环境影响属短期的，施工结束后可恢复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施工期间应加强管理，严格执行国家的有关规定，减少对周围环境的影响。下面将结合本期扩建工程的特征和当地的环境状况，就项目施工过程中对环境的影响进行分析，并在此基础上提出减少影响的措施和建议。</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5.1.1 施工期大气环境影响分析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施工期对大气环境影响主要包括施工扬尘、施工机械废气。</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5.1.1.1 施工扬尘影响分析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施工期间产生的扬尘主要影响项目所在地块的周围，扬尘的影响范围较广，主要表现为空气中的总悬浮颗粒浓度增大，尤其在天气干燥、风速较大时影响更显著。施工期间产生的扬尘主要集中在土建施工阶段，按起尘原因可分为风力扬尘和动力扬尘。</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（1）露天堆场风力扬尘</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露天堆场、裸露场地在气候干燥又有风的情况下，会产生扬尘，起尘量可按堆场起尘经验公式计算：</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position w:val="-12"/>
          <w:sz w:val="24"/>
          <w:szCs w:val="24"/>
          <w:lang w:val="en-US" w:eastAsia="zh-CN"/>
        </w:rPr>
        <w:object>
          <v:shape id="_x0000_i1034" o:spt="75" type="#_x0000_t75" style="height:19pt;width:121pt;" o:ole="t" filled="f" o:preferrelative="t" stroked="f" coordsize="21600,21600">
            <v:path/>
            <v:fill on="f" focussize="0,0"/>
            <v:stroke on="f"/>
            <v:imagedata r:id="rId37" o:title=""/>
            <o:lock v:ext="edit" aspectratio="t"/>
            <w10:wrap type="none"/>
            <w10:anchorlock/>
          </v:shape>
          <o:OLEObject Type="Embed" ProgID="Equation.KSEE3" ShapeID="_x0000_i1034" DrawAspect="Content" ObjectID="_1468075734" r:id="rId36">
            <o:LockedField>false</o:LockedField>
          </o:OLEObject>
        </w:objec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其中：Q——起尘量，kg/t·a；</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V</w:t>
      </w:r>
      <w:r>
        <w:rPr>
          <w:rFonts w:hint="eastAsia" w:ascii="Times New Roman" w:hAnsi="Times New Roman" w:eastAsia="宋体" w:cs="Times New Roman"/>
          <w:color w:val="auto"/>
          <w:sz w:val="24"/>
          <w:szCs w:val="24"/>
          <w:vertAlign w:val="subscript"/>
          <w:lang w:val="en-US" w:eastAsia="zh-CN"/>
        </w:rPr>
        <w:t>50</w:t>
      </w:r>
      <w:r>
        <w:rPr>
          <w:rFonts w:hint="eastAsia" w:ascii="Times New Roman" w:hAnsi="Times New Roman" w:eastAsia="宋体" w:cs="Times New Roman"/>
          <w:color w:val="auto"/>
          <w:sz w:val="24"/>
          <w:szCs w:val="24"/>
          <w:lang w:val="en-US" w:eastAsia="zh-CN"/>
        </w:rPr>
        <w:t>——距地面 50m 高处风速，m/s；</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V</w:t>
      </w:r>
      <w:r>
        <w:rPr>
          <w:rFonts w:hint="eastAsia" w:ascii="Times New Roman" w:hAnsi="Times New Roman" w:eastAsia="宋体" w:cs="Times New Roman"/>
          <w:color w:val="auto"/>
          <w:sz w:val="24"/>
          <w:szCs w:val="24"/>
          <w:vertAlign w:val="subscript"/>
          <w:lang w:val="en-US" w:eastAsia="zh-CN"/>
        </w:rPr>
        <w:t>0</w:t>
      </w:r>
      <w:r>
        <w:rPr>
          <w:rFonts w:hint="eastAsia" w:ascii="Times New Roman" w:hAnsi="Times New Roman" w:eastAsia="宋体" w:cs="Times New Roman"/>
          <w:color w:val="auto"/>
          <w:sz w:val="24"/>
          <w:szCs w:val="24"/>
          <w:lang w:val="en-US" w:eastAsia="zh-CN"/>
        </w:rPr>
        <w:t>——起尘风速，m/s；</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w——尘粒的含水率，%；</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由上式可知，起尘量与露天堆放量、尘粒性质、尘粒的含水率有关，可见，减少露天堆放和裸露场地、保持尘粒含水率可有效控制起尘量；而尘粒在空气中的传播扩散与风速、尘粒本身的沉降速度有关，粒径越大，沉降越快。</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5.1.1-1   不同粒径尘粒的沉降速度</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98"/>
        <w:gridCol w:w="888"/>
        <w:gridCol w:w="888"/>
        <w:gridCol w:w="889"/>
        <w:gridCol w:w="889"/>
        <w:gridCol w:w="889"/>
        <w:gridCol w:w="889"/>
        <w:gridCol w:w="8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粒径（μm）</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30</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40</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50</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60</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沉降速度（m/s）</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0.003</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0.012</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0.027</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0.048</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0.075</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0.108</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粒径（μm）</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80</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90</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100</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150</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200</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250</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沉降速度（m/s）</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0.158</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0.170</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0.182</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0.239</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0.804</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1.005</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1.829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粒径（μm）</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450</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550</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650</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750</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850</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950</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沉降速度（m/s）</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2.211</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2.614</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3.016</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3.418</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3.820</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4.222</w:t>
            </w:r>
          </w:p>
        </w:tc>
        <w:tc>
          <w:tcPr>
            <w:tcW w:w="5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4.625</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当粒径为 250μm 时，沉降速度为 1.005m/s，扬尘可在短时间内沉降到地面，因此可以认为当尘粒大于 250μm 时，主要影响在扬尘点下风向近距离范围内，真正对外环境产生影响的是一些微小尘粒，影响范围随现场气候情况有所不同。根据建筑施工现场的实测资料，对施工扬尘未采取污染防治措施时，正常情况下在施工作业场地处近地面总悬浮颗粒物（TSP）最大日均浓度可达0.58-11.56mg/N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，而在距施工现场下风向 500m 处，近地面总悬浮颗粒物（TSP）日均浓度在 0.12-0.29mg/Nm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，基本满足 GB3095-2012《环境空气质量标准》中的二级标准。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在一般气象条件下，平均风速在 2.5m/s 左右时，建筑施工扬尘的影响范围在其下风向可达 85m；当施工厂界有围墙且施工楼体四周设置密目网时，在相同气象条件下，其影响距离可缩至 30-40m。</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根据呼图壁县多年气象资料，当地多年平均风速为 2.1m/s。依据上述施工扬尘影响距离，可以大体估测本项目在此气象条件及施工全部设置防尘密目网的情况下，其扬尘影响范围应该在 60m 之内。</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（2）车辆形式动力起尘</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在尘土完全干燥的情况下，车辆行驶产生的扬尘可按下列经验公式计算：</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position w:val="-10"/>
          <w:sz w:val="24"/>
          <w:szCs w:val="24"/>
          <w:lang w:val="en-US" w:eastAsia="zh-CN"/>
        </w:rPr>
        <w:object>
          <v:shape id="_x0000_i1035" o:spt="75" type="#_x0000_t75" style="height:18pt;width:185pt;" o:ole="t" filled="f" o:preferrelative="t" stroked="f" coordsize="21600,21600">
            <v:path/>
            <v:fill on="f" focussize="0,0"/>
            <v:stroke on="f"/>
            <v:imagedata r:id="rId39" o:title=""/>
            <o:lock v:ext="edit" aspectratio="t"/>
            <w10:wrap type="none"/>
            <w10:anchorlock/>
          </v:shape>
          <o:OLEObject Type="Embed" ProgID="Equation.KSEE3" ShapeID="_x0000_i1035" DrawAspect="Content" ObjectID="_1468075735" r:id="rId38">
            <o:LockedField>false</o:LockedField>
          </o:OLEObject>
        </w:objec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其中：Q——汽车行驶时的扬尘，kg/km·辆；</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V——汽车车速，km/h；</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W——汽车载重量，t；</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P——道路表面粉尘量，kg/m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由上式可知，车辆行驶扬尘与汽车类型、车速、地面清洁程度有关。</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下表为一辆 10t 的卡车以不同速度通过不同清洁程度的路面时产生的扬尘情况。</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5.1.1-2    在不同车速和地面清洁程度的汽车扬尘（kg/km·辆）</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7"/>
        <w:gridCol w:w="1217"/>
        <w:gridCol w:w="1217"/>
        <w:gridCol w:w="1217"/>
        <w:gridCol w:w="1218"/>
        <w:gridCol w:w="1218"/>
        <w:gridCol w:w="12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车速</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0.2</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0.3</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0.4</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0.5</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5km/h</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0.051</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0.086</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0.116</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0.144</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0.171</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0.287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5km/h</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0.102</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0.171</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0.232</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0.289</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0.341</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0.574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5km/h</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0.153</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0.257</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0.349</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0.433</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0.512</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0.861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5km/h</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0.255</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0.429</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0.582</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0.722</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0.853</w:t>
            </w:r>
          </w:p>
        </w:tc>
        <w:tc>
          <w:tcPr>
            <w:tcW w:w="7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1.435</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在路面同样清洁程度情况下，车速越快，扬尘量越大；而在同样车速情况下，路面越脏，扬尘量越大。限速行驶及保持路面的清洁是减少汽车扬尘的有效办法。</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综上所述，扬尘的产生量与施工队的文明作业程度和管理水平密切相关，同时也受当时的风速、湿度、温度等气象要素影响。在自然风作用下，施工场地扬尘的影响范围在 100m 以内，如果实施洒水抑尘（每天洒水 4-5 次），可使扬尘减少 70% 左右，将 TSP 的污染距离缩小至 20-50m 范围。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下表为施工场地洒水抑尘的试验结果，可见每天洒水 4-5 次进行抑尘，可有效地控制施工扬尘，将扬尘污染控制在场地内。</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5.1.1-3   施工场底洒水抑尘实验结果</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37"/>
        <w:gridCol w:w="1256"/>
        <w:gridCol w:w="1023"/>
        <w:gridCol w:w="866"/>
        <w:gridCol w:w="866"/>
        <w:gridCol w:w="8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7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距离</w:t>
            </w:r>
          </w:p>
        </w:tc>
        <w:tc>
          <w:tcPr>
            <w:tcW w:w="6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w:t>
            </w:r>
          </w:p>
        </w:tc>
        <w:tc>
          <w:tcPr>
            <w:tcW w:w="50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w:t>
            </w:r>
          </w:p>
        </w:tc>
        <w:tc>
          <w:tcPr>
            <w:tcW w:w="50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w:t>
            </w:r>
          </w:p>
        </w:tc>
        <w:tc>
          <w:tcPr>
            <w:tcW w:w="50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TSP平均浓度（mg/m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w:t>
            </w:r>
          </w:p>
        </w:tc>
        <w:tc>
          <w:tcPr>
            <w:tcW w:w="7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不洒水</w:t>
            </w:r>
          </w:p>
        </w:tc>
        <w:tc>
          <w:tcPr>
            <w:tcW w:w="6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10.14</w:t>
            </w:r>
          </w:p>
        </w:tc>
        <w:tc>
          <w:tcPr>
            <w:tcW w:w="50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2.89</w:t>
            </w:r>
          </w:p>
        </w:tc>
        <w:tc>
          <w:tcPr>
            <w:tcW w:w="50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1.15</w:t>
            </w:r>
          </w:p>
        </w:tc>
        <w:tc>
          <w:tcPr>
            <w:tcW w:w="50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洒水</w:t>
            </w:r>
          </w:p>
        </w:tc>
        <w:tc>
          <w:tcPr>
            <w:tcW w:w="6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2.01</w:t>
            </w:r>
          </w:p>
        </w:tc>
        <w:tc>
          <w:tcPr>
            <w:tcW w:w="50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1.40</w:t>
            </w:r>
          </w:p>
        </w:tc>
        <w:tc>
          <w:tcPr>
            <w:tcW w:w="50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0.67</w:t>
            </w:r>
          </w:p>
        </w:tc>
        <w:tc>
          <w:tcPr>
            <w:tcW w:w="50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7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TSP标准限值（mg/m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w:t>
            </w:r>
          </w:p>
        </w:tc>
        <w:tc>
          <w:tcPr>
            <w:tcW w:w="2127" w:type="pct"/>
            <w:gridSpan w:val="4"/>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由上可知，在文明施工、加强管理的前提下，主要采取减少露天堆放、围挡、洒水等抑尘措施，与本节抑尘效果分析一致，可将施工扬尘污染控制在 20-50m范围内。为了避免和减轻施工期扬尘对周围大气环境产生的污染影响，项目拟采取如下控制措施：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在作业场地设置 1.8m 高围挡，以减少扬尘扩散。</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散装物料的堆存要加盖苫布，定期对施工场地及运输道路洒水抑尘，以降低扬尘污染。</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在施工场地设置专人监管建筑垃圾、建筑材料、开挖土的堆放、清运和处置，防止二次扬尘污染。</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尽量避免在大风预警天气下进行施工作业。</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⑤ 施工单位应合理安排施工进度，尽量减少建筑材料在场地内的堆存，对建筑垃圾及时处理、清运，以减少占地，改善施工场地的环境。</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（3）机械设备尾气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土建阶段现场施工机械虽较多，但主要以电力为能源，无废气产生，只有运输车辆以汽油或柴油为燃料，有机械尾气的排放，但它们的使用期短，尾气排放量也较少，再加上周围地形开阔，风速较大，不会引起大气环境污染，对区域大气环境影响较小。</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5.1.2 施工期水环境影响分析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施工期水污染源主要是施工人员日常生活产生的生活污水和施工废水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本工程施工营地设置在临时办公生活区，生活污水经收集后排入园区污水处理厂。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建筑施工废水主要包括地基开挖、道路铺设和房屋建筑过程中产生的泥浆水、运输车辆和机械的洗刷废水等。施工现场临时设一座废水沉淀池，对各类生产废水收集沉淀后，作冲洗复用水、降尘喷洒水，沉渣外运合理处置。泥浆水经沉淀池处理后，上清液排放作冲洗复用水或喷洒抑尘，不外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总的来看，施工期间产生的废水大部分回用于场地洒水抑尘，其余部分主要以蒸发损耗，均不外排，对环境影响较小。</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5.1.3 施工期声环境影响分析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建设施工阶段，建筑施工机械的作业一般位于露天，各种施工机械、设备噪声此起彼伏；其噪声传播距离远，影响范围大，是重要的临时性声源。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（1）施工期噪声源分析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施工过程可分为土方、基础、结构和安装 4 个阶段。4 个阶段所占施工时间比例不同，采用施工机械不同，噪声污染程度不同，各阶段有其独特的噪声特性。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（2）预测模式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施工期间各工场的施工机械噪声可近似作为点声源处理，根据点声源噪声传播衰减模式，可估算施工期间离噪声声源不同距离处的噪声值，从而可以就施工噪声对敏感点做出分析评价。预测模式如下：</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position w:val="-14"/>
          <w:sz w:val="24"/>
          <w:szCs w:val="24"/>
          <w:lang w:val="en-US" w:eastAsia="zh-CN"/>
        </w:rPr>
        <w:object>
          <v:shape id="_x0000_i1036" o:spt="75" type="#_x0000_t75" style="height:19pt;width:135pt;" o:ole="t" filled="f" o:preferrelative="t" stroked="f" coordsize="21600,21600">
            <v:path/>
            <v:fill on="f" focussize="0,0"/>
            <v:stroke on="f"/>
            <v:imagedata r:id="rId41" o:title=""/>
            <o:lock v:ext="edit" aspectratio="t"/>
            <w10:wrap type="none"/>
            <w10:anchorlock/>
          </v:shape>
          <o:OLEObject Type="Embed" ProgID="Equation.KSEE3" ShapeID="_x0000_i1036" DrawAspect="Content" ObjectID="_1468075736" r:id="rId40">
            <o:LockedField>false</o:LockedField>
          </o:OLEObject>
        </w:objec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式中：L</w:t>
      </w:r>
      <w:r>
        <w:rPr>
          <w:rFonts w:hint="eastAsia" w:ascii="Times New Roman" w:hAnsi="Times New Roman" w:eastAsia="宋体" w:cs="Times New Roman"/>
          <w:color w:val="auto"/>
          <w:sz w:val="24"/>
          <w:szCs w:val="24"/>
          <w:vertAlign w:val="subscript"/>
          <w:lang w:val="en-US" w:eastAsia="zh-CN"/>
        </w:rPr>
        <w:t>p</w:t>
      </w:r>
      <w:r>
        <w:rPr>
          <w:rFonts w:hint="eastAsia" w:ascii="Times New Roman" w:hAnsi="Times New Roman" w:eastAsia="宋体" w:cs="Times New Roman"/>
          <w:color w:val="auto"/>
          <w:sz w:val="24"/>
          <w:szCs w:val="24"/>
          <w:lang w:val="en-US" w:eastAsia="zh-CN"/>
        </w:rPr>
        <w:t>——施工噪声预测值；</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L</w:t>
      </w:r>
      <w:r>
        <w:rPr>
          <w:rFonts w:hint="eastAsia" w:ascii="Times New Roman" w:hAnsi="Times New Roman" w:eastAsia="宋体" w:cs="Times New Roman"/>
          <w:color w:val="auto"/>
          <w:sz w:val="24"/>
          <w:szCs w:val="24"/>
          <w:vertAlign w:val="subscript"/>
          <w:lang w:val="en-US" w:eastAsia="zh-CN"/>
        </w:rPr>
        <w:t>po</w:t>
      </w:r>
      <w:r>
        <w:rPr>
          <w:rFonts w:hint="eastAsia" w:ascii="Times New Roman" w:hAnsi="Times New Roman" w:eastAsia="宋体" w:cs="Times New Roman"/>
          <w:color w:val="auto"/>
          <w:sz w:val="24"/>
          <w:szCs w:val="24"/>
          <w:lang w:val="en-US" w:eastAsia="zh-CN"/>
        </w:rPr>
        <w:t>——施工噪声监测参考声级；</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r——预测点距离；</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r</w:t>
      </w:r>
      <w:r>
        <w:rPr>
          <w:rFonts w:hint="eastAsia" w:ascii="Times New Roman" w:hAnsi="Times New Roman" w:eastAsia="宋体" w:cs="Times New Roman"/>
          <w:color w:val="auto"/>
          <w:sz w:val="24"/>
          <w:szCs w:val="24"/>
          <w:vertAlign w:val="subscript"/>
          <w:lang w:val="en-US" w:eastAsia="zh-CN"/>
        </w:rPr>
        <w:t>0</w:t>
      </w:r>
      <w:r>
        <w:rPr>
          <w:rFonts w:hint="eastAsia" w:ascii="Times New Roman" w:hAnsi="Times New Roman" w:eastAsia="宋体" w:cs="Times New Roman"/>
          <w:color w:val="auto"/>
          <w:sz w:val="24"/>
          <w:szCs w:val="24"/>
          <w:lang w:val="en-US" w:eastAsia="zh-CN"/>
        </w:rPr>
        <w:t>——监测点距离；</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△L——附加衰减量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（3）评价标准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施工期声环境评价标准采用《建筑施工场界环境噪声排放标准》（GB12523-2011），见表 5.1.3-1。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5.1.3-1  在不同距离的噪声预测值   单位：dB（A）</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10"/>
        <w:gridCol w:w="745"/>
        <w:gridCol w:w="746"/>
        <w:gridCol w:w="746"/>
        <w:gridCol w:w="746"/>
        <w:gridCol w:w="942"/>
        <w:gridCol w:w="942"/>
        <w:gridCol w:w="9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距离（m）</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100</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200</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推土机</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85</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75</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71</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64</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56</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挖掘机</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85</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75</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71</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64</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56</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载重机</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88</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82</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74</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63</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56</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运输车辆</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85</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75</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71</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64</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55</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吊车</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85</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75</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71</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64</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56</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电锯</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85</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75</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71</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64</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56</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切割机</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85</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75</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71</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64</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56</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混凝土振捣器</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85</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80</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77</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72</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63</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56</w:t>
            </w:r>
          </w:p>
        </w:tc>
        <w:tc>
          <w:tcPr>
            <w:tcW w:w="5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49</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（4）施工噪声影响分析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根据施工机械噪声预测结果可以看出，昼间距施工设备 100m，夜间 500m即可满足《建筑施工场界环境噪声排放标准》（GB12523-2011）场界噪声限值要求根据厂址周围环境概况，本工程建设所在地附近无环境噪声敏感目标存在，施工期噪声对周边环境影响较小。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另外，距离运输车辆昼间 100m，夜间 200m 才能满足《声环境质量标准》(GB3096-2008）3 类区标准限值。本环评建议在建设初期规划好运输路线，避免穿行居民区集中地，减少噪声对周边居民的影响。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（5）施工期噪声控制措施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为最大限度避免和减轻施工及运输噪声对周围声环境的不利影响，本评价建议建设单位应要求施工单位使用低噪声的机械设备类型，并在施工中设专人对其进行保养维护，对设备使用人员进行培训，严格按操作规范使用各类机械。综上所述，施工噪声不会对周围声环境产生明显影响。</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5.1.4 施工期固体废弃物影响分析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建筑施工过程中将产生一定量的建筑废弃物，同时在施工期间需要运输各种土筑材料，如砂石、水泥、砖瓦、木料等。工程完成后，会残留部分废弃的建筑材料，若处置不当，遇暴雨洪水等会被冲刷流失到水环境中造成水体污染。建设单位应要求施工单位规范运输，不能随路洒落，不能随意倾倒堆放建筑垃圾，施工结束后，应及时清运多余或废弃的建筑材料或建筑垃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此外，施工人员生活垃圾要及时收集，定期送往大丰镇生活垃圾填埋场进行卫生填埋。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为避免施工期固体废物对周围环境产生不利影响，本评价参照《城市建筑垃圾管理规定》（建设部令第 139 号）建议建设单位采取以下防范措施：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施工单位应指派专人负责施工区固体废物的收集及转运工作，固体废物宜分类回收；建筑垃圾外运过程中，运输车辆应用苫布覆盖，避免沿途遗洒，并按城建部门指定路线行驶。</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综上所述，若能按照本评价提出的防范措施妥善处置施工期产生的固体废物，本项目施工期产生的固体废物不会对周围环境产生明显影响。</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5.1.5 施工期生态环境影响分析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（1）土地利用格局影响分析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的开发建设对土地利用的影响主要是土地剥离使原有土地利用类型发生根本性改变。根据土地利用数据，项目厂区内的土地规划为工业用地。从区域角度来分析，项目建成后生态影响评价区的土地利用类型变化较小，不会改变区域土地利用的结构，同样也不会对宏观景观结构产生大的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（2）对植物多样性的影响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建成后，区内原有的主要生态系统被替换为工业生态系统，区内原有植被分布较少，无国家重点保护的珍稀濒危植物和野生植物。因此，项目的建设对所在的大区域植物区系、植被类型的影响不大，不会导致植物种类和类型的消失灭绝。</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b/>
          <w:bCs/>
          <w:color w:val="auto"/>
          <w:sz w:val="30"/>
          <w:szCs w:val="30"/>
          <w:lang w:val="en-US" w:eastAsia="zh-CN"/>
        </w:rPr>
      </w:pPr>
      <w:bookmarkStart w:id="27" w:name="_Toc5849"/>
      <w:r>
        <w:rPr>
          <w:rFonts w:hint="eastAsia" w:ascii="Times New Roman" w:hAnsi="Times New Roman" w:eastAsia="宋体" w:cs="Times New Roman"/>
          <w:b/>
          <w:bCs/>
          <w:color w:val="auto"/>
          <w:sz w:val="30"/>
          <w:szCs w:val="30"/>
          <w:lang w:val="en-US" w:eastAsia="zh-CN"/>
        </w:rPr>
        <w:t>5.2 运营期环境影响预测与评价</w:t>
      </w:r>
      <w:bookmarkEnd w:id="27"/>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5.2.1 运营期环境空气影响预测与评价</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5.2.1.1 评价区域气象资料统计分析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生态环境部环境工程评估中心国家环境保护环境影响评价重点实验室提供的判定资料，距离本项目的最近气象站为呼图壁气象站。因此本项目采用的是呼图壁气象站（47120）资料，气象站位于新疆维吾尔自治区，地理坐标为东经 86.5073°，北纬 44.2691°，海拔高度 513m。</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呼图壁气象站距本项目 6.10km，是距本项目最近的国家气象站，拥有长期的气象观测资料，观测气象数据信息见表 5.2.1-1。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5.2.1-1  观测气象数据信息</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4"/>
        <w:gridCol w:w="1036"/>
        <w:gridCol w:w="897"/>
        <w:gridCol w:w="1377"/>
        <w:gridCol w:w="1273"/>
        <w:gridCol w:w="872"/>
        <w:gridCol w:w="20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气象站名称</w:t>
            </w:r>
          </w:p>
        </w:tc>
        <w:tc>
          <w:tcPr>
            <w:tcW w:w="6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气象站编号</w:t>
            </w:r>
          </w:p>
        </w:tc>
        <w:tc>
          <w:tcPr>
            <w:tcW w:w="5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气象站等级</w:t>
            </w:r>
          </w:p>
        </w:tc>
        <w:tc>
          <w:tcPr>
            <w:tcW w:w="8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相对距离（km）</w:t>
            </w:r>
          </w:p>
        </w:tc>
        <w:tc>
          <w:tcPr>
            <w:tcW w:w="74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海拔高度（m）</w:t>
            </w:r>
          </w:p>
        </w:tc>
        <w:tc>
          <w:tcPr>
            <w:tcW w:w="5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数据年份</w:t>
            </w:r>
          </w:p>
        </w:tc>
        <w:tc>
          <w:tcPr>
            <w:tcW w:w="120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气象要素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呼图壁气象站</w:t>
            </w:r>
          </w:p>
        </w:tc>
        <w:tc>
          <w:tcPr>
            <w:tcW w:w="6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47120</w:t>
            </w:r>
          </w:p>
        </w:tc>
        <w:tc>
          <w:tcPr>
            <w:tcW w:w="5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基本站</w:t>
            </w:r>
          </w:p>
        </w:tc>
        <w:tc>
          <w:tcPr>
            <w:tcW w:w="8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28.5</w:t>
            </w:r>
          </w:p>
        </w:tc>
        <w:tc>
          <w:tcPr>
            <w:tcW w:w="74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513</w:t>
            </w:r>
          </w:p>
        </w:tc>
        <w:tc>
          <w:tcPr>
            <w:tcW w:w="5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2022</w:t>
            </w:r>
          </w:p>
        </w:tc>
        <w:tc>
          <w:tcPr>
            <w:tcW w:w="120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风向、风速、总云、低云、温度</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呼图壁气象站气象资料整编表如表 5.2.1-2 所示，长年风向玫瑰见图 5.2.1-1。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5.2.1-2   呼图壁气象站常规气象站项目统计</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4"/>
        <w:gridCol w:w="1627"/>
        <w:gridCol w:w="1685"/>
        <w:gridCol w:w="2264"/>
        <w:gridCol w:w="1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统计项目</w:t>
            </w:r>
          </w:p>
        </w:tc>
        <w:tc>
          <w:tcPr>
            <w:tcW w:w="9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*统计值</w:t>
            </w:r>
          </w:p>
        </w:tc>
        <w:tc>
          <w:tcPr>
            <w:tcW w:w="13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极值出现时间</w:t>
            </w:r>
          </w:p>
        </w:tc>
        <w:tc>
          <w:tcPr>
            <w:tcW w:w="11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**极值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多年平均气温（℃）</w:t>
            </w:r>
          </w:p>
        </w:tc>
        <w:tc>
          <w:tcPr>
            <w:tcW w:w="9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8.2</w:t>
            </w:r>
          </w:p>
        </w:tc>
        <w:tc>
          <w:tcPr>
            <w:tcW w:w="13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1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累年极端最高气温（℃）</w:t>
            </w:r>
          </w:p>
        </w:tc>
        <w:tc>
          <w:tcPr>
            <w:tcW w:w="9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39.3</w:t>
            </w:r>
          </w:p>
        </w:tc>
        <w:tc>
          <w:tcPr>
            <w:tcW w:w="13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2015-07-22</w:t>
            </w:r>
          </w:p>
        </w:tc>
        <w:tc>
          <w:tcPr>
            <w:tcW w:w="11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累年极端最低气温（℃）</w:t>
            </w:r>
          </w:p>
        </w:tc>
        <w:tc>
          <w:tcPr>
            <w:tcW w:w="9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-29.6</w:t>
            </w:r>
          </w:p>
        </w:tc>
        <w:tc>
          <w:tcPr>
            <w:tcW w:w="13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2006-01-06</w:t>
            </w:r>
          </w:p>
        </w:tc>
        <w:tc>
          <w:tcPr>
            <w:tcW w:w="11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多年平均气压（hPa）</w:t>
            </w:r>
          </w:p>
        </w:tc>
        <w:tc>
          <w:tcPr>
            <w:tcW w:w="9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955.8</w:t>
            </w:r>
          </w:p>
        </w:tc>
        <w:tc>
          <w:tcPr>
            <w:tcW w:w="13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1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多年平均水汽压（hPa）</w:t>
            </w:r>
          </w:p>
        </w:tc>
        <w:tc>
          <w:tcPr>
            <w:tcW w:w="9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7.0</w:t>
            </w:r>
          </w:p>
        </w:tc>
        <w:tc>
          <w:tcPr>
            <w:tcW w:w="13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1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多年平均相对湿度（%）</w:t>
            </w:r>
          </w:p>
        </w:tc>
        <w:tc>
          <w:tcPr>
            <w:tcW w:w="9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58.9</w:t>
            </w:r>
          </w:p>
        </w:tc>
        <w:tc>
          <w:tcPr>
            <w:tcW w:w="13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1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多年平均降雨量（mm）</w:t>
            </w:r>
          </w:p>
        </w:tc>
        <w:tc>
          <w:tcPr>
            <w:tcW w:w="9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193.2</w:t>
            </w:r>
          </w:p>
        </w:tc>
        <w:tc>
          <w:tcPr>
            <w:tcW w:w="13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2013-04-17</w:t>
            </w:r>
          </w:p>
        </w:tc>
        <w:tc>
          <w:tcPr>
            <w:tcW w:w="11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7"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灾害天气统计</w:t>
            </w:r>
          </w:p>
        </w:tc>
        <w:tc>
          <w:tcPr>
            <w:tcW w:w="9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多年平均沙暴日数（d）</w:t>
            </w:r>
          </w:p>
        </w:tc>
        <w:tc>
          <w:tcPr>
            <w:tcW w:w="9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w:t>
            </w:r>
          </w:p>
        </w:tc>
        <w:tc>
          <w:tcPr>
            <w:tcW w:w="13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1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954"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多年平均雷暴日数（d）</w:t>
            </w:r>
          </w:p>
        </w:tc>
        <w:tc>
          <w:tcPr>
            <w:tcW w:w="9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7.9</w:t>
            </w:r>
          </w:p>
        </w:tc>
        <w:tc>
          <w:tcPr>
            <w:tcW w:w="13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1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954"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多年平均冰雹日数（d）</w:t>
            </w:r>
          </w:p>
        </w:tc>
        <w:tc>
          <w:tcPr>
            <w:tcW w:w="9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p>
        </w:tc>
        <w:tc>
          <w:tcPr>
            <w:tcW w:w="13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1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954"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多年平均大风日数（d）</w:t>
            </w:r>
          </w:p>
        </w:tc>
        <w:tc>
          <w:tcPr>
            <w:tcW w:w="9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8.5</w:t>
            </w:r>
          </w:p>
        </w:tc>
        <w:tc>
          <w:tcPr>
            <w:tcW w:w="13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1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pct"/>
            <w:gridSpan w:val="2"/>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多年实测极大风速（m/s）、相应风向</w:t>
            </w:r>
          </w:p>
        </w:tc>
        <w:tc>
          <w:tcPr>
            <w:tcW w:w="9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21.9</w:t>
            </w:r>
          </w:p>
        </w:tc>
        <w:tc>
          <w:tcPr>
            <w:tcW w:w="13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2015-06-09</w:t>
            </w:r>
          </w:p>
        </w:tc>
        <w:tc>
          <w:tcPr>
            <w:tcW w:w="11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26.5WNW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pct"/>
            <w:gridSpan w:val="2"/>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多年平均风速（m/s）</w:t>
            </w:r>
          </w:p>
        </w:tc>
        <w:tc>
          <w:tcPr>
            <w:tcW w:w="9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2.2</w:t>
            </w:r>
          </w:p>
        </w:tc>
        <w:tc>
          <w:tcPr>
            <w:tcW w:w="13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1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pct"/>
            <w:gridSpan w:val="2"/>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多年主导风向、风向频率（%）</w:t>
            </w:r>
          </w:p>
        </w:tc>
        <w:tc>
          <w:tcPr>
            <w:tcW w:w="9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W10.1</w:t>
            </w:r>
          </w:p>
        </w:tc>
        <w:tc>
          <w:tcPr>
            <w:tcW w:w="13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1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pct"/>
            <w:gridSpan w:val="2"/>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多年静风频率（风速&lt;=0.2m/s）（%）</w:t>
            </w:r>
          </w:p>
        </w:tc>
        <w:tc>
          <w:tcPr>
            <w:tcW w:w="9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9.4</w:t>
            </w:r>
          </w:p>
        </w:tc>
        <w:tc>
          <w:tcPr>
            <w:tcW w:w="13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1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pct"/>
            <w:gridSpan w:val="2"/>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*统计值代表均值</w:t>
            </w:r>
          </w:p>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**极值代表极端值</w:t>
            </w:r>
          </w:p>
        </w:tc>
        <w:tc>
          <w:tcPr>
            <w:tcW w:w="988"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举例：累年极端最高气温</w:t>
            </w:r>
          </w:p>
        </w:tc>
        <w:tc>
          <w:tcPr>
            <w:tcW w:w="1328"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*代表极端最高气温的累年平均值</w:t>
            </w:r>
          </w:p>
        </w:tc>
        <w:tc>
          <w:tcPr>
            <w:tcW w:w="1151"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**代表极端最高气温的累年</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color w:val="auto"/>
        </w:rPr>
        <w:drawing>
          <wp:inline distT="0" distB="0" distL="114300" distR="114300">
            <wp:extent cx="5273040" cy="3954780"/>
            <wp:effectExtent l="0" t="0" r="3810" b="7620"/>
            <wp:docPr id="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pic:cNvPicPr>
                  </pic:nvPicPr>
                  <pic:blipFill>
                    <a:blip r:embed="rId42"/>
                    <a:stretch>
                      <a:fillRect/>
                    </a:stretch>
                  </pic:blipFill>
                  <pic:spPr>
                    <a:xfrm>
                      <a:off x="0" y="0"/>
                      <a:ext cx="5273040" cy="39547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图 5.2.1-1   呼图壁风向玫瑰图（静风频率 9.4%）</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5.2.1.2 评价基准年气象观测资料统计分析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本次评价污染气象资料采用呼图壁气象站（47120）2022 年大气常规地面观测资料，气象站地理坐标为：东经 86.5073°，北纬 44.2691°，距离项目厂址约 6.10km。本次评价收集了呼图壁气象站（47120）2022 年逐日、逐次的常规气象观测资料，观测数据可满足本项目大气环境影响预测分析的需要。</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（1）风向、风频</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呼图壁气象站 2022 年各月、各季及全年风向频率分布情况见表 5.2.1-3。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从数据及图可以看出，2022 年呼图壁全年主导风向不明显，静风频率 0.46%。 </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5.2.1-3   2022 年年均风频的月变化、季变化及年均风频</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8"/>
        <w:gridCol w:w="433"/>
        <w:gridCol w:w="471"/>
        <w:gridCol w:w="433"/>
        <w:gridCol w:w="457"/>
        <w:gridCol w:w="495"/>
        <w:gridCol w:w="437"/>
        <w:gridCol w:w="433"/>
        <w:gridCol w:w="433"/>
        <w:gridCol w:w="495"/>
        <w:gridCol w:w="495"/>
        <w:gridCol w:w="433"/>
        <w:gridCol w:w="520"/>
        <w:gridCol w:w="496"/>
        <w:gridCol w:w="541"/>
        <w:gridCol w:w="434"/>
        <w:gridCol w:w="514"/>
        <w:gridCol w:w="4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风向风频（%）</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N</w:t>
            </w:r>
          </w:p>
        </w:tc>
        <w:tc>
          <w:tcPr>
            <w:tcW w:w="2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NNE</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NE</w:t>
            </w:r>
          </w:p>
        </w:tc>
        <w:tc>
          <w:tcPr>
            <w:tcW w:w="2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ENE</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E</w:t>
            </w:r>
          </w:p>
        </w:tc>
        <w:tc>
          <w:tcPr>
            <w:tcW w:w="2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ESE</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SE</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SSE</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S</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SSW</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SW</w:t>
            </w:r>
          </w:p>
        </w:tc>
        <w:tc>
          <w:tcPr>
            <w:tcW w:w="3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WSW</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W</w:t>
            </w:r>
          </w:p>
        </w:tc>
        <w:tc>
          <w:tcPr>
            <w:tcW w:w="3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WNW</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NW</w:t>
            </w:r>
          </w:p>
        </w:tc>
        <w:tc>
          <w:tcPr>
            <w:tcW w:w="3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NNW</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一月</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4.43</w:t>
            </w:r>
          </w:p>
        </w:tc>
        <w:tc>
          <w:tcPr>
            <w:tcW w:w="2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0.40</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0.40</w:t>
            </w:r>
          </w:p>
        </w:tc>
        <w:tc>
          <w:tcPr>
            <w:tcW w:w="2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1.34</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5.38</w:t>
            </w:r>
          </w:p>
        </w:tc>
        <w:tc>
          <w:tcPr>
            <w:tcW w:w="2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3.63</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3.75</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6.45</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12.90</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9.01</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6.72</w:t>
            </w:r>
          </w:p>
        </w:tc>
        <w:tc>
          <w:tcPr>
            <w:tcW w:w="3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10.34</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15.32</w:t>
            </w:r>
          </w:p>
        </w:tc>
        <w:tc>
          <w:tcPr>
            <w:tcW w:w="3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8.60</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4.84</w:t>
            </w:r>
          </w:p>
        </w:tc>
        <w:tc>
          <w:tcPr>
            <w:tcW w:w="3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6.05</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二月</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5.95</w:t>
            </w:r>
          </w:p>
        </w:tc>
        <w:tc>
          <w:tcPr>
            <w:tcW w:w="2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3.57</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1.64</w:t>
            </w:r>
          </w:p>
        </w:tc>
        <w:tc>
          <w:tcPr>
            <w:tcW w:w="2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3.27</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9.52</w:t>
            </w:r>
          </w:p>
        </w:tc>
        <w:tc>
          <w:tcPr>
            <w:tcW w:w="2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5.65</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6.25</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3.87</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8.33</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7.14</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3.42</w:t>
            </w:r>
          </w:p>
        </w:tc>
        <w:tc>
          <w:tcPr>
            <w:tcW w:w="3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5.65</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11.90</w:t>
            </w:r>
          </w:p>
        </w:tc>
        <w:tc>
          <w:tcPr>
            <w:tcW w:w="3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9.67</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6.70</w:t>
            </w:r>
          </w:p>
        </w:tc>
        <w:tc>
          <w:tcPr>
            <w:tcW w:w="3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7.14</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三月</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6.32</w:t>
            </w:r>
          </w:p>
        </w:tc>
        <w:tc>
          <w:tcPr>
            <w:tcW w:w="2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2.69</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3.36</w:t>
            </w:r>
          </w:p>
        </w:tc>
        <w:tc>
          <w:tcPr>
            <w:tcW w:w="2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4.70</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10.62</w:t>
            </w:r>
          </w:p>
        </w:tc>
        <w:tc>
          <w:tcPr>
            <w:tcW w:w="2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6.72</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4.97</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4.70</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6.32</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2.68</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2.42</w:t>
            </w:r>
          </w:p>
        </w:tc>
        <w:tc>
          <w:tcPr>
            <w:tcW w:w="3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7.12</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12.10</w:t>
            </w:r>
          </w:p>
        </w:tc>
        <w:tc>
          <w:tcPr>
            <w:tcW w:w="3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9.41</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6.05</w:t>
            </w:r>
          </w:p>
        </w:tc>
        <w:tc>
          <w:tcPr>
            <w:tcW w:w="3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6.99</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四月</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6.25</w:t>
            </w:r>
          </w:p>
        </w:tc>
        <w:tc>
          <w:tcPr>
            <w:tcW w:w="2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4.72</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6.25</w:t>
            </w:r>
          </w:p>
        </w:tc>
        <w:tc>
          <w:tcPr>
            <w:tcW w:w="2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5.00</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6.53</w:t>
            </w:r>
          </w:p>
        </w:tc>
        <w:tc>
          <w:tcPr>
            <w:tcW w:w="2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4.17</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2.64</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2.64</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10.83</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7.50</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3.19</w:t>
            </w:r>
          </w:p>
        </w:tc>
        <w:tc>
          <w:tcPr>
            <w:tcW w:w="3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7.64</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12.92</w:t>
            </w:r>
          </w:p>
        </w:tc>
        <w:tc>
          <w:tcPr>
            <w:tcW w:w="3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7.92</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5.83</w:t>
            </w:r>
          </w:p>
        </w:tc>
        <w:tc>
          <w:tcPr>
            <w:tcW w:w="3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5.83</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五月</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6.18</w:t>
            </w:r>
          </w:p>
        </w:tc>
        <w:tc>
          <w:tcPr>
            <w:tcW w:w="2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2.96</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1.88</w:t>
            </w:r>
          </w:p>
        </w:tc>
        <w:tc>
          <w:tcPr>
            <w:tcW w:w="2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1.34</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4.70</w:t>
            </w:r>
          </w:p>
        </w:tc>
        <w:tc>
          <w:tcPr>
            <w:tcW w:w="2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4.17</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2.14</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1.75</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11.16</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12.37</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6.72</w:t>
            </w:r>
          </w:p>
        </w:tc>
        <w:tc>
          <w:tcPr>
            <w:tcW w:w="3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7.26</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16.67</w:t>
            </w:r>
          </w:p>
        </w:tc>
        <w:tc>
          <w:tcPr>
            <w:tcW w:w="3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9.81</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5.91</w:t>
            </w:r>
          </w:p>
        </w:tc>
        <w:tc>
          <w:tcPr>
            <w:tcW w:w="3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4.97</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六月</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5.28</w:t>
            </w:r>
          </w:p>
        </w:tc>
        <w:tc>
          <w:tcPr>
            <w:tcW w:w="2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2.22</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3.61</w:t>
            </w:r>
          </w:p>
        </w:tc>
        <w:tc>
          <w:tcPr>
            <w:tcW w:w="2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2.36</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8.19</w:t>
            </w:r>
          </w:p>
        </w:tc>
        <w:tc>
          <w:tcPr>
            <w:tcW w:w="2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6.53</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2.36</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3.33</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12.78</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11.81</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3.61</w:t>
            </w:r>
          </w:p>
        </w:tc>
        <w:tc>
          <w:tcPr>
            <w:tcW w:w="3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9.58</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12.92</w:t>
            </w:r>
          </w:p>
        </w:tc>
        <w:tc>
          <w:tcPr>
            <w:tcW w:w="3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7.78</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4.17</w:t>
            </w:r>
          </w:p>
        </w:tc>
        <w:tc>
          <w:tcPr>
            <w:tcW w:w="3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3.47</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七月</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4.03</w:t>
            </w:r>
          </w:p>
        </w:tc>
        <w:tc>
          <w:tcPr>
            <w:tcW w:w="2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2.69</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3.09</w:t>
            </w:r>
          </w:p>
        </w:tc>
        <w:tc>
          <w:tcPr>
            <w:tcW w:w="2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4.44</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4.43</w:t>
            </w:r>
          </w:p>
        </w:tc>
        <w:tc>
          <w:tcPr>
            <w:tcW w:w="2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2.82</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3.23</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7.88</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12.63</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12.10</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4.70</w:t>
            </w:r>
          </w:p>
        </w:tc>
        <w:tc>
          <w:tcPr>
            <w:tcW w:w="3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9.41</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19.49</w:t>
            </w:r>
          </w:p>
        </w:tc>
        <w:tc>
          <w:tcPr>
            <w:tcW w:w="3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8.06</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4.44</w:t>
            </w:r>
          </w:p>
        </w:tc>
        <w:tc>
          <w:tcPr>
            <w:tcW w:w="3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2.55</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八月</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5.91</w:t>
            </w:r>
          </w:p>
        </w:tc>
        <w:tc>
          <w:tcPr>
            <w:tcW w:w="2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3.49</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2.82</w:t>
            </w:r>
          </w:p>
        </w:tc>
        <w:tc>
          <w:tcPr>
            <w:tcW w:w="2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3.76</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9.41</w:t>
            </w:r>
          </w:p>
        </w:tc>
        <w:tc>
          <w:tcPr>
            <w:tcW w:w="2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4.97</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4.30</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2.02</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18.15</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15.18</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3.63</w:t>
            </w:r>
          </w:p>
        </w:tc>
        <w:tc>
          <w:tcPr>
            <w:tcW w:w="3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5.11</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10.48</w:t>
            </w:r>
          </w:p>
        </w:tc>
        <w:tc>
          <w:tcPr>
            <w:tcW w:w="3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6.59</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2.15</w:t>
            </w:r>
          </w:p>
        </w:tc>
        <w:tc>
          <w:tcPr>
            <w:tcW w:w="3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2.02</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九月</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6.39</w:t>
            </w:r>
          </w:p>
        </w:tc>
        <w:tc>
          <w:tcPr>
            <w:tcW w:w="2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3.89</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4.17</w:t>
            </w:r>
          </w:p>
        </w:tc>
        <w:tc>
          <w:tcPr>
            <w:tcW w:w="2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6.94</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9.86</w:t>
            </w:r>
          </w:p>
        </w:tc>
        <w:tc>
          <w:tcPr>
            <w:tcW w:w="2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3.19</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3.47</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3.75</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16.53</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10.83</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2.64</w:t>
            </w:r>
          </w:p>
        </w:tc>
        <w:tc>
          <w:tcPr>
            <w:tcW w:w="3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6.25</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9.31</w:t>
            </w:r>
          </w:p>
        </w:tc>
        <w:tc>
          <w:tcPr>
            <w:tcW w:w="3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4.44</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4.86</w:t>
            </w:r>
          </w:p>
        </w:tc>
        <w:tc>
          <w:tcPr>
            <w:tcW w:w="3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3.19</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十月</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4.84</w:t>
            </w:r>
          </w:p>
        </w:tc>
        <w:tc>
          <w:tcPr>
            <w:tcW w:w="2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2.69</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4.84</w:t>
            </w:r>
          </w:p>
        </w:tc>
        <w:tc>
          <w:tcPr>
            <w:tcW w:w="2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4.44</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5.78</w:t>
            </w:r>
          </w:p>
        </w:tc>
        <w:tc>
          <w:tcPr>
            <w:tcW w:w="2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3.76</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4.17</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2.55</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12.90</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13.84</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4.57</w:t>
            </w:r>
          </w:p>
        </w:tc>
        <w:tc>
          <w:tcPr>
            <w:tcW w:w="3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9.01</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11.83</w:t>
            </w:r>
          </w:p>
        </w:tc>
        <w:tc>
          <w:tcPr>
            <w:tcW w:w="3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5.91</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4.57</w:t>
            </w:r>
          </w:p>
        </w:tc>
        <w:tc>
          <w:tcPr>
            <w:tcW w:w="3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4.03</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十一月</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5.56</w:t>
            </w:r>
          </w:p>
        </w:tc>
        <w:tc>
          <w:tcPr>
            <w:tcW w:w="2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4.86</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2.50</w:t>
            </w:r>
          </w:p>
        </w:tc>
        <w:tc>
          <w:tcPr>
            <w:tcW w:w="2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3.61</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7.22</w:t>
            </w:r>
          </w:p>
        </w:tc>
        <w:tc>
          <w:tcPr>
            <w:tcW w:w="2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4.44</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6.11</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5.28</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14.31</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10.56</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3.47</w:t>
            </w:r>
          </w:p>
        </w:tc>
        <w:tc>
          <w:tcPr>
            <w:tcW w:w="3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8.33</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12.36</w:t>
            </w:r>
          </w:p>
        </w:tc>
        <w:tc>
          <w:tcPr>
            <w:tcW w:w="3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4.86</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2.64</w:t>
            </w:r>
          </w:p>
        </w:tc>
        <w:tc>
          <w:tcPr>
            <w:tcW w:w="3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3.75</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十二月</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6.85</w:t>
            </w:r>
          </w:p>
        </w:tc>
        <w:tc>
          <w:tcPr>
            <w:tcW w:w="2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0.81</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1.21</w:t>
            </w:r>
          </w:p>
        </w:tc>
        <w:tc>
          <w:tcPr>
            <w:tcW w:w="2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1.48</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8.47</w:t>
            </w:r>
          </w:p>
        </w:tc>
        <w:tc>
          <w:tcPr>
            <w:tcW w:w="2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5.38</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3.90</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3.76</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10.48</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12.63</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6.85</w:t>
            </w:r>
          </w:p>
        </w:tc>
        <w:tc>
          <w:tcPr>
            <w:tcW w:w="3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8.06</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9.81</w:t>
            </w:r>
          </w:p>
        </w:tc>
        <w:tc>
          <w:tcPr>
            <w:tcW w:w="3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7.66</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6.05</w:t>
            </w:r>
          </w:p>
        </w:tc>
        <w:tc>
          <w:tcPr>
            <w:tcW w:w="3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5.91</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春季</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6.25</w:t>
            </w:r>
          </w:p>
        </w:tc>
        <w:tc>
          <w:tcPr>
            <w:tcW w:w="2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3.44</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3.80</w:t>
            </w:r>
          </w:p>
        </w:tc>
        <w:tc>
          <w:tcPr>
            <w:tcW w:w="2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3.67</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7.29</w:t>
            </w:r>
          </w:p>
        </w:tc>
        <w:tc>
          <w:tcPr>
            <w:tcW w:w="2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5.03</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3.26</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3.03</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9.42</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7.52</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4.12</w:t>
            </w:r>
          </w:p>
        </w:tc>
        <w:tc>
          <w:tcPr>
            <w:tcW w:w="3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7.34</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13.90</w:t>
            </w:r>
          </w:p>
        </w:tc>
        <w:tc>
          <w:tcPr>
            <w:tcW w:w="3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9.05</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5.93</w:t>
            </w:r>
          </w:p>
        </w:tc>
        <w:tc>
          <w:tcPr>
            <w:tcW w:w="3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5.93</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夏季</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5.06</w:t>
            </w:r>
          </w:p>
        </w:tc>
        <w:tc>
          <w:tcPr>
            <w:tcW w:w="2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2.81</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3.17</w:t>
            </w:r>
          </w:p>
        </w:tc>
        <w:tc>
          <w:tcPr>
            <w:tcW w:w="2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3.53</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7.34</w:t>
            </w:r>
          </w:p>
        </w:tc>
        <w:tc>
          <w:tcPr>
            <w:tcW w:w="2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4.76</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3.31</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2.40</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14.54</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13.04</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3.99</w:t>
            </w:r>
          </w:p>
        </w:tc>
        <w:tc>
          <w:tcPr>
            <w:tcW w:w="3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8.02</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14.31</w:t>
            </w:r>
          </w:p>
        </w:tc>
        <w:tc>
          <w:tcPr>
            <w:tcW w:w="3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7.47</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3.58</w:t>
            </w:r>
          </w:p>
        </w:tc>
        <w:tc>
          <w:tcPr>
            <w:tcW w:w="3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2.67</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秋季</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5.59</w:t>
            </w:r>
          </w:p>
        </w:tc>
        <w:tc>
          <w:tcPr>
            <w:tcW w:w="2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3.80</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3.84</w:t>
            </w:r>
          </w:p>
        </w:tc>
        <w:tc>
          <w:tcPr>
            <w:tcW w:w="2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4.99</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7.60</w:t>
            </w:r>
          </w:p>
        </w:tc>
        <w:tc>
          <w:tcPr>
            <w:tcW w:w="2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3.80</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4.58</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3.85</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14.56</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11.77</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3.57</w:t>
            </w:r>
          </w:p>
        </w:tc>
        <w:tc>
          <w:tcPr>
            <w:tcW w:w="3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7.88</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11.17</w:t>
            </w:r>
          </w:p>
        </w:tc>
        <w:tc>
          <w:tcPr>
            <w:tcW w:w="3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5.08</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4.03</w:t>
            </w:r>
          </w:p>
        </w:tc>
        <w:tc>
          <w:tcPr>
            <w:tcW w:w="3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3.66</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冬季</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5.74</w:t>
            </w:r>
          </w:p>
        </w:tc>
        <w:tc>
          <w:tcPr>
            <w:tcW w:w="2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1.53</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1.06</w:t>
            </w:r>
          </w:p>
        </w:tc>
        <w:tc>
          <w:tcPr>
            <w:tcW w:w="2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1.99</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7.73</w:t>
            </w:r>
          </w:p>
        </w:tc>
        <w:tc>
          <w:tcPr>
            <w:tcW w:w="2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4.85</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4.58</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4.72</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10.65</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9.68</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5.74</w:t>
            </w:r>
          </w:p>
        </w:tc>
        <w:tc>
          <w:tcPr>
            <w:tcW w:w="3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8.10</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12.36</w:t>
            </w:r>
          </w:p>
        </w:tc>
        <w:tc>
          <w:tcPr>
            <w:tcW w:w="3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8.61</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5.83</w:t>
            </w:r>
          </w:p>
        </w:tc>
        <w:tc>
          <w:tcPr>
            <w:tcW w:w="3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6.34</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0.46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全年</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5.66</w:t>
            </w:r>
          </w:p>
        </w:tc>
        <w:tc>
          <w:tcPr>
            <w:tcW w:w="2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2.90</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2.98</w:t>
            </w:r>
          </w:p>
        </w:tc>
        <w:tc>
          <w:tcPr>
            <w:tcW w:w="2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3.55</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7.49</w:t>
            </w:r>
          </w:p>
        </w:tc>
        <w:tc>
          <w:tcPr>
            <w:tcW w:w="2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4.61</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3.93</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3.49</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12.29</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10.50</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4.35</w:t>
            </w:r>
          </w:p>
        </w:tc>
        <w:tc>
          <w:tcPr>
            <w:tcW w:w="30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7.83</w:t>
            </w:r>
          </w:p>
        </w:tc>
        <w:tc>
          <w:tcPr>
            <w:tcW w:w="2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12.95</w:t>
            </w:r>
          </w:p>
        </w:tc>
        <w:tc>
          <w:tcPr>
            <w:tcW w:w="3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7.56</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4.84</w:t>
            </w:r>
          </w:p>
        </w:tc>
        <w:tc>
          <w:tcPr>
            <w:tcW w:w="3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4.65</w:t>
            </w:r>
          </w:p>
        </w:tc>
        <w:tc>
          <w:tcPr>
            <w:tcW w:w="2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0.42</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（2）风速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呼图壁气象站 2022 年月平均风速变化情况见表 5.2.1-4。 </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5.2.1-4   呼图壁县2021年风速统计表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4"/>
        <w:gridCol w:w="442"/>
        <w:gridCol w:w="482"/>
        <w:gridCol w:w="442"/>
        <w:gridCol w:w="470"/>
        <w:gridCol w:w="444"/>
        <w:gridCol w:w="447"/>
        <w:gridCol w:w="444"/>
        <w:gridCol w:w="444"/>
        <w:gridCol w:w="444"/>
        <w:gridCol w:w="483"/>
        <w:gridCol w:w="444"/>
        <w:gridCol w:w="535"/>
        <w:gridCol w:w="444"/>
        <w:gridCol w:w="557"/>
        <w:gridCol w:w="444"/>
        <w:gridCol w:w="528"/>
        <w:gridCol w:w="4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风向风频（%）</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N</w:t>
            </w:r>
          </w:p>
        </w:tc>
        <w:tc>
          <w:tcPr>
            <w:tcW w:w="2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NNE</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NE</w:t>
            </w:r>
          </w:p>
        </w:tc>
        <w:tc>
          <w:tcPr>
            <w:tcW w:w="2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ENE</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E</w:t>
            </w:r>
          </w:p>
        </w:tc>
        <w:tc>
          <w:tcPr>
            <w:tcW w:w="26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ESE</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SE</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SSE</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S</w:t>
            </w:r>
          </w:p>
        </w:tc>
        <w:tc>
          <w:tcPr>
            <w:tcW w:w="2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SSW</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SW</w:t>
            </w:r>
          </w:p>
        </w:tc>
        <w:tc>
          <w:tcPr>
            <w:tcW w:w="3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WSW</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W</w:t>
            </w:r>
          </w:p>
        </w:tc>
        <w:tc>
          <w:tcPr>
            <w:tcW w:w="3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WNW</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NW</w:t>
            </w:r>
          </w:p>
        </w:tc>
        <w:tc>
          <w:tcPr>
            <w:tcW w:w="3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NNW</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18"/>
                <w:szCs w:val="18"/>
                <w:vertAlign w:val="baseline"/>
                <w:lang w:val="en-US" w:eastAsia="zh-CN" w:bidi="ar-SA"/>
              </w:rPr>
            </w:pPr>
            <w:r>
              <w:rPr>
                <w:rFonts w:hint="eastAsia" w:ascii="Times New Roman" w:hAnsi="Times New Roman" w:eastAsia="宋体" w:cs="Times New Roman"/>
                <w:color w:val="auto"/>
                <w:sz w:val="18"/>
                <w:szCs w:val="18"/>
                <w:vertAlign w:val="baseline"/>
                <w:lang w:val="en-US" w:eastAsia="zh-CN"/>
              </w:rPr>
              <w:t>一月</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0.82</w:t>
            </w:r>
          </w:p>
        </w:tc>
        <w:tc>
          <w:tcPr>
            <w:tcW w:w="2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0.70</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1.47</w:t>
            </w:r>
          </w:p>
        </w:tc>
        <w:tc>
          <w:tcPr>
            <w:tcW w:w="2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0.90</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1.67</w:t>
            </w:r>
          </w:p>
        </w:tc>
        <w:tc>
          <w:tcPr>
            <w:tcW w:w="26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1.59</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1.54</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1.72</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1.71</w:t>
            </w:r>
          </w:p>
        </w:tc>
        <w:tc>
          <w:tcPr>
            <w:tcW w:w="2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1.51</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1.40</w:t>
            </w:r>
          </w:p>
        </w:tc>
        <w:tc>
          <w:tcPr>
            <w:tcW w:w="3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1.82</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2.37</w:t>
            </w:r>
          </w:p>
        </w:tc>
        <w:tc>
          <w:tcPr>
            <w:tcW w:w="3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2.33</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1.54</w:t>
            </w:r>
          </w:p>
        </w:tc>
        <w:tc>
          <w:tcPr>
            <w:tcW w:w="3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1.39</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18"/>
                <w:szCs w:val="18"/>
                <w:vertAlign w:val="baseline"/>
                <w:lang w:val="en-US" w:eastAsia="zh-CN" w:bidi="ar-SA"/>
              </w:rPr>
            </w:pPr>
            <w:r>
              <w:rPr>
                <w:rFonts w:hint="eastAsia" w:ascii="Times New Roman" w:hAnsi="Times New Roman" w:eastAsia="宋体" w:cs="Times New Roman"/>
                <w:color w:val="auto"/>
                <w:sz w:val="18"/>
                <w:szCs w:val="18"/>
                <w:vertAlign w:val="baseline"/>
                <w:lang w:val="en-US" w:eastAsia="zh-CN"/>
              </w:rPr>
              <w:t>二月</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0.98</w:t>
            </w:r>
          </w:p>
        </w:tc>
        <w:tc>
          <w:tcPr>
            <w:tcW w:w="2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1.31</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1.17</w:t>
            </w:r>
          </w:p>
        </w:tc>
        <w:tc>
          <w:tcPr>
            <w:tcW w:w="2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1.54</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1.90</w:t>
            </w:r>
          </w:p>
        </w:tc>
        <w:tc>
          <w:tcPr>
            <w:tcW w:w="26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1.57</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1.55</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1.47</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1.81</w:t>
            </w:r>
          </w:p>
        </w:tc>
        <w:tc>
          <w:tcPr>
            <w:tcW w:w="2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1.81</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1.22</w:t>
            </w:r>
          </w:p>
        </w:tc>
        <w:tc>
          <w:tcPr>
            <w:tcW w:w="3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1.89</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2.36</w:t>
            </w:r>
          </w:p>
        </w:tc>
        <w:tc>
          <w:tcPr>
            <w:tcW w:w="3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2.20</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2.00</w:t>
            </w:r>
          </w:p>
        </w:tc>
        <w:tc>
          <w:tcPr>
            <w:tcW w:w="3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1.71</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18"/>
                <w:szCs w:val="18"/>
                <w:vertAlign w:val="baseline"/>
                <w:lang w:val="en-US" w:eastAsia="zh-CN" w:bidi="ar-SA"/>
              </w:rPr>
            </w:pPr>
            <w:r>
              <w:rPr>
                <w:rFonts w:hint="eastAsia" w:ascii="Times New Roman" w:hAnsi="Times New Roman" w:eastAsia="宋体" w:cs="Times New Roman"/>
                <w:color w:val="auto"/>
                <w:sz w:val="18"/>
                <w:szCs w:val="18"/>
                <w:vertAlign w:val="baseline"/>
                <w:lang w:val="en-US" w:eastAsia="zh-CN"/>
              </w:rPr>
              <w:t>三月</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1.68</w:t>
            </w:r>
          </w:p>
        </w:tc>
        <w:tc>
          <w:tcPr>
            <w:tcW w:w="2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2.01</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1.82</w:t>
            </w:r>
          </w:p>
        </w:tc>
        <w:tc>
          <w:tcPr>
            <w:tcW w:w="2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2.04</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2.33</w:t>
            </w:r>
          </w:p>
        </w:tc>
        <w:tc>
          <w:tcPr>
            <w:tcW w:w="26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2.06</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1.87</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1.89</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2.09</w:t>
            </w:r>
          </w:p>
        </w:tc>
        <w:tc>
          <w:tcPr>
            <w:tcW w:w="2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1.70</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1.38</w:t>
            </w:r>
          </w:p>
        </w:tc>
        <w:tc>
          <w:tcPr>
            <w:tcW w:w="3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2.64</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3.35</w:t>
            </w:r>
          </w:p>
        </w:tc>
        <w:tc>
          <w:tcPr>
            <w:tcW w:w="3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3.45</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2.40</w:t>
            </w:r>
          </w:p>
        </w:tc>
        <w:tc>
          <w:tcPr>
            <w:tcW w:w="3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1.89</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18"/>
                <w:szCs w:val="18"/>
                <w:vertAlign w:val="baseline"/>
                <w:lang w:val="en-US" w:eastAsia="zh-CN" w:bidi="ar-SA"/>
              </w:rPr>
            </w:pPr>
            <w:r>
              <w:rPr>
                <w:rFonts w:hint="eastAsia" w:ascii="Times New Roman" w:hAnsi="Times New Roman" w:eastAsia="宋体" w:cs="Times New Roman"/>
                <w:color w:val="auto"/>
                <w:sz w:val="18"/>
                <w:szCs w:val="18"/>
                <w:vertAlign w:val="baseline"/>
                <w:lang w:val="en-US" w:eastAsia="zh-CN"/>
              </w:rPr>
              <w:t>四月</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2.61</w:t>
            </w:r>
          </w:p>
        </w:tc>
        <w:tc>
          <w:tcPr>
            <w:tcW w:w="2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2.34</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2.50</w:t>
            </w:r>
          </w:p>
        </w:tc>
        <w:tc>
          <w:tcPr>
            <w:tcW w:w="2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2.63</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2.72</w:t>
            </w:r>
          </w:p>
        </w:tc>
        <w:tc>
          <w:tcPr>
            <w:tcW w:w="26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2.29</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2.11</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1.78</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2.93</w:t>
            </w:r>
          </w:p>
        </w:tc>
        <w:tc>
          <w:tcPr>
            <w:tcW w:w="2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2.72</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2.36</w:t>
            </w:r>
          </w:p>
        </w:tc>
        <w:tc>
          <w:tcPr>
            <w:tcW w:w="3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2.90</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3.42</w:t>
            </w:r>
          </w:p>
        </w:tc>
        <w:tc>
          <w:tcPr>
            <w:tcW w:w="3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3.51</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3.59</w:t>
            </w:r>
          </w:p>
        </w:tc>
        <w:tc>
          <w:tcPr>
            <w:tcW w:w="3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2.69</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18"/>
                <w:szCs w:val="18"/>
                <w:vertAlign w:val="baseline"/>
                <w:lang w:val="en-US" w:eastAsia="zh-CN" w:bidi="ar-SA"/>
              </w:rPr>
            </w:pPr>
            <w:r>
              <w:rPr>
                <w:rFonts w:hint="eastAsia" w:ascii="Times New Roman" w:hAnsi="Times New Roman" w:eastAsia="宋体" w:cs="Times New Roman"/>
                <w:color w:val="auto"/>
                <w:sz w:val="18"/>
                <w:szCs w:val="18"/>
                <w:vertAlign w:val="baseline"/>
                <w:lang w:val="en-US" w:eastAsia="zh-CN"/>
              </w:rPr>
              <w:t>五月</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2.60</w:t>
            </w:r>
          </w:p>
        </w:tc>
        <w:tc>
          <w:tcPr>
            <w:tcW w:w="2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2.36</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1.91</w:t>
            </w:r>
          </w:p>
        </w:tc>
        <w:tc>
          <w:tcPr>
            <w:tcW w:w="2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2.61</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2.77</w:t>
            </w:r>
          </w:p>
        </w:tc>
        <w:tc>
          <w:tcPr>
            <w:tcW w:w="26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2.70</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2.27</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2.95</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3.07</w:t>
            </w:r>
          </w:p>
        </w:tc>
        <w:tc>
          <w:tcPr>
            <w:tcW w:w="2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3.58</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4.69</w:t>
            </w:r>
          </w:p>
        </w:tc>
        <w:tc>
          <w:tcPr>
            <w:tcW w:w="3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3.82</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4.58</w:t>
            </w:r>
          </w:p>
        </w:tc>
        <w:tc>
          <w:tcPr>
            <w:tcW w:w="3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4.38</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4.38</w:t>
            </w:r>
          </w:p>
        </w:tc>
        <w:tc>
          <w:tcPr>
            <w:tcW w:w="3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3.02</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18"/>
                <w:szCs w:val="18"/>
                <w:vertAlign w:val="baseline"/>
                <w:lang w:val="en-US" w:eastAsia="zh-CN" w:bidi="ar-SA"/>
              </w:rPr>
            </w:pPr>
            <w:r>
              <w:rPr>
                <w:rFonts w:hint="eastAsia" w:ascii="Times New Roman" w:hAnsi="Times New Roman" w:eastAsia="宋体" w:cs="Times New Roman"/>
                <w:color w:val="auto"/>
                <w:sz w:val="18"/>
                <w:szCs w:val="18"/>
                <w:vertAlign w:val="baseline"/>
                <w:lang w:val="en-US" w:eastAsia="zh-CN"/>
              </w:rPr>
              <w:t>六月</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2.55</w:t>
            </w:r>
          </w:p>
        </w:tc>
        <w:tc>
          <w:tcPr>
            <w:tcW w:w="2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2.81</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2.67</w:t>
            </w:r>
          </w:p>
        </w:tc>
        <w:tc>
          <w:tcPr>
            <w:tcW w:w="2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2.92</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2.99</w:t>
            </w:r>
          </w:p>
        </w:tc>
        <w:tc>
          <w:tcPr>
            <w:tcW w:w="26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2.37</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2.10</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2.37</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2.77</w:t>
            </w:r>
          </w:p>
        </w:tc>
        <w:tc>
          <w:tcPr>
            <w:tcW w:w="2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3.91</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3.61</w:t>
            </w:r>
          </w:p>
        </w:tc>
        <w:tc>
          <w:tcPr>
            <w:tcW w:w="3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3.76</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4.39</w:t>
            </w:r>
          </w:p>
        </w:tc>
        <w:tc>
          <w:tcPr>
            <w:tcW w:w="3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5.05</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4.33</w:t>
            </w:r>
          </w:p>
        </w:tc>
        <w:tc>
          <w:tcPr>
            <w:tcW w:w="3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3.31</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18"/>
                <w:szCs w:val="18"/>
                <w:vertAlign w:val="baseline"/>
                <w:lang w:val="en-US" w:eastAsia="zh-CN" w:bidi="ar-SA"/>
              </w:rPr>
            </w:pPr>
            <w:r>
              <w:rPr>
                <w:rFonts w:hint="eastAsia" w:ascii="Times New Roman" w:hAnsi="Times New Roman" w:eastAsia="宋体" w:cs="Times New Roman"/>
                <w:color w:val="auto"/>
                <w:sz w:val="18"/>
                <w:szCs w:val="18"/>
                <w:vertAlign w:val="baseline"/>
                <w:lang w:val="en-US" w:eastAsia="zh-CN"/>
              </w:rPr>
              <w:t>七月</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2.70</w:t>
            </w:r>
          </w:p>
        </w:tc>
        <w:tc>
          <w:tcPr>
            <w:tcW w:w="2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2.64</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2.90</w:t>
            </w:r>
          </w:p>
        </w:tc>
        <w:tc>
          <w:tcPr>
            <w:tcW w:w="2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3.12</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2.74</w:t>
            </w:r>
          </w:p>
        </w:tc>
        <w:tc>
          <w:tcPr>
            <w:tcW w:w="26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2.38</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2.58</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2.57</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2.84</w:t>
            </w:r>
          </w:p>
        </w:tc>
        <w:tc>
          <w:tcPr>
            <w:tcW w:w="2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3.33</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2.74</w:t>
            </w:r>
          </w:p>
        </w:tc>
        <w:tc>
          <w:tcPr>
            <w:tcW w:w="3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3.23</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4.73</w:t>
            </w:r>
          </w:p>
        </w:tc>
        <w:tc>
          <w:tcPr>
            <w:tcW w:w="3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4.72</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3.02</w:t>
            </w:r>
          </w:p>
        </w:tc>
        <w:tc>
          <w:tcPr>
            <w:tcW w:w="3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2.95</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18"/>
                <w:szCs w:val="18"/>
                <w:vertAlign w:val="baseline"/>
                <w:lang w:val="en-US" w:eastAsia="zh-CN" w:bidi="ar-SA"/>
              </w:rPr>
            </w:pPr>
            <w:r>
              <w:rPr>
                <w:rFonts w:hint="eastAsia" w:ascii="Times New Roman" w:hAnsi="Times New Roman" w:eastAsia="宋体" w:cs="Times New Roman"/>
                <w:color w:val="auto"/>
                <w:sz w:val="18"/>
                <w:szCs w:val="18"/>
                <w:vertAlign w:val="baseline"/>
                <w:lang w:val="en-US" w:eastAsia="zh-CN"/>
              </w:rPr>
              <w:t>八月</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2.31</w:t>
            </w:r>
          </w:p>
        </w:tc>
        <w:tc>
          <w:tcPr>
            <w:tcW w:w="2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2.23</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2.16</w:t>
            </w:r>
          </w:p>
        </w:tc>
        <w:tc>
          <w:tcPr>
            <w:tcW w:w="2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2.50</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2.43</w:t>
            </w:r>
          </w:p>
        </w:tc>
        <w:tc>
          <w:tcPr>
            <w:tcW w:w="26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2.18</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2.01</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2.05</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2.81</w:t>
            </w:r>
          </w:p>
        </w:tc>
        <w:tc>
          <w:tcPr>
            <w:tcW w:w="2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3.27</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3.38</w:t>
            </w:r>
          </w:p>
        </w:tc>
        <w:tc>
          <w:tcPr>
            <w:tcW w:w="3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3.13</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4.16</w:t>
            </w:r>
          </w:p>
        </w:tc>
        <w:tc>
          <w:tcPr>
            <w:tcW w:w="3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3.25</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2.74</w:t>
            </w:r>
          </w:p>
        </w:tc>
        <w:tc>
          <w:tcPr>
            <w:tcW w:w="3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1.90</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18"/>
                <w:szCs w:val="18"/>
                <w:vertAlign w:val="baseline"/>
                <w:lang w:val="en-US" w:eastAsia="zh-CN" w:bidi="ar-SA"/>
              </w:rPr>
            </w:pPr>
            <w:r>
              <w:rPr>
                <w:rFonts w:hint="eastAsia" w:ascii="Times New Roman" w:hAnsi="Times New Roman" w:eastAsia="宋体" w:cs="Times New Roman"/>
                <w:color w:val="auto"/>
                <w:sz w:val="18"/>
                <w:szCs w:val="18"/>
                <w:vertAlign w:val="baseline"/>
                <w:lang w:val="en-US" w:eastAsia="zh-CN"/>
              </w:rPr>
              <w:t>九月</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1.93</w:t>
            </w:r>
          </w:p>
        </w:tc>
        <w:tc>
          <w:tcPr>
            <w:tcW w:w="2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2.08</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1.99</w:t>
            </w:r>
          </w:p>
        </w:tc>
        <w:tc>
          <w:tcPr>
            <w:tcW w:w="2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2.32</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2.77</w:t>
            </w:r>
          </w:p>
        </w:tc>
        <w:tc>
          <w:tcPr>
            <w:tcW w:w="26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2.81</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2.50</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2.04</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2.95</w:t>
            </w:r>
          </w:p>
        </w:tc>
        <w:tc>
          <w:tcPr>
            <w:tcW w:w="2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3.12</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2.20</w:t>
            </w:r>
          </w:p>
        </w:tc>
        <w:tc>
          <w:tcPr>
            <w:tcW w:w="3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2.67</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3.53</w:t>
            </w:r>
          </w:p>
        </w:tc>
        <w:tc>
          <w:tcPr>
            <w:tcW w:w="3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3.57</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2.87</w:t>
            </w:r>
          </w:p>
        </w:tc>
        <w:tc>
          <w:tcPr>
            <w:tcW w:w="3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2.59</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18"/>
                <w:szCs w:val="18"/>
                <w:vertAlign w:val="baseline"/>
                <w:lang w:val="en-US" w:eastAsia="zh-CN" w:bidi="ar-SA"/>
              </w:rPr>
            </w:pPr>
            <w:r>
              <w:rPr>
                <w:rFonts w:hint="eastAsia" w:ascii="Times New Roman" w:hAnsi="Times New Roman" w:eastAsia="宋体" w:cs="Times New Roman"/>
                <w:color w:val="auto"/>
                <w:sz w:val="18"/>
                <w:szCs w:val="18"/>
                <w:vertAlign w:val="baseline"/>
                <w:lang w:val="en-US" w:eastAsia="zh-CN"/>
              </w:rPr>
              <w:t>十月</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1.83</w:t>
            </w:r>
          </w:p>
        </w:tc>
        <w:tc>
          <w:tcPr>
            <w:tcW w:w="2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1.72</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2.04</w:t>
            </w:r>
          </w:p>
        </w:tc>
        <w:tc>
          <w:tcPr>
            <w:tcW w:w="2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2.52</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2.47</w:t>
            </w:r>
          </w:p>
        </w:tc>
        <w:tc>
          <w:tcPr>
            <w:tcW w:w="26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1.82</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1.67</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2.02</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2.50</w:t>
            </w:r>
          </w:p>
        </w:tc>
        <w:tc>
          <w:tcPr>
            <w:tcW w:w="2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2.54</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2.21</w:t>
            </w:r>
          </w:p>
        </w:tc>
        <w:tc>
          <w:tcPr>
            <w:tcW w:w="3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2.77</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3.90</w:t>
            </w:r>
          </w:p>
        </w:tc>
        <w:tc>
          <w:tcPr>
            <w:tcW w:w="3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4.19</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2.58</w:t>
            </w:r>
          </w:p>
        </w:tc>
        <w:tc>
          <w:tcPr>
            <w:tcW w:w="3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2.55</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18"/>
                <w:szCs w:val="18"/>
                <w:vertAlign w:val="baseline"/>
                <w:lang w:val="en-US" w:eastAsia="zh-CN" w:bidi="ar-SA"/>
              </w:rPr>
            </w:pPr>
            <w:r>
              <w:rPr>
                <w:rFonts w:hint="eastAsia" w:ascii="Times New Roman" w:hAnsi="Times New Roman" w:eastAsia="宋体" w:cs="Times New Roman"/>
                <w:color w:val="auto"/>
                <w:sz w:val="18"/>
                <w:szCs w:val="18"/>
                <w:vertAlign w:val="baseline"/>
                <w:lang w:val="en-US" w:eastAsia="zh-CN"/>
              </w:rPr>
              <w:t>十一月</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1.36</w:t>
            </w:r>
          </w:p>
        </w:tc>
        <w:tc>
          <w:tcPr>
            <w:tcW w:w="2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2.05</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1.57</w:t>
            </w:r>
          </w:p>
        </w:tc>
        <w:tc>
          <w:tcPr>
            <w:tcW w:w="2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1.73</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2.60</w:t>
            </w:r>
          </w:p>
        </w:tc>
        <w:tc>
          <w:tcPr>
            <w:tcW w:w="26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2.16</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1.96</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2.04</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2.16</w:t>
            </w:r>
          </w:p>
        </w:tc>
        <w:tc>
          <w:tcPr>
            <w:tcW w:w="2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1.94</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1.65</w:t>
            </w:r>
          </w:p>
        </w:tc>
        <w:tc>
          <w:tcPr>
            <w:tcW w:w="3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2.15</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2.97</w:t>
            </w:r>
          </w:p>
        </w:tc>
        <w:tc>
          <w:tcPr>
            <w:tcW w:w="3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2.73</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2.28</w:t>
            </w:r>
          </w:p>
        </w:tc>
        <w:tc>
          <w:tcPr>
            <w:tcW w:w="3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1.76</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18"/>
                <w:szCs w:val="18"/>
                <w:vertAlign w:val="baseline"/>
                <w:lang w:val="en-US" w:eastAsia="zh-CN" w:bidi="ar-SA"/>
              </w:rPr>
            </w:pPr>
            <w:r>
              <w:rPr>
                <w:rFonts w:hint="eastAsia" w:ascii="Times New Roman" w:hAnsi="Times New Roman" w:eastAsia="宋体" w:cs="Times New Roman"/>
                <w:color w:val="auto"/>
                <w:sz w:val="18"/>
                <w:szCs w:val="18"/>
                <w:vertAlign w:val="baseline"/>
                <w:lang w:val="en-US" w:eastAsia="zh-CN"/>
              </w:rPr>
              <w:t>十二月</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0.82</w:t>
            </w:r>
          </w:p>
        </w:tc>
        <w:tc>
          <w:tcPr>
            <w:tcW w:w="2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1.12</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0.92</w:t>
            </w:r>
          </w:p>
        </w:tc>
        <w:tc>
          <w:tcPr>
            <w:tcW w:w="2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1.18</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1.44</w:t>
            </w:r>
          </w:p>
        </w:tc>
        <w:tc>
          <w:tcPr>
            <w:tcW w:w="26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1.50</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1.08</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1.27</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1.98</w:t>
            </w:r>
          </w:p>
        </w:tc>
        <w:tc>
          <w:tcPr>
            <w:tcW w:w="2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1.78</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1.20</w:t>
            </w:r>
          </w:p>
        </w:tc>
        <w:tc>
          <w:tcPr>
            <w:tcW w:w="3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1.95</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2.19</w:t>
            </w:r>
          </w:p>
        </w:tc>
        <w:tc>
          <w:tcPr>
            <w:tcW w:w="3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2.29</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1.54</w:t>
            </w:r>
          </w:p>
        </w:tc>
        <w:tc>
          <w:tcPr>
            <w:tcW w:w="3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1.35</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18"/>
                <w:szCs w:val="18"/>
                <w:vertAlign w:val="baseline"/>
                <w:lang w:val="en-US" w:eastAsia="zh-CN" w:bidi="ar-SA"/>
              </w:rPr>
            </w:pPr>
            <w:r>
              <w:rPr>
                <w:rFonts w:hint="eastAsia" w:ascii="Times New Roman" w:hAnsi="Times New Roman" w:eastAsia="宋体" w:cs="Times New Roman"/>
                <w:color w:val="auto"/>
                <w:sz w:val="18"/>
                <w:szCs w:val="18"/>
                <w:vertAlign w:val="baseline"/>
                <w:lang w:val="en-US" w:eastAsia="zh-CN"/>
              </w:rPr>
              <w:t>春季</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1.84</w:t>
            </w:r>
          </w:p>
        </w:tc>
        <w:tc>
          <w:tcPr>
            <w:tcW w:w="2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2.10</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2.12</w:t>
            </w:r>
          </w:p>
        </w:tc>
        <w:tc>
          <w:tcPr>
            <w:tcW w:w="2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2.30</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2.38</w:t>
            </w:r>
          </w:p>
        </w:tc>
        <w:tc>
          <w:tcPr>
            <w:tcW w:w="26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2.09</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1.88</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1.93</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2.52</w:t>
            </w:r>
          </w:p>
        </w:tc>
        <w:tc>
          <w:tcPr>
            <w:tcW w:w="2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2.74</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2.40</w:t>
            </w:r>
          </w:p>
        </w:tc>
        <w:tc>
          <w:tcPr>
            <w:tcW w:w="3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2.73</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3.59</w:t>
            </w:r>
          </w:p>
        </w:tc>
        <w:tc>
          <w:tcPr>
            <w:tcW w:w="3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3.48</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2.76</w:t>
            </w:r>
          </w:p>
        </w:tc>
        <w:tc>
          <w:tcPr>
            <w:tcW w:w="3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2.16</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18"/>
                <w:szCs w:val="18"/>
                <w:vertAlign w:val="baseline"/>
                <w:lang w:val="en-US" w:eastAsia="zh-CN" w:bidi="ar-SA"/>
              </w:rPr>
            </w:pPr>
            <w:r>
              <w:rPr>
                <w:rFonts w:hint="eastAsia" w:ascii="Times New Roman" w:hAnsi="Times New Roman" w:eastAsia="宋体" w:cs="Times New Roman"/>
                <w:color w:val="auto"/>
                <w:sz w:val="18"/>
                <w:szCs w:val="18"/>
                <w:vertAlign w:val="baseline"/>
                <w:lang w:val="en-US" w:eastAsia="zh-CN"/>
              </w:rPr>
              <w:t>夏季</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2.23</w:t>
            </w:r>
          </w:p>
        </w:tc>
        <w:tc>
          <w:tcPr>
            <w:tcW w:w="2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2.25</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2.20</w:t>
            </w:r>
          </w:p>
        </w:tc>
        <w:tc>
          <w:tcPr>
            <w:tcW w:w="2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2.36</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2.54</w:t>
            </w:r>
          </w:p>
        </w:tc>
        <w:tc>
          <w:tcPr>
            <w:tcW w:w="26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2.30</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2.02</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2.05</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2.79</w:t>
            </w:r>
          </w:p>
        </w:tc>
        <w:tc>
          <w:tcPr>
            <w:tcW w:w="2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3.07</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3.44</w:t>
            </w:r>
          </w:p>
        </w:tc>
        <w:tc>
          <w:tcPr>
            <w:tcW w:w="3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3.12</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3.87</w:t>
            </w:r>
          </w:p>
        </w:tc>
        <w:tc>
          <w:tcPr>
            <w:tcW w:w="3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3.81</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3.45</w:t>
            </w:r>
          </w:p>
        </w:tc>
        <w:tc>
          <w:tcPr>
            <w:tcW w:w="3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2.47</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18"/>
                <w:szCs w:val="18"/>
                <w:vertAlign w:val="baseline"/>
                <w:lang w:val="en-US" w:eastAsia="zh-CN" w:bidi="ar-SA"/>
              </w:rPr>
            </w:pPr>
            <w:r>
              <w:rPr>
                <w:rFonts w:hint="eastAsia" w:ascii="Times New Roman" w:hAnsi="Times New Roman" w:eastAsia="宋体" w:cs="Times New Roman"/>
                <w:color w:val="auto"/>
                <w:sz w:val="18"/>
                <w:szCs w:val="18"/>
                <w:vertAlign w:val="baseline"/>
                <w:lang w:val="en-US" w:eastAsia="zh-CN"/>
              </w:rPr>
              <w:t>秋季</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2.50</w:t>
            </w:r>
          </w:p>
        </w:tc>
        <w:tc>
          <w:tcPr>
            <w:tcW w:w="2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2.52</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2.60</w:t>
            </w:r>
          </w:p>
        </w:tc>
        <w:tc>
          <w:tcPr>
            <w:tcW w:w="2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2.86</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2.70</w:t>
            </w:r>
          </w:p>
        </w:tc>
        <w:tc>
          <w:tcPr>
            <w:tcW w:w="26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2.31</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2.22</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2.33</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2.81</w:t>
            </w:r>
          </w:p>
        </w:tc>
        <w:tc>
          <w:tcPr>
            <w:tcW w:w="2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3.48</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3.21</w:t>
            </w:r>
          </w:p>
        </w:tc>
        <w:tc>
          <w:tcPr>
            <w:tcW w:w="3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3.41</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4.49</w:t>
            </w:r>
          </w:p>
        </w:tc>
        <w:tc>
          <w:tcPr>
            <w:tcW w:w="3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4.40</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3.46</w:t>
            </w:r>
          </w:p>
        </w:tc>
        <w:tc>
          <w:tcPr>
            <w:tcW w:w="3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2.84</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18"/>
                <w:szCs w:val="18"/>
                <w:vertAlign w:val="baseline"/>
                <w:lang w:val="en-US" w:eastAsia="zh-CN" w:bidi="ar-SA"/>
              </w:rPr>
            </w:pPr>
            <w:r>
              <w:rPr>
                <w:rFonts w:hint="eastAsia" w:ascii="Times New Roman" w:hAnsi="Times New Roman" w:eastAsia="宋体" w:cs="Times New Roman"/>
                <w:color w:val="auto"/>
                <w:sz w:val="18"/>
                <w:szCs w:val="18"/>
                <w:vertAlign w:val="baseline"/>
                <w:lang w:val="en-US" w:eastAsia="zh-CN"/>
              </w:rPr>
              <w:t>冬季</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1.71</w:t>
            </w:r>
          </w:p>
        </w:tc>
        <w:tc>
          <w:tcPr>
            <w:tcW w:w="2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1.98</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1.92</w:t>
            </w:r>
          </w:p>
        </w:tc>
        <w:tc>
          <w:tcPr>
            <w:tcW w:w="2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2.24</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2.63</w:t>
            </w:r>
          </w:p>
        </w:tc>
        <w:tc>
          <w:tcPr>
            <w:tcW w:w="26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2.23</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2.01</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2.03</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2.55</w:t>
            </w:r>
          </w:p>
        </w:tc>
        <w:tc>
          <w:tcPr>
            <w:tcW w:w="2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2.54</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2.02</w:t>
            </w:r>
          </w:p>
        </w:tc>
        <w:tc>
          <w:tcPr>
            <w:tcW w:w="3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2.52</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3.46</w:t>
            </w:r>
          </w:p>
        </w:tc>
        <w:tc>
          <w:tcPr>
            <w:tcW w:w="3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3.55</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2.64</w:t>
            </w:r>
          </w:p>
        </w:tc>
        <w:tc>
          <w:tcPr>
            <w:tcW w:w="3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2.30</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18"/>
                <w:szCs w:val="18"/>
                <w:vertAlign w:val="baseline"/>
                <w:lang w:val="en-US" w:eastAsia="zh-CN" w:bidi="ar-SA"/>
              </w:rPr>
            </w:pPr>
            <w:r>
              <w:rPr>
                <w:rFonts w:hint="eastAsia" w:ascii="Times New Roman" w:hAnsi="Times New Roman" w:eastAsia="宋体" w:cs="Times New Roman"/>
                <w:color w:val="auto"/>
                <w:sz w:val="18"/>
                <w:szCs w:val="18"/>
                <w:vertAlign w:val="baseline"/>
                <w:lang w:val="en-US" w:eastAsia="zh-CN"/>
              </w:rPr>
              <w:t>全年</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0.81</w:t>
            </w:r>
          </w:p>
        </w:tc>
        <w:tc>
          <w:tcPr>
            <w:tcW w:w="2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1.21</w:t>
            </w:r>
          </w:p>
        </w:tc>
        <w:tc>
          <w:tcPr>
            <w:tcW w:w="2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1.12</w:t>
            </w:r>
          </w:p>
        </w:tc>
        <w:tc>
          <w:tcPr>
            <w:tcW w:w="2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1.30</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1.66</w:t>
            </w:r>
          </w:p>
        </w:tc>
        <w:tc>
          <w:tcPr>
            <w:tcW w:w="26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1.54</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1.41</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1.53</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1.82</w:t>
            </w:r>
          </w:p>
        </w:tc>
        <w:tc>
          <w:tcPr>
            <w:tcW w:w="2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1.70</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1.28</w:t>
            </w:r>
          </w:p>
        </w:tc>
        <w:tc>
          <w:tcPr>
            <w:tcW w:w="3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1.87</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2.32</w:t>
            </w:r>
          </w:p>
        </w:tc>
        <w:tc>
          <w:tcPr>
            <w:tcW w:w="3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2.27</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1.70</w:t>
            </w:r>
          </w:p>
        </w:tc>
        <w:tc>
          <w:tcPr>
            <w:tcW w:w="3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1.48</w:t>
            </w:r>
          </w:p>
        </w:tc>
        <w:tc>
          <w:tcPr>
            <w:tcW w:w="26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eastAsia" w:ascii="Times New Roman" w:hAnsi="Times New Roman" w:eastAsia="宋体" w:cs="Times New Roman"/>
                <w:color w:val="auto"/>
                <w:sz w:val="18"/>
                <w:szCs w:val="18"/>
                <w:vertAlign w:val="baseline"/>
                <w:lang w:val="en-US" w:eastAsia="zh-CN"/>
              </w:rPr>
              <w:t>1.71</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（3）温度</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2022 年呼图壁气象站月平均气温变化情况见表 5.2.1-5、图 5.2.1-2。 </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5.2.1-5  2022 年呼图壁气象站平均温度的月变化一览表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5"/>
        <w:gridCol w:w="727"/>
        <w:gridCol w:w="629"/>
        <w:gridCol w:w="563"/>
        <w:gridCol w:w="661"/>
        <w:gridCol w:w="661"/>
        <w:gridCol w:w="661"/>
        <w:gridCol w:w="661"/>
        <w:gridCol w:w="661"/>
        <w:gridCol w:w="661"/>
        <w:gridCol w:w="563"/>
        <w:gridCol w:w="629"/>
        <w:gridCol w:w="6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月份</w:t>
            </w:r>
          </w:p>
        </w:tc>
        <w:tc>
          <w:tcPr>
            <w:tcW w:w="4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1月</w:t>
            </w:r>
          </w:p>
        </w:tc>
        <w:tc>
          <w:tcPr>
            <w:tcW w:w="3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2月</w:t>
            </w:r>
          </w:p>
        </w:tc>
        <w:tc>
          <w:tcPr>
            <w:tcW w:w="3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3月</w:t>
            </w:r>
          </w:p>
        </w:tc>
        <w:tc>
          <w:tcPr>
            <w:tcW w:w="38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4月</w:t>
            </w:r>
          </w:p>
        </w:tc>
        <w:tc>
          <w:tcPr>
            <w:tcW w:w="38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5月</w:t>
            </w:r>
          </w:p>
        </w:tc>
        <w:tc>
          <w:tcPr>
            <w:tcW w:w="38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6月</w:t>
            </w:r>
          </w:p>
        </w:tc>
        <w:tc>
          <w:tcPr>
            <w:tcW w:w="38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7月</w:t>
            </w:r>
          </w:p>
        </w:tc>
        <w:tc>
          <w:tcPr>
            <w:tcW w:w="38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8月</w:t>
            </w:r>
          </w:p>
        </w:tc>
        <w:tc>
          <w:tcPr>
            <w:tcW w:w="38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9月</w:t>
            </w:r>
          </w:p>
        </w:tc>
        <w:tc>
          <w:tcPr>
            <w:tcW w:w="3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10月</w:t>
            </w:r>
          </w:p>
        </w:tc>
        <w:tc>
          <w:tcPr>
            <w:tcW w:w="3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11月</w:t>
            </w:r>
          </w:p>
        </w:tc>
        <w:tc>
          <w:tcPr>
            <w:tcW w:w="3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温度（℃）</w:t>
            </w:r>
          </w:p>
        </w:tc>
        <w:tc>
          <w:tcPr>
            <w:tcW w:w="4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-16.8</w:t>
            </w:r>
            <w:r>
              <w:rPr>
                <w:rFonts w:hint="eastAsia" w:ascii="Times New Roman" w:hAnsi="Times New Roman" w:eastAsia="宋体" w:cs="Times New Roman"/>
                <w:color w:val="auto"/>
                <w:sz w:val="21"/>
                <w:szCs w:val="21"/>
                <w:vertAlign w:val="baseline"/>
                <w:lang w:val="en-US" w:eastAsia="zh-CN"/>
              </w:rPr>
              <w:t>5</w:t>
            </w:r>
          </w:p>
        </w:tc>
        <w:tc>
          <w:tcPr>
            <w:tcW w:w="3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-8.39</w:t>
            </w:r>
          </w:p>
        </w:tc>
        <w:tc>
          <w:tcPr>
            <w:tcW w:w="3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0.6</w:t>
            </w:r>
            <w:r>
              <w:rPr>
                <w:rFonts w:hint="eastAsia" w:ascii="Times New Roman" w:hAnsi="Times New Roman" w:eastAsia="宋体" w:cs="Times New Roman"/>
                <w:color w:val="auto"/>
                <w:sz w:val="21"/>
                <w:szCs w:val="21"/>
                <w:vertAlign w:val="baseline"/>
                <w:lang w:val="en-US" w:eastAsia="zh-CN"/>
              </w:rPr>
              <w:t>6</w:t>
            </w:r>
          </w:p>
        </w:tc>
        <w:tc>
          <w:tcPr>
            <w:tcW w:w="38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13.26</w:t>
            </w:r>
          </w:p>
        </w:tc>
        <w:tc>
          <w:tcPr>
            <w:tcW w:w="38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21.5</w:t>
            </w:r>
            <w:r>
              <w:rPr>
                <w:rFonts w:hint="eastAsia" w:ascii="Times New Roman" w:hAnsi="Times New Roman" w:eastAsia="宋体" w:cs="Times New Roman"/>
                <w:color w:val="auto"/>
                <w:sz w:val="21"/>
                <w:szCs w:val="21"/>
                <w:vertAlign w:val="baseline"/>
                <w:lang w:val="en-US" w:eastAsia="zh-CN"/>
              </w:rPr>
              <w:t>5</w:t>
            </w:r>
          </w:p>
        </w:tc>
        <w:tc>
          <w:tcPr>
            <w:tcW w:w="38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24.08</w:t>
            </w:r>
          </w:p>
        </w:tc>
        <w:tc>
          <w:tcPr>
            <w:tcW w:w="38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28.7</w:t>
            </w:r>
            <w:r>
              <w:rPr>
                <w:rFonts w:hint="eastAsia" w:ascii="Times New Roman" w:hAnsi="Times New Roman" w:eastAsia="宋体" w:cs="Times New Roman"/>
                <w:color w:val="auto"/>
                <w:sz w:val="21"/>
                <w:szCs w:val="21"/>
                <w:vertAlign w:val="baseline"/>
                <w:lang w:val="en-US" w:eastAsia="zh-CN"/>
              </w:rPr>
              <w:t>5</w:t>
            </w:r>
          </w:p>
        </w:tc>
        <w:tc>
          <w:tcPr>
            <w:tcW w:w="38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25.0</w:t>
            </w:r>
            <w:r>
              <w:rPr>
                <w:rFonts w:hint="eastAsia" w:ascii="Times New Roman" w:hAnsi="Times New Roman" w:eastAsia="宋体" w:cs="Times New Roman"/>
                <w:color w:val="auto"/>
                <w:sz w:val="21"/>
                <w:szCs w:val="21"/>
                <w:vertAlign w:val="baseline"/>
                <w:lang w:val="en-US" w:eastAsia="zh-CN"/>
              </w:rPr>
              <w:t>8</w:t>
            </w:r>
          </w:p>
        </w:tc>
        <w:tc>
          <w:tcPr>
            <w:tcW w:w="38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20.7</w:t>
            </w:r>
            <w:r>
              <w:rPr>
                <w:rFonts w:hint="eastAsia" w:ascii="Times New Roman" w:hAnsi="Times New Roman" w:eastAsia="宋体" w:cs="Times New Roman"/>
                <w:color w:val="auto"/>
                <w:sz w:val="21"/>
                <w:szCs w:val="21"/>
                <w:vertAlign w:val="baseline"/>
                <w:lang w:val="en-US" w:eastAsia="zh-CN"/>
              </w:rPr>
              <w:t>6</w:t>
            </w:r>
          </w:p>
        </w:tc>
        <w:tc>
          <w:tcPr>
            <w:tcW w:w="3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8.0</w:t>
            </w:r>
            <w:r>
              <w:rPr>
                <w:rFonts w:hint="eastAsia" w:ascii="Times New Roman" w:hAnsi="Times New Roman" w:eastAsia="宋体" w:cs="Times New Roman"/>
                <w:color w:val="auto"/>
                <w:sz w:val="21"/>
                <w:szCs w:val="21"/>
                <w:vertAlign w:val="baseline"/>
                <w:lang w:val="en-US" w:eastAsia="zh-CN"/>
              </w:rPr>
              <w:t>7</w:t>
            </w:r>
          </w:p>
        </w:tc>
        <w:tc>
          <w:tcPr>
            <w:tcW w:w="3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-3.70</w:t>
            </w:r>
          </w:p>
        </w:tc>
        <w:tc>
          <w:tcPr>
            <w:tcW w:w="3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-9.8</w:t>
            </w:r>
            <w:r>
              <w:rPr>
                <w:rFonts w:hint="eastAsia" w:ascii="Times New Roman" w:hAnsi="Times New Roman" w:eastAsia="宋体" w:cs="Times New Roman"/>
                <w:color w:val="auto"/>
                <w:sz w:val="21"/>
                <w:szCs w:val="21"/>
                <w:vertAlign w:val="baseline"/>
                <w:lang w:val="en-US" w:eastAsia="zh-CN"/>
              </w:rPr>
              <w:t>7</w:t>
            </w:r>
          </w:p>
        </w:tc>
      </w:tr>
    </w:tbl>
    <w:p>
      <w:pPr>
        <w:keepNext w:val="0"/>
        <w:keepLines w:val="0"/>
        <w:pageBreakBefore w:val="0"/>
        <w:widowControl w:val="0"/>
        <w:kinsoku/>
        <w:wordWrap/>
        <w:overflowPunct/>
        <w:topLinePunct w:val="0"/>
        <w:autoSpaceDE/>
        <w:autoSpaceDN/>
        <w:bidi w:val="0"/>
        <w:adjustRightInd/>
        <w:snapToGrid/>
        <w:spacing w:line="240" w:lineRule="auto"/>
        <w:textAlignment w:val="auto"/>
        <w:rPr>
          <w:color w:val="auto"/>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4"/>
          <w:szCs w:val="24"/>
          <w:lang w:val="en-US" w:eastAsia="zh-CN"/>
        </w:rPr>
      </w:pPr>
      <w:r>
        <w:rPr>
          <w:color w:val="auto"/>
        </w:rPr>
        <w:drawing>
          <wp:inline distT="0" distB="0" distL="114300" distR="114300">
            <wp:extent cx="5269230" cy="2068830"/>
            <wp:effectExtent l="0" t="0" r="7620" b="7620"/>
            <wp:docPr id="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pic:cNvPicPr>
                      <a:picLocks noChangeAspect="1"/>
                    </pic:cNvPicPr>
                  </pic:nvPicPr>
                  <pic:blipFill>
                    <a:blip r:embed="rId43"/>
                    <a:stretch>
                      <a:fillRect/>
                    </a:stretch>
                  </pic:blipFill>
                  <pic:spPr>
                    <a:xfrm>
                      <a:off x="0" y="0"/>
                      <a:ext cx="5269230" cy="20688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图 5.2.1-2   2022 年呼图壁气象站平均温度的月变化图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可以看出，呼图壁气象站全年 1 月平均温度最低，为-16.85℃；7 月份平均温度最高，为 28.75℃；全年平均温度为 8.62℃。 </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5.2.1.3 评价等级确定</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依据《环境影响评价技术导则-大气环境》（HJ2.2-2018）</w:t>
      </w:r>
      <w:r>
        <w:rPr>
          <w:rFonts w:hint="eastAsia" w:ascii="Times New Roman" w:hAnsi="Times New Roman" w:eastAsia="宋体" w:cs="Times New Roman"/>
          <w:b w:val="0"/>
          <w:bCs w:val="0"/>
          <w:color w:val="auto"/>
          <w:sz w:val="24"/>
          <w:szCs w:val="24"/>
          <w:lang w:val="en-US" w:eastAsia="zh-CN"/>
        </w:rPr>
        <w:t>推荐 AERMOD 模式系统。AERMOD 是一个稳态烟羽扩散模式，可基于大气边界层数据特征模拟点源、面源、体源等排放处的污染物在短期（日平均）长期（年平均）的浓度分布，适用于农村或城市地区、简单或复杂地形。AERMOD考虑了建筑物尾流的影响，即烟羽下洗。AERMOD 适用于评价范围小于等于50km 的一级、二级评价项目。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（1）Pmax及 D10% 的确定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依据《环境影响评价技术导则大气环境》（HJ2.2-2018）中最大地面浓度占标率 P</w:t>
      </w:r>
      <w:r>
        <w:rPr>
          <w:rFonts w:hint="eastAsia" w:ascii="Times New Roman" w:hAnsi="Times New Roman" w:eastAsia="宋体" w:cs="Times New Roman"/>
          <w:color w:val="auto"/>
          <w:sz w:val="24"/>
          <w:szCs w:val="24"/>
          <w:vertAlign w:val="subscript"/>
          <w:lang w:val="en-US" w:eastAsia="zh-CN"/>
        </w:rPr>
        <w:t>i</w:t>
      </w:r>
      <w:r>
        <w:rPr>
          <w:rFonts w:hint="eastAsia" w:ascii="Times New Roman" w:hAnsi="Times New Roman" w:eastAsia="宋体" w:cs="Times New Roman"/>
          <w:color w:val="auto"/>
          <w:sz w:val="24"/>
          <w:szCs w:val="24"/>
          <w:lang w:val="en-US" w:eastAsia="zh-CN"/>
        </w:rPr>
        <w:t xml:space="preserve"> 定义如下：</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rFonts w:hint="eastAsia" w:ascii="宋体" w:hAnsi="宋体" w:eastAsia="宋体" w:cs="宋体"/>
          <w:color w:val="auto"/>
        </w:rPr>
        <w:drawing>
          <wp:inline distT="0" distB="0" distL="114300" distR="114300">
            <wp:extent cx="1085850" cy="390525"/>
            <wp:effectExtent l="0" t="0" r="0" b="8890"/>
            <wp:docPr id="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pic:cNvPicPr>
                      <a:picLocks noChangeAspect="1"/>
                    </pic:cNvPicPr>
                  </pic:nvPicPr>
                  <pic:blipFill>
                    <a:blip r:embed="rId44"/>
                    <a:stretch>
                      <a:fillRect/>
                    </a:stretch>
                  </pic:blipFill>
                  <pic:spPr>
                    <a:xfrm>
                      <a:off x="0" y="0"/>
                      <a:ext cx="1085850" cy="3905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P</w:t>
      </w:r>
      <w:r>
        <w:rPr>
          <w:rFonts w:hint="eastAsia" w:ascii="Times New Roman" w:hAnsi="Times New Roman" w:eastAsia="宋体" w:cs="Times New Roman"/>
          <w:color w:val="auto"/>
          <w:sz w:val="24"/>
          <w:szCs w:val="24"/>
          <w:vertAlign w:val="subscript"/>
          <w:lang w:val="en-US" w:eastAsia="zh-CN"/>
        </w:rPr>
        <w:t>i</w:t>
      </w:r>
      <w:r>
        <w:rPr>
          <w:rFonts w:hint="eastAsia" w:ascii="Times New Roman" w:hAnsi="Times New Roman" w:eastAsia="宋体" w:cs="Times New Roman"/>
          <w:color w:val="auto"/>
          <w:sz w:val="24"/>
          <w:szCs w:val="24"/>
          <w:lang w:val="en-US" w:eastAsia="zh-CN"/>
        </w:rPr>
        <w:t>——第 i 个污染物的最大地面空气质量浓度占标率，%；</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C</w:t>
      </w:r>
      <w:r>
        <w:rPr>
          <w:rFonts w:hint="eastAsia" w:ascii="Times New Roman" w:hAnsi="Times New Roman" w:eastAsia="宋体" w:cs="Times New Roman"/>
          <w:color w:val="auto"/>
          <w:sz w:val="24"/>
          <w:szCs w:val="24"/>
          <w:vertAlign w:val="subscript"/>
          <w:lang w:val="en-US" w:eastAsia="zh-CN"/>
        </w:rPr>
        <w:t>i</w:t>
      </w:r>
      <w:r>
        <w:rPr>
          <w:rFonts w:hint="eastAsia" w:ascii="Times New Roman" w:hAnsi="Times New Roman" w:eastAsia="宋体" w:cs="Times New Roman"/>
          <w:color w:val="auto"/>
          <w:sz w:val="24"/>
          <w:szCs w:val="24"/>
          <w:lang w:val="en-US" w:eastAsia="zh-CN"/>
        </w:rPr>
        <w:t>——采用估算模型计算出的第 i 个污染物的最大 1h 地面空气质量浓度，μg/m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C</w:t>
      </w:r>
      <w:r>
        <w:rPr>
          <w:rFonts w:hint="eastAsia" w:ascii="Times New Roman" w:hAnsi="Times New Roman" w:eastAsia="宋体" w:cs="Times New Roman"/>
          <w:color w:val="auto"/>
          <w:sz w:val="24"/>
          <w:szCs w:val="24"/>
          <w:vertAlign w:val="subscript"/>
          <w:lang w:val="en-US" w:eastAsia="zh-CN"/>
        </w:rPr>
        <w:t>0</w:t>
      </w:r>
      <w:r>
        <w:rPr>
          <w:rFonts w:hint="eastAsia" w:ascii="Times New Roman" w:hAnsi="Times New Roman" w:eastAsia="宋体" w:cs="Times New Roman"/>
          <w:color w:val="auto"/>
          <w:sz w:val="24"/>
          <w:szCs w:val="24"/>
          <w:lang w:val="en-US" w:eastAsia="zh-CN"/>
        </w:rPr>
        <w:t>——第 i 个污染物的环境空气质量浓度标准，μg/m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（2）评价等级判别表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评价等级按下表的分级判据进行划分。 </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5.2.1-6   评价等级判别表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评价工作等级</w:t>
            </w:r>
          </w:p>
        </w:tc>
        <w:tc>
          <w:tcPr>
            <w:tcW w:w="25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一级评价</w:t>
            </w:r>
          </w:p>
        </w:tc>
        <w:tc>
          <w:tcPr>
            <w:tcW w:w="25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Pmax≥10%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二级评价</w:t>
            </w:r>
          </w:p>
        </w:tc>
        <w:tc>
          <w:tcPr>
            <w:tcW w:w="25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r>
              <w:rPr>
                <w:rFonts w:hint="eastAsia" w:ascii="Times New Roman" w:hAnsi="Times New Roman" w:eastAsia="宋体" w:cs="Times New Roman"/>
                <w:color w:val="auto"/>
                <w:sz w:val="21"/>
                <w:szCs w:val="21"/>
                <w:lang w:val="en-US" w:eastAsia="zh-CN"/>
              </w:rPr>
              <w:t>Pmax≤10%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三级评价</w:t>
            </w:r>
          </w:p>
        </w:tc>
        <w:tc>
          <w:tcPr>
            <w:tcW w:w="25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Pmax＜1%</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5.2.1.4 预测因子</w:t>
      </w:r>
    </w:p>
    <w:p>
      <w:pPr>
        <w:pStyle w:val="39"/>
        <w:rPr>
          <w:rFonts w:hint="eastAsia" w:eastAsia="宋体"/>
          <w:color w:val="auto"/>
          <w:highlight w:val="none"/>
          <w:lang w:eastAsia="zh-CN"/>
        </w:rPr>
      </w:pPr>
      <w:r>
        <w:rPr>
          <w:rFonts w:hint="eastAsia" w:cs="Times New Roman"/>
          <w:color w:val="auto"/>
          <w:kern w:val="0"/>
          <w:sz w:val="24"/>
          <w:szCs w:val="24"/>
          <w:highlight w:val="none"/>
          <w:lang w:val="en-US" w:eastAsia="zh-CN" w:bidi="ar"/>
        </w:rPr>
        <w:t>本</w:t>
      </w:r>
      <w:r>
        <w:rPr>
          <w:rFonts w:ascii="Times New Roman" w:hAnsi="Times New Roman" w:eastAsia="宋体" w:cs="Times New Roman"/>
          <w:color w:val="auto"/>
          <w:kern w:val="0"/>
          <w:sz w:val="24"/>
          <w:szCs w:val="24"/>
          <w:highlight w:val="none"/>
          <w:lang w:bidi="ar"/>
        </w:rPr>
        <w:t>项目</w:t>
      </w:r>
      <w:r>
        <w:rPr>
          <w:rFonts w:hint="eastAsia" w:cs="Times New Roman"/>
          <w:color w:val="auto"/>
          <w:kern w:val="0"/>
          <w:sz w:val="24"/>
          <w:szCs w:val="24"/>
          <w:highlight w:val="none"/>
          <w:lang w:val="en-US" w:eastAsia="zh-CN" w:bidi="ar"/>
        </w:rPr>
        <w:t>无</w:t>
      </w:r>
      <w:r>
        <w:rPr>
          <w:rFonts w:ascii="Times New Roman" w:hAnsi="Times New Roman" w:eastAsia="宋体" w:cs="Times New Roman"/>
          <w:color w:val="auto"/>
          <w:kern w:val="0"/>
          <w:sz w:val="24"/>
          <w:szCs w:val="24"/>
          <w:highlight w:val="none"/>
          <w:lang w:bidi="ar"/>
        </w:rPr>
        <w:t>SO</w:t>
      </w:r>
      <w:r>
        <w:rPr>
          <w:rFonts w:ascii="Times New Roman" w:hAnsi="Times New Roman" w:eastAsia="宋体" w:cs="Times New Roman"/>
          <w:color w:val="auto"/>
          <w:kern w:val="0"/>
          <w:sz w:val="24"/>
          <w:szCs w:val="24"/>
          <w:highlight w:val="none"/>
          <w:vertAlign w:val="subscript"/>
          <w:lang w:bidi="ar"/>
        </w:rPr>
        <w:t>2</w:t>
      </w:r>
      <w:r>
        <w:rPr>
          <w:rFonts w:ascii="Times New Roman" w:hAnsi="Times New Roman" w:eastAsia="宋体" w:cs="Times New Roman"/>
          <w:color w:val="auto"/>
          <w:kern w:val="0"/>
          <w:sz w:val="24"/>
          <w:szCs w:val="24"/>
          <w:highlight w:val="none"/>
          <w:lang w:bidi="ar"/>
        </w:rPr>
        <w:t>和NO</w:t>
      </w:r>
      <w:r>
        <w:rPr>
          <w:rFonts w:ascii="Times New Roman" w:hAnsi="Times New Roman" w:eastAsia="宋体" w:cs="Times New Roman"/>
          <w:color w:val="auto"/>
          <w:kern w:val="0"/>
          <w:sz w:val="24"/>
          <w:szCs w:val="24"/>
          <w:highlight w:val="none"/>
          <w:vertAlign w:val="subscript"/>
          <w:lang w:bidi="ar"/>
        </w:rPr>
        <w:t>X</w:t>
      </w:r>
      <w:r>
        <w:rPr>
          <w:rFonts w:hint="eastAsia" w:cs="Times New Roman"/>
          <w:color w:val="auto"/>
          <w:kern w:val="0"/>
          <w:sz w:val="24"/>
          <w:szCs w:val="24"/>
          <w:highlight w:val="none"/>
          <w:lang w:eastAsia="zh-CN" w:bidi="ar"/>
        </w:rPr>
        <w:t>，</w:t>
      </w:r>
      <w:r>
        <w:rPr>
          <w:rFonts w:ascii="Times New Roman" w:hAnsi="Times New Roman" w:eastAsia="宋体" w:cs="Times New Roman"/>
          <w:color w:val="auto"/>
          <w:kern w:val="0"/>
          <w:sz w:val="24"/>
          <w:szCs w:val="24"/>
          <w:highlight w:val="none"/>
          <w:lang w:bidi="ar"/>
        </w:rPr>
        <w:t>本次评价因子不再考虑二次污染物</w:t>
      </w:r>
      <w:r>
        <w:rPr>
          <w:rFonts w:hint="eastAsia" w:ascii="Times New Roman" w:hAnsi="Times New Roman" w:eastAsia="宋体" w:cs="Times New Roman"/>
          <w:color w:val="auto"/>
          <w:kern w:val="0"/>
          <w:sz w:val="24"/>
          <w:szCs w:val="24"/>
          <w:highlight w:val="none"/>
          <w:lang w:eastAsia="zh-CN" w:bidi="ar"/>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根据项目污染物排放特征，</w:t>
      </w:r>
      <w:r>
        <w:rPr>
          <w:rFonts w:hint="default" w:ascii="Times New Roman" w:hAnsi="Times New Roman" w:eastAsia="宋体" w:cs="Times New Roman"/>
          <w:color w:val="auto"/>
          <w:sz w:val="24"/>
          <w:szCs w:val="24"/>
          <w:highlight w:val="none"/>
          <w:lang w:val="en-US" w:eastAsia="zh-CN"/>
        </w:rPr>
        <w:t>选取有环境质量标准的评价因子作为预测因子，</w:t>
      </w:r>
      <w:r>
        <w:rPr>
          <w:rFonts w:hint="default" w:ascii="Times New Roman" w:hAnsi="Times New Roman" w:eastAsia="宋体" w:cs="Times New Roman"/>
          <w:color w:val="auto"/>
          <w:sz w:val="24"/>
          <w:szCs w:val="24"/>
          <w:highlight w:val="none"/>
        </w:rPr>
        <w:t>确定大气影响预测因子</w:t>
      </w:r>
      <w:r>
        <w:rPr>
          <w:rFonts w:hint="default" w:ascii="Times New Roman" w:hAnsi="Times New Roman" w:eastAsia="宋体" w:cs="Times New Roman"/>
          <w:color w:val="auto"/>
          <w:sz w:val="24"/>
          <w:szCs w:val="24"/>
          <w:highlight w:val="none"/>
          <w:lang w:val="en-US" w:eastAsia="zh-CN"/>
        </w:rPr>
        <w:t>包括</w:t>
      </w:r>
      <w:r>
        <w:rPr>
          <w:rFonts w:hint="eastAsia" w:ascii="Times New Roman" w:hAnsi="Times New Roman" w:eastAsia="宋体" w:cs="Times New Roman"/>
          <w:color w:val="auto"/>
          <w:sz w:val="24"/>
          <w:szCs w:val="24"/>
          <w:highlight w:val="none"/>
          <w:lang w:val="en-US" w:eastAsia="zh-CN"/>
        </w:rPr>
        <w:t>PM</w:t>
      </w:r>
      <w:r>
        <w:rPr>
          <w:rFonts w:hint="eastAsia" w:ascii="Times New Roman" w:hAnsi="Times New Roman" w:eastAsia="宋体" w:cs="Times New Roman"/>
          <w:color w:val="auto"/>
          <w:sz w:val="24"/>
          <w:szCs w:val="24"/>
          <w:highlight w:val="none"/>
          <w:vertAlign w:val="subscript"/>
          <w:lang w:val="en-US" w:eastAsia="zh-CN"/>
        </w:rPr>
        <w:t>10</w:t>
      </w:r>
      <w:r>
        <w:rPr>
          <w:rFonts w:hint="eastAsia"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rPr>
        <w:t>颗粒物</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氨、硫化氢、甲醇和非甲烷总烃</w:t>
      </w:r>
      <w:r>
        <w:rPr>
          <w:rFonts w:hint="default" w:ascii="Times New Roman" w:hAnsi="Times New Roman" w:eastAsia="宋体"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5.2.1.5 预测范围及评价关心点</w:t>
      </w:r>
    </w:p>
    <w:p>
      <w:pPr>
        <w:pStyle w:val="39"/>
        <w:rPr>
          <w:rFonts w:hint="default" w:cs="Times New Roman"/>
          <w:color w:val="auto"/>
          <w:highlight w:val="none"/>
        </w:rPr>
      </w:pPr>
      <w:r>
        <w:rPr>
          <w:rFonts w:hint="default" w:cs="Times New Roman"/>
          <w:color w:val="auto"/>
          <w:highlight w:val="none"/>
        </w:rPr>
        <w:t>大气预测范围综合考虑到评价等级、自然环境条件、环境敏感因素、主导风向、人群密集程度等，确定评价范围为以</w:t>
      </w:r>
      <w:r>
        <w:rPr>
          <w:rFonts w:hint="default" w:cs="Times New Roman"/>
          <w:color w:val="auto"/>
          <w:highlight w:val="none"/>
          <w:lang w:val="en-US" w:eastAsia="zh-CN"/>
        </w:rPr>
        <w:t>项目区</w:t>
      </w:r>
      <w:r>
        <w:rPr>
          <w:rFonts w:hint="default" w:cs="Times New Roman"/>
          <w:color w:val="auto"/>
          <w:highlight w:val="none"/>
        </w:rPr>
        <w:t>为中心，东西方向</w:t>
      </w:r>
      <w:r>
        <w:rPr>
          <w:rFonts w:hint="eastAsia" w:cs="Times New Roman"/>
          <w:color w:val="auto"/>
          <w:highlight w:val="none"/>
          <w:lang w:val="en-US" w:eastAsia="zh-CN"/>
        </w:rPr>
        <w:t xml:space="preserve"> </w:t>
      </w:r>
      <w:r>
        <w:rPr>
          <w:rFonts w:hint="default" w:cs="Times New Roman"/>
          <w:color w:val="auto"/>
          <w:highlight w:val="none"/>
          <w:lang w:val="en-US" w:eastAsia="zh-CN"/>
        </w:rPr>
        <w:t>5</w:t>
      </w:r>
      <w:r>
        <w:rPr>
          <w:rFonts w:hint="default" w:cs="Times New Roman"/>
          <w:color w:val="auto"/>
          <w:highlight w:val="none"/>
        </w:rPr>
        <w:t>km，南北方向</w:t>
      </w:r>
      <w:r>
        <w:rPr>
          <w:rFonts w:hint="default" w:cs="Times New Roman"/>
          <w:color w:val="auto"/>
          <w:highlight w:val="none"/>
          <w:lang w:val="en-US" w:eastAsia="zh-CN"/>
        </w:rPr>
        <w:t>5</w:t>
      </w:r>
      <w:r>
        <w:rPr>
          <w:rFonts w:hint="default" w:cs="Times New Roman"/>
          <w:color w:val="auto"/>
          <w:highlight w:val="none"/>
        </w:rPr>
        <w:t>km的矩形区域，重点预测评价对关心点的影响。</w:t>
      </w:r>
    </w:p>
    <w:p>
      <w:pPr>
        <w:pStyle w:val="39"/>
        <w:rPr>
          <w:rFonts w:hint="default" w:cs="Times New Roman"/>
          <w:color w:val="auto"/>
          <w:highlight w:val="none"/>
          <w:lang w:val="en-US" w:eastAsia="zh-CN"/>
        </w:rPr>
      </w:pPr>
      <w:r>
        <w:rPr>
          <w:rFonts w:hint="default" w:cs="Times New Roman"/>
          <w:color w:val="auto"/>
          <w:highlight w:val="none"/>
        </w:rPr>
        <w:t>计算污染源对评价范围的影响时，取东西向为</w:t>
      </w:r>
      <w:r>
        <w:rPr>
          <w:rFonts w:hint="eastAsia" w:cs="Times New Roman"/>
          <w:color w:val="auto"/>
          <w:highlight w:val="none"/>
          <w:lang w:val="en-US" w:eastAsia="zh-CN"/>
        </w:rPr>
        <w:t xml:space="preserve"> </w:t>
      </w:r>
      <w:r>
        <w:rPr>
          <w:rFonts w:hint="default" w:cs="Times New Roman"/>
          <w:color w:val="auto"/>
          <w:highlight w:val="none"/>
        </w:rPr>
        <w:t>X</w:t>
      </w:r>
      <w:r>
        <w:rPr>
          <w:rFonts w:hint="eastAsia" w:cs="Times New Roman"/>
          <w:color w:val="auto"/>
          <w:highlight w:val="none"/>
          <w:lang w:val="en-US" w:eastAsia="zh-CN"/>
        </w:rPr>
        <w:t xml:space="preserve"> </w:t>
      </w:r>
      <w:r>
        <w:rPr>
          <w:rFonts w:hint="default" w:cs="Times New Roman"/>
          <w:color w:val="auto"/>
          <w:highlight w:val="none"/>
        </w:rPr>
        <w:t>坐标轴、南北向为</w:t>
      </w:r>
      <w:r>
        <w:rPr>
          <w:rFonts w:hint="eastAsia" w:cs="Times New Roman"/>
          <w:color w:val="auto"/>
          <w:highlight w:val="none"/>
          <w:lang w:val="en-US" w:eastAsia="zh-CN"/>
        </w:rPr>
        <w:t xml:space="preserve"> </w:t>
      </w:r>
      <w:r>
        <w:rPr>
          <w:rFonts w:hint="default" w:cs="Times New Roman"/>
          <w:color w:val="auto"/>
          <w:highlight w:val="none"/>
        </w:rPr>
        <w:t>Y</w:t>
      </w:r>
      <w:r>
        <w:rPr>
          <w:rFonts w:hint="eastAsia" w:cs="Times New Roman"/>
          <w:color w:val="auto"/>
          <w:highlight w:val="none"/>
          <w:lang w:val="en-US" w:eastAsia="zh-CN"/>
        </w:rPr>
        <w:t xml:space="preserve"> </w:t>
      </w:r>
      <w:r>
        <w:rPr>
          <w:rFonts w:hint="default" w:cs="Times New Roman"/>
          <w:color w:val="auto"/>
          <w:highlight w:val="none"/>
        </w:rPr>
        <w:t>坐标轴，污染源位于预测范围的中心区域。预测网格采用直角坐标网格，覆盖整个评价范围</w:t>
      </w:r>
      <w:r>
        <w:rPr>
          <w:rFonts w:hint="default" w:cs="Times New Roman"/>
          <w:color w:val="auto"/>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color w:val="auto"/>
          <w:kern w:val="2"/>
          <w:sz w:val="24"/>
          <w:szCs w:val="24"/>
          <w:highlight w:val="none"/>
          <w:lang w:val="en-US" w:eastAsia="zh-CN" w:bidi="ar-SA"/>
        </w:rPr>
        <w:t>根据本项目的环境保护对象和环境空气质量现状监测点布设情况设置大气环境影响评价点，本项目无环境敏感点，关心点</w:t>
      </w:r>
      <w:r>
        <w:rPr>
          <w:rFonts w:hint="eastAsia" w:ascii="Times New Roman" w:hAnsi="Times New Roman" w:eastAsia="宋体" w:cs="Times New Roman"/>
          <w:color w:val="auto"/>
          <w:kern w:val="2"/>
          <w:sz w:val="24"/>
          <w:szCs w:val="24"/>
          <w:highlight w:val="none"/>
          <w:lang w:val="en-US" w:eastAsia="zh-CN" w:bidi="ar-SA"/>
        </w:rPr>
        <w:t>设定为主导风向上下两个点</w:t>
      </w:r>
      <w:r>
        <w:rPr>
          <w:rFonts w:hint="default" w:ascii="Times New Roman" w:hAnsi="Times New Roman" w:eastAsia="宋体" w:cs="Times New Roman"/>
          <w:color w:val="auto"/>
          <w:kern w:val="2"/>
          <w:sz w:val="24"/>
          <w:szCs w:val="24"/>
          <w:highlight w:val="none"/>
          <w:lang w:val="en-US" w:eastAsia="zh-CN" w:bidi="ar-SA"/>
        </w:rPr>
        <w:t>及最大浓度</w:t>
      </w:r>
      <w:r>
        <w:rPr>
          <w:rFonts w:hint="eastAsia" w:ascii="Times New Roman" w:hAnsi="Times New Roman" w:eastAsia="宋体" w:cs="Times New Roman"/>
          <w:color w:val="auto"/>
          <w:kern w:val="2"/>
          <w:sz w:val="24"/>
          <w:szCs w:val="24"/>
          <w:highlight w:val="none"/>
          <w:lang w:val="en-US" w:eastAsia="zh-CN" w:bidi="ar-SA"/>
        </w:rPr>
        <w:t>网格</w:t>
      </w:r>
      <w:r>
        <w:rPr>
          <w:rFonts w:hint="default" w:ascii="Times New Roman" w:hAnsi="Times New Roman" w:eastAsia="宋体" w:cs="Times New Roman"/>
          <w:color w:val="auto"/>
          <w:kern w:val="2"/>
          <w:sz w:val="24"/>
          <w:szCs w:val="24"/>
          <w:highlight w:val="none"/>
          <w:lang w:val="en-US" w:eastAsia="zh-CN" w:bidi="ar-SA"/>
        </w:rPr>
        <w:t>点作为大气环境影响评价点</w:t>
      </w:r>
      <w:r>
        <w:rPr>
          <w:rFonts w:hint="eastAsia" w:ascii="Times New Roman" w:hAnsi="Times New Roman" w:eastAsia="宋体" w:cs="Times New Roman"/>
          <w:color w:val="auto"/>
          <w:kern w:val="2"/>
          <w:sz w:val="24"/>
          <w:szCs w:val="24"/>
          <w:highlight w:val="none"/>
          <w:lang w:val="en-US" w:eastAsia="zh-CN" w:bidi="ar-SA"/>
        </w:rPr>
        <w:t>。</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bCs/>
          <w:color w:val="auto"/>
          <w:sz w:val="24"/>
          <w:szCs w:val="24"/>
          <w:lang w:val="en-US" w:eastAsia="zh-CN"/>
        </w:rPr>
        <w:t>表 5.2.1-7     本项目评价点分布位置坐标一览表</w:t>
      </w:r>
    </w:p>
    <w:tbl>
      <w:tblPr>
        <w:tblStyle w:val="21"/>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02"/>
        <w:gridCol w:w="1795"/>
        <w:gridCol w:w="1217"/>
        <w:gridCol w:w="1193"/>
        <w:gridCol w:w="851"/>
        <w:gridCol w:w="854"/>
        <w:gridCol w:w="170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529" w:type="pct"/>
            <w:tcBorders>
              <w:tl2br w:val="nil"/>
              <w:tr2bl w:val="nil"/>
            </w:tcBorders>
            <w:noWrap w:val="0"/>
            <w:vAlign w:val="center"/>
          </w:tcPr>
          <w:p>
            <w:pPr>
              <w:pStyle w:val="42"/>
              <w:spacing w:line="240" w:lineRule="auto"/>
              <w:ind w:firstLine="0"/>
              <w:jc w:val="center"/>
              <w:rPr>
                <w:rFonts w:hint="default" w:ascii="Times New Roman" w:hAnsi="Times New Roman" w:eastAsia="宋体" w:cs="Times New Roman"/>
                <w:color w:val="auto"/>
                <w:sz w:val="21"/>
                <w:szCs w:val="21"/>
                <w:highlight w:val="none"/>
              </w:rPr>
            </w:pPr>
            <w:bookmarkStart w:id="28" w:name="_Toc22227"/>
            <w:r>
              <w:rPr>
                <w:rFonts w:hint="default" w:ascii="Times New Roman" w:hAnsi="Times New Roman" w:eastAsia="宋体" w:cs="Times New Roman"/>
                <w:color w:val="auto"/>
                <w:sz w:val="21"/>
                <w:szCs w:val="21"/>
                <w:highlight w:val="none"/>
              </w:rPr>
              <w:t>序号</w:t>
            </w:r>
            <w:bookmarkEnd w:id="28"/>
          </w:p>
        </w:tc>
        <w:tc>
          <w:tcPr>
            <w:tcW w:w="1053" w:type="pct"/>
            <w:tcBorders>
              <w:tl2br w:val="nil"/>
              <w:tr2bl w:val="nil"/>
            </w:tcBorders>
            <w:noWrap w:val="0"/>
            <w:vAlign w:val="center"/>
          </w:tcPr>
          <w:p>
            <w:pPr>
              <w:pStyle w:val="42"/>
              <w:spacing w:line="240" w:lineRule="auto"/>
              <w:ind w:firstLine="0"/>
              <w:jc w:val="center"/>
              <w:rPr>
                <w:rFonts w:hint="default" w:ascii="Times New Roman" w:hAnsi="Times New Roman" w:eastAsia="宋体" w:cs="Times New Roman"/>
                <w:color w:val="auto"/>
                <w:sz w:val="21"/>
                <w:szCs w:val="21"/>
                <w:highlight w:val="none"/>
              </w:rPr>
            </w:pPr>
            <w:bookmarkStart w:id="29" w:name="_Toc18149"/>
            <w:r>
              <w:rPr>
                <w:rFonts w:hint="default" w:ascii="Times New Roman" w:hAnsi="Times New Roman" w:eastAsia="宋体" w:cs="Times New Roman"/>
                <w:color w:val="auto"/>
                <w:sz w:val="21"/>
                <w:szCs w:val="21"/>
                <w:highlight w:val="none"/>
              </w:rPr>
              <w:t>评价点名称</w:t>
            </w:r>
            <w:bookmarkEnd w:id="29"/>
          </w:p>
        </w:tc>
        <w:tc>
          <w:tcPr>
            <w:tcW w:w="714" w:type="pct"/>
            <w:tcBorders>
              <w:tl2br w:val="nil"/>
              <w:tr2bl w:val="nil"/>
            </w:tcBorders>
            <w:noWrap w:val="0"/>
            <w:vAlign w:val="center"/>
          </w:tcPr>
          <w:p>
            <w:pPr>
              <w:autoSpaceDE w:val="0"/>
              <w:autoSpaceDN w:val="0"/>
              <w:adjustRightInd w:val="0"/>
              <w:spacing w:line="240" w:lineRule="atLeast"/>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相对厂界</w:t>
            </w:r>
            <w:r>
              <w:rPr>
                <w:rFonts w:hint="default" w:ascii="Times New Roman" w:hAnsi="Times New Roman" w:eastAsia="宋体" w:cs="Times New Roman"/>
                <w:color w:val="auto"/>
                <w:kern w:val="0"/>
                <w:sz w:val="21"/>
                <w:szCs w:val="21"/>
                <w:highlight w:val="none"/>
              </w:rPr>
              <w:t>距离</w:t>
            </w:r>
            <w:r>
              <w:rPr>
                <w:rFonts w:hint="default" w:ascii="Times New Roman" w:hAnsi="Times New Roman" w:eastAsia="宋体" w:cs="Times New Roman"/>
                <w:color w:val="auto"/>
                <w:kern w:val="0"/>
                <w:sz w:val="21"/>
                <w:szCs w:val="21"/>
                <w:highlight w:val="none"/>
                <w:lang w:val="en-US" w:eastAsia="zh-CN"/>
              </w:rPr>
              <w:t>/k</w:t>
            </w:r>
            <w:r>
              <w:rPr>
                <w:rFonts w:hint="default" w:ascii="Times New Roman" w:hAnsi="Times New Roman" w:eastAsia="宋体" w:cs="Times New Roman"/>
                <w:color w:val="auto"/>
                <w:kern w:val="0"/>
                <w:sz w:val="21"/>
                <w:szCs w:val="21"/>
                <w:highlight w:val="none"/>
              </w:rPr>
              <w:t>m</w:t>
            </w:r>
          </w:p>
        </w:tc>
        <w:tc>
          <w:tcPr>
            <w:tcW w:w="700" w:type="pct"/>
            <w:tcBorders>
              <w:tl2br w:val="nil"/>
              <w:tr2bl w:val="nil"/>
            </w:tcBorders>
            <w:noWrap w:val="0"/>
            <w:vAlign w:val="center"/>
          </w:tcPr>
          <w:p>
            <w:pPr>
              <w:autoSpaceDE w:val="0"/>
              <w:autoSpaceDN w:val="0"/>
              <w:adjustRightInd w:val="0"/>
              <w:spacing w:line="240" w:lineRule="atLeast"/>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相对厂址</w:t>
            </w:r>
            <w:r>
              <w:rPr>
                <w:rFonts w:hint="default" w:ascii="Times New Roman" w:hAnsi="Times New Roman" w:eastAsia="宋体" w:cs="Times New Roman"/>
                <w:color w:val="auto"/>
                <w:kern w:val="0"/>
                <w:sz w:val="21"/>
                <w:szCs w:val="21"/>
                <w:highlight w:val="none"/>
              </w:rPr>
              <w:t>方位</w:t>
            </w:r>
          </w:p>
        </w:tc>
        <w:tc>
          <w:tcPr>
            <w:tcW w:w="499" w:type="pct"/>
            <w:tcBorders>
              <w:tl2br w:val="nil"/>
              <w:tr2bl w:val="nil"/>
            </w:tcBorders>
            <w:noWrap w:val="0"/>
            <w:vAlign w:val="center"/>
          </w:tcPr>
          <w:p>
            <w:pPr>
              <w:pStyle w:val="42"/>
              <w:spacing w:line="240" w:lineRule="auto"/>
              <w:ind w:firstLine="0" w:firstLineChars="0"/>
              <w:jc w:val="center"/>
              <w:rPr>
                <w:rFonts w:hint="default" w:ascii="Times New Roman" w:hAnsi="Times New Roman" w:eastAsia="宋体" w:cs="Times New Roman"/>
                <w:color w:val="auto"/>
                <w:sz w:val="21"/>
                <w:szCs w:val="21"/>
                <w:highlight w:val="none"/>
                <w:u w:val="none"/>
                <w:shd w:val="clear" w:color="auto" w:fill="auto"/>
                <w:lang w:val="zh-TW" w:eastAsia="zh-TW" w:bidi="zh-TW"/>
              </w:rPr>
            </w:pPr>
            <w:bookmarkStart w:id="30" w:name="_Toc11519"/>
            <w:r>
              <w:rPr>
                <w:rFonts w:hint="default" w:ascii="Times New Roman" w:hAnsi="Times New Roman" w:eastAsia="宋体" w:cs="Times New Roman"/>
                <w:color w:val="auto"/>
                <w:sz w:val="21"/>
                <w:szCs w:val="21"/>
                <w:highlight w:val="none"/>
              </w:rPr>
              <w:t>X</w:t>
            </w:r>
          </w:p>
        </w:tc>
        <w:tc>
          <w:tcPr>
            <w:tcW w:w="501" w:type="pct"/>
            <w:tcBorders>
              <w:tl2br w:val="nil"/>
              <w:tr2bl w:val="nil"/>
            </w:tcBorders>
            <w:noWrap w:val="0"/>
            <w:vAlign w:val="center"/>
          </w:tcPr>
          <w:p>
            <w:pPr>
              <w:pStyle w:val="42"/>
              <w:spacing w:line="240" w:lineRule="auto"/>
              <w:ind w:firstLine="0" w:firstLineChars="0"/>
              <w:jc w:val="center"/>
              <w:rPr>
                <w:rFonts w:hint="default" w:ascii="Times New Roman" w:hAnsi="Times New Roman" w:eastAsia="宋体" w:cs="Times New Roman"/>
                <w:color w:val="auto"/>
                <w:sz w:val="21"/>
                <w:szCs w:val="21"/>
                <w:highlight w:val="none"/>
                <w:u w:val="none"/>
                <w:shd w:val="clear" w:color="auto" w:fill="auto"/>
                <w:lang w:val="zh-TW" w:eastAsia="zh-TW" w:bidi="zh-TW"/>
              </w:rPr>
            </w:pPr>
            <w:r>
              <w:rPr>
                <w:rFonts w:hint="default" w:ascii="Times New Roman" w:hAnsi="Times New Roman" w:eastAsia="宋体" w:cs="Times New Roman"/>
                <w:color w:val="auto"/>
                <w:sz w:val="21"/>
                <w:szCs w:val="21"/>
                <w:highlight w:val="none"/>
              </w:rPr>
              <w:t>Y</w:t>
            </w:r>
          </w:p>
        </w:tc>
        <w:tc>
          <w:tcPr>
            <w:tcW w:w="1000" w:type="pct"/>
            <w:tcBorders>
              <w:tl2br w:val="nil"/>
              <w:tr2bl w:val="nil"/>
            </w:tcBorders>
            <w:noWrap w:val="0"/>
            <w:vAlign w:val="center"/>
          </w:tcPr>
          <w:p>
            <w:pPr>
              <w:pStyle w:val="42"/>
              <w:spacing w:line="240" w:lineRule="auto"/>
              <w:ind w:firstLine="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地面高程</w:t>
            </w:r>
            <w:bookmarkEnd w:id="30"/>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529" w:type="pct"/>
            <w:tcBorders>
              <w:tl2br w:val="nil"/>
              <w:tr2bl w:val="nil"/>
            </w:tcBorders>
            <w:noWrap w:val="0"/>
            <w:vAlign w:val="center"/>
          </w:tcPr>
          <w:p>
            <w:pPr>
              <w:pStyle w:val="42"/>
              <w:spacing w:line="240" w:lineRule="auto"/>
              <w:ind w:firstLine="0"/>
              <w:jc w:val="center"/>
              <w:rPr>
                <w:rFonts w:hint="default" w:ascii="Times New Roman" w:hAnsi="Times New Roman" w:eastAsia="宋体" w:cs="Times New Roman"/>
                <w:color w:val="auto"/>
                <w:sz w:val="21"/>
                <w:szCs w:val="21"/>
                <w:highlight w:val="none"/>
              </w:rPr>
            </w:pPr>
            <w:bookmarkStart w:id="31" w:name="_Toc14341"/>
            <w:r>
              <w:rPr>
                <w:rFonts w:hint="default" w:ascii="Times New Roman" w:hAnsi="Times New Roman" w:eastAsia="宋体" w:cs="Times New Roman"/>
                <w:color w:val="auto"/>
                <w:sz w:val="21"/>
                <w:szCs w:val="21"/>
                <w:highlight w:val="none"/>
              </w:rPr>
              <w:t>1</w:t>
            </w:r>
            <w:bookmarkEnd w:id="31"/>
          </w:p>
        </w:tc>
        <w:tc>
          <w:tcPr>
            <w:tcW w:w="1053" w:type="pct"/>
            <w:tcBorders>
              <w:tl2br w:val="nil"/>
              <w:tr2bl w:val="nil"/>
            </w:tcBorders>
            <w:noWrap w:val="0"/>
            <w:vAlign w:val="top"/>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十八户村四组</w:t>
            </w:r>
          </w:p>
        </w:tc>
        <w:tc>
          <w:tcPr>
            <w:tcW w:w="7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vertAlign w:val="baseline"/>
                <w:lang w:val="en-US" w:eastAsia="zh-CN"/>
              </w:rPr>
              <w:t>2.578</w:t>
            </w:r>
          </w:p>
        </w:tc>
        <w:tc>
          <w:tcPr>
            <w:tcW w:w="7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vertAlign w:val="baseline"/>
                <w:lang w:val="en-US" w:eastAsia="zh-CN"/>
              </w:rPr>
              <w:t>西南</w:t>
            </w:r>
          </w:p>
        </w:tc>
        <w:tc>
          <w:tcPr>
            <w:tcW w:w="499" w:type="pc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rPr>
              <w:t>-2639</w:t>
            </w:r>
          </w:p>
        </w:tc>
        <w:tc>
          <w:tcPr>
            <w:tcW w:w="501" w:type="pc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rPr>
              <w:t>-1063</w:t>
            </w:r>
          </w:p>
        </w:tc>
        <w:tc>
          <w:tcPr>
            <w:tcW w:w="1000" w:type="pc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rPr>
              <w:t>478.36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529" w:type="pct"/>
            <w:tcBorders>
              <w:tl2br w:val="nil"/>
              <w:tr2bl w:val="nil"/>
            </w:tcBorders>
            <w:noWrap w:val="0"/>
            <w:vAlign w:val="center"/>
          </w:tcPr>
          <w:p>
            <w:pPr>
              <w:pStyle w:val="42"/>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1053" w:type="pct"/>
            <w:tcBorders>
              <w:tl2br w:val="nil"/>
              <w:tr2bl w:val="nil"/>
            </w:tcBorders>
            <w:noWrap w:val="0"/>
            <w:vAlign w:val="top"/>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祁家湖村</w:t>
            </w:r>
          </w:p>
        </w:tc>
        <w:tc>
          <w:tcPr>
            <w:tcW w:w="7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vertAlign w:val="baseline"/>
                <w:lang w:val="en-US" w:eastAsia="zh-CN" w:bidi="ar-SA"/>
              </w:rPr>
              <w:t>4.428</w:t>
            </w:r>
          </w:p>
        </w:tc>
        <w:tc>
          <w:tcPr>
            <w:tcW w:w="7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vertAlign w:val="baseline"/>
                <w:lang w:val="en-US" w:eastAsia="zh-CN" w:bidi="ar-SA"/>
              </w:rPr>
              <w:t>西南</w:t>
            </w:r>
          </w:p>
        </w:tc>
        <w:tc>
          <w:tcPr>
            <w:tcW w:w="499" w:type="pc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rPr>
              <w:t>-4423</w:t>
            </w:r>
          </w:p>
        </w:tc>
        <w:tc>
          <w:tcPr>
            <w:tcW w:w="501" w:type="pc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rPr>
              <w:t>-1779</w:t>
            </w:r>
          </w:p>
        </w:tc>
        <w:tc>
          <w:tcPr>
            <w:tcW w:w="1000" w:type="pc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482.66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529" w:type="pct"/>
            <w:tcBorders>
              <w:tl2br w:val="nil"/>
              <w:tr2bl w:val="nil"/>
            </w:tcBorders>
            <w:noWrap w:val="0"/>
            <w:vAlign w:val="center"/>
          </w:tcPr>
          <w:p>
            <w:pPr>
              <w:pStyle w:val="42"/>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1053" w:type="pct"/>
            <w:tcBorders>
              <w:tl2br w:val="nil"/>
              <w:tr2bl w:val="nil"/>
            </w:tcBorders>
            <w:noWrap w:val="0"/>
            <w:vAlign w:val="top"/>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永丰四队</w:t>
            </w:r>
          </w:p>
        </w:tc>
        <w:tc>
          <w:tcPr>
            <w:tcW w:w="7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vertAlign w:val="baseline"/>
                <w:lang w:val="en-US" w:eastAsia="zh-CN" w:bidi="ar-SA"/>
              </w:rPr>
              <w:t>4.797</w:t>
            </w:r>
          </w:p>
        </w:tc>
        <w:tc>
          <w:tcPr>
            <w:tcW w:w="7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vertAlign w:val="baseline"/>
                <w:lang w:val="en-US" w:eastAsia="zh-CN" w:bidi="ar-SA"/>
              </w:rPr>
              <w:t>西南</w:t>
            </w:r>
          </w:p>
        </w:tc>
        <w:tc>
          <w:tcPr>
            <w:tcW w:w="499" w:type="pc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rPr>
              <w:t>-3363</w:t>
            </w:r>
          </w:p>
        </w:tc>
        <w:tc>
          <w:tcPr>
            <w:tcW w:w="501" w:type="pc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rPr>
              <w:t>-3690</w:t>
            </w:r>
          </w:p>
        </w:tc>
        <w:tc>
          <w:tcPr>
            <w:tcW w:w="1000" w:type="pc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rPr>
              <w:t>493.93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529" w:type="pct"/>
            <w:tcBorders>
              <w:tl2br w:val="nil"/>
              <w:tr2bl w:val="nil"/>
            </w:tcBorders>
            <w:noWrap w:val="0"/>
            <w:vAlign w:val="center"/>
          </w:tcPr>
          <w:p>
            <w:pPr>
              <w:pStyle w:val="42"/>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1053" w:type="pct"/>
            <w:tcBorders>
              <w:tl2br w:val="nil"/>
              <w:tr2bl w:val="nil"/>
            </w:tcBorders>
            <w:noWrap w:val="0"/>
            <w:vAlign w:val="top"/>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十八户村</w:t>
            </w:r>
          </w:p>
        </w:tc>
        <w:tc>
          <w:tcPr>
            <w:tcW w:w="7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vertAlign w:val="baseline"/>
                <w:lang w:val="en-US" w:eastAsia="zh-CN"/>
              </w:rPr>
              <w:t>4.942</w:t>
            </w:r>
          </w:p>
        </w:tc>
        <w:tc>
          <w:tcPr>
            <w:tcW w:w="7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vertAlign w:val="baseline"/>
                <w:lang w:val="en-US" w:eastAsia="zh-CN"/>
              </w:rPr>
              <w:t>西南</w:t>
            </w:r>
          </w:p>
        </w:tc>
        <w:tc>
          <w:tcPr>
            <w:tcW w:w="499" w:type="pc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rPr>
              <w:t>-3224</w:t>
            </w:r>
          </w:p>
        </w:tc>
        <w:tc>
          <w:tcPr>
            <w:tcW w:w="501" w:type="pc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rPr>
              <w:t>-4231</w:t>
            </w:r>
          </w:p>
        </w:tc>
        <w:tc>
          <w:tcPr>
            <w:tcW w:w="1000" w:type="pc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rPr>
              <w:t>496.09</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bCs/>
          <w:color w:val="auto"/>
          <w:sz w:val="24"/>
          <w:szCs w:val="24"/>
          <w:lang w:val="en-US" w:eastAsia="zh-CN"/>
        </w:rPr>
        <w:t>5.2.1.6 评价标准及预测参数</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（1）评价标准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PM</w:t>
      </w:r>
      <w:r>
        <w:rPr>
          <w:rFonts w:hint="eastAsia" w:ascii="Times New Roman" w:hAnsi="Times New Roman" w:eastAsia="宋体" w:cs="Times New Roman"/>
          <w:b w:val="0"/>
          <w:bCs w:val="0"/>
          <w:color w:val="auto"/>
          <w:sz w:val="24"/>
          <w:szCs w:val="24"/>
          <w:vertAlign w:val="subscript"/>
          <w:lang w:val="en-US" w:eastAsia="zh-CN"/>
        </w:rPr>
        <w:t>10</w:t>
      </w:r>
      <w:r>
        <w:rPr>
          <w:rFonts w:hint="eastAsia" w:ascii="Times New Roman" w:hAnsi="Times New Roman" w:eastAsia="宋体" w:cs="Times New Roman"/>
          <w:b w:val="0"/>
          <w:bCs w:val="0"/>
          <w:color w:val="auto"/>
          <w:sz w:val="24"/>
          <w:szCs w:val="24"/>
          <w:lang w:val="en-US" w:eastAsia="zh-CN"/>
        </w:rPr>
        <w:t>、颗粒物执行《环境空气质量标准》（GB3095-2012）中的二级标准；氨、硫化氢、甲醇参照执行《环境影响评价技术导则 大气环境》（HJ2.2-2018）附录 D 标准；非甲烷总烃参照执行《大气污染物综合排放标准详解》（GB3095-1996）推荐值。</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（2）预测计算模型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本项目大气环境影响评价等级为一级，本次环境影响预测采用HJ2.2-2018导则推荐 AERMOD 模式系统。AERMOD 是一个稳态烟羽扩散模式，可基于大气边界层数据特征模拟点源、面源、体源等排放处的污染物在短期(日平均)、长期(年平均)的浓度分布，适用于农村或城市地区、简单或复杂地形。AERMOD考虑了建筑物尾流的影响，即烟羽下洗。AERMOD 适用于评价范围小于等于50km 的一级、二级评价项目。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（3）污染源参数的选择</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本次大气环境影响预测中的有关参数选取情况见表。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bCs/>
          <w:color w:val="auto"/>
          <w:sz w:val="24"/>
          <w:szCs w:val="24"/>
          <w:lang w:val="en-US" w:eastAsia="zh-CN"/>
        </w:rPr>
        <w:t>表 5.2.1-8     模式计算选用参数一览表</w:t>
      </w:r>
    </w:p>
    <w:tbl>
      <w:tblPr>
        <w:tblStyle w:val="21"/>
        <w:tblpPr w:leftFromText="180" w:rightFromText="180" w:vertAnchor="text" w:tblpXSpec="center" w:tblpY="1"/>
        <w:tblOverlap w:val="never"/>
        <w:tblW w:w="850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63"/>
        <w:gridCol w:w="1076"/>
        <w:gridCol w:w="705"/>
        <w:gridCol w:w="1215"/>
        <w:gridCol w:w="690"/>
        <w:gridCol w:w="1331"/>
        <w:gridCol w:w="1107"/>
        <w:gridCol w:w="131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139" w:type="dxa"/>
            <w:gridSpan w:val="2"/>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32" w:name="_Toc7329"/>
            <w:r>
              <w:rPr>
                <w:rFonts w:hint="default" w:ascii="Times New Roman" w:hAnsi="Times New Roman" w:eastAsia="宋体" w:cs="Times New Roman"/>
                <w:color w:val="auto"/>
                <w:sz w:val="21"/>
                <w:szCs w:val="21"/>
                <w:highlight w:val="none"/>
              </w:rPr>
              <w:t>参数名称</w:t>
            </w:r>
            <w:bookmarkEnd w:id="32"/>
          </w:p>
        </w:tc>
        <w:tc>
          <w:tcPr>
            <w:tcW w:w="705" w:type="dxa"/>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33" w:name="_Toc23003"/>
            <w:r>
              <w:rPr>
                <w:rFonts w:hint="default" w:ascii="Times New Roman" w:hAnsi="Times New Roman" w:eastAsia="宋体" w:cs="Times New Roman"/>
                <w:color w:val="auto"/>
                <w:sz w:val="21"/>
                <w:szCs w:val="21"/>
                <w:highlight w:val="none"/>
              </w:rPr>
              <w:t>单位</w:t>
            </w:r>
            <w:bookmarkEnd w:id="33"/>
          </w:p>
        </w:tc>
        <w:tc>
          <w:tcPr>
            <w:tcW w:w="5660" w:type="dxa"/>
            <w:gridSpan w:val="5"/>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34" w:name="_Toc5774"/>
            <w:r>
              <w:rPr>
                <w:rFonts w:hint="default" w:ascii="Times New Roman" w:hAnsi="Times New Roman" w:eastAsia="宋体" w:cs="Times New Roman"/>
                <w:color w:val="auto"/>
                <w:sz w:val="21"/>
                <w:szCs w:val="21"/>
                <w:highlight w:val="none"/>
              </w:rPr>
              <w:t>数 值</w:t>
            </w:r>
            <w:bookmarkEnd w:id="34"/>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63" w:type="dxa"/>
            <w:vMerge w:val="restar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35" w:name="_Toc23618"/>
            <w:r>
              <w:rPr>
                <w:rFonts w:hint="default" w:ascii="Times New Roman" w:hAnsi="Times New Roman" w:eastAsia="宋体" w:cs="Times New Roman"/>
                <w:color w:val="auto"/>
                <w:sz w:val="21"/>
                <w:szCs w:val="21"/>
                <w:highlight w:val="none"/>
              </w:rPr>
              <w:t>地面气象观测资料</w:t>
            </w:r>
            <w:bookmarkEnd w:id="35"/>
          </w:p>
        </w:tc>
        <w:tc>
          <w:tcPr>
            <w:tcW w:w="1076" w:type="dxa"/>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36" w:name="_Toc19699"/>
            <w:r>
              <w:rPr>
                <w:rFonts w:hint="default" w:ascii="Times New Roman" w:hAnsi="Times New Roman" w:eastAsia="宋体" w:cs="Times New Roman"/>
                <w:color w:val="auto"/>
                <w:sz w:val="21"/>
                <w:szCs w:val="21"/>
                <w:highlight w:val="none"/>
              </w:rPr>
              <w:t>站点</w:t>
            </w:r>
            <w:bookmarkEnd w:id="36"/>
          </w:p>
        </w:tc>
        <w:tc>
          <w:tcPr>
            <w:tcW w:w="705" w:type="dxa"/>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37" w:name="_Toc21991"/>
            <w:r>
              <w:rPr>
                <w:rFonts w:hint="default" w:ascii="Times New Roman" w:hAnsi="Times New Roman" w:eastAsia="宋体" w:cs="Times New Roman"/>
                <w:color w:val="auto"/>
                <w:sz w:val="21"/>
                <w:szCs w:val="21"/>
                <w:highlight w:val="none"/>
              </w:rPr>
              <w:t>--</w:t>
            </w:r>
            <w:bookmarkEnd w:id="37"/>
          </w:p>
        </w:tc>
        <w:tc>
          <w:tcPr>
            <w:tcW w:w="5660" w:type="dxa"/>
            <w:gridSpan w:val="5"/>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呼图壁县</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63" w:type="dxa"/>
            <w:vMerge w:val="continue"/>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p>
        </w:tc>
        <w:tc>
          <w:tcPr>
            <w:tcW w:w="1076" w:type="dxa"/>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38" w:name="_Toc11156"/>
            <w:r>
              <w:rPr>
                <w:rFonts w:hint="default" w:ascii="Times New Roman" w:hAnsi="Times New Roman" w:eastAsia="宋体" w:cs="Times New Roman"/>
                <w:color w:val="auto"/>
                <w:sz w:val="21"/>
                <w:szCs w:val="21"/>
                <w:highlight w:val="none"/>
              </w:rPr>
              <w:t>数据时间</w:t>
            </w:r>
            <w:bookmarkEnd w:id="38"/>
          </w:p>
        </w:tc>
        <w:tc>
          <w:tcPr>
            <w:tcW w:w="705" w:type="dxa"/>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39" w:name="_Toc25982"/>
            <w:r>
              <w:rPr>
                <w:rFonts w:hint="default" w:ascii="Times New Roman" w:hAnsi="Times New Roman" w:eastAsia="宋体" w:cs="Times New Roman"/>
                <w:color w:val="auto"/>
                <w:sz w:val="21"/>
                <w:szCs w:val="21"/>
                <w:highlight w:val="none"/>
              </w:rPr>
              <w:t>--</w:t>
            </w:r>
            <w:bookmarkEnd w:id="39"/>
          </w:p>
        </w:tc>
        <w:tc>
          <w:tcPr>
            <w:tcW w:w="5660" w:type="dxa"/>
            <w:gridSpan w:val="5"/>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40" w:name="_Toc4864"/>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.1.1～20</w:t>
            </w:r>
            <w:r>
              <w:rPr>
                <w:rFonts w:hint="default" w:ascii="Times New Roman" w:hAnsi="Times New Roman" w:eastAsia="宋体"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.12.31</w:t>
            </w:r>
            <w:bookmarkEnd w:id="40"/>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139" w:type="dxa"/>
            <w:gridSpan w:val="2"/>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41" w:name="_Toc28262"/>
            <w:r>
              <w:rPr>
                <w:rFonts w:hint="default" w:ascii="Times New Roman" w:hAnsi="Times New Roman" w:eastAsia="宋体" w:cs="Times New Roman"/>
                <w:color w:val="auto"/>
                <w:sz w:val="21"/>
                <w:szCs w:val="21"/>
                <w:highlight w:val="none"/>
              </w:rPr>
              <w:t>地形数据分辨率</w:t>
            </w:r>
            <w:bookmarkEnd w:id="41"/>
          </w:p>
        </w:tc>
        <w:tc>
          <w:tcPr>
            <w:tcW w:w="705" w:type="dxa"/>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42" w:name="_Toc3939"/>
            <w:r>
              <w:rPr>
                <w:rFonts w:hint="default" w:ascii="Times New Roman" w:hAnsi="Times New Roman" w:eastAsia="宋体" w:cs="Times New Roman"/>
                <w:color w:val="auto"/>
                <w:sz w:val="21"/>
                <w:szCs w:val="21"/>
                <w:highlight w:val="none"/>
              </w:rPr>
              <w:t>m</w:t>
            </w:r>
            <w:bookmarkEnd w:id="42"/>
          </w:p>
        </w:tc>
        <w:tc>
          <w:tcPr>
            <w:tcW w:w="5660" w:type="dxa"/>
            <w:gridSpan w:val="5"/>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43" w:name="_Toc13839"/>
            <w:r>
              <w:rPr>
                <w:rFonts w:hint="default" w:ascii="Times New Roman" w:hAnsi="Times New Roman" w:eastAsia="宋体" w:cs="Times New Roman"/>
                <w:color w:val="auto"/>
                <w:sz w:val="21"/>
                <w:szCs w:val="21"/>
                <w:highlight w:val="none"/>
              </w:rPr>
              <w:t>90×90</w:t>
            </w:r>
            <w:bookmarkEnd w:id="43"/>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139" w:type="dxa"/>
            <w:gridSpan w:val="2"/>
            <w:vMerge w:val="restar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44" w:name="_Toc31634"/>
            <w:r>
              <w:rPr>
                <w:rFonts w:hint="default" w:ascii="Times New Roman" w:hAnsi="Times New Roman" w:eastAsia="宋体" w:cs="Times New Roman"/>
                <w:color w:val="auto"/>
                <w:sz w:val="21"/>
                <w:szCs w:val="21"/>
                <w:highlight w:val="none"/>
              </w:rPr>
              <w:t>地表参数</w:t>
            </w:r>
            <w:bookmarkEnd w:id="44"/>
          </w:p>
        </w:tc>
        <w:tc>
          <w:tcPr>
            <w:tcW w:w="705" w:type="dxa"/>
            <w:vMerge w:val="restar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45" w:name="_Toc15138"/>
            <w:r>
              <w:rPr>
                <w:rFonts w:hint="default" w:ascii="Times New Roman" w:hAnsi="Times New Roman" w:eastAsia="宋体" w:cs="Times New Roman"/>
                <w:color w:val="auto"/>
                <w:sz w:val="21"/>
                <w:szCs w:val="21"/>
                <w:highlight w:val="none"/>
              </w:rPr>
              <w:t>--</w:t>
            </w:r>
            <w:bookmarkEnd w:id="45"/>
          </w:p>
        </w:tc>
        <w:tc>
          <w:tcPr>
            <w:tcW w:w="1215" w:type="dxa"/>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46" w:name="_Toc22038"/>
            <w:r>
              <w:rPr>
                <w:rFonts w:hint="default" w:ascii="Times New Roman" w:hAnsi="Times New Roman" w:eastAsia="宋体" w:cs="Times New Roman"/>
                <w:color w:val="auto"/>
                <w:sz w:val="21"/>
                <w:szCs w:val="21"/>
                <w:highlight w:val="none"/>
              </w:rPr>
              <w:t>扇形区域</w:t>
            </w:r>
            <w:bookmarkEnd w:id="46"/>
          </w:p>
        </w:tc>
        <w:tc>
          <w:tcPr>
            <w:tcW w:w="690" w:type="dxa"/>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47" w:name="_Toc6785"/>
            <w:r>
              <w:rPr>
                <w:rFonts w:hint="default" w:ascii="Times New Roman" w:hAnsi="Times New Roman" w:eastAsia="宋体" w:cs="Times New Roman"/>
                <w:color w:val="auto"/>
                <w:sz w:val="21"/>
                <w:szCs w:val="21"/>
                <w:highlight w:val="none"/>
              </w:rPr>
              <w:t>季节</w:t>
            </w:r>
            <w:bookmarkEnd w:id="47"/>
          </w:p>
        </w:tc>
        <w:tc>
          <w:tcPr>
            <w:tcW w:w="1331" w:type="dxa"/>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48" w:name="_Toc26328"/>
            <w:r>
              <w:rPr>
                <w:rFonts w:hint="default" w:ascii="Times New Roman" w:hAnsi="Times New Roman" w:eastAsia="宋体" w:cs="Times New Roman"/>
                <w:color w:val="auto"/>
                <w:sz w:val="21"/>
                <w:szCs w:val="21"/>
                <w:highlight w:val="none"/>
              </w:rPr>
              <w:t>正午反照度</w:t>
            </w:r>
            <w:bookmarkEnd w:id="48"/>
          </w:p>
        </w:tc>
        <w:tc>
          <w:tcPr>
            <w:tcW w:w="1107" w:type="dxa"/>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49" w:name="_Toc26808"/>
            <w:r>
              <w:rPr>
                <w:rFonts w:hint="default" w:ascii="Times New Roman" w:hAnsi="Times New Roman" w:eastAsia="宋体" w:cs="Times New Roman"/>
                <w:color w:val="auto"/>
                <w:sz w:val="21"/>
                <w:szCs w:val="21"/>
                <w:highlight w:val="none"/>
              </w:rPr>
              <w:t>波文比</w:t>
            </w:r>
            <w:bookmarkEnd w:id="49"/>
          </w:p>
        </w:tc>
        <w:tc>
          <w:tcPr>
            <w:tcW w:w="1317" w:type="dxa"/>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50" w:name="_Toc21341"/>
            <w:r>
              <w:rPr>
                <w:rFonts w:hint="default" w:ascii="Times New Roman" w:hAnsi="Times New Roman" w:eastAsia="宋体" w:cs="Times New Roman"/>
                <w:color w:val="auto"/>
                <w:sz w:val="21"/>
                <w:szCs w:val="21"/>
                <w:highlight w:val="none"/>
              </w:rPr>
              <w:t>表面粗糙度</w:t>
            </w:r>
            <w:bookmarkEnd w:id="50"/>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139" w:type="dxa"/>
            <w:gridSpan w:val="2"/>
            <w:vMerge w:val="continue"/>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p>
        </w:tc>
        <w:tc>
          <w:tcPr>
            <w:tcW w:w="705" w:type="dxa"/>
            <w:vMerge w:val="continue"/>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p>
        </w:tc>
        <w:tc>
          <w:tcPr>
            <w:tcW w:w="1215" w:type="dxa"/>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51" w:name="_Toc5078"/>
            <w:r>
              <w:rPr>
                <w:rFonts w:hint="default" w:ascii="Times New Roman" w:hAnsi="Times New Roman" w:eastAsia="宋体" w:cs="Times New Roman"/>
                <w:color w:val="auto"/>
                <w:sz w:val="21"/>
                <w:szCs w:val="21"/>
                <w:highlight w:val="none"/>
              </w:rPr>
              <w:t>0°-360°</w:t>
            </w:r>
            <w:bookmarkEnd w:id="51"/>
          </w:p>
        </w:tc>
        <w:tc>
          <w:tcPr>
            <w:tcW w:w="690" w:type="dxa"/>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52" w:name="_Toc7584"/>
            <w:r>
              <w:rPr>
                <w:rFonts w:hint="default" w:ascii="Times New Roman" w:hAnsi="Times New Roman" w:eastAsia="宋体" w:cs="Times New Roman"/>
                <w:color w:val="auto"/>
                <w:sz w:val="21"/>
                <w:szCs w:val="21"/>
                <w:highlight w:val="none"/>
              </w:rPr>
              <w:t>全年</w:t>
            </w:r>
            <w:bookmarkEnd w:id="52"/>
          </w:p>
        </w:tc>
        <w:tc>
          <w:tcPr>
            <w:tcW w:w="1331" w:type="dxa"/>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53" w:name="_Toc31054"/>
            <w:r>
              <w:rPr>
                <w:rFonts w:hint="default" w:ascii="Times New Roman" w:hAnsi="Times New Roman" w:eastAsia="宋体" w:cs="Times New Roman"/>
                <w:color w:val="auto"/>
                <w:sz w:val="21"/>
                <w:szCs w:val="21"/>
                <w:highlight w:val="none"/>
              </w:rPr>
              <w:t>0.3275</w:t>
            </w:r>
            <w:bookmarkEnd w:id="53"/>
          </w:p>
        </w:tc>
        <w:tc>
          <w:tcPr>
            <w:tcW w:w="1107" w:type="dxa"/>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54" w:name="_Toc11028"/>
            <w:r>
              <w:rPr>
                <w:rFonts w:hint="default" w:ascii="Times New Roman" w:hAnsi="Times New Roman" w:eastAsia="宋体" w:cs="Times New Roman"/>
                <w:color w:val="auto"/>
                <w:sz w:val="21"/>
                <w:szCs w:val="21"/>
                <w:highlight w:val="none"/>
              </w:rPr>
              <w:t>7.75</w:t>
            </w:r>
            <w:bookmarkEnd w:id="54"/>
          </w:p>
        </w:tc>
        <w:tc>
          <w:tcPr>
            <w:tcW w:w="1317" w:type="dxa"/>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55" w:name="_Toc30599"/>
            <w:r>
              <w:rPr>
                <w:rFonts w:hint="default" w:ascii="Times New Roman" w:hAnsi="Times New Roman" w:eastAsia="宋体" w:cs="Times New Roman"/>
                <w:color w:val="auto"/>
                <w:sz w:val="21"/>
                <w:szCs w:val="21"/>
                <w:highlight w:val="none"/>
              </w:rPr>
              <w:t>0.2625</w:t>
            </w:r>
            <w:bookmarkEnd w:id="55"/>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139" w:type="dxa"/>
            <w:gridSpan w:val="2"/>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56" w:name="_Toc7247"/>
            <w:r>
              <w:rPr>
                <w:rFonts w:hint="default" w:ascii="Times New Roman" w:hAnsi="Times New Roman" w:eastAsia="宋体" w:cs="Times New Roman"/>
                <w:color w:val="auto"/>
                <w:sz w:val="21"/>
                <w:szCs w:val="21"/>
                <w:highlight w:val="none"/>
              </w:rPr>
              <w:t>参数名称</w:t>
            </w:r>
            <w:bookmarkEnd w:id="56"/>
          </w:p>
        </w:tc>
        <w:tc>
          <w:tcPr>
            <w:tcW w:w="705" w:type="dxa"/>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57" w:name="_Toc16708"/>
            <w:r>
              <w:rPr>
                <w:rFonts w:hint="default" w:ascii="Times New Roman" w:hAnsi="Times New Roman" w:eastAsia="宋体" w:cs="Times New Roman"/>
                <w:color w:val="auto"/>
                <w:sz w:val="21"/>
                <w:szCs w:val="21"/>
                <w:highlight w:val="none"/>
              </w:rPr>
              <w:t>单位</w:t>
            </w:r>
            <w:bookmarkEnd w:id="57"/>
          </w:p>
        </w:tc>
        <w:tc>
          <w:tcPr>
            <w:tcW w:w="5660" w:type="dxa"/>
            <w:gridSpan w:val="5"/>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58" w:name="_Toc17258"/>
            <w:r>
              <w:rPr>
                <w:rFonts w:hint="default" w:ascii="Times New Roman" w:hAnsi="Times New Roman" w:eastAsia="宋体" w:cs="Times New Roman"/>
                <w:color w:val="auto"/>
                <w:sz w:val="21"/>
                <w:szCs w:val="21"/>
                <w:highlight w:val="none"/>
              </w:rPr>
              <w:t>数值</w:t>
            </w:r>
            <w:bookmarkEnd w:id="58"/>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139" w:type="dxa"/>
            <w:gridSpan w:val="2"/>
            <w:vMerge w:val="restart"/>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59" w:name="_Toc10519"/>
            <w:r>
              <w:rPr>
                <w:rFonts w:hint="default" w:ascii="Times New Roman" w:hAnsi="Times New Roman" w:eastAsia="宋体" w:cs="Times New Roman"/>
                <w:color w:val="auto"/>
                <w:sz w:val="21"/>
                <w:szCs w:val="21"/>
                <w:highlight w:val="none"/>
              </w:rPr>
              <w:t>化学转化</w:t>
            </w:r>
            <w:bookmarkEnd w:id="59"/>
          </w:p>
        </w:tc>
        <w:tc>
          <w:tcPr>
            <w:tcW w:w="705" w:type="dxa"/>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60" w:name="_Toc13860"/>
            <w:r>
              <w:rPr>
                <w:rFonts w:hint="default" w:ascii="Times New Roman" w:hAnsi="Times New Roman" w:eastAsia="宋体" w:cs="Times New Roman"/>
                <w:color w:val="auto"/>
                <w:sz w:val="21"/>
                <w:szCs w:val="21"/>
                <w:highlight w:val="none"/>
              </w:rPr>
              <w:t>--</w:t>
            </w:r>
            <w:bookmarkEnd w:id="60"/>
          </w:p>
        </w:tc>
        <w:tc>
          <w:tcPr>
            <w:tcW w:w="5660" w:type="dxa"/>
            <w:gridSpan w:val="5"/>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61" w:name="_Toc3434"/>
            <w:r>
              <w:rPr>
                <w:rFonts w:hint="default" w:ascii="Times New Roman" w:hAnsi="Times New Roman" w:eastAsia="宋体" w:cs="Times New Roman"/>
                <w:color w:val="auto"/>
                <w:sz w:val="21"/>
                <w:szCs w:val="21"/>
                <w:highlight w:val="none"/>
              </w:rPr>
              <w:t>计算 1小时平均浓度时不考虑SO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转化，日平均和年平均浓度时SO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取半衰期为4 小时</w:t>
            </w:r>
            <w:bookmarkEnd w:id="61"/>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139" w:type="dxa"/>
            <w:gridSpan w:val="2"/>
            <w:vMerge w:val="continue"/>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p>
        </w:tc>
        <w:tc>
          <w:tcPr>
            <w:tcW w:w="705" w:type="dxa"/>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62" w:name="_Toc8770"/>
            <w:r>
              <w:rPr>
                <w:rFonts w:hint="default" w:ascii="Times New Roman" w:hAnsi="Times New Roman" w:eastAsia="宋体" w:cs="Times New Roman"/>
                <w:color w:val="auto"/>
                <w:sz w:val="21"/>
                <w:szCs w:val="21"/>
                <w:highlight w:val="none"/>
              </w:rPr>
              <w:t>--</w:t>
            </w:r>
            <w:bookmarkEnd w:id="62"/>
          </w:p>
        </w:tc>
        <w:tc>
          <w:tcPr>
            <w:tcW w:w="5660" w:type="dxa"/>
            <w:gridSpan w:val="5"/>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63" w:name="_Toc4590"/>
            <w:r>
              <w:rPr>
                <w:rFonts w:hint="default" w:ascii="Times New Roman" w:hAnsi="Times New Roman" w:eastAsia="宋体" w:cs="Times New Roman"/>
                <w:color w:val="auto"/>
                <w:sz w:val="21"/>
                <w:szCs w:val="21"/>
                <w:highlight w:val="none"/>
              </w:rPr>
              <w:t>计算1小时和日平均浓度时，假定NO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/NOx=0.9，计算年平均浓度时，假定 NO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/NOx=0.5</w:t>
            </w:r>
            <w:bookmarkEnd w:id="63"/>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139" w:type="dxa"/>
            <w:gridSpan w:val="2"/>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64" w:name="_Toc32193"/>
            <w:r>
              <w:rPr>
                <w:rFonts w:hint="default" w:ascii="Times New Roman" w:hAnsi="Times New Roman" w:eastAsia="宋体" w:cs="Times New Roman"/>
                <w:color w:val="auto"/>
                <w:sz w:val="21"/>
                <w:szCs w:val="21"/>
                <w:highlight w:val="none"/>
              </w:rPr>
              <w:t>重力沉降</w:t>
            </w:r>
            <w:bookmarkEnd w:id="64"/>
          </w:p>
        </w:tc>
        <w:tc>
          <w:tcPr>
            <w:tcW w:w="705" w:type="dxa"/>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65" w:name="_Toc31089"/>
            <w:r>
              <w:rPr>
                <w:rFonts w:hint="default" w:ascii="Times New Roman" w:hAnsi="Times New Roman" w:eastAsia="宋体" w:cs="Times New Roman"/>
                <w:color w:val="auto"/>
                <w:sz w:val="21"/>
                <w:szCs w:val="21"/>
                <w:highlight w:val="none"/>
              </w:rPr>
              <w:t>--</w:t>
            </w:r>
            <w:bookmarkEnd w:id="65"/>
          </w:p>
        </w:tc>
        <w:tc>
          <w:tcPr>
            <w:tcW w:w="5660" w:type="dxa"/>
            <w:gridSpan w:val="5"/>
            <w:tcBorders>
              <w:tl2br w:val="nil"/>
              <w:tr2bl w:val="nil"/>
            </w:tcBorders>
            <w:noWrap w:val="0"/>
            <w:vAlign w:val="center"/>
          </w:tcPr>
          <w:p>
            <w:pPr>
              <w:keepNext/>
              <w:keepLines/>
              <w:jc w:val="center"/>
              <w:rPr>
                <w:rFonts w:hint="default" w:ascii="Times New Roman" w:hAnsi="Times New Roman" w:eastAsia="宋体" w:cs="Times New Roman"/>
                <w:color w:val="auto"/>
                <w:sz w:val="21"/>
                <w:szCs w:val="21"/>
                <w:highlight w:val="none"/>
              </w:rPr>
            </w:pPr>
            <w:bookmarkStart w:id="66" w:name="_Toc14809"/>
            <w:r>
              <w:rPr>
                <w:rFonts w:hint="default" w:ascii="Times New Roman" w:hAnsi="Times New Roman" w:eastAsia="宋体" w:cs="Times New Roman"/>
                <w:color w:val="auto"/>
                <w:sz w:val="21"/>
                <w:szCs w:val="21"/>
                <w:highlight w:val="none"/>
              </w:rPr>
              <w:t>计算颗粒物浓度时考虑重力沉降</w:t>
            </w:r>
            <w:bookmarkEnd w:id="66"/>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eastAsia" w:ascii="Times New Roman" w:hAnsi="Times New Roman" w:eastAsia="宋体" w:cs="Times New Roman"/>
          <w:b w:val="0"/>
          <w:bCs w:val="0"/>
          <w:color w:val="auto"/>
          <w:sz w:val="24"/>
          <w:szCs w:val="24"/>
          <w:lang w:val="en-US" w:eastAsia="zh-CN"/>
        </w:rPr>
        <w:t xml:space="preserve">本项目正常运营时，共计 2 个有组织污染点源和 4 个无组织污染面源，大气预测所选用废气排放参数均来自于工程分析，全厂正常工况下废气排放源主要参数见下表。 </w:t>
      </w:r>
    </w:p>
    <w:p>
      <w:pPr>
        <w:pStyle w:val="11"/>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4"/>
          <w:szCs w:val="24"/>
          <w:lang w:val="en-US" w:eastAsia="zh-CN"/>
        </w:rPr>
        <w:t>表 5.2.1-9   正常工况有组织排放源参数表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3"/>
        <w:gridCol w:w="885"/>
        <w:gridCol w:w="720"/>
        <w:gridCol w:w="581"/>
        <w:gridCol w:w="933"/>
        <w:gridCol w:w="703"/>
        <w:gridCol w:w="842"/>
        <w:gridCol w:w="695"/>
        <w:gridCol w:w="1296"/>
        <w:gridCol w:w="888"/>
        <w:gridCol w:w="584"/>
        <w:gridCol w:w="899"/>
        <w:gridCol w:w="1118"/>
        <w:gridCol w:w="1326"/>
        <w:gridCol w:w="1030"/>
        <w:gridCol w:w="12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编号</w:t>
            </w:r>
          </w:p>
        </w:tc>
        <w:tc>
          <w:tcPr>
            <w:tcW w:w="312"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点源名称</w:t>
            </w:r>
          </w:p>
        </w:tc>
        <w:tc>
          <w:tcPr>
            <w:tcW w:w="459" w:type="pct"/>
            <w:gridSpan w:val="2"/>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排气筒底部中心坐标/m</w:t>
            </w:r>
          </w:p>
        </w:tc>
        <w:tc>
          <w:tcPr>
            <w:tcW w:w="329"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排气筒底海拔高度/m</w:t>
            </w:r>
          </w:p>
        </w:tc>
        <w:tc>
          <w:tcPr>
            <w:tcW w:w="248"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排气筒高度/m</w:t>
            </w:r>
          </w:p>
        </w:tc>
        <w:tc>
          <w:tcPr>
            <w:tcW w:w="297"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排气筒出口内径/m</w:t>
            </w:r>
          </w:p>
        </w:tc>
        <w:tc>
          <w:tcPr>
            <w:tcW w:w="245"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烟气温度/℃</w:t>
            </w:r>
          </w:p>
        </w:tc>
        <w:tc>
          <w:tcPr>
            <w:tcW w:w="457"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烟气流量/（m3/h）</w:t>
            </w:r>
          </w:p>
        </w:tc>
        <w:tc>
          <w:tcPr>
            <w:tcW w:w="313"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年排放小时数/h</w:t>
            </w:r>
          </w:p>
        </w:tc>
        <w:tc>
          <w:tcPr>
            <w:tcW w:w="206"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排放工况</w:t>
            </w:r>
          </w:p>
        </w:tc>
        <w:tc>
          <w:tcPr>
            <w:tcW w:w="1960" w:type="pct"/>
            <w:gridSpan w:val="5"/>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54"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X</w:t>
            </w:r>
          </w:p>
        </w:tc>
        <w:tc>
          <w:tcPr>
            <w:tcW w:w="204"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Y</w:t>
            </w:r>
          </w:p>
        </w:tc>
        <w:tc>
          <w:tcPr>
            <w:tcW w:w="329"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48"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9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45"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45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13"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06"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17"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非甲烷总烃</w:t>
            </w:r>
          </w:p>
        </w:tc>
        <w:tc>
          <w:tcPr>
            <w:tcW w:w="390"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NH</w:t>
            </w:r>
            <w:r>
              <w:rPr>
                <w:rFonts w:hint="default" w:ascii="Times New Roman" w:hAnsi="Times New Roman" w:eastAsia="宋体" w:cs="Times New Roman"/>
                <w:color w:val="auto"/>
                <w:sz w:val="21"/>
                <w:szCs w:val="21"/>
                <w:vertAlign w:val="subscript"/>
                <w:lang w:val="en-US" w:eastAsia="zh-CN"/>
              </w:rPr>
              <w:t>3</w:t>
            </w:r>
          </w:p>
        </w:tc>
        <w:tc>
          <w:tcPr>
            <w:tcW w:w="467"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H</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vertAlign w:val="baseline"/>
                <w:lang w:val="en-US" w:eastAsia="zh-CN"/>
              </w:rPr>
              <w:t>S</w:t>
            </w:r>
          </w:p>
        </w:tc>
        <w:tc>
          <w:tcPr>
            <w:tcW w:w="363"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油脂烟气</w:t>
            </w:r>
          </w:p>
        </w:tc>
        <w:tc>
          <w:tcPr>
            <w:tcW w:w="42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PM10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885"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DA001</w:t>
            </w:r>
          </w:p>
        </w:tc>
        <w:tc>
          <w:tcPr>
            <w:tcW w:w="720"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26</w:t>
            </w:r>
          </w:p>
        </w:tc>
        <w:tc>
          <w:tcPr>
            <w:tcW w:w="58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w:t>
            </w:r>
          </w:p>
        </w:tc>
        <w:tc>
          <w:tcPr>
            <w:tcW w:w="933"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473</w:t>
            </w:r>
          </w:p>
        </w:tc>
        <w:tc>
          <w:tcPr>
            <w:tcW w:w="703"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15</w:t>
            </w:r>
          </w:p>
        </w:tc>
        <w:tc>
          <w:tcPr>
            <w:tcW w:w="842"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0.8</w:t>
            </w:r>
          </w:p>
        </w:tc>
        <w:tc>
          <w:tcPr>
            <w:tcW w:w="695"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20</w:t>
            </w:r>
          </w:p>
        </w:tc>
        <w:tc>
          <w:tcPr>
            <w:tcW w:w="1296"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r>
              <w:rPr>
                <w:rFonts w:hint="default" w:ascii="Times New Roman" w:hAnsi="Times New Roman" w:eastAsia="宋体" w:cs="Times New Roman"/>
                <w:color w:val="auto"/>
                <w:sz w:val="21"/>
                <w:szCs w:val="21"/>
                <w:vertAlign w:val="baseline"/>
                <w:lang w:val="en-US" w:eastAsia="zh-CN"/>
              </w:rPr>
              <w:t>5000</w:t>
            </w:r>
          </w:p>
        </w:tc>
        <w:tc>
          <w:tcPr>
            <w:tcW w:w="888"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5760</w:t>
            </w:r>
          </w:p>
        </w:tc>
        <w:tc>
          <w:tcPr>
            <w:tcW w:w="584"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正常</w:t>
            </w:r>
          </w:p>
        </w:tc>
        <w:tc>
          <w:tcPr>
            <w:tcW w:w="899"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0.092</w:t>
            </w:r>
          </w:p>
        </w:tc>
        <w:tc>
          <w:tcPr>
            <w:tcW w:w="1118"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0.012</w:t>
            </w:r>
          </w:p>
        </w:tc>
        <w:tc>
          <w:tcPr>
            <w:tcW w:w="1326"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0.023</w:t>
            </w:r>
          </w:p>
        </w:tc>
        <w:tc>
          <w:tcPr>
            <w:tcW w:w="1030"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1.12</w:t>
            </w:r>
            <w:r>
              <w:rPr>
                <w:rFonts w:hint="default" w:ascii="Times New Roman" w:hAnsi="Times New Roman" w:eastAsia="宋体" w:cs="Times New Roman"/>
                <w:color w:val="auto"/>
                <w:sz w:val="21"/>
                <w:szCs w:val="21"/>
                <w:vertAlign w:val="baseline"/>
                <w:lang w:val="en-US" w:eastAsia="zh-CN"/>
              </w:rPr>
              <w:t>×10</w:t>
            </w:r>
            <w:r>
              <w:rPr>
                <w:rFonts w:hint="default" w:ascii="Times New Roman" w:hAnsi="Times New Roman" w:eastAsia="宋体" w:cs="Times New Roman"/>
                <w:color w:val="auto"/>
                <w:sz w:val="21"/>
                <w:szCs w:val="21"/>
                <w:vertAlign w:val="superscript"/>
                <w:lang w:val="en-US" w:eastAsia="zh-CN"/>
              </w:rPr>
              <w:t>-</w:t>
            </w:r>
            <w:r>
              <w:rPr>
                <w:rFonts w:hint="eastAsia" w:ascii="Times New Roman" w:hAnsi="Times New Roman" w:eastAsia="宋体" w:cs="Times New Roman"/>
                <w:color w:val="auto"/>
                <w:sz w:val="21"/>
                <w:szCs w:val="21"/>
                <w:vertAlign w:val="superscript"/>
                <w:lang w:val="en-US" w:eastAsia="zh-CN"/>
              </w:rPr>
              <w:t>3</w:t>
            </w:r>
          </w:p>
        </w:tc>
        <w:tc>
          <w:tcPr>
            <w:tcW w:w="120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3.47×10</w:t>
            </w:r>
            <w:r>
              <w:rPr>
                <w:rFonts w:hint="eastAsia" w:ascii="Times New Roman" w:hAnsi="Times New Roman" w:eastAsia="宋体" w:cs="Times New Roman"/>
                <w:color w:val="auto"/>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885"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DA002</w:t>
            </w:r>
          </w:p>
        </w:tc>
        <w:tc>
          <w:tcPr>
            <w:tcW w:w="720"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w:t>
            </w:r>
          </w:p>
        </w:tc>
        <w:tc>
          <w:tcPr>
            <w:tcW w:w="58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28</w:t>
            </w:r>
          </w:p>
        </w:tc>
        <w:tc>
          <w:tcPr>
            <w:tcW w:w="933"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473</w:t>
            </w:r>
          </w:p>
        </w:tc>
        <w:tc>
          <w:tcPr>
            <w:tcW w:w="703"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15</w:t>
            </w:r>
          </w:p>
        </w:tc>
        <w:tc>
          <w:tcPr>
            <w:tcW w:w="842"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0.4</w:t>
            </w:r>
          </w:p>
        </w:tc>
        <w:tc>
          <w:tcPr>
            <w:tcW w:w="695"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20</w:t>
            </w:r>
          </w:p>
        </w:tc>
        <w:tc>
          <w:tcPr>
            <w:tcW w:w="1296"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5000</w:t>
            </w:r>
          </w:p>
        </w:tc>
        <w:tc>
          <w:tcPr>
            <w:tcW w:w="888"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5760</w:t>
            </w:r>
          </w:p>
        </w:tc>
        <w:tc>
          <w:tcPr>
            <w:tcW w:w="584"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正常</w:t>
            </w:r>
          </w:p>
        </w:tc>
        <w:tc>
          <w:tcPr>
            <w:tcW w:w="899"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118"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4.34×10</w:t>
            </w:r>
            <w:r>
              <w:rPr>
                <w:rFonts w:hint="eastAsia" w:ascii="Times New Roman" w:hAnsi="Times New Roman" w:eastAsia="宋体" w:cs="Times New Roman"/>
                <w:color w:val="auto"/>
                <w:sz w:val="21"/>
                <w:szCs w:val="21"/>
                <w:vertAlign w:val="superscript"/>
                <w:lang w:val="en-US" w:eastAsia="zh-CN"/>
              </w:rPr>
              <w:t>-3</w:t>
            </w:r>
          </w:p>
        </w:tc>
        <w:tc>
          <w:tcPr>
            <w:tcW w:w="1326"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5.69×10</w:t>
            </w:r>
            <w:r>
              <w:rPr>
                <w:rFonts w:hint="eastAsia" w:ascii="Times New Roman" w:hAnsi="Times New Roman" w:eastAsia="宋体" w:cs="Times New Roman"/>
                <w:color w:val="auto"/>
                <w:sz w:val="21"/>
                <w:szCs w:val="21"/>
                <w:vertAlign w:val="superscript"/>
                <w:lang w:val="en-US" w:eastAsia="zh-CN"/>
              </w:rPr>
              <w:t>-5</w:t>
            </w:r>
          </w:p>
        </w:tc>
        <w:tc>
          <w:tcPr>
            <w:tcW w:w="1030"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20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w:t>
            </w:r>
          </w:p>
        </w:tc>
      </w:tr>
    </w:tbl>
    <w:p>
      <w:pPr>
        <w:pStyle w:val="11"/>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color w:val="auto"/>
          <w:sz w:val="24"/>
          <w:szCs w:val="24"/>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color w:val="auto"/>
          <w:kern w:val="0"/>
          <w:sz w:val="24"/>
          <w:szCs w:val="24"/>
          <w:lang w:val="en-US" w:eastAsia="zh-CN" w:bidi="ar"/>
        </w:rPr>
      </w:pPr>
      <w:r>
        <w:rPr>
          <w:rFonts w:hint="eastAsia" w:ascii="Times New Roman" w:hAnsi="Times New Roman" w:eastAsia="宋体" w:cs="Times New Roman"/>
          <w:b/>
          <w:bCs/>
          <w:color w:val="auto"/>
          <w:kern w:val="0"/>
          <w:sz w:val="24"/>
          <w:szCs w:val="24"/>
          <w:lang w:val="en-US" w:eastAsia="zh-CN" w:bidi="ar"/>
        </w:rPr>
        <w:t xml:space="preserve">表 5.2.1-10    </w:t>
      </w:r>
      <w:r>
        <w:rPr>
          <w:rFonts w:hint="default" w:ascii="Times New Roman" w:hAnsi="Times New Roman" w:eastAsia="宋体" w:cs="Times New Roman"/>
          <w:b/>
          <w:bCs/>
          <w:color w:val="auto"/>
          <w:kern w:val="0"/>
          <w:sz w:val="24"/>
          <w:szCs w:val="24"/>
          <w:lang w:val="en-US" w:eastAsia="zh-CN" w:bidi="ar"/>
        </w:rPr>
        <w:t>非正常工况</w:t>
      </w:r>
      <w:r>
        <w:rPr>
          <w:rFonts w:hint="eastAsia" w:ascii="Times New Roman" w:hAnsi="Times New Roman" w:eastAsia="宋体" w:cs="Times New Roman"/>
          <w:b/>
          <w:bCs/>
          <w:color w:val="auto"/>
          <w:kern w:val="0"/>
          <w:sz w:val="24"/>
          <w:szCs w:val="24"/>
          <w:lang w:val="en-US" w:eastAsia="zh-CN" w:bidi="ar"/>
        </w:rPr>
        <w:t>有组织排放源参数表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9"/>
        <w:gridCol w:w="891"/>
        <w:gridCol w:w="726"/>
        <w:gridCol w:w="585"/>
        <w:gridCol w:w="939"/>
        <w:gridCol w:w="709"/>
        <w:gridCol w:w="846"/>
        <w:gridCol w:w="701"/>
        <w:gridCol w:w="1300"/>
        <w:gridCol w:w="894"/>
        <w:gridCol w:w="587"/>
        <w:gridCol w:w="846"/>
        <w:gridCol w:w="1110"/>
        <w:gridCol w:w="1328"/>
        <w:gridCol w:w="1033"/>
        <w:gridCol w:w="1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编号</w:t>
            </w:r>
          </w:p>
        </w:tc>
        <w:tc>
          <w:tcPr>
            <w:tcW w:w="314"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点源名称</w:t>
            </w:r>
          </w:p>
        </w:tc>
        <w:tc>
          <w:tcPr>
            <w:tcW w:w="462" w:type="pct"/>
            <w:gridSpan w:val="2"/>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排气筒底部中心坐标/m</w:t>
            </w:r>
          </w:p>
        </w:tc>
        <w:tc>
          <w:tcPr>
            <w:tcW w:w="331"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排气筒底海拔高度/m</w:t>
            </w:r>
          </w:p>
        </w:tc>
        <w:tc>
          <w:tcPr>
            <w:tcW w:w="250"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排气筒高度/m</w:t>
            </w:r>
          </w:p>
        </w:tc>
        <w:tc>
          <w:tcPr>
            <w:tcW w:w="298"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排气筒出口内径/m</w:t>
            </w:r>
          </w:p>
        </w:tc>
        <w:tc>
          <w:tcPr>
            <w:tcW w:w="247"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烟气温度/℃</w:t>
            </w:r>
          </w:p>
        </w:tc>
        <w:tc>
          <w:tcPr>
            <w:tcW w:w="458"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烟气流量/（m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vertAlign w:val="baseline"/>
                <w:lang w:val="en-US" w:eastAsia="zh-CN"/>
              </w:rPr>
              <w:t>/h）</w:t>
            </w:r>
          </w:p>
        </w:tc>
        <w:tc>
          <w:tcPr>
            <w:tcW w:w="315"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年排放小时数/h</w:t>
            </w:r>
          </w:p>
        </w:tc>
        <w:tc>
          <w:tcPr>
            <w:tcW w:w="207"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排放工况</w:t>
            </w:r>
          </w:p>
        </w:tc>
        <w:tc>
          <w:tcPr>
            <w:tcW w:w="1944" w:type="pct"/>
            <w:gridSpan w:val="5"/>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14"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56"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X</w:t>
            </w:r>
          </w:p>
        </w:tc>
        <w:tc>
          <w:tcPr>
            <w:tcW w:w="205"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Y</w:t>
            </w:r>
          </w:p>
        </w:tc>
        <w:tc>
          <w:tcPr>
            <w:tcW w:w="331"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50"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98"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4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458"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15"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0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98"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非甲烷总烃</w:t>
            </w:r>
          </w:p>
        </w:tc>
        <w:tc>
          <w:tcPr>
            <w:tcW w:w="391"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NH</w:t>
            </w:r>
            <w:r>
              <w:rPr>
                <w:rFonts w:hint="default" w:ascii="Times New Roman" w:hAnsi="Times New Roman" w:eastAsia="宋体" w:cs="Times New Roman"/>
                <w:color w:val="auto"/>
                <w:sz w:val="21"/>
                <w:szCs w:val="21"/>
                <w:vertAlign w:val="subscript"/>
                <w:lang w:val="en-US" w:eastAsia="zh-CN"/>
              </w:rPr>
              <w:t>3</w:t>
            </w:r>
          </w:p>
        </w:tc>
        <w:tc>
          <w:tcPr>
            <w:tcW w:w="468"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H</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vertAlign w:val="baseline"/>
                <w:lang w:val="en-US" w:eastAsia="zh-CN"/>
              </w:rPr>
              <w:t>S</w:t>
            </w:r>
          </w:p>
        </w:tc>
        <w:tc>
          <w:tcPr>
            <w:tcW w:w="364"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油脂烟气</w:t>
            </w:r>
          </w:p>
        </w:tc>
        <w:tc>
          <w:tcPr>
            <w:tcW w:w="421"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PM10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89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DA001</w:t>
            </w:r>
          </w:p>
        </w:tc>
        <w:tc>
          <w:tcPr>
            <w:tcW w:w="726"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26</w:t>
            </w:r>
          </w:p>
        </w:tc>
        <w:tc>
          <w:tcPr>
            <w:tcW w:w="585"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w:t>
            </w:r>
          </w:p>
        </w:tc>
        <w:tc>
          <w:tcPr>
            <w:tcW w:w="939"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473</w:t>
            </w:r>
          </w:p>
        </w:tc>
        <w:tc>
          <w:tcPr>
            <w:tcW w:w="709"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15</w:t>
            </w:r>
          </w:p>
        </w:tc>
        <w:tc>
          <w:tcPr>
            <w:tcW w:w="846"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0.8</w:t>
            </w:r>
          </w:p>
        </w:tc>
        <w:tc>
          <w:tcPr>
            <w:tcW w:w="70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20</w:t>
            </w:r>
          </w:p>
        </w:tc>
        <w:tc>
          <w:tcPr>
            <w:tcW w:w="1300"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r>
              <w:rPr>
                <w:rFonts w:hint="default" w:ascii="Times New Roman" w:hAnsi="Times New Roman" w:eastAsia="宋体" w:cs="Times New Roman"/>
                <w:color w:val="auto"/>
                <w:sz w:val="21"/>
                <w:szCs w:val="21"/>
                <w:vertAlign w:val="baseline"/>
                <w:lang w:val="en-US" w:eastAsia="zh-CN"/>
              </w:rPr>
              <w:t>5000</w:t>
            </w:r>
          </w:p>
        </w:tc>
        <w:tc>
          <w:tcPr>
            <w:tcW w:w="894"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5760</w:t>
            </w:r>
          </w:p>
        </w:tc>
        <w:tc>
          <w:tcPr>
            <w:tcW w:w="587"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正常</w:t>
            </w:r>
          </w:p>
        </w:tc>
        <w:tc>
          <w:tcPr>
            <w:tcW w:w="846"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2.1</w:t>
            </w:r>
          </w:p>
        </w:tc>
        <w:tc>
          <w:tcPr>
            <w:tcW w:w="1110"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0.28</w:t>
            </w:r>
          </w:p>
        </w:tc>
        <w:tc>
          <w:tcPr>
            <w:tcW w:w="1328"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w:t>
            </w:r>
          </w:p>
        </w:tc>
        <w:tc>
          <w:tcPr>
            <w:tcW w:w="1033"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7.47</w:t>
            </w:r>
            <w:r>
              <w:rPr>
                <w:rFonts w:hint="default" w:ascii="Times New Roman" w:hAnsi="Times New Roman" w:eastAsia="宋体" w:cs="Times New Roman"/>
                <w:color w:val="auto"/>
                <w:sz w:val="21"/>
                <w:szCs w:val="21"/>
                <w:vertAlign w:val="baseline"/>
                <w:lang w:val="en-US" w:eastAsia="zh-CN"/>
              </w:rPr>
              <w:t>×10</w:t>
            </w:r>
            <w:r>
              <w:rPr>
                <w:rFonts w:hint="default" w:ascii="Times New Roman" w:hAnsi="Times New Roman" w:eastAsia="宋体" w:cs="Times New Roman"/>
                <w:color w:val="auto"/>
                <w:sz w:val="21"/>
                <w:szCs w:val="21"/>
                <w:vertAlign w:val="superscript"/>
                <w:lang w:val="en-US" w:eastAsia="zh-CN"/>
              </w:rPr>
              <w:t>-3</w:t>
            </w:r>
          </w:p>
        </w:tc>
        <w:tc>
          <w:tcPr>
            <w:tcW w:w="1200"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89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DA002</w:t>
            </w:r>
          </w:p>
        </w:tc>
        <w:tc>
          <w:tcPr>
            <w:tcW w:w="726"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w:t>
            </w:r>
          </w:p>
        </w:tc>
        <w:tc>
          <w:tcPr>
            <w:tcW w:w="585"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28</w:t>
            </w:r>
          </w:p>
        </w:tc>
        <w:tc>
          <w:tcPr>
            <w:tcW w:w="939"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473</w:t>
            </w:r>
          </w:p>
        </w:tc>
        <w:tc>
          <w:tcPr>
            <w:tcW w:w="709"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15</w:t>
            </w:r>
          </w:p>
        </w:tc>
        <w:tc>
          <w:tcPr>
            <w:tcW w:w="846"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0.4</w:t>
            </w:r>
          </w:p>
        </w:tc>
        <w:tc>
          <w:tcPr>
            <w:tcW w:w="70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20</w:t>
            </w:r>
          </w:p>
        </w:tc>
        <w:tc>
          <w:tcPr>
            <w:tcW w:w="1300"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5000</w:t>
            </w:r>
          </w:p>
        </w:tc>
        <w:tc>
          <w:tcPr>
            <w:tcW w:w="894"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5760</w:t>
            </w:r>
          </w:p>
        </w:tc>
        <w:tc>
          <w:tcPr>
            <w:tcW w:w="587"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正常</w:t>
            </w:r>
          </w:p>
        </w:tc>
        <w:tc>
          <w:tcPr>
            <w:tcW w:w="846"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110"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0.006</w:t>
            </w:r>
          </w:p>
        </w:tc>
        <w:tc>
          <w:tcPr>
            <w:tcW w:w="1328"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7.5×10</w:t>
            </w:r>
            <w:r>
              <w:rPr>
                <w:rFonts w:hint="eastAsia" w:ascii="Times New Roman" w:hAnsi="Times New Roman" w:eastAsia="宋体" w:cs="Times New Roman"/>
                <w:color w:val="auto"/>
                <w:sz w:val="21"/>
                <w:szCs w:val="21"/>
                <w:vertAlign w:val="superscript"/>
                <w:lang w:val="en-US" w:eastAsia="zh-CN"/>
              </w:rPr>
              <w:t>-5</w:t>
            </w:r>
          </w:p>
        </w:tc>
        <w:tc>
          <w:tcPr>
            <w:tcW w:w="1033"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200"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1.16</w:t>
            </w:r>
          </w:p>
        </w:tc>
      </w:tr>
    </w:tbl>
    <w:p>
      <w:pPr>
        <w:keepNext w:val="0"/>
        <w:keepLines w:val="0"/>
        <w:pageBreakBefore w:val="0"/>
        <w:widowControl/>
        <w:numPr>
          <w:ilvl w:val="0"/>
          <w:numId w:val="0"/>
        </w:numPr>
        <w:suppressLineNumbers w:val="0"/>
        <w:kinsoku/>
        <w:wordWrap/>
        <w:overflowPunct/>
        <w:topLinePunct w:val="0"/>
        <w:autoSpaceDE/>
        <w:autoSpaceDN/>
        <w:bidi w:val="0"/>
        <w:spacing w:line="240" w:lineRule="auto"/>
        <w:jc w:val="left"/>
        <w:textAlignment w:val="auto"/>
        <w:rPr>
          <w:rFonts w:hint="default" w:ascii="Times New Roman" w:hAnsi="Times New Roman" w:eastAsia="宋体" w:cs="Times New Roman"/>
          <w:b/>
          <w:bCs/>
          <w:color w:val="auto"/>
          <w:kern w:val="0"/>
          <w:sz w:val="21"/>
          <w:szCs w:val="21"/>
          <w:lang w:val="en-US" w:eastAsia="zh-CN" w:bidi="ar"/>
        </w:rPr>
      </w:pPr>
    </w:p>
    <w:p>
      <w:pPr>
        <w:keepNext w:val="0"/>
        <w:keepLines w:val="0"/>
        <w:pageBreakBefore w:val="0"/>
        <w:widowControl/>
        <w:suppressLineNumbers w:val="0"/>
        <w:tabs>
          <w:tab w:val="left" w:pos="6123"/>
        </w:tabs>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bCs/>
          <w:color w:val="auto"/>
          <w:kern w:val="0"/>
          <w:sz w:val="24"/>
          <w:szCs w:val="24"/>
          <w:lang w:val="en-US" w:eastAsia="zh-CN" w:bidi="ar"/>
        </w:rPr>
      </w:pPr>
      <w:r>
        <w:rPr>
          <w:rFonts w:hint="eastAsia" w:ascii="Times New Roman" w:hAnsi="Times New Roman" w:eastAsia="宋体" w:cs="Times New Roman"/>
          <w:b/>
          <w:bCs/>
          <w:color w:val="auto"/>
          <w:kern w:val="0"/>
          <w:sz w:val="24"/>
          <w:szCs w:val="24"/>
          <w:lang w:val="en-US" w:eastAsia="zh-CN" w:bidi="ar"/>
        </w:rPr>
        <w:t xml:space="preserve">表 5.2.1-11    </w:t>
      </w:r>
      <w:r>
        <w:rPr>
          <w:rFonts w:hint="default" w:ascii="Times New Roman" w:hAnsi="Times New Roman" w:eastAsia="宋体" w:cs="Times New Roman"/>
          <w:b/>
          <w:bCs/>
          <w:color w:val="auto"/>
          <w:kern w:val="0"/>
          <w:sz w:val="24"/>
          <w:szCs w:val="24"/>
          <w:lang w:val="en-US" w:eastAsia="zh-CN" w:bidi="ar"/>
        </w:rPr>
        <w:t>无组织排放源参数</w:t>
      </w:r>
      <w:r>
        <w:rPr>
          <w:rFonts w:hint="eastAsia" w:ascii="Times New Roman" w:hAnsi="Times New Roman" w:eastAsia="宋体" w:cs="Times New Roman"/>
          <w:b/>
          <w:bCs/>
          <w:color w:val="auto"/>
          <w:kern w:val="0"/>
          <w:sz w:val="24"/>
          <w:szCs w:val="24"/>
          <w:lang w:val="en-US" w:eastAsia="zh-CN" w:bidi="ar"/>
        </w:rPr>
        <w:t>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0"/>
        <w:gridCol w:w="1233"/>
        <w:gridCol w:w="688"/>
        <w:gridCol w:w="691"/>
        <w:gridCol w:w="884"/>
        <w:gridCol w:w="720"/>
        <w:gridCol w:w="652"/>
        <w:gridCol w:w="871"/>
        <w:gridCol w:w="893"/>
        <w:gridCol w:w="584"/>
        <w:gridCol w:w="893"/>
        <w:gridCol w:w="1117"/>
        <w:gridCol w:w="1231"/>
        <w:gridCol w:w="1027"/>
        <w:gridCol w:w="1188"/>
        <w:gridCol w:w="10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编号</w:t>
            </w:r>
          </w:p>
        </w:tc>
        <w:tc>
          <w:tcPr>
            <w:tcW w:w="437"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点源名称</w:t>
            </w:r>
          </w:p>
        </w:tc>
        <w:tc>
          <w:tcPr>
            <w:tcW w:w="491" w:type="pct"/>
            <w:gridSpan w:val="2"/>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排气筒底部中心坐标/m</w:t>
            </w:r>
          </w:p>
        </w:tc>
        <w:tc>
          <w:tcPr>
            <w:tcW w:w="314"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面源底海拔高度/m</w:t>
            </w:r>
          </w:p>
        </w:tc>
        <w:tc>
          <w:tcPr>
            <w:tcW w:w="256"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面源宽度/m</w:t>
            </w:r>
          </w:p>
        </w:tc>
        <w:tc>
          <w:tcPr>
            <w:tcW w:w="232"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面源长度/m</w:t>
            </w:r>
          </w:p>
        </w:tc>
        <w:tc>
          <w:tcPr>
            <w:tcW w:w="309"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面源有效排放高度/m</w:t>
            </w:r>
          </w:p>
        </w:tc>
        <w:tc>
          <w:tcPr>
            <w:tcW w:w="317"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年排放小时数/h</w:t>
            </w:r>
          </w:p>
        </w:tc>
        <w:tc>
          <w:tcPr>
            <w:tcW w:w="208"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排放工况</w:t>
            </w:r>
          </w:p>
        </w:tc>
        <w:tc>
          <w:tcPr>
            <w:tcW w:w="2265" w:type="pct"/>
            <w:gridSpan w:val="6"/>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43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45"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X</w:t>
            </w:r>
          </w:p>
        </w:tc>
        <w:tc>
          <w:tcPr>
            <w:tcW w:w="246"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Y</w:t>
            </w:r>
          </w:p>
        </w:tc>
        <w:tc>
          <w:tcPr>
            <w:tcW w:w="314"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56"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32"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09"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1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08"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17"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非甲烷总烃</w:t>
            </w:r>
          </w:p>
        </w:tc>
        <w:tc>
          <w:tcPr>
            <w:tcW w:w="361"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NH</w:t>
            </w:r>
            <w:r>
              <w:rPr>
                <w:rFonts w:hint="default" w:ascii="Times New Roman" w:hAnsi="Times New Roman" w:eastAsia="宋体" w:cs="Times New Roman"/>
                <w:color w:val="auto"/>
                <w:sz w:val="21"/>
                <w:szCs w:val="21"/>
                <w:vertAlign w:val="subscript"/>
                <w:lang w:val="en-US" w:eastAsia="zh-CN"/>
              </w:rPr>
              <w:t>3</w:t>
            </w:r>
          </w:p>
        </w:tc>
        <w:tc>
          <w:tcPr>
            <w:tcW w:w="436"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H</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vertAlign w:val="baseline"/>
                <w:lang w:val="en-US" w:eastAsia="zh-CN"/>
              </w:rPr>
              <w:t>S</w:t>
            </w:r>
          </w:p>
        </w:tc>
        <w:tc>
          <w:tcPr>
            <w:tcW w:w="364"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油脂烟气</w:t>
            </w:r>
          </w:p>
        </w:tc>
        <w:tc>
          <w:tcPr>
            <w:tcW w:w="421"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TSP</w:t>
            </w:r>
          </w:p>
        </w:tc>
        <w:tc>
          <w:tcPr>
            <w:tcW w:w="364"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甲醇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437"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动植物油回收</w:t>
            </w:r>
            <w:r>
              <w:rPr>
                <w:rFonts w:hint="eastAsia" w:ascii="Times New Roman" w:hAnsi="Times New Roman" w:eastAsia="宋体" w:cs="Times New Roman"/>
                <w:color w:val="auto"/>
                <w:sz w:val="21"/>
                <w:szCs w:val="21"/>
                <w:vertAlign w:val="baseline"/>
                <w:lang w:val="en-US" w:eastAsia="zh-CN"/>
              </w:rPr>
              <w:t>、</w:t>
            </w:r>
            <w:r>
              <w:rPr>
                <w:rFonts w:hint="eastAsia" w:ascii="Times New Roman" w:hAnsi="Times New Roman" w:eastAsia="宋体" w:cs="Times New Roman"/>
                <w:color w:val="auto"/>
                <w:sz w:val="21"/>
                <w:szCs w:val="21"/>
                <w:lang w:val="en-US" w:eastAsia="zh-CN"/>
              </w:rPr>
              <w:t>生物燃料</w:t>
            </w:r>
            <w:r>
              <w:rPr>
                <w:rFonts w:hint="default" w:ascii="Times New Roman" w:hAnsi="Times New Roman" w:eastAsia="宋体" w:cs="Times New Roman"/>
                <w:color w:val="auto"/>
                <w:sz w:val="21"/>
                <w:szCs w:val="21"/>
                <w:vertAlign w:val="baseline"/>
                <w:lang w:val="en-US" w:eastAsia="zh-CN"/>
              </w:rPr>
              <w:t>车间</w:t>
            </w:r>
          </w:p>
        </w:tc>
        <w:tc>
          <w:tcPr>
            <w:tcW w:w="688"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33</w:t>
            </w:r>
          </w:p>
        </w:tc>
        <w:tc>
          <w:tcPr>
            <w:tcW w:w="69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w:t>
            </w:r>
          </w:p>
        </w:tc>
        <w:tc>
          <w:tcPr>
            <w:tcW w:w="884"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474</w:t>
            </w:r>
          </w:p>
        </w:tc>
        <w:tc>
          <w:tcPr>
            <w:tcW w:w="720"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100</w:t>
            </w:r>
          </w:p>
        </w:tc>
        <w:tc>
          <w:tcPr>
            <w:tcW w:w="652"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20</w:t>
            </w:r>
          </w:p>
        </w:tc>
        <w:tc>
          <w:tcPr>
            <w:tcW w:w="87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10</w:t>
            </w:r>
          </w:p>
        </w:tc>
        <w:tc>
          <w:tcPr>
            <w:tcW w:w="893"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5760</w:t>
            </w:r>
          </w:p>
        </w:tc>
        <w:tc>
          <w:tcPr>
            <w:tcW w:w="584"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正常</w:t>
            </w:r>
          </w:p>
        </w:tc>
        <w:tc>
          <w:tcPr>
            <w:tcW w:w="893"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0.14</w:t>
            </w:r>
          </w:p>
        </w:tc>
        <w:tc>
          <w:tcPr>
            <w:tcW w:w="1117"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0.029</w:t>
            </w:r>
          </w:p>
        </w:tc>
        <w:tc>
          <w:tcPr>
            <w:tcW w:w="123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2.45</w:t>
            </w:r>
            <w:r>
              <w:rPr>
                <w:rFonts w:hint="default" w:ascii="Times New Roman" w:hAnsi="Times New Roman" w:eastAsia="宋体" w:cs="Times New Roman"/>
                <w:color w:val="auto"/>
                <w:sz w:val="21"/>
                <w:szCs w:val="21"/>
                <w:vertAlign w:val="baseline"/>
                <w:lang w:val="en-US" w:eastAsia="zh-CN"/>
              </w:rPr>
              <w:t>×10</w:t>
            </w:r>
            <w:r>
              <w:rPr>
                <w:rFonts w:hint="default" w:ascii="Times New Roman" w:hAnsi="Times New Roman" w:eastAsia="宋体" w:cs="Times New Roman"/>
                <w:color w:val="auto"/>
                <w:sz w:val="21"/>
                <w:szCs w:val="21"/>
                <w:vertAlign w:val="superscript"/>
                <w:lang w:val="en-US" w:eastAsia="zh-CN"/>
              </w:rPr>
              <w:t>-3</w:t>
            </w:r>
          </w:p>
        </w:tc>
        <w:tc>
          <w:tcPr>
            <w:tcW w:w="1027"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3.47</w:t>
            </w:r>
            <w:r>
              <w:rPr>
                <w:rFonts w:hint="default" w:ascii="Times New Roman" w:hAnsi="Times New Roman" w:eastAsia="宋体" w:cs="Times New Roman"/>
                <w:color w:val="auto"/>
                <w:sz w:val="21"/>
                <w:szCs w:val="21"/>
                <w:vertAlign w:val="baseline"/>
                <w:lang w:val="en-US" w:eastAsia="zh-CN"/>
              </w:rPr>
              <w:t>×10</w:t>
            </w:r>
            <w:r>
              <w:rPr>
                <w:rFonts w:hint="default" w:ascii="Times New Roman" w:hAnsi="Times New Roman" w:eastAsia="宋体" w:cs="Times New Roman"/>
                <w:color w:val="auto"/>
                <w:sz w:val="21"/>
                <w:szCs w:val="21"/>
                <w:vertAlign w:val="superscript"/>
                <w:lang w:val="en-US" w:eastAsia="zh-CN"/>
              </w:rPr>
              <w:t>-4</w:t>
            </w:r>
          </w:p>
        </w:tc>
        <w:tc>
          <w:tcPr>
            <w:tcW w:w="1188"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0.03</w:t>
            </w:r>
          </w:p>
        </w:tc>
        <w:tc>
          <w:tcPr>
            <w:tcW w:w="1032"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8.68</w:t>
            </w:r>
            <w:r>
              <w:rPr>
                <w:rFonts w:hint="default" w:ascii="Times New Roman" w:hAnsi="Times New Roman" w:eastAsia="宋体" w:cs="Times New Roman"/>
                <w:color w:val="auto"/>
                <w:sz w:val="21"/>
                <w:szCs w:val="21"/>
                <w:vertAlign w:val="baseline"/>
                <w:lang w:val="en-US" w:eastAsia="zh-CN"/>
              </w:rPr>
              <w:t>×10</w:t>
            </w:r>
            <w:r>
              <w:rPr>
                <w:rFonts w:hint="default" w:ascii="Times New Roman" w:hAnsi="Times New Roman" w:eastAsia="宋体" w:cs="Times New Roman"/>
                <w:color w:val="auto"/>
                <w:sz w:val="21"/>
                <w:szCs w:val="21"/>
                <w:vertAlign w:val="superscript"/>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437"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水溶肥、有机肥车间</w:t>
            </w:r>
          </w:p>
        </w:tc>
        <w:tc>
          <w:tcPr>
            <w:tcW w:w="688"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c>
          <w:tcPr>
            <w:tcW w:w="69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-11</w:t>
            </w:r>
          </w:p>
        </w:tc>
        <w:tc>
          <w:tcPr>
            <w:tcW w:w="884"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474</w:t>
            </w:r>
          </w:p>
        </w:tc>
        <w:tc>
          <w:tcPr>
            <w:tcW w:w="720"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100</w:t>
            </w:r>
          </w:p>
        </w:tc>
        <w:tc>
          <w:tcPr>
            <w:tcW w:w="652"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30</w:t>
            </w:r>
          </w:p>
        </w:tc>
        <w:tc>
          <w:tcPr>
            <w:tcW w:w="87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10</w:t>
            </w:r>
          </w:p>
        </w:tc>
        <w:tc>
          <w:tcPr>
            <w:tcW w:w="893"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5760</w:t>
            </w:r>
          </w:p>
        </w:tc>
        <w:tc>
          <w:tcPr>
            <w:tcW w:w="584"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正常</w:t>
            </w:r>
          </w:p>
        </w:tc>
        <w:tc>
          <w:tcPr>
            <w:tcW w:w="893"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117"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6.41×10</w:t>
            </w:r>
            <w:r>
              <w:rPr>
                <w:rFonts w:hint="eastAsia" w:ascii="Times New Roman" w:hAnsi="Times New Roman" w:eastAsia="宋体" w:cs="Times New Roman"/>
                <w:color w:val="auto"/>
                <w:sz w:val="21"/>
                <w:szCs w:val="21"/>
                <w:vertAlign w:val="superscript"/>
                <w:lang w:val="en-US" w:eastAsia="zh-CN"/>
              </w:rPr>
              <w:t>-4</w:t>
            </w:r>
          </w:p>
        </w:tc>
        <w:tc>
          <w:tcPr>
            <w:tcW w:w="123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8.33×10</w:t>
            </w:r>
            <w:r>
              <w:rPr>
                <w:rFonts w:hint="eastAsia" w:ascii="Times New Roman" w:hAnsi="Times New Roman" w:eastAsia="宋体" w:cs="Times New Roman"/>
                <w:color w:val="auto"/>
                <w:sz w:val="21"/>
                <w:szCs w:val="21"/>
                <w:vertAlign w:val="superscript"/>
                <w:lang w:val="en-US" w:eastAsia="zh-CN"/>
              </w:rPr>
              <w:t>-6</w:t>
            </w:r>
          </w:p>
        </w:tc>
        <w:tc>
          <w:tcPr>
            <w:tcW w:w="1027"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188"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0.13</w:t>
            </w:r>
          </w:p>
        </w:tc>
        <w:tc>
          <w:tcPr>
            <w:tcW w:w="1032"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w:t>
            </w:r>
          </w:p>
        </w:tc>
        <w:tc>
          <w:tcPr>
            <w:tcW w:w="437"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罐区</w:t>
            </w:r>
          </w:p>
        </w:tc>
        <w:tc>
          <w:tcPr>
            <w:tcW w:w="688"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-40</w:t>
            </w:r>
          </w:p>
        </w:tc>
        <w:tc>
          <w:tcPr>
            <w:tcW w:w="69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11</w:t>
            </w:r>
          </w:p>
        </w:tc>
        <w:tc>
          <w:tcPr>
            <w:tcW w:w="884"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474</w:t>
            </w:r>
          </w:p>
        </w:tc>
        <w:tc>
          <w:tcPr>
            <w:tcW w:w="720"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45</w:t>
            </w:r>
          </w:p>
        </w:tc>
        <w:tc>
          <w:tcPr>
            <w:tcW w:w="652"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65</w:t>
            </w:r>
          </w:p>
        </w:tc>
        <w:tc>
          <w:tcPr>
            <w:tcW w:w="87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10</w:t>
            </w:r>
          </w:p>
        </w:tc>
        <w:tc>
          <w:tcPr>
            <w:tcW w:w="893"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5760</w:t>
            </w:r>
          </w:p>
        </w:tc>
        <w:tc>
          <w:tcPr>
            <w:tcW w:w="584"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正常</w:t>
            </w:r>
          </w:p>
        </w:tc>
        <w:tc>
          <w:tcPr>
            <w:tcW w:w="893"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0.04</w:t>
            </w:r>
          </w:p>
        </w:tc>
        <w:tc>
          <w:tcPr>
            <w:tcW w:w="1117"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231"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027"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188"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032"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bl>
    <w:p>
      <w:pPr>
        <w:keepNext w:val="0"/>
        <w:keepLines w:val="0"/>
        <w:pageBreakBefore w:val="0"/>
        <w:widowControl/>
        <w:suppressLineNumbers w:val="0"/>
        <w:tabs>
          <w:tab w:val="left" w:pos="6123"/>
        </w:tabs>
        <w:kinsoku/>
        <w:wordWrap/>
        <w:overflowPunct/>
        <w:topLinePunct w:val="0"/>
        <w:autoSpaceDE/>
        <w:autoSpaceDN/>
        <w:bidi w:val="0"/>
        <w:spacing w:line="240" w:lineRule="auto"/>
        <w:ind w:firstLine="0" w:firstLineChars="0"/>
        <w:jc w:val="left"/>
        <w:textAlignment w:val="auto"/>
        <w:rPr>
          <w:rFonts w:hint="default" w:ascii="Times New Roman" w:hAnsi="Times New Roman" w:eastAsia="宋体" w:cs="Times New Roman"/>
          <w:b/>
          <w:bCs/>
          <w:color w:val="auto"/>
          <w:kern w:val="0"/>
          <w:sz w:val="21"/>
          <w:szCs w:val="21"/>
          <w:lang w:val="en-US" w:eastAsia="zh-CN" w:bidi="ar"/>
        </w:rPr>
      </w:pPr>
    </w:p>
    <w:p>
      <w:pPr>
        <w:pStyle w:val="11"/>
        <w:keepNext w:val="0"/>
        <w:keepLines w:val="0"/>
        <w:pageBreakBefore w:val="0"/>
        <w:numPr>
          <w:ilvl w:val="0"/>
          <w:numId w:val="0"/>
        </w:numPr>
        <w:kinsoku/>
        <w:wordWrap/>
        <w:overflowPunct/>
        <w:topLinePunct w:val="0"/>
        <w:autoSpaceDE/>
        <w:autoSpaceDN/>
        <w:bidi w:val="0"/>
        <w:spacing w:line="240" w:lineRule="auto"/>
        <w:ind w:leftChars="0"/>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 xml:space="preserve">表 5.2.1-12    </w:t>
      </w:r>
      <w:r>
        <w:rPr>
          <w:rFonts w:hint="default" w:ascii="Times New Roman" w:hAnsi="Times New Roman" w:eastAsia="宋体" w:cs="Times New Roman"/>
          <w:b/>
          <w:bCs/>
          <w:color w:val="auto"/>
          <w:sz w:val="24"/>
          <w:szCs w:val="24"/>
          <w:lang w:val="en-US" w:eastAsia="zh-CN"/>
        </w:rPr>
        <w:t>园区在建、拟建项目点源污染物</w:t>
      </w:r>
      <w:r>
        <w:rPr>
          <w:rFonts w:hint="eastAsia" w:ascii="Times New Roman" w:hAnsi="Times New Roman" w:eastAsia="宋体" w:cs="Times New Roman"/>
          <w:b/>
          <w:bCs/>
          <w:color w:val="auto"/>
          <w:sz w:val="24"/>
          <w:szCs w:val="24"/>
          <w:lang w:val="en-US" w:eastAsia="zh-CN"/>
        </w:rPr>
        <w:t>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3"/>
        <w:gridCol w:w="1651"/>
        <w:gridCol w:w="928"/>
        <w:gridCol w:w="845"/>
        <w:gridCol w:w="1228"/>
        <w:gridCol w:w="899"/>
        <w:gridCol w:w="1084"/>
        <w:gridCol w:w="854"/>
        <w:gridCol w:w="1427"/>
        <w:gridCol w:w="1075"/>
        <w:gridCol w:w="701"/>
        <w:gridCol w:w="1004"/>
        <w:gridCol w:w="1110"/>
        <w:gridCol w:w="8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编号</w:t>
            </w:r>
          </w:p>
        </w:tc>
        <w:tc>
          <w:tcPr>
            <w:tcW w:w="582"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点源名称</w:t>
            </w:r>
          </w:p>
        </w:tc>
        <w:tc>
          <w:tcPr>
            <w:tcW w:w="625" w:type="pct"/>
            <w:gridSpan w:val="2"/>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排气筒底部中心坐标/m</w:t>
            </w:r>
          </w:p>
        </w:tc>
        <w:tc>
          <w:tcPr>
            <w:tcW w:w="433"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排气筒底海拔高度/m</w:t>
            </w:r>
          </w:p>
        </w:tc>
        <w:tc>
          <w:tcPr>
            <w:tcW w:w="317"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排气筒高度/m</w:t>
            </w:r>
          </w:p>
        </w:tc>
        <w:tc>
          <w:tcPr>
            <w:tcW w:w="382"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排气筒出口内径/m</w:t>
            </w:r>
          </w:p>
        </w:tc>
        <w:tc>
          <w:tcPr>
            <w:tcW w:w="301"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烟气温度/℃</w:t>
            </w:r>
          </w:p>
        </w:tc>
        <w:tc>
          <w:tcPr>
            <w:tcW w:w="503"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烟气流量/（m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vertAlign w:val="baseline"/>
                <w:lang w:val="en-US" w:eastAsia="zh-CN"/>
              </w:rPr>
              <w:t>/h）</w:t>
            </w:r>
          </w:p>
        </w:tc>
        <w:tc>
          <w:tcPr>
            <w:tcW w:w="379"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年排放小时数/h</w:t>
            </w:r>
          </w:p>
        </w:tc>
        <w:tc>
          <w:tcPr>
            <w:tcW w:w="247"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排放工况</w:t>
            </w:r>
          </w:p>
        </w:tc>
        <w:tc>
          <w:tcPr>
            <w:tcW w:w="1046" w:type="pct"/>
            <w:gridSpan w:val="3"/>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82"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27"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X</w:t>
            </w:r>
          </w:p>
        </w:tc>
        <w:tc>
          <w:tcPr>
            <w:tcW w:w="298"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Y</w:t>
            </w:r>
          </w:p>
        </w:tc>
        <w:tc>
          <w:tcPr>
            <w:tcW w:w="433"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1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82"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01"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03"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79"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47"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54"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PM</w:t>
            </w:r>
            <w:r>
              <w:rPr>
                <w:rFonts w:hint="default" w:ascii="Times New Roman" w:hAnsi="Times New Roman" w:eastAsia="宋体" w:cs="Times New Roman"/>
                <w:color w:val="auto"/>
                <w:sz w:val="21"/>
                <w:szCs w:val="21"/>
                <w:vertAlign w:val="subscript"/>
                <w:lang w:val="en-US" w:eastAsia="zh-CN"/>
              </w:rPr>
              <w:t>10</w:t>
            </w:r>
          </w:p>
        </w:tc>
        <w:tc>
          <w:tcPr>
            <w:tcW w:w="391"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PM</w:t>
            </w:r>
            <w:r>
              <w:rPr>
                <w:rFonts w:hint="default" w:ascii="Times New Roman" w:hAnsi="Times New Roman" w:eastAsia="宋体" w:cs="Times New Roman"/>
                <w:color w:val="auto"/>
                <w:sz w:val="21"/>
                <w:szCs w:val="21"/>
                <w:vertAlign w:val="subscript"/>
                <w:lang w:val="en-US" w:eastAsia="zh-CN"/>
              </w:rPr>
              <w:t>2.5</w:t>
            </w:r>
          </w:p>
        </w:tc>
        <w:tc>
          <w:tcPr>
            <w:tcW w:w="301"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NMHC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58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锐圆通化工多聚甲醛、甲缩醛</w:t>
            </w:r>
          </w:p>
        </w:tc>
        <w:tc>
          <w:tcPr>
            <w:tcW w:w="927"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-1089</w:t>
            </w:r>
          </w:p>
        </w:tc>
        <w:tc>
          <w:tcPr>
            <w:tcW w:w="845" w:type="dxa"/>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1497</w:t>
            </w:r>
          </w:p>
        </w:tc>
        <w:tc>
          <w:tcPr>
            <w:tcW w:w="433"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473</w:t>
            </w:r>
          </w:p>
        </w:tc>
        <w:tc>
          <w:tcPr>
            <w:tcW w:w="317"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15</w:t>
            </w:r>
          </w:p>
        </w:tc>
        <w:tc>
          <w:tcPr>
            <w:tcW w:w="38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301"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90</w:t>
            </w:r>
          </w:p>
        </w:tc>
        <w:tc>
          <w:tcPr>
            <w:tcW w:w="503"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20000</w:t>
            </w:r>
          </w:p>
        </w:tc>
        <w:tc>
          <w:tcPr>
            <w:tcW w:w="379"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7920</w:t>
            </w:r>
          </w:p>
        </w:tc>
        <w:tc>
          <w:tcPr>
            <w:tcW w:w="247"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正常</w:t>
            </w:r>
          </w:p>
        </w:tc>
        <w:tc>
          <w:tcPr>
            <w:tcW w:w="354"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0.000625</w:t>
            </w:r>
          </w:p>
        </w:tc>
        <w:tc>
          <w:tcPr>
            <w:tcW w:w="391"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0.0003125</w:t>
            </w:r>
          </w:p>
        </w:tc>
        <w:tc>
          <w:tcPr>
            <w:tcW w:w="301"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0.009</w:t>
            </w:r>
          </w:p>
        </w:tc>
      </w:tr>
    </w:tbl>
    <w:p>
      <w:pPr>
        <w:keepNext w:val="0"/>
        <w:keepLines w:val="0"/>
        <w:pageBreakBefore w:val="0"/>
        <w:widowControl/>
        <w:suppressLineNumbers w:val="0"/>
        <w:tabs>
          <w:tab w:val="left" w:pos="6123"/>
        </w:tabs>
        <w:kinsoku/>
        <w:wordWrap/>
        <w:overflowPunct/>
        <w:topLinePunct w:val="0"/>
        <w:autoSpaceDE/>
        <w:autoSpaceDN/>
        <w:bidi w:val="0"/>
        <w:spacing w:line="240" w:lineRule="auto"/>
        <w:ind w:firstLine="0" w:firstLineChars="0"/>
        <w:jc w:val="left"/>
        <w:textAlignment w:val="auto"/>
        <w:rPr>
          <w:rFonts w:hint="default" w:ascii="Times New Roman" w:hAnsi="Times New Roman" w:eastAsia="宋体" w:cs="Times New Roman"/>
          <w:b/>
          <w:bCs/>
          <w:color w:val="auto"/>
          <w:kern w:val="0"/>
          <w:sz w:val="21"/>
          <w:szCs w:val="21"/>
          <w:lang w:val="en-US" w:eastAsia="zh-CN" w:bidi="ar"/>
        </w:rPr>
      </w:pPr>
    </w:p>
    <w:p>
      <w:pPr>
        <w:pStyle w:val="11"/>
        <w:keepNext w:val="0"/>
        <w:keepLines w:val="0"/>
        <w:pageBreakBefore w:val="0"/>
        <w:numPr>
          <w:ilvl w:val="0"/>
          <w:numId w:val="0"/>
        </w:numPr>
        <w:kinsoku/>
        <w:wordWrap/>
        <w:overflowPunct/>
        <w:topLinePunct w:val="0"/>
        <w:autoSpaceDE/>
        <w:autoSpaceDN/>
        <w:bidi w:val="0"/>
        <w:spacing w:line="240" w:lineRule="auto"/>
        <w:ind w:leftChars="0"/>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 xml:space="preserve">表 5.2.1-13     </w:t>
      </w:r>
      <w:r>
        <w:rPr>
          <w:rFonts w:hint="default" w:ascii="Times New Roman" w:hAnsi="Times New Roman" w:eastAsia="宋体" w:cs="Times New Roman"/>
          <w:b/>
          <w:bCs/>
          <w:color w:val="auto"/>
          <w:sz w:val="24"/>
          <w:szCs w:val="24"/>
          <w:lang w:val="en-US" w:eastAsia="zh-CN"/>
        </w:rPr>
        <w:t>园区在建、拟建项目面源污染物</w:t>
      </w:r>
      <w:r>
        <w:rPr>
          <w:rFonts w:hint="eastAsia" w:ascii="Times New Roman" w:hAnsi="Times New Roman" w:eastAsia="宋体" w:cs="Times New Roman"/>
          <w:b/>
          <w:bCs/>
          <w:color w:val="auto"/>
          <w:sz w:val="24"/>
          <w:szCs w:val="24"/>
          <w:lang w:val="en-US" w:eastAsia="zh-CN"/>
        </w:rPr>
        <w:t>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5"/>
        <w:gridCol w:w="1966"/>
        <w:gridCol w:w="1044"/>
        <w:gridCol w:w="953"/>
        <w:gridCol w:w="1308"/>
        <w:gridCol w:w="999"/>
        <w:gridCol w:w="999"/>
        <w:gridCol w:w="1558"/>
        <w:gridCol w:w="1305"/>
        <w:gridCol w:w="846"/>
        <w:gridCol w:w="624"/>
        <w:gridCol w:w="590"/>
        <w:gridCol w:w="565"/>
        <w:gridCol w:w="8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编号</w:t>
            </w:r>
          </w:p>
        </w:tc>
        <w:tc>
          <w:tcPr>
            <w:tcW w:w="693"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点源名称</w:t>
            </w:r>
          </w:p>
        </w:tc>
        <w:tc>
          <w:tcPr>
            <w:tcW w:w="704" w:type="pct"/>
            <w:gridSpan w:val="2"/>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排气筒底部中心坐标/m</w:t>
            </w:r>
          </w:p>
        </w:tc>
        <w:tc>
          <w:tcPr>
            <w:tcW w:w="461"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面源海拔高度/m</w:t>
            </w:r>
          </w:p>
        </w:tc>
        <w:tc>
          <w:tcPr>
            <w:tcW w:w="352"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面源宽度/m</w:t>
            </w:r>
          </w:p>
        </w:tc>
        <w:tc>
          <w:tcPr>
            <w:tcW w:w="352"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面源长度/m</w:t>
            </w:r>
          </w:p>
        </w:tc>
        <w:tc>
          <w:tcPr>
            <w:tcW w:w="549"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面源有效排放高度/m</w:t>
            </w:r>
          </w:p>
        </w:tc>
        <w:tc>
          <w:tcPr>
            <w:tcW w:w="460"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年排放小时数/h</w:t>
            </w:r>
          </w:p>
        </w:tc>
        <w:tc>
          <w:tcPr>
            <w:tcW w:w="298" w:type="pct"/>
            <w:vMerge w:val="restar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排放工况</w:t>
            </w:r>
          </w:p>
        </w:tc>
        <w:tc>
          <w:tcPr>
            <w:tcW w:w="927" w:type="pct"/>
            <w:gridSpan w:val="4"/>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693"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68"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X</w:t>
            </w:r>
          </w:p>
        </w:tc>
        <w:tc>
          <w:tcPr>
            <w:tcW w:w="335"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Y</w:t>
            </w:r>
          </w:p>
        </w:tc>
        <w:tc>
          <w:tcPr>
            <w:tcW w:w="461"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52"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52"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49"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460"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98" w:type="pct"/>
            <w:vMerge w:val="continue"/>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20"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NH</w:t>
            </w:r>
            <w:r>
              <w:rPr>
                <w:rFonts w:hint="default" w:ascii="Times New Roman" w:hAnsi="Times New Roman" w:eastAsia="宋体" w:cs="Times New Roman"/>
                <w:color w:val="auto"/>
                <w:sz w:val="21"/>
                <w:szCs w:val="21"/>
                <w:vertAlign w:val="subscript"/>
                <w:lang w:val="en-US" w:eastAsia="zh-CN"/>
              </w:rPr>
              <w:t>3</w:t>
            </w:r>
          </w:p>
        </w:tc>
        <w:tc>
          <w:tcPr>
            <w:tcW w:w="208"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H</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vertAlign w:val="baseline"/>
                <w:lang w:val="en-US" w:eastAsia="zh-CN"/>
              </w:rPr>
              <w:t>S</w:t>
            </w:r>
          </w:p>
        </w:tc>
        <w:tc>
          <w:tcPr>
            <w:tcW w:w="199"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硫酸</w:t>
            </w:r>
            <w:r>
              <w:rPr>
                <w:rFonts w:hint="eastAsia" w:ascii="Times New Roman" w:hAnsi="Times New Roman" w:eastAsia="宋体" w:cs="Times New Roman"/>
                <w:color w:val="auto"/>
                <w:sz w:val="21"/>
                <w:szCs w:val="21"/>
                <w:vertAlign w:val="baseline"/>
                <w:lang w:val="en-US" w:eastAsia="zh-CN"/>
              </w:rPr>
              <w:t>雾</w:t>
            </w:r>
          </w:p>
        </w:tc>
        <w:tc>
          <w:tcPr>
            <w:tcW w:w="299"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NMHC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693"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埃特邦建材新型防火板项目</w:t>
            </w:r>
          </w:p>
        </w:tc>
        <w:tc>
          <w:tcPr>
            <w:tcW w:w="368"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-1332</w:t>
            </w:r>
          </w:p>
        </w:tc>
        <w:tc>
          <w:tcPr>
            <w:tcW w:w="335"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-468</w:t>
            </w:r>
          </w:p>
        </w:tc>
        <w:tc>
          <w:tcPr>
            <w:tcW w:w="461"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473</w:t>
            </w:r>
          </w:p>
        </w:tc>
        <w:tc>
          <w:tcPr>
            <w:tcW w:w="35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65</w:t>
            </w:r>
          </w:p>
        </w:tc>
        <w:tc>
          <w:tcPr>
            <w:tcW w:w="352"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30</w:t>
            </w:r>
          </w:p>
        </w:tc>
        <w:tc>
          <w:tcPr>
            <w:tcW w:w="549"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w:t>
            </w:r>
          </w:p>
        </w:tc>
        <w:tc>
          <w:tcPr>
            <w:tcW w:w="460"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7920</w:t>
            </w:r>
          </w:p>
        </w:tc>
        <w:tc>
          <w:tcPr>
            <w:tcW w:w="298"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正常</w:t>
            </w:r>
          </w:p>
        </w:tc>
        <w:tc>
          <w:tcPr>
            <w:tcW w:w="220"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208"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99"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299" w:type="pct"/>
            <w:vAlign w:val="center"/>
          </w:tcPr>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0.002</w:t>
            </w:r>
          </w:p>
        </w:tc>
      </w:tr>
    </w:tbl>
    <w:p>
      <w:pPr>
        <w:pStyle w:val="26"/>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b/>
          <w:bCs/>
          <w:color w:val="auto"/>
          <w:sz w:val="24"/>
          <w:szCs w:val="24"/>
          <w:lang w:val="en-US" w:eastAsia="zh-CN"/>
        </w:rPr>
      </w:pPr>
    </w:p>
    <w:p>
      <w:pPr>
        <w:pStyle w:val="26"/>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rFonts w:hint="default" w:ascii="Times New Roman" w:hAnsi="Times New Roman" w:cs="Times New Roman"/>
          <w:color w:val="auto"/>
          <w:sz w:val="21"/>
          <w:szCs w:val="21"/>
          <w:lang w:val="en-US" w:eastAsia="zh-CN"/>
        </w:rPr>
      </w:pPr>
    </w:p>
    <w:p>
      <w:pPr>
        <w:pStyle w:val="26"/>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rFonts w:hint="default" w:ascii="Times New Roman" w:hAnsi="Times New Roman" w:cs="Times New Roman"/>
          <w:color w:val="auto"/>
          <w:sz w:val="21"/>
          <w:szCs w:val="21"/>
          <w:lang w:val="en-US" w:eastAsia="zh-CN"/>
        </w:rPr>
      </w:pPr>
    </w:p>
    <w:p>
      <w:pPr>
        <w:pStyle w:val="26"/>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rFonts w:hint="default" w:ascii="Times New Roman" w:hAnsi="Times New Roman" w:cs="Times New Roman"/>
          <w:color w:val="auto"/>
          <w:sz w:val="21"/>
          <w:szCs w:val="21"/>
          <w:lang w:val="en-US" w:eastAsia="zh-CN"/>
        </w:rPr>
      </w:pPr>
    </w:p>
    <w:p>
      <w:pPr>
        <w:pStyle w:val="26"/>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rFonts w:hint="default" w:ascii="Times New Roman" w:hAnsi="Times New Roman" w:cs="Times New Roman"/>
          <w:color w:val="auto"/>
          <w:lang w:val="en-US" w:eastAsia="zh-CN"/>
        </w:rPr>
      </w:pPr>
      <w:r>
        <w:rPr>
          <w:rFonts w:hint="default" w:ascii="Times New Roman" w:hAnsi="Times New Roman" w:cs="Times New Roman"/>
          <w:color w:val="auto"/>
          <w:sz w:val="21"/>
          <w:szCs w:val="21"/>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pStyle w:val="26"/>
        <w:keepNext w:val="0"/>
        <w:keepLines w:val="0"/>
        <w:pageBreakBefore w:val="0"/>
        <w:widowControl w:val="0"/>
        <w:kinsoku/>
        <w:wordWrap/>
        <w:overflowPunct/>
        <w:topLinePunct w:val="0"/>
        <w:autoSpaceDE/>
        <w:autoSpaceDN/>
        <w:bidi w:val="0"/>
        <w:spacing w:line="560" w:lineRule="exac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4</w:t>
      </w:r>
      <w:r>
        <w:rPr>
          <w:rFonts w:hint="default" w:ascii="Times New Roman" w:hAnsi="Times New Roman" w:eastAsia="宋体" w:cs="Times New Roman"/>
          <w:color w:val="auto"/>
          <w:lang w:val="en-US" w:eastAsia="zh-CN"/>
        </w:rPr>
        <w:t>）预测内容</w:t>
      </w:r>
    </w:p>
    <w:p>
      <w:pPr>
        <w:pStyle w:val="26"/>
        <w:keepNext w:val="0"/>
        <w:keepLines w:val="0"/>
        <w:pageBreakBefore w:val="0"/>
        <w:widowControl w:val="0"/>
        <w:kinsoku/>
        <w:wordWrap/>
        <w:overflowPunct/>
        <w:topLinePunct w:val="0"/>
        <w:autoSpaceDE/>
        <w:autoSpaceDN/>
        <w:bidi w:val="0"/>
        <w:spacing w:line="560" w:lineRule="exac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根据环境现状质量章节，本项目属于不达标区，因此主要进行达标区的评价，对照《环境影响评价技术导则-大气环境》</w:t>
      </w: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t>HJ2.2-2018</w:t>
      </w: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t>表</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5</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预测内容和评价要求，本次预测方案如下：</w:t>
      </w:r>
    </w:p>
    <w:p>
      <w:pPr>
        <w:pStyle w:val="26"/>
        <w:keepNext w:val="0"/>
        <w:keepLines w:val="0"/>
        <w:pageBreakBefore w:val="0"/>
        <w:widowControl w:val="0"/>
        <w:kinsoku/>
        <w:wordWrap/>
        <w:overflowPunct/>
        <w:topLinePunct w:val="0"/>
        <w:autoSpaceDE/>
        <w:autoSpaceDN/>
        <w:bidi w:val="0"/>
        <w:spacing w:line="560" w:lineRule="exac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①</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项目正常排放条件下，预测环境空气保护目标和网格点主要污染物的短期浓度和长期浓度贡献值，并评价其最大浓度占标率。</w:t>
      </w:r>
    </w:p>
    <w:p>
      <w:pPr>
        <w:pStyle w:val="26"/>
        <w:keepNext w:val="0"/>
        <w:keepLines w:val="0"/>
        <w:pageBreakBefore w:val="0"/>
        <w:widowControl w:val="0"/>
        <w:kinsoku/>
        <w:wordWrap/>
        <w:overflowPunct/>
        <w:topLinePunct w:val="0"/>
        <w:autoSpaceDE/>
        <w:autoSpaceDN/>
        <w:bidi w:val="0"/>
        <w:spacing w:line="560" w:lineRule="exac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②</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项目正常排放条件下，预测评价叠加环境空气质量现状浓度后，环境空气保护目标和网格点主要污染物的保证率日平均质量浓度和年平均质量浓度的达标情况；对于项目排放的主要污染物仅有短期浓度限值的，评价其短期浓度叠加后的达标情况。如果是改建、扩建项目，还应同步减去“以新带老”污染源的环境影响。如果有区域削减项目，应同步减去削减源的环境影响。如果评价范围内还有其他排放同类污染物的在建、拟建项目，还应叠加在建、拟建项目的环境影响。</w:t>
      </w:r>
    </w:p>
    <w:p>
      <w:pPr>
        <w:pStyle w:val="26"/>
        <w:keepNext w:val="0"/>
        <w:keepLines w:val="0"/>
        <w:pageBreakBefore w:val="0"/>
        <w:widowControl w:val="0"/>
        <w:kinsoku/>
        <w:wordWrap/>
        <w:overflowPunct/>
        <w:topLinePunct w:val="0"/>
        <w:autoSpaceDE/>
        <w:autoSpaceDN/>
        <w:bidi w:val="0"/>
        <w:spacing w:line="560" w:lineRule="exac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③</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项目非正常排放条件下，预测环境空气保护目标和网格点主要污染物的lh最大浓度贡献值，评价其最大浓度占标率；</w:t>
      </w:r>
    </w:p>
    <w:p>
      <w:pPr>
        <w:pStyle w:val="26"/>
        <w:keepNext w:val="0"/>
        <w:keepLines w:val="0"/>
        <w:pageBreakBefore w:val="0"/>
        <w:widowControl w:val="0"/>
        <w:kinsoku/>
        <w:wordWrap/>
        <w:overflowPunct/>
        <w:topLinePunct w:val="0"/>
        <w:autoSpaceDE/>
        <w:autoSpaceDN/>
        <w:bidi w:val="0"/>
        <w:spacing w:line="560" w:lineRule="exac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④</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大气环境防护距离。</w:t>
      </w:r>
    </w:p>
    <w:p>
      <w:pPr>
        <w:pStyle w:val="26"/>
        <w:keepNext w:val="0"/>
        <w:keepLines w:val="0"/>
        <w:pageBreakBefore w:val="0"/>
        <w:widowControl w:val="0"/>
        <w:kinsoku/>
        <w:wordWrap/>
        <w:overflowPunct/>
        <w:topLinePunct w:val="0"/>
        <w:autoSpaceDE/>
        <w:autoSpaceDN/>
        <w:bidi w:val="0"/>
        <w:spacing w:line="560" w:lineRule="exac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大气环境影响预测内容和评价要求见</w:t>
      </w:r>
      <w:r>
        <w:rPr>
          <w:rFonts w:hint="eastAsia" w:ascii="Times New Roman" w:hAnsi="Times New Roman" w:eastAsia="宋体" w:cs="Times New Roman"/>
          <w:color w:val="auto"/>
          <w:lang w:val="en-US" w:eastAsia="zh-CN"/>
        </w:rPr>
        <w:t>下表。</w:t>
      </w:r>
    </w:p>
    <w:p>
      <w:pPr>
        <w:pStyle w:val="3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highlight w:val="none"/>
          <w:lang w:val="en-US" w:eastAsia="zh-CN"/>
        </w:rPr>
      </w:pPr>
      <w:r>
        <w:rPr>
          <w:rFonts w:hint="default" w:ascii="Times New Roman" w:hAnsi="Times New Roman" w:eastAsia="宋体" w:cs="Times New Roman"/>
          <w:b/>
          <w:color w:val="auto"/>
          <w:highlight w:val="none"/>
          <w:lang w:val="en-US" w:eastAsia="zh-CN"/>
        </w:rPr>
        <w:t xml:space="preserve">表 5.2.1-14    </w:t>
      </w:r>
      <w:r>
        <w:rPr>
          <w:rFonts w:hint="default" w:ascii="Times New Roman" w:hAnsi="Times New Roman" w:eastAsia="宋体" w:cs="Times New Roman"/>
          <w:b/>
          <w:color w:val="auto"/>
          <w:highlight w:val="none"/>
        </w:rPr>
        <w:t>预测内容</w:t>
      </w:r>
      <w:r>
        <w:rPr>
          <w:rFonts w:hint="default" w:ascii="Times New Roman" w:hAnsi="Times New Roman" w:eastAsia="宋体" w:cs="Times New Roman"/>
          <w:b/>
          <w:color w:val="auto"/>
          <w:highlight w:val="none"/>
          <w:lang w:eastAsia="zh-CN"/>
        </w:rPr>
        <w:t>和评价要求</w:t>
      </w:r>
      <w:r>
        <w:rPr>
          <w:rFonts w:hint="default" w:ascii="Times New Roman" w:hAnsi="Times New Roman" w:eastAsia="宋体" w:cs="Times New Roman"/>
          <w:b/>
          <w:color w:val="auto"/>
          <w:highlight w:val="none"/>
          <w:lang w:val="en-US" w:eastAsia="zh-CN"/>
        </w:rPr>
        <w:t>一览表</w:t>
      </w:r>
    </w:p>
    <w:tbl>
      <w:tblPr>
        <w:tblStyle w:val="21"/>
        <w:tblpPr w:leftFromText="180" w:rightFromText="180" w:vertAnchor="text" w:tblpXSpec="center" w:tblpY="1"/>
        <w:tblOverlap w:val="never"/>
        <w:tblW w:w="850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82"/>
        <w:gridCol w:w="2270"/>
        <w:gridCol w:w="1120"/>
        <w:gridCol w:w="1800"/>
        <w:gridCol w:w="253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82" w:type="dxa"/>
            <w:tcBorders>
              <w:tl2br w:val="nil"/>
              <w:tr2bl w:val="nil"/>
            </w:tcBorders>
            <w:noWrap w:val="0"/>
            <w:vAlign w:val="center"/>
          </w:tcPr>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rPr>
            </w:pPr>
            <w:bookmarkStart w:id="67" w:name="_Toc24116"/>
            <w:r>
              <w:rPr>
                <w:rFonts w:hint="default" w:ascii="Times New Roman" w:hAnsi="Times New Roman" w:eastAsia="宋体" w:cs="Times New Roman"/>
                <w:color w:val="auto"/>
                <w:sz w:val="21"/>
                <w:szCs w:val="21"/>
                <w:highlight w:val="none"/>
              </w:rPr>
              <w:t>评价</w:t>
            </w:r>
            <w:bookmarkEnd w:id="67"/>
          </w:p>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rPr>
            </w:pPr>
            <w:bookmarkStart w:id="68" w:name="_Toc23372"/>
            <w:r>
              <w:rPr>
                <w:rFonts w:hint="default" w:ascii="Times New Roman" w:hAnsi="Times New Roman" w:eastAsia="宋体" w:cs="Times New Roman"/>
                <w:color w:val="auto"/>
                <w:sz w:val="21"/>
                <w:szCs w:val="21"/>
                <w:highlight w:val="none"/>
              </w:rPr>
              <w:t>对象</w:t>
            </w:r>
            <w:bookmarkEnd w:id="68"/>
          </w:p>
        </w:tc>
        <w:tc>
          <w:tcPr>
            <w:tcW w:w="2270" w:type="dxa"/>
            <w:tcBorders>
              <w:tl2br w:val="nil"/>
              <w:tr2bl w:val="nil"/>
            </w:tcBorders>
            <w:noWrap w:val="0"/>
            <w:vAlign w:val="center"/>
          </w:tcPr>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污染源</w:t>
            </w:r>
          </w:p>
        </w:tc>
        <w:tc>
          <w:tcPr>
            <w:tcW w:w="1120" w:type="dxa"/>
            <w:tcBorders>
              <w:tl2br w:val="nil"/>
              <w:tr2bl w:val="nil"/>
            </w:tcBorders>
            <w:noWrap w:val="0"/>
            <w:vAlign w:val="center"/>
          </w:tcPr>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kern w:val="2"/>
                <w:sz w:val="21"/>
                <w:szCs w:val="21"/>
                <w:highlight w:val="none"/>
                <w:lang w:val="en-US" w:eastAsia="zh-CN" w:bidi="ar-SA"/>
              </w:rPr>
            </w:pPr>
            <w:bookmarkStart w:id="69" w:name="_Toc4439"/>
            <w:r>
              <w:rPr>
                <w:rFonts w:hint="default" w:ascii="Times New Roman" w:hAnsi="Times New Roman" w:eastAsia="宋体" w:cs="Times New Roman"/>
                <w:color w:val="auto"/>
                <w:sz w:val="21"/>
                <w:szCs w:val="21"/>
                <w:highlight w:val="none"/>
              </w:rPr>
              <w:t>污染源排放形式</w:t>
            </w:r>
          </w:p>
        </w:tc>
        <w:tc>
          <w:tcPr>
            <w:tcW w:w="1800" w:type="dxa"/>
            <w:tcBorders>
              <w:tl2br w:val="nil"/>
              <w:tr2bl w:val="nil"/>
            </w:tcBorders>
            <w:noWrap w:val="0"/>
            <w:vAlign w:val="center"/>
          </w:tcPr>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预测内容</w:t>
            </w:r>
            <w:bookmarkEnd w:id="69"/>
          </w:p>
        </w:tc>
        <w:tc>
          <w:tcPr>
            <w:tcW w:w="2532" w:type="dxa"/>
            <w:tcBorders>
              <w:tl2br w:val="nil"/>
              <w:tr2bl w:val="nil"/>
            </w:tcBorders>
            <w:noWrap w:val="0"/>
            <w:vAlign w:val="center"/>
          </w:tcPr>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rPr>
            </w:pPr>
            <w:bookmarkStart w:id="70" w:name="_Toc23175"/>
            <w:r>
              <w:rPr>
                <w:rFonts w:hint="default" w:ascii="Times New Roman" w:hAnsi="Times New Roman" w:eastAsia="宋体" w:cs="Times New Roman"/>
                <w:color w:val="auto"/>
                <w:sz w:val="21"/>
                <w:szCs w:val="21"/>
                <w:highlight w:val="none"/>
              </w:rPr>
              <w:t>评价要求</w:t>
            </w:r>
            <w:bookmarkEnd w:id="70"/>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82" w:type="dxa"/>
            <w:vMerge w:val="restart"/>
            <w:tcBorders>
              <w:tl2br w:val="nil"/>
              <w:tr2bl w:val="nil"/>
            </w:tcBorders>
            <w:noWrap w:val="0"/>
            <w:vAlign w:val="center"/>
          </w:tcPr>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不</w:t>
            </w:r>
            <w:r>
              <w:rPr>
                <w:rFonts w:hint="default" w:ascii="Times New Roman" w:hAnsi="Times New Roman" w:eastAsia="宋体" w:cs="Times New Roman"/>
                <w:color w:val="auto"/>
                <w:sz w:val="21"/>
                <w:szCs w:val="21"/>
                <w:highlight w:val="none"/>
                <w:lang w:eastAsia="zh-CN"/>
              </w:rPr>
              <w:t>达标区评价项目</w:t>
            </w:r>
          </w:p>
        </w:tc>
        <w:tc>
          <w:tcPr>
            <w:tcW w:w="2270" w:type="dxa"/>
            <w:tcBorders>
              <w:tl2br w:val="nil"/>
              <w:tr2bl w:val="nil"/>
            </w:tcBorders>
            <w:noWrap w:val="0"/>
            <w:vAlign w:val="center"/>
          </w:tcPr>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新增污染源</w:t>
            </w:r>
          </w:p>
        </w:tc>
        <w:tc>
          <w:tcPr>
            <w:tcW w:w="1120" w:type="dxa"/>
            <w:tcBorders>
              <w:tl2br w:val="nil"/>
              <w:tr2bl w:val="nil"/>
            </w:tcBorders>
            <w:noWrap w:val="0"/>
            <w:vAlign w:val="center"/>
          </w:tcPr>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kern w:val="2"/>
                <w:sz w:val="21"/>
                <w:szCs w:val="21"/>
                <w:highlight w:val="none"/>
                <w:lang w:val="en-US" w:eastAsia="zh-CN" w:bidi="ar-SA"/>
              </w:rPr>
            </w:pPr>
            <w:bookmarkStart w:id="71" w:name="_Toc12147"/>
            <w:r>
              <w:rPr>
                <w:rFonts w:hint="default" w:ascii="Times New Roman" w:hAnsi="Times New Roman" w:eastAsia="宋体" w:cs="Times New Roman"/>
                <w:color w:val="auto"/>
                <w:sz w:val="21"/>
                <w:szCs w:val="21"/>
                <w:highlight w:val="none"/>
              </w:rPr>
              <w:t>正常排放</w:t>
            </w:r>
          </w:p>
        </w:tc>
        <w:tc>
          <w:tcPr>
            <w:tcW w:w="1800" w:type="dxa"/>
            <w:tcBorders>
              <w:tl2br w:val="nil"/>
              <w:tr2bl w:val="nil"/>
            </w:tcBorders>
            <w:noWrap w:val="0"/>
            <w:vAlign w:val="center"/>
          </w:tcPr>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短期浓度</w:t>
            </w:r>
            <w:bookmarkEnd w:id="71"/>
          </w:p>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rPr>
            </w:pPr>
            <w:bookmarkStart w:id="72" w:name="_Toc4467"/>
            <w:r>
              <w:rPr>
                <w:rFonts w:hint="default" w:ascii="Times New Roman" w:hAnsi="Times New Roman" w:eastAsia="宋体" w:cs="Times New Roman"/>
                <w:color w:val="auto"/>
                <w:sz w:val="21"/>
                <w:szCs w:val="21"/>
                <w:highlight w:val="none"/>
              </w:rPr>
              <w:t>长期浓度</w:t>
            </w:r>
            <w:bookmarkEnd w:id="72"/>
          </w:p>
        </w:tc>
        <w:tc>
          <w:tcPr>
            <w:tcW w:w="2532" w:type="dxa"/>
            <w:tcBorders>
              <w:tl2br w:val="nil"/>
              <w:tr2bl w:val="nil"/>
            </w:tcBorders>
            <w:noWrap w:val="0"/>
            <w:vAlign w:val="center"/>
          </w:tcPr>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rPr>
            </w:pPr>
            <w:bookmarkStart w:id="73" w:name="_Toc2168"/>
            <w:r>
              <w:rPr>
                <w:rFonts w:hint="default" w:ascii="Times New Roman" w:hAnsi="Times New Roman" w:eastAsia="宋体" w:cs="Times New Roman"/>
                <w:color w:val="auto"/>
                <w:sz w:val="21"/>
                <w:szCs w:val="21"/>
                <w:highlight w:val="none"/>
              </w:rPr>
              <w:t>最大浓度占标率</w:t>
            </w:r>
            <w:bookmarkEnd w:id="73"/>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82" w:type="dxa"/>
            <w:vMerge w:val="continue"/>
            <w:tcBorders>
              <w:tl2br w:val="nil"/>
              <w:tr2bl w:val="nil"/>
            </w:tcBorders>
            <w:noWrap w:val="0"/>
            <w:vAlign w:val="center"/>
          </w:tcPr>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rPr>
            </w:pPr>
          </w:p>
        </w:tc>
        <w:tc>
          <w:tcPr>
            <w:tcW w:w="2270" w:type="dxa"/>
            <w:tcBorders>
              <w:tl2br w:val="nil"/>
              <w:tr2bl w:val="nil"/>
            </w:tcBorders>
            <w:noWrap w:val="0"/>
            <w:vAlign w:val="center"/>
          </w:tcPr>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新增污染源</w:t>
            </w:r>
          </w:p>
          <w:p>
            <w:pPr>
              <w:pStyle w:val="9"/>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p>
            <w:pPr>
              <w:pStyle w:val="9"/>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“以新带老”污染源</w:t>
            </w:r>
          </w:p>
          <w:p>
            <w:pPr>
              <w:pStyle w:val="9"/>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p>
            <w:pPr>
              <w:pStyle w:val="9"/>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区域削减污染源</w:t>
            </w:r>
          </w:p>
          <w:p>
            <w:pPr>
              <w:pStyle w:val="9"/>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p>
            <w:pPr>
              <w:pStyle w:val="9"/>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其他在建、拟建的污染源</w:t>
            </w:r>
          </w:p>
        </w:tc>
        <w:tc>
          <w:tcPr>
            <w:tcW w:w="1120" w:type="dxa"/>
            <w:tcBorders>
              <w:tl2br w:val="nil"/>
              <w:tr2bl w:val="nil"/>
            </w:tcBorders>
            <w:noWrap w:val="0"/>
            <w:vAlign w:val="center"/>
          </w:tcPr>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kern w:val="2"/>
                <w:sz w:val="21"/>
                <w:szCs w:val="21"/>
                <w:highlight w:val="none"/>
                <w:lang w:val="en-US" w:eastAsia="zh-CN" w:bidi="ar-SA"/>
              </w:rPr>
            </w:pPr>
            <w:bookmarkStart w:id="74" w:name="_Toc25599"/>
            <w:r>
              <w:rPr>
                <w:rFonts w:hint="default" w:ascii="Times New Roman" w:hAnsi="Times New Roman" w:eastAsia="宋体" w:cs="Times New Roman"/>
                <w:color w:val="auto"/>
                <w:sz w:val="21"/>
                <w:szCs w:val="21"/>
                <w:highlight w:val="none"/>
              </w:rPr>
              <w:t>正常排放</w:t>
            </w:r>
          </w:p>
        </w:tc>
        <w:tc>
          <w:tcPr>
            <w:tcW w:w="1800" w:type="dxa"/>
            <w:tcBorders>
              <w:tl2br w:val="nil"/>
              <w:tr2bl w:val="nil"/>
            </w:tcBorders>
            <w:noWrap w:val="0"/>
            <w:vAlign w:val="center"/>
          </w:tcPr>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短期浓度</w:t>
            </w:r>
            <w:bookmarkEnd w:id="74"/>
          </w:p>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rPr>
            </w:pPr>
            <w:bookmarkStart w:id="75" w:name="_Toc25686"/>
            <w:r>
              <w:rPr>
                <w:rFonts w:hint="default" w:ascii="Times New Roman" w:hAnsi="Times New Roman" w:eastAsia="宋体" w:cs="Times New Roman"/>
                <w:color w:val="auto"/>
                <w:sz w:val="21"/>
                <w:szCs w:val="21"/>
                <w:highlight w:val="none"/>
              </w:rPr>
              <w:t>长期浓度</w:t>
            </w:r>
            <w:bookmarkEnd w:id="75"/>
          </w:p>
        </w:tc>
        <w:tc>
          <w:tcPr>
            <w:tcW w:w="2532" w:type="dxa"/>
            <w:tcBorders>
              <w:tl2br w:val="nil"/>
              <w:tr2bl w:val="nil"/>
            </w:tcBorders>
            <w:noWrap w:val="0"/>
            <w:vAlign w:val="center"/>
          </w:tcPr>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bookmarkStart w:id="76" w:name="_Toc8937"/>
            <w:r>
              <w:rPr>
                <w:rFonts w:hint="default" w:ascii="Times New Roman" w:hAnsi="Times New Roman" w:eastAsia="宋体" w:cs="Times New Roman"/>
                <w:color w:val="auto"/>
                <w:sz w:val="21"/>
                <w:szCs w:val="21"/>
                <w:highlight w:val="none"/>
              </w:rPr>
              <w:t>叠加</w:t>
            </w:r>
            <w:r>
              <w:rPr>
                <w:rFonts w:hint="default" w:ascii="Times New Roman" w:hAnsi="Times New Roman" w:eastAsia="宋体" w:cs="Times New Roman"/>
                <w:color w:val="auto"/>
                <w:sz w:val="21"/>
                <w:szCs w:val="21"/>
                <w:highlight w:val="none"/>
                <w:lang w:val="en-US" w:eastAsia="zh-CN"/>
              </w:rPr>
              <w:t>达标规划项目浓度后的</w:t>
            </w:r>
            <w:r>
              <w:rPr>
                <w:rFonts w:hint="default" w:ascii="Times New Roman" w:hAnsi="Times New Roman" w:eastAsia="宋体" w:cs="Times New Roman"/>
                <w:color w:val="auto"/>
                <w:sz w:val="21"/>
                <w:szCs w:val="21"/>
                <w:highlight w:val="none"/>
              </w:rPr>
              <w:t>保证率日均质量浓度和年平均质量浓度占标率，或短期浓度的达标情况</w:t>
            </w:r>
            <w:bookmarkEnd w:id="76"/>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评价年平均质量浓度变化率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82" w:type="dxa"/>
            <w:vMerge w:val="continue"/>
            <w:tcBorders>
              <w:tl2br w:val="nil"/>
              <w:tr2bl w:val="nil"/>
            </w:tcBorders>
            <w:noWrap w:val="0"/>
            <w:vAlign w:val="center"/>
          </w:tcPr>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rPr>
            </w:pPr>
          </w:p>
        </w:tc>
        <w:tc>
          <w:tcPr>
            <w:tcW w:w="2270" w:type="dxa"/>
            <w:tcBorders>
              <w:tl2br w:val="nil"/>
              <w:tr2bl w:val="nil"/>
            </w:tcBorders>
            <w:noWrap w:val="0"/>
            <w:vAlign w:val="center"/>
          </w:tcPr>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新增污染源</w:t>
            </w:r>
          </w:p>
        </w:tc>
        <w:tc>
          <w:tcPr>
            <w:tcW w:w="1120" w:type="dxa"/>
            <w:tcBorders>
              <w:tl2br w:val="nil"/>
              <w:tr2bl w:val="nil"/>
            </w:tcBorders>
            <w:noWrap w:val="0"/>
            <w:vAlign w:val="center"/>
          </w:tcPr>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kern w:val="2"/>
                <w:sz w:val="21"/>
                <w:szCs w:val="21"/>
                <w:highlight w:val="none"/>
                <w:lang w:val="en-US" w:eastAsia="zh-CN" w:bidi="ar-SA"/>
              </w:rPr>
            </w:pPr>
            <w:bookmarkStart w:id="77" w:name="_Toc5904"/>
            <w:r>
              <w:rPr>
                <w:rFonts w:hint="default" w:ascii="Times New Roman" w:hAnsi="Times New Roman" w:eastAsia="宋体" w:cs="Times New Roman"/>
                <w:color w:val="auto"/>
                <w:sz w:val="21"/>
                <w:szCs w:val="21"/>
                <w:highlight w:val="none"/>
              </w:rPr>
              <w:t>非正常排放</w:t>
            </w:r>
          </w:p>
        </w:tc>
        <w:tc>
          <w:tcPr>
            <w:tcW w:w="1800" w:type="dxa"/>
            <w:tcBorders>
              <w:tl2br w:val="nil"/>
              <w:tr2bl w:val="nil"/>
            </w:tcBorders>
            <w:noWrap w:val="0"/>
            <w:vAlign w:val="center"/>
          </w:tcPr>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1h平均质量浓度</w:t>
            </w:r>
            <w:bookmarkEnd w:id="77"/>
          </w:p>
        </w:tc>
        <w:tc>
          <w:tcPr>
            <w:tcW w:w="2532" w:type="dxa"/>
            <w:tcBorders>
              <w:tl2br w:val="nil"/>
              <w:tr2bl w:val="nil"/>
            </w:tcBorders>
            <w:noWrap w:val="0"/>
            <w:vAlign w:val="center"/>
          </w:tcPr>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rPr>
            </w:pPr>
            <w:bookmarkStart w:id="78" w:name="_Toc19316"/>
            <w:r>
              <w:rPr>
                <w:rFonts w:hint="default" w:ascii="Times New Roman" w:hAnsi="Times New Roman" w:eastAsia="宋体" w:cs="Times New Roman"/>
                <w:color w:val="auto"/>
                <w:sz w:val="21"/>
                <w:szCs w:val="21"/>
                <w:highlight w:val="none"/>
              </w:rPr>
              <w:t>最大浓度占标率</w:t>
            </w:r>
            <w:bookmarkEnd w:id="78"/>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82" w:type="dxa"/>
            <w:tcBorders>
              <w:tl2br w:val="nil"/>
              <w:tr2bl w:val="nil"/>
            </w:tcBorders>
            <w:noWrap w:val="0"/>
            <w:vAlign w:val="center"/>
          </w:tcPr>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rPr>
            </w:pPr>
            <w:bookmarkStart w:id="79" w:name="_Toc19793"/>
            <w:r>
              <w:rPr>
                <w:rFonts w:hint="default" w:ascii="Times New Roman" w:hAnsi="Times New Roman" w:eastAsia="宋体" w:cs="Times New Roman"/>
                <w:color w:val="auto"/>
                <w:sz w:val="21"/>
                <w:szCs w:val="21"/>
                <w:highlight w:val="none"/>
              </w:rPr>
              <w:t>大气环境防护距离</w:t>
            </w:r>
            <w:bookmarkEnd w:id="79"/>
          </w:p>
        </w:tc>
        <w:tc>
          <w:tcPr>
            <w:tcW w:w="2270" w:type="dxa"/>
            <w:tcBorders>
              <w:tl2br w:val="nil"/>
              <w:tr2bl w:val="nil"/>
            </w:tcBorders>
            <w:noWrap w:val="0"/>
            <w:vAlign w:val="center"/>
          </w:tcPr>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新增污染源</w:t>
            </w:r>
          </w:p>
          <w:p>
            <w:pPr>
              <w:pStyle w:val="9"/>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p>
            <w:pPr>
              <w:pStyle w:val="9"/>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“以新带老”污染源</w:t>
            </w:r>
          </w:p>
          <w:p>
            <w:pPr>
              <w:pStyle w:val="9"/>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项目全厂现有污染源</w:t>
            </w:r>
          </w:p>
        </w:tc>
        <w:tc>
          <w:tcPr>
            <w:tcW w:w="1120" w:type="dxa"/>
            <w:tcBorders>
              <w:tl2br w:val="nil"/>
              <w:tr2bl w:val="nil"/>
            </w:tcBorders>
            <w:noWrap w:val="0"/>
            <w:vAlign w:val="center"/>
          </w:tcPr>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kern w:val="2"/>
                <w:sz w:val="21"/>
                <w:szCs w:val="21"/>
                <w:highlight w:val="none"/>
                <w:lang w:val="en-US" w:eastAsia="zh-CN" w:bidi="ar-SA"/>
              </w:rPr>
            </w:pPr>
            <w:bookmarkStart w:id="80" w:name="_Toc30141"/>
            <w:r>
              <w:rPr>
                <w:rFonts w:hint="default" w:ascii="Times New Roman" w:hAnsi="Times New Roman" w:eastAsia="宋体" w:cs="Times New Roman"/>
                <w:color w:val="auto"/>
                <w:sz w:val="21"/>
                <w:szCs w:val="21"/>
                <w:highlight w:val="none"/>
              </w:rPr>
              <w:t>正常排放</w:t>
            </w:r>
          </w:p>
        </w:tc>
        <w:tc>
          <w:tcPr>
            <w:tcW w:w="1800" w:type="dxa"/>
            <w:tcBorders>
              <w:tl2br w:val="nil"/>
              <w:tr2bl w:val="nil"/>
            </w:tcBorders>
            <w:noWrap w:val="0"/>
            <w:vAlign w:val="center"/>
          </w:tcPr>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短期浓度</w:t>
            </w:r>
            <w:bookmarkEnd w:id="80"/>
          </w:p>
        </w:tc>
        <w:tc>
          <w:tcPr>
            <w:tcW w:w="2532" w:type="dxa"/>
            <w:tcBorders>
              <w:tl2br w:val="nil"/>
              <w:tr2bl w:val="nil"/>
            </w:tcBorders>
            <w:noWrap w:val="0"/>
            <w:vAlign w:val="center"/>
          </w:tcPr>
          <w:p>
            <w:pPr>
              <w:keepNext/>
              <w:keepLines/>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rPr>
            </w:pPr>
            <w:bookmarkStart w:id="81" w:name="_Toc7668"/>
            <w:r>
              <w:rPr>
                <w:rFonts w:hint="default" w:ascii="Times New Roman" w:hAnsi="Times New Roman" w:eastAsia="宋体" w:cs="Times New Roman"/>
                <w:color w:val="auto"/>
                <w:sz w:val="21"/>
                <w:szCs w:val="21"/>
                <w:highlight w:val="none"/>
              </w:rPr>
              <w:t>大气环境防护距离</w:t>
            </w:r>
            <w:bookmarkEnd w:id="81"/>
          </w:p>
        </w:tc>
      </w:tr>
    </w:tbl>
    <w:p>
      <w:pPr>
        <w:pStyle w:val="26"/>
        <w:keepNext w:val="0"/>
        <w:keepLines w:val="0"/>
        <w:pageBreakBefore w:val="0"/>
        <w:widowControl w:val="0"/>
        <w:kinsoku/>
        <w:wordWrap/>
        <w:overflowPunct/>
        <w:topLinePunct w:val="0"/>
        <w:autoSpaceDE/>
        <w:autoSpaceDN/>
        <w:bidi w:val="0"/>
        <w:adjustRightInd w:val="0"/>
        <w:snapToGrid w:val="0"/>
        <w:spacing w:line="560" w:lineRule="exact"/>
        <w:ind w:left="0" w:leftChars="0" w:firstLine="0" w:firstLineChars="0"/>
        <w:textAlignment w:val="auto"/>
        <w:outlineLvl w:val="3"/>
        <w:rPr>
          <w:rFonts w:hint="default" w:ascii="Times New Roman" w:hAnsi="Times New Roman" w:eastAsia="宋体" w:cs="Times New Roman"/>
          <w:color w:val="auto"/>
          <w:lang w:val="en-US" w:eastAsia="zh-CN"/>
        </w:rPr>
      </w:pPr>
      <w:r>
        <w:rPr>
          <w:rFonts w:hint="eastAsia" w:ascii="Times New Roman" w:hAnsi="Times New Roman" w:eastAsia="宋体" w:cs="Times New Roman"/>
          <w:b/>
          <w:bCs/>
          <w:color w:val="auto"/>
          <w:lang w:val="en-US" w:eastAsia="zh-CN"/>
        </w:rPr>
        <w:t>5.2.1.7 预测结果</w:t>
      </w:r>
    </w:p>
    <w:p>
      <w:pPr>
        <w:pStyle w:val="26"/>
        <w:keepNext w:val="0"/>
        <w:keepLines w:val="0"/>
        <w:pageBreakBefore w:val="0"/>
        <w:widowControl w:val="0"/>
        <w:kinsoku/>
        <w:wordWrap/>
        <w:overflowPunct/>
        <w:topLinePunct w:val="0"/>
        <w:autoSpaceDE/>
        <w:autoSpaceDN/>
        <w:bidi w:val="0"/>
        <w:spacing w:line="560" w:lineRule="exac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（1）正常排放</w:t>
      </w:r>
    </w:p>
    <w:p>
      <w:pPr>
        <w:pStyle w:val="26"/>
        <w:keepNext w:val="0"/>
        <w:keepLines w:val="0"/>
        <w:pageBreakBefore w:val="0"/>
        <w:widowControl w:val="0"/>
        <w:kinsoku/>
        <w:wordWrap/>
        <w:overflowPunct/>
        <w:topLinePunct w:val="0"/>
        <w:autoSpaceDE/>
        <w:autoSpaceDN/>
        <w:bidi w:val="0"/>
        <w:spacing w:line="560" w:lineRule="exac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采用</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202</w:t>
      </w:r>
      <w:r>
        <w:rPr>
          <w:rFonts w:hint="eastAsia" w:ascii="Times New Roman" w:hAnsi="Times New Roman" w:eastAsia="宋体" w:cs="Times New Roman"/>
          <w:color w:val="auto"/>
          <w:lang w:val="en-US" w:eastAsia="zh-CN"/>
        </w:rPr>
        <w:t xml:space="preserve">2 </w:t>
      </w:r>
      <w:r>
        <w:rPr>
          <w:rFonts w:hint="default" w:ascii="Times New Roman" w:hAnsi="Times New Roman" w:eastAsia="宋体" w:cs="Times New Roman"/>
          <w:color w:val="auto"/>
          <w:lang w:val="en-US" w:eastAsia="zh-CN"/>
        </w:rPr>
        <w:t>年呼图壁县气象站全年逐时观测资料进行逐日逐时预测计算得到正常排放时，本项目的废气污染物对评价区域、各保护目标短时段、全时段浓度贡献、最大值出现位置及出现时间，根据预测结果分析如下：</w:t>
      </w:r>
    </w:p>
    <w:p>
      <w:pPr>
        <w:pStyle w:val="3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lang w:val="en-US" w:eastAsia="zh-CN"/>
        </w:rPr>
        <w:t xml:space="preserve">表 5.2.1-15    </w:t>
      </w:r>
      <w:r>
        <w:rPr>
          <w:rFonts w:hint="default" w:ascii="Times New Roman" w:hAnsi="Times New Roman" w:eastAsia="宋体" w:cs="Times New Roman"/>
          <w:b/>
          <w:color w:val="auto"/>
          <w:highlight w:val="none"/>
          <w:lang w:eastAsia="zh-CN"/>
        </w:rPr>
        <w:t>本项目</w:t>
      </w:r>
      <w:r>
        <w:rPr>
          <w:rFonts w:hint="default" w:ascii="Times New Roman" w:hAnsi="Times New Roman" w:eastAsia="宋体" w:cs="Times New Roman"/>
          <w:b/>
          <w:color w:val="auto"/>
          <w:highlight w:val="none"/>
          <w:lang w:val="en-US" w:eastAsia="zh-CN"/>
        </w:rPr>
        <w:t>污染物</w:t>
      </w:r>
      <w:r>
        <w:rPr>
          <w:rFonts w:hint="default" w:ascii="Times New Roman" w:hAnsi="Times New Roman" w:eastAsia="宋体" w:cs="Times New Roman"/>
          <w:b/>
          <w:color w:val="auto"/>
          <w:highlight w:val="none"/>
          <w:lang w:eastAsia="zh-CN"/>
        </w:rPr>
        <w:t>贡献质量浓度预测结果一览表</w:t>
      </w:r>
    </w:p>
    <w:tbl>
      <w:tblPr>
        <w:tblStyle w:val="21"/>
        <w:tblW w:w="8789"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673"/>
        <w:gridCol w:w="848"/>
        <w:gridCol w:w="633"/>
        <w:gridCol w:w="756"/>
        <w:gridCol w:w="924"/>
        <w:gridCol w:w="1116"/>
        <w:gridCol w:w="1068"/>
        <w:gridCol w:w="1080"/>
        <w:gridCol w:w="884"/>
        <w:gridCol w:w="80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40" w:hRule="atLeast"/>
          <w:tblHeader/>
          <w:jc w:val="center"/>
        </w:trPr>
        <w:tc>
          <w:tcPr>
            <w:tcW w:w="673" w:type="dxa"/>
            <w:vMerge w:val="restart"/>
            <w:tcBorders>
              <w:tl2br w:val="nil"/>
              <w:tr2bl w:val="nil"/>
            </w:tcBorders>
            <w:noWrap w:val="0"/>
            <w:vAlign w:val="center"/>
          </w:tcPr>
          <w:p>
            <w:pPr>
              <w:jc w:val="center"/>
              <w:rPr>
                <w:rFonts w:ascii="Times New Roman" w:hAnsi="Times New Roman" w:eastAsia="宋体" w:cs="Times New Roman"/>
                <w:b/>
                <w:bCs/>
                <w:color w:val="auto"/>
                <w:highlight w:val="none"/>
              </w:rPr>
            </w:pPr>
            <w:bookmarkStart w:id="82" w:name="_Toc19301"/>
            <w:r>
              <w:rPr>
                <w:rFonts w:ascii="Times New Roman" w:hAnsi="Times New Roman" w:eastAsia="宋体" w:cs="Times New Roman"/>
                <w:b/>
                <w:bCs/>
                <w:color w:val="auto"/>
                <w:highlight w:val="none"/>
              </w:rPr>
              <w:t>污染物</w:t>
            </w:r>
            <w:bookmarkEnd w:id="82"/>
          </w:p>
        </w:tc>
        <w:tc>
          <w:tcPr>
            <w:tcW w:w="848" w:type="dxa"/>
            <w:vMerge w:val="restart"/>
            <w:tcBorders>
              <w:tl2br w:val="nil"/>
              <w:tr2bl w:val="nil"/>
            </w:tcBorders>
            <w:noWrap w:val="0"/>
            <w:vAlign w:val="center"/>
          </w:tcPr>
          <w:p>
            <w:pPr>
              <w:jc w:val="center"/>
              <w:rPr>
                <w:rFonts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rPr>
              <w:t>名称</w:t>
            </w:r>
          </w:p>
        </w:tc>
        <w:tc>
          <w:tcPr>
            <w:tcW w:w="1389" w:type="dxa"/>
            <w:gridSpan w:val="2"/>
            <w:tcBorders>
              <w:tl2br w:val="nil"/>
              <w:tr2bl w:val="nil"/>
            </w:tcBorders>
            <w:noWrap w:val="0"/>
            <w:vAlign w:val="center"/>
          </w:tcPr>
          <w:p>
            <w:pPr>
              <w:jc w:val="center"/>
              <w:rPr>
                <w:rFonts w:ascii="Times New Roman" w:hAnsi="Times New Roman" w:eastAsia="宋体" w:cs="Times New Roman"/>
                <w:b/>
                <w:bCs/>
                <w:color w:val="auto"/>
                <w:highlight w:val="none"/>
              </w:rPr>
            </w:pPr>
            <w:bookmarkStart w:id="83" w:name="_Toc2720"/>
            <w:r>
              <w:rPr>
                <w:rFonts w:ascii="Times New Roman" w:hAnsi="Times New Roman" w:eastAsia="宋体" w:cs="Times New Roman"/>
                <w:b/>
                <w:bCs/>
                <w:color w:val="auto"/>
                <w:highlight w:val="none"/>
              </w:rPr>
              <w:t>点坐标</w:t>
            </w:r>
            <w:bookmarkEnd w:id="83"/>
          </w:p>
        </w:tc>
        <w:tc>
          <w:tcPr>
            <w:tcW w:w="924" w:type="dxa"/>
            <w:vMerge w:val="restart"/>
            <w:tcBorders>
              <w:tl2br w:val="nil"/>
              <w:tr2bl w:val="nil"/>
            </w:tcBorders>
            <w:noWrap w:val="0"/>
            <w:vAlign w:val="center"/>
          </w:tcPr>
          <w:p>
            <w:pPr>
              <w:jc w:val="center"/>
              <w:rPr>
                <w:rFonts w:ascii="Times New Roman" w:hAnsi="Times New Roman" w:eastAsia="宋体" w:cs="Times New Roman"/>
                <w:b/>
                <w:bCs/>
                <w:color w:val="auto"/>
                <w:highlight w:val="none"/>
              </w:rPr>
            </w:pPr>
            <w:bookmarkStart w:id="84" w:name="_Toc26793"/>
            <w:r>
              <w:rPr>
                <w:rFonts w:ascii="Times New Roman" w:hAnsi="Times New Roman" w:eastAsia="宋体" w:cs="Times New Roman"/>
                <w:b/>
                <w:bCs/>
                <w:color w:val="auto"/>
                <w:highlight w:val="none"/>
              </w:rPr>
              <w:t>浓度类型</w:t>
            </w:r>
            <w:bookmarkEnd w:id="84"/>
          </w:p>
        </w:tc>
        <w:tc>
          <w:tcPr>
            <w:tcW w:w="1116" w:type="dxa"/>
            <w:vMerge w:val="restart"/>
            <w:tcBorders>
              <w:tl2br w:val="nil"/>
              <w:tr2bl w:val="nil"/>
            </w:tcBorders>
            <w:noWrap w:val="0"/>
            <w:vAlign w:val="center"/>
          </w:tcPr>
          <w:p>
            <w:pPr>
              <w:jc w:val="center"/>
              <w:rPr>
                <w:rFonts w:ascii="Times New Roman" w:hAnsi="Times New Roman" w:eastAsia="宋体" w:cs="Times New Roman"/>
                <w:b/>
                <w:bCs/>
                <w:color w:val="auto"/>
                <w:highlight w:val="none"/>
              </w:rPr>
            </w:pPr>
            <w:bookmarkStart w:id="85" w:name="_Toc12062"/>
            <w:r>
              <w:rPr>
                <w:rFonts w:ascii="Times New Roman" w:hAnsi="Times New Roman" w:eastAsia="宋体" w:cs="Times New Roman"/>
                <w:b/>
                <w:bCs/>
                <w:color w:val="auto"/>
                <w:highlight w:val="none"/>
              </w:rPr>
              <w:t>贡献值(</w:t>
            </w:r>
            <w:r>
              <w:rPr>
                <w:rFonts w:hint="eastAsia" w:cs="Times New Roman"/>
                <w:b/>
                <w:bCs/>
                <w:color w:val="auto"/>
                <w:highlight w:val="none"/>
                <w:lang w:val="en-US" w:eastAsia="zh-CN"/>
              </w:rPr>
              <w:t>m</w:t>
            </w:r>
            <w:r>
              <w:rPr>
                <w:rFonts w:ascii="Times New Roman" w:hAnsi="Times New Roman" w:eastAsia="宋体" w:cs="Times New Roman"/>
                <w:b/>
                <w:bCs/>
                <w:color w:val="auto"/>
                <w:highlight w:val="none"/>
              </w:rPr>
              <w:t>g/m</w:t>
            </w:r>
            <w:r>
              <w:rPr>
                <w:rFonts w:ascii="Times New Roman" w:hAnsi="Times New Roman" w:eastAsia="宋体" w:cs="Times New Roman"/>
                <w:b/>
                <w:bCs/>
                <w:color w:val="auto"/>
                <w:highlight w:val="none"/>
                <w:vertAlign w:val="superscript"/>
              </w:rPr>
              <w:t>3</w:t>
            </w:r>
            <w:r>
              <w:rPr>
                <w:rFonts w:ascii="Times New Roman" w:hAnsi="Times New Roman" w:eastAsia="宋体" w:cs="Times New Roman"/>
                <w:b/>
                <w:bCs/>
                <w:color w:val="auto"/>
                <w:highlight w:val="none"/>
              </w:rPr>
              <w:t>)</w:t>
            </w:r>
            <w:bookmarkEnd w:id="85"/>
          </w:p>
        </w:tc>
        <w:tc>
          <w:tcPr>
            <w:tcW w:w="1068" w:type="dxa"/>
            <w:vMerge w:val="restart"/>
            <w:tcBorders>
              <w:tl2br w:val="nil"/>
              <w:tr2bl w:val="nil"/>
            </w:tcBorders>
            <w:noWrap w:val="0"/>
            <w:vAlign w:val="center"/>
          </w:tcPr>
          <w:p>
            <w:pPr>
              <w:jc w:val="center"/>
              <w:rPr>
                <w:rFonts w:ascii="Times New Roman" w:hAnsi="Times New Roman" w:eastAsia="宋体" w:cs="Times New Roman"/>
                <w:b/>
                <w:bCs/>
                <w:color w:val="auto"/>
                <w:highlight w:val="none"/>
              </w:rPr>
            </w:pPr>
            <w:bookmarkStart w:id="86" w:name="_Toc21889"/>
            <w:r>
              <w:rPr>
                <w:rFonts w:ascii="Times New Roman" w:hAnsi="Times New Roman" w:eastAsia="宋体" w:cs="Times New Roman"/>
                <w:b/>
                <w:bCs/>
                <w:color w:val="auto"/>
                <w:highlight w:val="none"/>
              </w:rPr>
              <w:t>出现时间</w:t>
            </w:r>
            <w:bookmarkEnd w:id="86"/>
          </w:p>
        </w:tc>
        <w:tc>
          <w:tcPr>
            <w:tcW w:w="1080" w:type="dxa"/>
            <w:vMerge w:val="restart"/>
            <w:tcBorders>
              <w:tl2br w:val="nil"/>
              <w:tr2bl w:val="nil"/>
            </w:tcBorders>
            <w:noWrap w:val="0"/>
            <w:vAlign w:val="center"/>
          </w:tcPr>
          <w:p>
            <w:pPr>
              <w:jc w:val="center"/>
              <w:rPr>
                <w:rFonts w:ascii="Times New Roman" w:hAnsi="Times New Roman" w:eastAsia="宋体" w:cs="Times New Roman"/>
                <w:b/>
                <w:bCs/>
                <w:color w:val="auto"/>
                <w:highlight w:val="none"/>
              </w:rPr>
            </w:pPr>
            <w:bookmarkStart w:id="87" w:name="_Toc25288"/>
            <w:r>
              <w:rPr>
                <w:rFonts w:ascii="Times New Roman" w:hAnsi="Times New Roman" w:eastAsia="宋体" w:cs="Times New Roman"/>
                <w:b/>
                <w:bCs/>
                <w:color w:val="auto"/>
                <w:highlight w:val="none"/>
              </w:rPr>
              <w:t>评价标准(</w:t>
            </w:r>
            <w:r>
              <w:rPr>
                <w:rFonts w:hint="eastAsia" w:cs="Times New Roman"/>
                <w:b/>
                <w:bCs/>
                <w:color w:val="auto"/>
                <w:highlight w:val="none"/>
                <w:lang w:val="en-US" w:eastAsia="zh-CN"/>
              </w:rPr>
              <w:t>m</w:t>
            </w:r>
            <w:r>
              <w:rPr>
                <w:rFonts w:ascii="Times New Roman" w:hAnsi="Times New Roman" w:eastAsia="宋体" w:cs="Times New Roman"/>
                <w:b/>
                <w:bCs/>
                <w:color w:val="auto"/>
                <w:highlight w:val="none"/>
              </w:rPr>
              <w:t>g/m</w:t>
            </w:r>
            <w:r>
              <w:rPr>
                <w:rFonts w:ascii="Times New Roman" w:hAnsi="Times New Roman" w:eastAsia="宋体" w:cs="Times New Roman"/>
                <w:b/>
                <w:bCs/>
                <w:color w:val="auto"/>
                <w:highlight w:val="none"/>
                <w:vertAlign w:val="superscript"/>
              </w:rPr>
              <w:t>3</w:t>
            </w:r>
            <w:r>
              <w:rPr>
                <w:rFonts w:ascii="Times New Roman" w:hAnsi="Times New Roman" w:eastAsia="宋体" w:cs="Times New Roman"/>
                <w:b/>
                <w:bCs/>
                <w:color w:val="auto"/>
                <w:highlight w:val="none"/>
              </w:rPr>
              <w:t>)</w:t>
            </w:r>
            <w:bookmarkEnd w:id="87"/>
          </w:p>
        </w:tc>
        <w:tc>
          <w:tcPr>
            <w:tcW w:w="884" w:type="dxa"/>
            <w:vMerge w:val="restart"/>
            <w:tcBorders>
              <w:tl2br w:val="nil"/>
              <w:tr2bl w:val="nil"/>
            </w:tcBorders>
            <w:noWrap w:val="0"/>
            <w:vAlign w:val="center"/>
          </w:tcPr>
          <w:p>
            <w:pPr>
              <w:jc w:val="center"/>
              <w:rPr>
                <w:rFonts w:ascii="Times New Roman" w:hAnsi="Times New Roman" w:eastAsia="宋体" w:cs="Times New Roman"/>
                <w:b/>
                <w:bCs/>
                <w:color w:val="auto"/>
                <w:highlight w:val="none"/>
              </w:rPr>
            </w:pPr>
            <w:bookmarkStart w:id="88" w:name="_Toc12430"/>
            <w:r>
              <w:rPr>
                <w:rFonts w:ascii="Times New Roman" w:hAnsi="Times New Roman" w:eastAsia="宋体" w:cs="Times New Roman"/>
                <w:b/>
                <w:bCs/>
                <w:color w:val="auto"/>
                <w:highlight w:val="none"/>
              </w:rPr>
              <w:t>占标率%</w:t>
            </w:r>
            <w:bookmarkEnd w:id="88"/>
          </w:p>
        </w:tc>
        <w:tc>
          <w:tcPr>
            <w:tcW w:w="807" w:type="dxa"/>
            <w:vMerge w:val="restart"/>
            <w:tcBorders>
              <w:tl2br w:val="nil"/>
              <w:tr2bl w:val="nil"/>
            </w:tcBorders>
            <w:noWrap w:val="0"/>
            <w:vAlign w:val="center"/>
          </w:tcPr>
          <w:p>
            <w:pPr>
              <w:jc w:val="center"/>
              <w:rPr>
                <w:rFonts w:ascii="Times New Roman" w:hAnsi="Times New Roman" w:eastAsia="宋体" w:cs="Times New Roman"/>
                <w:b/>
                <w:bCs/>
                <w:color w:val="auto"/>
                <w:highlight w:val="none"/>
              </w:rPr>
            </w:pPr>
            <w:bookmarkStart w:id="89" w:name="_Toc16790"/>
            <w:r>
              <w:rPr>
                <w:rFonts w:ascii="Times New Roman" w:hAnsi="Times New Roman" w:eastAsia="宋体" w:cs="Times New Roman"/>
                <w:b/>
                <w:bCs/>
                <w:color w:val="auto"/>
                <w:highlight w:val="none"/>
              </w:rPr>
              <w:t>是否超标</w:t>
            </w:r>
            <w:bookmarkEnd w:id="89"/>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6" w:hRule="atLeast"/>
          <w:tblHeader/>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b/>
                <w:bCs/>
                <w:color w:val="auto"/>
                <w:highlight w:val="none"/>
              </w:rPr>
            </w:pPr>
          </w:p>
        </w:tc>
        <w:tc>
          <w:tcPr>
            <w:tcW w:w="848" w:type="dxa"/>
            <w:vMerge w:val="continue"/>
            <w:tcBorders>
              <w:tl2br w:val="nil"/>
              <w:tr2bl w:val="nil"/>
            </w:tcBorders>
            <w:noWrap w:val="0"/>
            <w:vAlign w:val="center"/>
          </w:tcPr>
          <w:p>
            <w:pPr>
              <w:jc w:val="center"/>
              <w:rPr>
                <w:rFonts w:ascii="Times New Roman" w:hAnsi="Times New Roman" w:eastAsia="宋体" w:cs="Times New Roman"/>
                <w:b/>
                <w:bCs/>
                <w:color w:val="auto"/>
                <w:highlight w:val="none"/>
              </w:rPr>
            </w:pPr>
          </w:p>
        </w:tc>
        <w:tc>
          <w:tcPr>
            <w:tcW w:w="633" w:type="dxa"/>
            <w:tcBorders>
              <w:tl2br w:val="nil"/>
              <w:tr2bl w:val="nil"/>
            </w:tcBorders>
            <w:noWrap w:val="0"/>
            <w:vAlign w:val="center"/>
          </w:tcPr>
          <w:p>
            <w:pPr>
              <w:jc w:val="center"/>
              <w:rPr>
                <w:rFonts w:ascii="Times New Roman" w:hAnsi="Times New Roman" w:eastAsia="宋体" w:cs="Times New Roman"/>
                <w:b/>
                <w:bCs/>
                <w:color w:val="auto"/>
                <w:highlight w:val="none"/>
              </w:rPr>
            </w:pPr>
            <w:r>
              <w:rPr>
                <w:rFonts w:ascii="Times New Roman" w:hAnsi="Times New Roman" w:eastAsia="宋体" w:cs="Times New Roman"/>
                <w:b/>
                <w:bCs/>
                <w:color w:val="auto"/>
                <w:highlight w:val="none"/>
              </w:rPr>
              <w:t>X</w:t>
            </w:r>
          </w:p>
        </w:tc>
        <w:tc>
          <w:tcPr>
            <w:tcW w:w="756" w:type="dxa"/>
            <w:tcBorders>
              <w:tl2br w:val="nil"/>
              <w:tr2bl w:val="nil"/>
            </w:tcBorders>
            <w:noWrap w:val="0"/>
            <w:vAlign w:val="center"/>
          </w:tcPr>
          <w:p>
            <w:pPr>
              <w:jc w:val="center"/>
              <w:rPr>
                <w:rFonts w:ascii="Times New Roman" w:hAnsi="Times New Roman" w:eastAsia="宋体" w:cs="Times New Roman"/>
                <w:b/>
                <w:bCs/>
                <w:color w:val="auto"/>
                <w:highlight w:val="none"/>
              </w:rPr>
            </w:pPr>
            <w:r>
              <w:rPr>
                <w:rFonts w:ascii="Times New Roman" w:hAnsi="Times New Roman" w:eastAsia="宋体" w:cs="Times New Roman"/>
                <w:b/>
                <w:bCs/>
                <w:color w:val="auto"/>
                <w:highlight w:val="none"/>
              </w:rPr>
              <w:t>Y</w:t>
            </w:r>
          </w:p>
        </w:tc>
        <w:tc>
          <w:tcPr>
            <w:tcW w:w="924" w:type="dxa"/>
            <w:vMerge w:val="continue"/>
            <w:tcBorders>
              <w:tl2br w:val="nil"/>
              <w:tr2bl w:val="nil"/>
            </w:tcBorders>
            <w:noWrap w:val="0"/>
            <w:vAlign w:val="center"/>
          </w:tcPr>
          <w:p>
            <w:pPr>
              <w:jc w:val="center"/>
              <w:rPr>
                <w:rFonts w:ascii="Times New Roman" w:hAnsi="Times New Roman" w:eastAsia="宋体" w:cs="Times New Roman"/>
                <w:b/>
                <w:bCs/>
                <w:color w:val="auto"/>
                <w:highlight w:val="none"/>
              </w:rPr>
            </w:pPr>
          </w:p>
        </w:tc>
        <w:tc>
          <w:tcPr>
            <w:tcW w:w="1116" w:type="dxa"/>
            <w:vMerge w:val="continue"/>
            <w:tcBorders>
              <w:tl2br w:val="nil"/>
              <w:tr2bl w:val="nil"/>
            </w:tcBorders>
            <w:noWrap w:val="0"/>
            <w:vAlign w:val="center"/>
          </w:tcPr>
          <w:p>
            <w:pPr>
              <w:jc w:val="center"/>
              <w:rPr>
                <w:rFonts w:ascii="Times New Roman" w:hAnsi="Times New Roman" w:eastAsia="宋体" w:cs="Times New Roman"/>
                <w:b/>
                <w:bCs/>
                <w:color w:val="auto"/>
                <w:highlight w:val="none"/>
              </w:rPr>
            </w:pPr>
          </w:p>
        </w:tc>
        <w:tc>
          <w:tcPr>
            <w:tcW w:w="1068" w:type="dxa"/>
            <w:vMerge w:val="continue"/>
            <w:tcBorders>
              <w:tl2br w:val="nil"/>
              <w:tr2bl w:val="nil"/>
            </w:tcBorders>
            <w:noWrap w:val="0"/>
            <w:vAlign w:val="center"/>
          </w:tcPr>
          <w:p>
            <w:pPr>
              <w:jc w:val="center"/>
              <w:rPr>
                <w:rFonts w:ascii="Times New Roman" w:hAnsi="Times New Roman" w:eastAsia="宋体" w:cs="Times New Roman"/>
                <w:b/>
                <w:bCs/>
                <w:color w:val="auto"/>
                <w:highlight w:val="none"/>
              </w:rPr>
            </w:pPr>
          </w:p>
        </w:tc>
        <w:tc>
          <w:tcPr>
            <w:tcW w:w="1080" w:type="dxa"/>
            <w:vMerge w:val="continue"/>
            <w:tcBorders>
              <w:tl2br w:val="nil"/>
              <w:tr2bl w:val="nil"/>
            </w:tcBorders>
            <w:noWrap w:val="0"/>
            <w:vAlign w:val="center"/>
          </w:tcPr>
          <w:p>
            <w:pPr>
              <w:jc w:val="center"/>
              <w:rPr>
                <w:rFonts w:ascii="Times New Roman" w:hAnsi="Times New Roman" w:eastAsia="宋体" w:cs="Times New Roman"/>
                <w:b/>
                <w:bCs/>
                <w:color w:val="auto"/>
                <w:highlight w:val="none"/>
              </w:rPr>
            </w:pPr>
          </w:p>
        </w:tc>
        <w:tc>
          <w:tcPr>
            <w:tcW w:w="884" w:type="dxa"/>
            <w:vMerge w:val="continue"/>
            <w:tcBorders>
              <w:tl2br w:val="nil"/>
              <w:tr2bl w:val="nil"/>
            </w:tcBorders>
            <w:noWrap w:val="0"/>
            <w:vAlign w:val="center"/>
          </w:tcPr>
          <w:p>
            <w:pPr>
              <w:jc w:val="center"/>
              <w:rPr>
                <w:rFonts w:ascii="Times New Roman" w:hAnsi="Times New Roman" w:eastAsia="宋体" w:cs="Times New Roman"/>
                <w:b/>
                <w:bCs/>
                <w:color w:val="auto"/>
                <w:highlight w:val="none"/>
              </w:rPr>
            </w:pPr>
          </w:p>
        </w:tc>
        <w:tc>
          <w:tcPr>
            <w:tcW w:w="807" w:type="dxa"/>
            <w:vMerge w:val="continue"/>
            <w:tcBorders>
              <w:tl2br w:val="nil"/>
              <w:tr2bl w:val="nil"/>
            </w:tcBorders>
            <w:noWrap w:val="0"/>
            <w:vAlign w:val="center"/>
          </w:tcPr>
          <w:p>
            <w:pPr>
              <w:jc w:val="center"/>
              <w:rPr>
                <w:rFonts w:ascii="Times New Roman" w:hAnsi="Times New Roman" w:eastAsia="宋体" w:cs="Times New Roman"/>
                <w:b/>
                <w:bCs/>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restart"/>
            <w:tcBorders>
              <w:tl2br w:val="nil"/>
              <w:tr2bl w:val="nil"/>
            </w:tcBorders>
            <w:noWrap w:val="0"/>
            <w:vAlign w:val="center"/>
          </w:tcPr>
          <w:p>
            <w:pPr>
              <w:keepNext w:val="0"/>
              <w:keepLines w:val="0"/>
              <w:widowControl/>
              <w:suppressLineNumbers w:val="0"/>
              <w:jc w:val="center"/>
              <w:textAlignment w:val="top"/>
              <w:rPr>
                <w:rFonts w:hint="default" w:ascii="Times New Roman" w:hAnsi="Times New Roman" w:eastAsia="宋体" w:cs="Times New Roman"/>
                <w:color w:val="auto"/>
                <w:highlight w:val="none"/>
                <w:vertAlign w:val="subscript"/>
                <w:lang w:val="en-US" w:eastAsia="zh-CN"/>
              </w:rPr>
            </w:pPr>
            <w:r>
              <w:rPr>
                <w:rFonts w:hint="eastAsia" w:ascii="Times New Roman" w:hAnsi="Times New Roman" w:cs="Times New Roman"/>
                <w:i w:val="0"/>
                <w:color w:val="auto"/>
                <w:kern w:val="0"/>
                <w:sz w:val="21"/>
                <w:szCs w:val="21"/>
                <w:highlight w:val="none"/>
                <w:u w:val="none"/>
                <w:lang w:val="en-US" w:eastAsia="zh-CN" w:bidi="ar"/>
              </w:rPr>
              <w:t>PM</w:t>
            </w:r>
            <w:r>
              <w:rPr>
                <w:rFonts w:hint="eastAsia" w:ascii="Times New Roman" w:hAnsi="Times New Roman" w:cs="Times New Roman"/>
                <w:i w:val="0"/>
                <w:color w:val="auto"/>
                <w:kern w:val="0"/>
                <w:sz w:val="21"/>
                <w:szCs w:val="21"/>
                <w:highlight w:val="none"/>
                <w:u w:val="none"/>
                <w:vertAlign w:val="subscript"/>
                <w:lang w:val="en-US" w:eastAsia="zh-CN" w:bidi="ar"/>
              </w:rPr>
              <w:t>10</w:t>
            </w:r>
          </w:p>
        </w:tc>
        <w:tc>
          <w:tcPr>
            <w:tcW w:w="848"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十八户村四组</w:t>
            </w:r>
          </w:p>
        </w:tc>
        <w:tc>
          <w:tcPr>
            <w:tcW w:w="633"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-2639</w:t>
            </w:r>
          </w:p>
        </w:tc>
        <w:tc>
          <w:tcPr>
            <w:tcW w:w="756"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bookmarkStart w:id="90" w:name="_Toc14933"/>
            <w:r>
              <w:rPr>
                <w:rFonts w:hint="eastAsia"/>
                <w:color w:val="auto"/>
              </w:rPr>
              <w:t>-1063</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bookmarkEnd w:id="90"/>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1.88E-04</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21080505</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4.50E-01</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0.04</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keepNext w:val="0"/>
              <w:keepLines w:val="0"/>
              <w:widowControl/>
              <w:suppressLineNumbers w:val="0"/>
              <w:jc w:val="center"/>
              <w:textAlignment w:val="top"/>
              <w:rPr>
                <w:rFonts w:hint="eastAsia" w:ascii="Times New Roman" w:hAnsi="Times New Roman" w:cs="Times New Roman"/>
                <w:i w:val="0"/>
                <w:color w:val="auto"/>
                <w:kern w:val="0"/>
                <w:sz w:val="21"/>
                <w:szCs w:val="21"/>
                <w:highlight w:val="none"/>
                <w:u w:val="none"/>
                <w:lang w:val="en-US" w:eastAsia="zh-CN" w:bidi="ar"/>
              </w:rPr>
            </w:pPr>
          </w:p>
        </w:tc>
        <w:tc>
          <w:tcPr>
            <w:tcW w:w="848" w:type="dxa"/>
            <w:vMerge w:val="continue"/>
            <w:tcBorders>
              <w:tl2br w:val="nil"/>
              <w:tr2bl w:val="nil"/>
            </w:tcBorders>
            <w:noWrap w:val="0"/>
            <w:vAlign w:val="center"/>
          </w:tcPr>
          <w:p>
            <w:pPr>
              <w:widowControl/>
              <w:jc w:val="center"/>
              <w:textAlignment w:val="center"/>
              <w:rPr>
                <w:rFonts w:hint="eastAsia" w:ascii="Times New Roman" w:hAnsi="Times New Roman" w:eastAsia="宋体" w:cs="Times New Roman"/>
                <w:color w:val="auto"/>
                <w:szCs w:val="21"/>
                <w:highlight w:val="none"/>
                <w:lang w:val="en-US" w:eastAsia="zh-CN"/>
              </w:rPr>
            </w:pPr>
          </w:p>
        </w:tc>
        <w:tc>
          <w:tcPr>
            <w:tcW w:w="633" w:type="dxa"/>
            <w:vMerge w:val="continue"/>
            <w:tcBorders>
              <w:tl2br w:val="nil"/>
              <w:tr2bl w:val="nil"/>
            </w:tcBorders>
            <w:noWrap w:val="0"/>
            <w:vAlign w:val="center"/>
          </w:tcPr>
          <w:p>
            <w:pPr>
              <w:jc w:val="center"/>
              <w:rPr>
                <w:rFonts w:hint="eastAsia"/>
                <w:color w:val="auto"/>
                <w:highlight w:val="none"/>
              </w:rPr>
            </w:pPr>
          </w:p>
        </w:tc>
        <w:tc>
          <w:tcPr>
            <w:tcW w:w="756" w:type="dxa"/>
            <w:vMerge w:val="continue"/>
            <w:tcBorders>
              <w:tl2br w:val="nil"/>
              <w:tr2bl w:val="nil"/>
            </w:tcBorders>
            <w:noWrap w:val="0"/>
            <w:vAlign w:val="center"/>
          </w:tcPr>
          <w:p>
            <w:pPr>
              <w:jc w:val="center"/>
              <w:rPr>
                <w:rFonts w:hint="eastAsia"/>
                <w:color w:val="auto"/>
                <w:highlight w:val="none"/>
              </w:rPr>
            </w:pPr>
          </w:p>
        </w:tc>
        <w:tc>
          <w:tcPr>
            <w:tcW w:w="924" w:type="dxa"/>
            <w:tcBorders>
              <w:tl2br w:val="nil"/>
              <w:tr2bl w:val="nil"/>
            </w:tcBorders>
            <w:noWrap w:val="0"/>
            <w:vAlign w:val="center"/>
          </w:tcPr>
          <w:p>
            <w:pPr>
              <w:widowControl/>
              <w:jc w:val="center"/>
              <w:textAlignment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2.81E-05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210712</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1.50E-01</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hint="eastAsia" w:ascii="Times New Roman" w:hAnsi="Times New Roman" w:eastAsia="宋体"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bookmarkStart w:id="91" w:name="_Toc12869"/>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bookmarkEnd w:id="91"/>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1.80E-06</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7.00E-02</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祁家湖村</w:t>
            </w:r>
          </w:p>
        </w:tc>
        <w:tc>
          <w:tcPr>
            <w:tcW w:w="633"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-4423</w:t>
            </w:r>
          </w:p>
        </w:tc>
        <w:tc>
          <w:tcPr>
            <w:tcW w:w="756"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bookmarkStart w:id="92" w:name="_Toc11255"/>
            <w:r>
              <w:rPr>
                <w:rFonts w:hint="eastAsia"/>
                <w:color w:val="auto"/>
              </w:rPr>
              <w:t>-1779</w:t>
            </w:r>
          </w:p>
          <w:bookmarkEnd w:id="92"/>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1.19E-04</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21071205</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4.50E-01</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0.03</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hint="eastAsia" w:ascii="Times New Roman" w:hAnsi="Times New Roman" w:eastAsia="宋体" w:cs="Times New Roman"/>
                <w:color w:val="auto"/>
                <w:szCs w:val="21"/>
                <w:highlight w:val="none"/>
                <w:lang w:val="en-US" w:eastAsia="zh-CN"/>
              </w:rPr>
            </w:pPr>
          </w:p>
        </w:tc>
        <w:tc>
          <w:tcPr>
            <w:tcW w:w="633" w:type="dxa"/>
            <w:vMerge w:val="continue"/>
            <w:tcBorders>
              <w:tl2br w:val="nil"/>
              <w:tr2bl w:val="nil"/>
            </w:tcBorders>
            <w:noWrap w:val="0"/>
            <w:vAlign w:val="center"/>
          </w:tcPr>
          <w:p>
            <w:pPr>
              <w:jc w:val="center"/>
              <w:rPr>
                <w:rFonts w:hint="eastAsia"/>
                <w:color w:val="auto"/>
                <w:highlight w:val="none"/>
              </w:rPr>
            </w:pPr>
          </w:p>
        </w:tc>
        <w:tc>
          <w:tcPr>
            <w:tcW w:w="756" w:type="dxa"/>
            <w:vMerge w:val="continue"/>
            <w:tcBorders>
              <w:tl2br w:val="nil"/>
              <w:tr2bl w:val="nil"/>
            </w:tcBorders>
            <w:noWrap w:val="0"/>
            <w:vAlign w:val="center"/>
          </w:tcPr>
          <w:p>
            <w:pPr>
              <w:jc w:val="center"/>
              <w:rPr>
                <w:rFonts w:hint="eastAsia"/>
                <w:color w:val="auto"/>
                <w:highlight w:val="none"/>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1.98E-05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210712</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1.50E-01</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0.01</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hint="eastAsia" w:ascii="Times New Roman" w:hAnsi="Times New Roman" w:eastAsia="宋体"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bookmarkStart w:id="93" w:name="_Toc8784"/>
          </w:p>
          <w:bookmarkEnd w:id="93"/>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1.45E-06</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7.00E-02</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restart"/>
            <w:tcBorders>
              <w:tl2br w:val="nil"/>
              <w:tr2bl w:val="nil"/>
            </w:tcBorders>
            <w:noWrap w:val="0"/>
            <w:vAlign w:val="center"/>
          </w:tcPr>
          <w:p>
            <w:pPr>
              <w:jc w:val="center"/>
              <w:rPr>
                <w:rFonts w:hint="eastAsia" w:ascii="Times New Roman" w:hAnsi="Times New Roman" w:eastAsia="宋体" w:cs="Times New Roman"/>
                <w:color w:val="auto"/>
                <w:szCs w:val="21"/>
                <w:highlight w:val="none"/>
                <w:lang w:val="en-US" w:eastAsia="zh-CN"/>
              </w:rPr>
            </w:pPr>
            <w:r>
              <w:rPr>
                <w:rFonts w:hint="eastAsia"/>
                <w:color w:val="auto"/>
              </w:rPr>
              <w:t>永丰四队</w:t>
            </w:r>
          </w:p>
        </w:tc>
        <w:tc>
          <w:tcPr>
            <w:tcW w:w="633"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-3363</w:t>
            </w:r>
          </w:p>
        </w:tc>
        <w:tc>
          <w:tcPr>
            <w:tcW w:w="756"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-3690</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8.96E-05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21050523</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4.50E-01</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hint="eastAsia" w:ascii="Times New Roman" w:hAnsi="Times New Roman" w:eastAsia="宋体"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1.51E-05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211201</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1.50E-01</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0.01</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hint="eastAsia" w:ascii="Times New Roman" w:hAnsi="Times New Roman" w:eastAsia="宋体"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9.90E-07</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7.00E-02</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restart"/>
            <w:tcBorders>
              <w:tl2br w:val="nil"/>
              <w:tr2bl w:val="nil"/>
            </w:tcBorders>
            <w:noWrap w:val="0"/>
            <w:vAlign w:val="center"/>
          </w:tcPr>
          <w:p>
            <w:pPr>
              <w:jc w:val="center"/>
              <w:rPr>
                <w:rFonts w:hint="eastAsia" w:ascii="Times New Roman" w:hAnsi="Times New Roman" w:eastAsia="宋体" w:cs="Times New Roman"/>
                <w:color w:val="auto"/>
                <w:szCs w:val="21"/>
                <w:highlight w:val="none"/>
                <w:lang w:val="en-US" w:eastAsia="zh-CN"/>
              </w:rPr>
            </w:pPr>
            <w:r>
              <w:rPr>
                <w:rFonts w:hint="eastAsia"/>
                <w:color w:val="auto"/>
              </w:rPr>
              <w:t>十八户村</w:t>
            </w:r>
          </w:p>
        </w:tc>
        <w:tc>
          <w:tcPr>
            <w:tcW w:w="633"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-3224</w:t>
            </w:r>
          </w:p>
        </w:tc>
        <w:tc>
          <w:tcPr>
            <w:tcW w:w="756"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-4231</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1.19E-04</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21080323</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4.50E-01</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0.03</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hint="eastAsia" w:ascii="Times New Roman" w:hAnsi="Times New Roman" w:eastAsia="宋体"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1.48E-05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210803</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1.50E-01</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0.01</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hint="eastAsia" w:ascii="Times New Roman" w:hAnsi="Times New Roman" w:eastAsia="宋体"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8.60E-07</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7.00E-02</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restart"/>
            <w:tcBorders>
              <w:tl2br w:val="nil"/>
              <w:tr2bl w:val="nil"/>
            </w:tcBorders>
            <w:noWrap w:val="0"/>
            <w:vAlign w:val="center"/>
          </w:tcPr>
          <w:p>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网格点</w:t>
            </w:r>
          </w:p>
        </w:tc>
        <w:tc>
          <w:tcPr>
            <w:tcW w:w="633" w:type="dxa"/>
            <w:tcBorders>
              <w:tl2br w:val="nil"/>
              <w:tr2bl w:val="nil"/>
            </w:tcBorders>
            <w:noWrap w:val="0"/>
            <w:vAlign w:val="center"/>
          </w:tcPr>
          <w:p>
            <w:pPr>
              <w:jc w:val="center"/>
              <w:rPr>
                <w:rFonts w:hint="default"/>
                <w:color w:val="auto"/>
                <w:highlight w:val="none"/>
                <w:lang w:val="en-US" w:eastAsia="zh-CN"/>
              </w:rPr>
            </w:pPr>
            <w:r>
              <w:rPr>
                <w:rFonts w:hint="eastAsia"/>
                <w:color w:val="auto"/>
                <w:highlight w:val="none"/>
                <w:lang w:val="en-US" w:eastAsia="zh-CN"/>
              </w:rPr>
              <w:t>85</w:t>
            </w:r>
          </w:p>
        </w:tc>
        <w:tc>
          <w:tcPr>
            <w:tcW w:w="756" w:type="dxa"/>
            <w:tcBorders>
              <w:tl2br w:val="nil"/>
              <w:tr2bl w:val="nil"/>
            </w:tcBorders>
            <w:noWrap w:val="0"/>
            <w:vAlign w:val="center"/>
          </w:tcPr>
          <w:p>
            <w:pPr>
              <w:jc w:val="center"/>
              <w:rPr>
                <w:rFonts w:hint="default"/>
                <w:color w:val="auto"/>
                <w:highlight w:val="none"/>
                <w:lang w:val="en-US" w:eastAsia="zh-CN"/>
              </w:rPr>
            </w:pPr>
            <w:bookmarkStart w:id="94" w:name="_Toc32662"/>
            <w:r>
              <w:rPr>
                <w:rFonts w:hint="eastAsia"/>
                <w:color w:val="auto"/>
                <w:highlight w:val="none"/>
                <w:lang w:val="en-US" w:eastAsia="zh-CN"/>
              </w:rPr>
              <w:t>-146</w:t>
            </w:r>
          </w:p>
          <w:bookmarkEnd w:id="94"/>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1.00E-03</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21071320</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4.50E-01</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0.22</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p>
        </w:tc>
        <w:tc>
          <w:tcPr>
            <w:tcW w:w="633" w:type="dxa"/>
            <w:tcBorders>
              <w:tl2br w:val="nil"/>
              <w:tr2bl w:val="nil"/>
            </w:tcBorders>
            <w:noWrap w:val="0"/>
            <w:vAlign w:val="center"/>
          </w:tcPr>
          <w:p>
            <w:pPr>
              <w:jc w:val="center"/>
              <w:rPr>
                <w:rFonts w:hint="default"/>
                <w:color w:val="auto"/>
                <w:highlight w:val="none"/>
                <w:lang w:val="en-US" w:eastAsia="zh-CN"/>
              </w:rPr>
            </w:pPr>
            <w:r>
              <w:rPr>
                <w:rFonts w:hint="eastAsia"/>
                <w:color w:val="auto"/>
                <w:highlight w:val="none"/>
                <w:lang w:val="en-US" w:eastAsia="zh-CN"/>
              </w:rPr>
              <w:t>372</w:t>
            </w:r>
          </w:p>
        </w:tc>
        <w:tc>
          <w:tcPr>
            <w:tcW w:w="756" w:type="dxa"/>
            <w:tcBorders>
              <w:tl2br w:val="nil"/>
              <w:tr2bl w:val="nil"/>
            </w:tcBorders>
            <w:noWrap w:val="0"/>
            <w:vAlign w:val="center"/>
          </w:tcPr>
          <w:p>
            <w:pPr>
              <w:jc w:val="center"/>
              <w:rPr>
                <w:rFonts w:hint="default"/>
                <w:color w:val="auto"/>
                <w:highlight w:val="none"/>
                <w:lang w:val="en-US" w:eastAsia="zh-CN"/>
              </w:rPr>
            </w:pPr>
            <w:r>
              <w:rPr>
                <w:rFonts w:hint="eastAsia"/>
                <w:color w:val="auto"/>
                <w:highlight w:val="none"/>
                <w:lang w:val="en-US" w:eastAsia="zh-CN"/>
              </w:rPr>
              <w:t>57</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1.69E-04</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210710</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1.50E-01</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0.11</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93"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tcBorders>
              <w:tl2br w:val="nil"/>
              <w:tr2bl w:val="nil"/>
            </w:tcBorders>
            <w:noWrap w:val="0"/>
            <w:vAlign w:val="center"/>
          </w:tcPr>
          <w:p>
            <w:pPr>
              <w:jc w:val="center"/>
              <w:rPr>
                <w:rFonts w:hint="default"/>
                <w:color w:val="auto"/>
                <w:highlight w:val="none"/>
                <w:lang w:val="en-US" w:eastAsia="zh-CN"/>
              </w:rPr>
            </w:pPr>
            <w:r>
              <w:rPr>
                <w:rFonts w:hint="eastAsia"/>
                <w:color w:val="auto"/>
                <w:highlight w:val="none"/>
                <w:lang w:val="en-US" w:eastAsia="zh-CN"/>
              </w:rPr>
              <w:t>372</w:t>
            </w:r>
          </w:p>
        </w:tc>
        <w:tc>
          <w:tcPr>
            <w:tcW w:w="756" w:type="dxa"/>
            <w:tcBorders>
              <w:tl2br w:val="nil"/>
              <w:tr2bl w:val="nil"/>
            </w:tcBorders>
            <w:noWrap w:val="0"/>
            <w:vAlign w:val="center"/>
          </w:tcPr>
          <w:p>
            <w:pPr>
              <w:jc w:val="center"/>
              <w:rPr>
                <w:rFonts w:hint="default"/>
                <w:color w:val="auto"/>
                <w:highlight w:val="none"/>
                <w:lang w:val="en-US" w:eastAsia="zh-CN"/>
              </w:rPr>
            </w:pPr>
            <w:bookmarkStart w:id="95" w:name="_Toc858"/>
            <w:r>
              <w:rPr>
                <w:rFonts w:hint="eastAsia"/>
                <w:color w:val="auto"/>
                <w:highlight w:val="none"/>
                <w:lang w:val="en-US" w:eastAsia="zh-CN"/>
              </w:rPr>
              <w:t>57</w:t>
            </w:r>
          </w:p>
          <w:bookmarkEnd w:id="95"/>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1.67E-05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7.00E-02</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restart"/>
            <w:tcBorders>
              <w:tl2br w:val="nil"/>
              <w:tr2bl w:val="nil"/>
            </w:tcBorders>
            <w:noWrap w:val="0"/>
            <w:vAlign w:val="center"/>
          </w:tcPr>
          <w:p>
            <w:pPr>
              <w:keepNext w:val="0"/>
              <w:keepLines w:val="0"/>
              <w:widowControl/>
              <w:suppressLineNumbers w:val="0"/>
              <w:jc w:val="center"/>
              <w:textAlignment w:val="top"/>
              <w:rPr>
                <w:rFonts w:hint="default" w:ascii="Times New Roman" w:hAnsi="Times New Roman" w:eastAsia="宋体" w:cs="Times New Roman"/>
                <w:color w:val="auto"/>
                <w:highlight w:val="none"/>
                <w:vertAlign w:val="subscript"/>
                <w:lang w:val="en-US" w:eastAsia="zh-CN"/>
              </w:rPr>
            </w:pPr>
            <w:r>
              <w:rPr>
                <w:rFonts w:hint="eastAsia" w:cs="Times New Roman"/>
                <w:color w:val="auto"/>
                <w:highlight w:val="none"/>
                <w:vertAlign w:val="baseline"/>
                <w:lang w:val="en-US" w:eastAsia="zh-CN"/>
              </w:rPr>
              <w:t>TSP</w:t>
            </w:r>
          </w:p>
        </w:tc>
        <w:tc>
          <w:tcPr>
            <w:tcW w:w="848"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十八户村四组</w:t>
            </w:r>
          </w:p>
        </w:tc>
        <w:tc>
          <w:tcPr>
            <w:tcW w:w="633"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-2639</w:t>
            </w:r>
          </w:p>
        </w:tc>
        <w:tc>
          <w:tcPr>
            <w:tcW w:w="756"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-1063</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1.88E-04</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21080505</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4.50E-01</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0.04</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keepNext w:val="0"/>
              <w:keepLines w:val="0"/>
              <w:widowControl/>
              <w:suppressLineNumbers w:val="0"/>
              <w:jc w:val="center"/>
              <w:textAlignment w:val="top"/>
              <w:rPr>
                <w:rFonts w:hint="eastAsia" w:ascii="Times New Roman" w:hAnsi="Times New Roman" w:cs="Times New Roman"/>
                <w:i w:val="0"/>
                <w:color w:val="auto"/>
                <w:kern w:val="0"/>
                <w:sz w:val="21"/>
                <w:szCs w:val="21"/>
                <w:highlight w:val="none"/>
                <w:u w:val="none"/>
                <w:lang w:val="en-US" w:eastAsia="zh-CN" w:bidi="ar"/>
              </w:rPr>
            </w:pPr>
          </w:p>
        </w:tc>
        <w:tc>
          <w:tcPr>
            <w:tcW w:w="848"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jc w:val="center"/>
              <w:rPr>
                <w:rFonts w:hint="eastAsia"/>
                <w:color w:val="auto"/>
                <w:highlight w:val="none"/>
              </w:rPr>
            </w:pPr>
          </w:p>
        </w:tc>
        <w:tc>
          <w:tcPr>
            <w:tcW w:w="756" w:type="dxa"/>
            <w:vMerge w:val="continue"/>
            <w:tcBorders>
              <w:tl2br w:val="nil"/>
              <w:tr2bl w:val="nil"/>
            </w:tcBorders>
            <w:noWrap w:val="0"/>
            <w:vAlign w:val="center"/>
          </w:tcPr>
          <w:p>
            <w:pPr>
              <w:jc w:val="center"/>
              <w:rPr>
                <w:rFonts w:hint="eastAsia"/>
                <w:color w:val="auto"/>
                <w:highlight w:val="none"/>
              </w:rPr>
            </w:pPr>
          </w:p>
        </w:tc>
        <w:tc>
          <w:tcPr>
            <w:tcW w:w="924" w:type="dxa"/>
            <w:tcBorders>
              <w:tl2br w:val="nil"/>
              <w:tr2bl w:val="nil"/>
            </w:tcBorders>
            <w:noWrap w:val="0"/>
            <w:vAlign w:val="center"/>
          </w:tcPr>
          <w:p>
            <w:pPr>
              <w:widowControl/>
              <w:jc w:val="center"/>
              <w:textAlignment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2.83E-05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210712</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1.50E-01</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1.93E-06</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7.00E-02</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祁家湖村</w:t>
            </w:r>
          </w:p>
        </w:tc>
        <w:tc>
          <w:tcPr>
            <w:tcW w:w="633"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-4423</w:t>
            </w:r>
          </w:p>
        </w:tc>
        <w:tc>
          <w:tcPr>
            <w:tcW w:w="756"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-1779</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1.19E-04</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21071205</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4.50E-01</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0.03</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hint="eastAsia" w:ascii="Times New Roman" w:hAnsi="Times New Roman" w:eastAsia="宋体" w:cs="Times New Roman"/>
                <w:color w:val="auto"/>
                <w:szCs w:val="21"/>
                <w:highlight w:val="none"/>
                <w:lang w:val="en-US" w:eastAsia="zh-CN"/>
              </w:rPr>
            </w:pPr>
          </w:p>
        </w:tc>
        <w:tc>
          <w:tcPr>
            <w:tcW w:w="633" w:type="dxa"/>
            <w:vMerge w:val="continue"/>
            <w:tcBorders>
              <w:tl2br w:val="nil"/>
              <w:tr2bl w:val="nil"/>
            </w:tcBorders>
            <w:noWrap w:val="0"/>
            <w:vAlign w:val="center"/>
          </w:tcPr>
          <w:p>
            <w:pPr>
              <w:jc w:val="center"/>
              <w:rPr>
                <w:rFonts w:hint="eastAsia"/>
                <w:color w:val="auto"/>
                <w:highlight w:val="none"/>
              </w:rPr>
            </w:pPr>
          </w:p>
        </w:tc>
        <w:tc>
          <w:tcPr>
            <w:tcW w:w="756" w:type="dxa"/>
            <w:vMerge w:val="continue"/>
            <w:tcBorders>
              <w:tl2br w:val="nil"/>
              <w:tr2bl w:val="nil"/>
            </w:tcBorders>
            <w:noWrap w:val="0"/>
            <w:vAlign w:val="center"/>
          </w:tcPr>
          <w:p>
            <w:pPr>
              <w:jc w:val="center"/>
              <w:rPr>
                <w:rFonts w:hint="eastAsia"/>
                <w:color w:val="auto"/>
                <w:highlight w:val="none"/>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1.99E-05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210712</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1.50E-01</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0.01</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1.56E-06</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7.00E-02</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restart"/>
            <w:tcBorders>
              <w:tl2br w:val="nil"/>
              <w:tr2bl w:val="nil"/>
            </w:tcBorders>
            <w:noWrap w:val="0"/>
            <w:vAlign w:val="center"/>
          </w:tcPr>
          <w:p>
            <w:pPr>
              <w:jc w:val="center"/>
              <w:rPr>
                <w:rFonts w:ascii="Times New Roman" w:hAnsi="Times New Roman" w:cs="Times New Roman"/>
                <w:color w:val="auto"/>
                <w:szCs w:val="21"/>
                <w:highlight w:val="none"/>
                <w:lang w:val="en-US" w:eastAsia="zh-CN"/>
              </w:rPr>
            </w:pPr>
            <w:r>
              <w:rPr>
                <w:rFonts w:hint="eastAsia"/>
                <w:color w:val="auto"/>
              </w:rPr>
              <w:t>永丰四队</w:t>
            </w:r>
          </w:p>
        </w:tc>
        <w:tc>
          <w:tcPr>
            <w:tcW w:w="633"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-3363</w:t>
            </w:r>
          </w:p>
        </w:tc>
        <w:tc>
          <w:tcPr>
            <w:tcW w:w="756"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-3690</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9.27E-05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21050523</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4.50E-01</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1.74E-05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211201</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1.50E-01</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0.01</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1.07E-06</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7.00E-02</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restart"/>
            <w:tcBorders>
              <w:tl2br w:val="nil"/>
              <w:tr2bl w:val="nil"/>
            </w:tcBorders>
            <w:noWrap w:val="0"/>
            <w:vAlign w:val="center"/>
          </w:tcPr>
          <w:p>
            <w:pPr>
              <w:jc w:val="center"/>
              <w:rPr>
                <w:rFonts w:ascii="Times New Roman" w:hAnsi="Times New Roman" w:cs="Times New Roman"/>
                <w:color w:val="auto"/>
                <w:szCs w:val="21"/>
                <w:highlight w:val="none"/>
                <w:lang w:val="en-US" w:eastAsia="zh-CN"/>
              </w:rPr>
            </w:pPr>
            <w:r>
              <w:rPr>
                <w:rFonts w:hint="eastAsia"/>
                <w:color w:val="auto"/>
              </w:rPr>
              <w:t>十八户村</w:t>
            </w:r>
          </w:p>
        </w:tc>
        <w:tc>
          <w:tcPr>
            <w:tcW w:w="633"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-3224</w:t>
            </w:r>
          </w:p>
        </w:tc>
        <w:tc>
          <w:tcPr>
            <w:tcW w:w="756"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-4231</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1.19E-04</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21080323</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4.50E-01</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0.03</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1.48E-05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211229</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1.50E-01</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0.01</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9.20E-07</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7.00E-02</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restart"/>
            <w:tcBorders>
              <w:tl2br w:val="nil"/>
              <w:tr2bl w:val="nil"/>
            </w:tcBorders>
            <w:noWrap w:val="0"/>
            <w:vAlign w:val="center"/>
          </w:tcPr>
          <w:p>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网格点</w:t>
            </w:r>
          </w:p>
        </w:tc>
        <w:tc>
          <w:tcPr>
            <w:tcW w:w="633" w:type="dxa"/>
            <w:tcBorders>
              <w:tl2br w:val="nil"/>
              <w:tr2bl w:val="nil"/>
            </w:tcBorders>
            <w:noWrap w:val="0"/>
            <w:vAlign w:val="center"/>
          </w:tcPr>
          <w:p>
            <w:pPr>
              <w:jc w:val="center"/>
              <w:rPr>
                <w:rFonts w:hint="default" w:ascii="Times New Roman" w:hAnsi="Times New Roman" w:eastAsia="宋体" w:cs="Times New Roman"/>
                <w:color w:val="auto"/>
                <w:kern w:val="2"/>
                <w:sz w:val="21"/>
                <w:szCs w:val="22"/>
                <w:highlight w:val="none"/>
                <w:lang w:val="en-US" w:eastAsia="zh-CN" w:bidi="ar-SA"/>
              </w:rPr>
            </w:pPr>
            <w:r>
              <w:rPr>
                <w:rFonts w:hint="eastAsia"/>
                <w:color w:val="auto"/>
                <w:highlight w:val="none"/>
                <w:lang w:val="en-US" w:eastAsia="zh-CN"/>
              </w:rPr>
              <w:t>85</w:t>
            </w:r>
          </w:p>
        </w:tc>
        <w:tc>
          <w:tcPr>
            <w:tcW w:w="756" w:type="dxa"/>
            <w:tcBorders>
              <w:tl2br w:val="nil"/>
              <w:tr2bl w:val="nil"/>
            </w:tcBorders>
            <w:noWrap w:val="0"/>
            <w:vAlign w:val="center"/>
          </w:tcPr>
          <w:p>
            <w:pPr>
              <w:jc w:val="center"/>
              <w:rPr>
                <w:rFonts w:hint="default" w:ascii="Times New Roman" w:hAnsi="Times New Roman" w:eastAsia="宋体" w:cs="Times New Roman"/>
                <w:color w:val="auto"/>
                <w:kern w:val="2"/>
                <w:sz w:val="21"/>
                <w:szCs w:val="22"/>
                <w:highlight w:val="none"/>
                <w:lang w:val="en-US" w:eastAsia="zh-CN" w:bidi="ar-SA"/>
              </w:rPr>
            </w:pPr>
            <w:r>
              <w:rPr>
                <w:rFonts w:hint="eastAsia"/>
                <w:color w:val="auto"/>
                <w:highlight w:val="none"/>
                <w:lang w:val="en-US" w:eastAsia="zh-CN"/>
              </w:rPr>
              <w:t>-146</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1.00E-03</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21071320</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4.50E-01</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0.22</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p>
        </w:tc>
        <w:tc>
          <w:tcPr>
            <w:tcW w:w="633" w:type="dxa"/>
            <w:tcBorders>
              <w:tl2br w:val="nil"/>
              <w:tr2bl w:val="nil"/>
            </w:tcBorders>
            <w:noWrap w:val="0"/>
            <w:vAlign w:val="center"/>
          </w:tcPr>
          <w:p>
            <w:pPr>
              <w:jc w:val="center"/>
              <w:rPr>
                <w:rFonts w:hint="default" w:ascii="Times New Roman" w:hAnsi="Times New Roman" w:eastAsia="宋体" w:cs="Times New Roman"/>
                <w:color w:val="auto"/>
                <w:kern w:val="2"/>
                <w:sz w:val="21"/>
                <w:szCs w:val="22"/>
                <w:highlight w:val="none"/>
                <w:lang w:val="en-US" w:eastAsia="zh-CN" w:bidi="ar-SA"/>
              </w:rPr>
            </w:pPr>
            <w:r>
              <w:rPr>
                <w:rFonts w:hint="eastAsia" w:cs="Times New Roman"/>
                <w:color w:val="auto"/>
                <w:kern w:val="2"/>
                <w:sz w:val="21"/>
                <w:szCs w:val="22"/>
                <w:highlight w:val="none"/>
                <w:lang w:val="en-US" w:eastAsia="zh-CN" w:bidi="ar-SA"/>
              </w:rPr>
              <w:t>-489</w:t>
            </w:r>
          </w:p>
        </w:tc>
        <w:tc>
          <w:tcPr>
            <w:tcW w:w="756" w:type="dxa"/>
            <w:tcBorders>
              <w:tl2br w:val="nil"/>
              <w:tr2bl w:val="nil"/>
            </w:tcBorders>
            <w:noWrap w:val="0"/>
            <w:vAlign w:val="center"/>
          </w:tcPr>
          <w:p>
            <w:pPr>
              <w:jc w:val="center"/>
              <w:rPr>
                <w:rFonts w:hint="default" w:ascii="Times New Roman" w:hAnsi="Times New Roman" w:eastAsia="宋体" w:cs="Times New Roman"/>
                <w:color w:val="auto"/>
                <w:kern w:val="2"/>
                <w:sz w:val="21"/>
                <w:szCs w:val="22"/>
                <w:highlight w:val="none"/>
                <w:lang w:val="en-US" w:eastAsia="zh-CN" w:bidi="ar-SA"/>
              </w:rPr>
            </w:pPr>
            <w:r>
              <w:rPr>
                <w:rFonts w:hint="eastAsia" w:cs="Times New Roman"/>
                <w:color w:val="auto"/>
                <w:kern w:val="2"/>
                <w:sz w:val="21"/>
                <w:szCs w:val="22"/>
                <w:highlight w:val="none"/>
                <w:lang w:val="en-US" w:eastAsia="zh-CN" w:bidi="ar-SA"/>
              </w:rPr>
              <w:t>-146</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1.69E-04</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210710</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1.50E-01</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0.11</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93"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tcBorders>
              <w:tl2br w:val="nil"/>
              <w:tr2bl w:val="nil"/>
            </w:tcBorders>
            <w:noWrap w:val="0"/>
            <w:vAlign w:val="center"/>
          </w:tcPr>
          <w:p>
            <w:pPr>
              <w:jc w:val="center"/>
              <w:rPr>
                <w:rFonts w:hint="default" w:ascii="Times New Roman" w:hAnsi="Times New Roman" w:eastAsia="宋体" w:cs="Times New Roman"/>
                <w:color w:val="auto"/>
                <w:kern w:val="2"/>
                <w:sz w:val="21"/>
                <w:szCs w:val="22"/>
                <w:highlight w:val="none"/>
                <w:lang w:val="en-US" w:eastAsia="zh-CN" w:bidi="ar-SA"/>
              </w:rPr>
            </w:pPr>
            <w:r>
              <w:rPr>
                <w:rFonts w:hint="eastAsia" w:cs="Times New Roman"/>
                <w:color w:val="auto"/>
                <w:kern w:val="2"/>
                <w:sz w:val="21"/>
                <w:szCs w:val="22"/>
                <w:highlight w:val="none"/>
                <w:lang w:val="en-US" w:eastAsia="zh-CN" w:bidi="ar-SA"/>
              </w:rPr>
              <w:t>85</w:t>
            </w:r>
          </w:p>
        </w:tc>
        <w:tc>
          <w:tcPr>
            <w:tcW w:w="756" w:type="dxa"/>
            <w:tcBorders>
              <w:tl2br w:val="nil"/>
              <w:tr2bl w:val="nil"/>
            </w:tcBorders>
            <w:noWrap w:val="0"/>
            <w:vAlign w:val="center"/>
          </w:tcPr>
          <w:p>
            <w:pPr>
              <w:jc w:val="center"/>
              <w:rPr>
                <w:rFonts w:hint="default" w:ascii="Times New Roman" w:hAnsi="Times New Roman" w:eastAsia="宋体" w:cs="Times New Roman"/>
                <w:color w:val="auto"/>
                <w:kern w:val="2"/>
                <w:sz w:val="21"/>
                <w:szCs w:val="22"/>
                <w:highlight w:val="none"/>
                <w:lang w:val="en-US" w:eastAsia="zh-CN" w:bidi="ar-SA"/>
              </w:rPr>
            </w:pPr>
            <w:r>
              <w:rPr>
                <w:rFonts w:hint="eastAsia" w:cs="Times New Roman"/>
                <w:color w:val="auto"/>
                <w:kern w:val="2"/>
                <w:sz w:val="21"/>
                <w:szCs w:val="22"/>
                <w:highlight w:val="none"/>
                <w:lang w:val="en-US" w:eastAsia="zh-CN" w:bidi="ar-SA"/>
              </w:rPr>
              <w:t>57</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1.81E-05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7.00E-02</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0.03</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restart"/>
            <w:tcBorders>
              <w:tl2br w:val="nil"/>
              <w:tr2bl w:val="nil"/>
            </w:tcBorders>
            <w:noWrap w:val="0"/>
            <w:vAlign w:val="center"/>
          </w:tcPr>
          <w:p>
            <w:pPr>
              <w:keepNext w:val="0"/>
              <w:keepLines w:val="0"/>
              <w:widowControl/>
              <w:suppressLineNumbers w:val="0"/>
              <w:jc w:val="center"/>
              <w:textAlignment w:val="top"/>
              <w:rPr>
                <w:rFonts w:hint="default" w:ascii="Times New Roman" w:hAnsi="Times New Roman" w:eastAsia="宋体" w:cs="Times New Roman"/>
                <w:color w:val="auto"/>
                <w:highlight w:val="none"/>
                <w:vertAlign w:val="subscript"/>
                <w:lang w:val="en-US" w:eastAsia="zh-CN"/>
              </w:rPr>
            </w:pPr>
            <w:r>
              <w:rPr>
                <w:rFonts w:hint="eastAsia" w:cs="Times New Roman"/>
                <w:i w:val="0"/>
                <w:color w:val="auto"/>
                <w:kern w:val="0"/>
                <w:sz w:val="21"/>
                <w:szCs w:val="21"/>
                <w:highlight w:val="none"/>
                <w:u w:val="none"/>
                <w:lang w:val="en-US" w:eastAsia="zh-CN" w:bidi="ar"/>
              </w:rPr>
              <w:t>氨</w:t>
            </w:r>
          </w:p>
        </w:tc>
        <w:tc>
          <w:tcPr>
            <w:tcW w:w="848"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十八户村四组</w:t>
            </w:r>
          </w:p>
        </w:tc>
        <w:tc>
          <w:tcPr>
            <w:tcW w:w="633"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-2639</w:t>
            </w:r>
          </w:p>
        </w:tc>
        <w:tc>
          <w:tcPr>
            <w:tcW w:w="756"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-1063</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8.46E-04</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21071205</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2.00E-01</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0.42</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keepNext w:val="0"/>
              <w:keepLines w:val="0"/>
              <w:widowControl/>
              <w:suppressLineNumbers w:val="0"/>
              <w:jc w:val="center"/>
              <w:textAlignment w:val="top"/>
              <w:rPr>
                <w:rFonts w:hint="eastAsia" w:ascii="Times New Roman" w:hAnsi="Times New Roman" w:cs="Times New Roman"/>
                <w:i w:val="0"/>
                <w:color w:val="auto"/>
                <w:kern w:val="0"/>
                <w:sz w:val="21"/>
                <w:szCs w:val="21"/>
                <w:highlight w:val="none"/>
                <w:u w:val="none"/>
                <w:lang w:val="en-US" w:eastAsia="zh-CN" w:bidi="ar"/>
              </w:rPr>
            </w:pPr>
          </w:p>
        </w:tc>
        <w:tc>
          <w:tcPr>
            <w:tcW w:w="848"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jc w:val="center"/>
              <w:rPr>
                <w:rFonts w:hint="eastAsia"/>
                <w:color w:val="auto"/>
                <w:highlight w:val="none"/>
              </w:rPr>
            </w:pPr>
          </w:p>
        </w:tc>
        <w:tc>
          <w:tcPr>
            <w:tcW w:w="756" w:type="dxa"/>
            <w:vMerge w:val="continue"/>
            <w:tcBorders>
              <w:tl2br w:val="nil"/>
              <w:tr2bl w:val="nil"/>
            </w:tcBorders>
            <w:noWrap w:val="0"/>
            <w:vAlign w:val="center"/>
          </w:tcPr>
          <w:p>
            <w:pPr>
              <w:jc w:val="center"/>
              <w:rPr>
                <w:rFonts w:hint="eastAsia"/>
                <w:color w:val="auto"/>
                <w:highlight w:val="none"/>
              </w:rPr>
            </w:pPr>
          </w:p>
        </w:tc>
        <w:tc>
          <w:tcPr>
            <w:tcW w:w="924" w:type="dxa"/>
            <w:tcBorders>
              <w:tl2br w:val="nil"/>
              <w:tr2bl w:val="nil"/>
            </w:tcBorders>
            <w:noWrap w:val="0"/>
            <w:vAlign w:val="center"/>
          </w:tcPr>
          <w:p>
            <w:pPr>
              <w:widowControl/>
              <w:jc w:val="center"/>
              <w:textAlignment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2.82E-04</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211217</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1.99E-05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祁家湖村</w:t>
            </w:r>
          </w:p>
        </w:tc>
        <w:tc>
          <w:tcPr>
            <w:tcW w:w="633"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-4423</w:t>
            </w:r>
          </w:p>
        </w:tc>
        <w:tc>
          <w:tcPr>
            <w:tcW w:w="756"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-1779</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4.83E-04</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21071205</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2.00E-01</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0.24</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hint="eastAsia" w:ascii="Times New Roman" w:hAnsi="Times New Roman" w:eastAsia="宋体" w:cs="Times New Roman"/>
                <w:color w:val="auto"/>
                <w:szCs w:val="21"/>
                <w:highlight w:val="none"/>
                <w:lang w:val="en-US" w:eastAsia="zh-CN"/>
              </w:rPr>
            </w:pPr>
          </w:p>
        </w:tc>
        <w:tc>
          <w:tcPr>
            <w:tcW w:w="633" w:type="dxa"/>
            <w:vMerge w:val="continue"/>
            <w:tcBorders>
              <w:tl2br w:val="nil"/>
              <w:tr2bl w:val="nil"/>
            </w:tcBorders>
            <w:noWrap w:val="0"/>
            <w:vAlign w:val="center"/>
          </w:tcPr>
          <w:p>
            <w:pPr>
              <w:jc w:val="center"/>
              <w:rPr>
                <w:rFonts w:hint="eastAsia"/>
                <w:color w:val="auto"/>
                <w:highlight w:val="none"/>
              </w:rPr>
            </w:pPr>
          </w:p>
        </w:tc>
        <w:tc>
          <w:tcPr>
            <w:tcW w:w="756" w:type="dxa"/>
            <w:vMerge w:val="continue"/>
            <w:tcBorders>
              <w:tl2br w:val="nil"/>
              <w:tr2bl w:val="nil"/>
            </w:tcBorders>
            <w:noWrap w:val="0"/>
            <w:vAlign w:val="center"/>
          </w:tcPr>
          <w:p>
            <w:pPr>
              <w:jc w:val="center"/>
              <w:rPr>
                <w:rFonts w:hint="eastAsia"/>
                <w:color w:val="auto"/>
                <w:highlight w:val="none"/>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1.49E-04</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211217</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1.02E-05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restart"/>
            <w:tcBorders>
              <w:tl2br w:val="nil"/>
              <w:tr2bl w:val="nil"/>
            </w:tcBorders>
            <w:noWrap w:val="0"/>
            <w:vAlign w:val="center"/>
          </w:tcPr>
          <w:p>
            <w:pPr>
              <w:jc w:val="center"/>
              <w:rPr>
                <w:rFonts w:ascii="Times New Roman" w:hAnsi="Times New Roman" w:cs="Times New Roman"/>
                <w:color w:val="auto"/>
                <w:szCs w:val="21"/>
                <w:highlight w:val="none"/>
                <w:lang w:val="en-US" w:eastAsia="zh-CN"/>
              </w:rPr>
            </w:pPr>
            <w:r>
              <w:rPr>
                <w:rFonts w:hint="eastAsia"/>
                <w:color w:val="auto"/>
              </w:rPr>
              <w:t>永丰四队</w:t>
            </w:r>
          </w:p>
        </w:tc>
        <w:tc>
          <w:tcPr>
            <w:tcW w:w="633"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-3363</w:t>
            </w:r>
          </w:p>
        </w:tc>
        <w:tc>
          <w:tcPr>
            <w:tcW w:w="756"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-3690</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4.09E-04</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21050523</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2.00E-01</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0.2</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1.17E-04</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211201</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6.25E-06</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restart"/>
            <w:tcBorders>
              <w:tl2br w:val="nil"/>
              <w:tr2bl w:val="nil"/>
            </w:tcBorders>
            <w:noWrap w:val="0"/>
            <w:vAlign w:val="center"/>
          </w:tcPr>
          <w:p>
            <w:pPr>
              <w:jc w:val="center"/>
              <w:rPr>
                <w:rFonts w:ascii="Times New Roman" w:hAnsi="Times New Roman" w:cs="Times New Roman"/>
                <w:color w:val="auto"/>
                <w:szCs w:val="21"/>
                <w:highlight w:val="none"/>
                <w:lang w:val="en-US" w:eastAsia="zh-CN"/>
              </w:rPr>
            </w:pPr>
            <w:r>
              <w:rPr>
                <w:rFonts w:hint="eastAsia"/>
                <w:color w:val="auto"/>
              </w:rPr>
              <w:t>十八户村</w:t>
            </w:r>
          </w:p>
        </w:tc>
        <w:tc>
          <w:tcPr>
            <w:tcW w:w="633"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-3224</w:t>
            </w:r>
          </w:p>
        </w:tc>
        <w:tc>
          <w:tcPr>
            <w:tcW w:w="756"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-4231</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4.56E-04</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21080323</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2.00E-01</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0.23</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8.11E-05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211212</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5.46E-06</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restart"/>
            <w:tcBorders>
              <w:tl2br w:val="nil"/>
              <w:tr2bl w:val="nil"/>
            </w:tcBorders>
            <w:noWrap w:val="0"/>
            <w:vAlign w:val="center"/>
          </w:tcPr>
          <w:p>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网格点</w:t>
            </w:r>
          </w:p>
        </w:tc>
        <w:tc>
          <w:tcPr>
            <w:tcW w:w="633" w:type="dxa"/>
            <w:tcBorders>
              <w:tl2br w:val="nil"/>
              <w:tr2bl w:val="nil"/>
            </w:tcBorders>
            <w:noWrap w:val="0"/>
            <w:vAlign w:val="center"/>
          </w:tcPr>
          <w:p>
            <w:pPr>
              <w:jc w:val="center"/>
              <w:rPr>
                <w:rFonts w:hint="default"/>
                <w:color w:val="auto"/>
                <w:highlight w:val="none"/>
                <w:lang w:val="en-US" w:eastAsia="zh-CN"/>
              </w:rPr>
            </w:pPr>
            <w:r>
              <w:rPr>
                <w:rFonts w:hint="eastAsia"/>
                <w:color w:val="auto"/>
                <w:highlight w:val="none"/>
                <w:lang w:val="en-US" w:eastAsia="zh-CN"/>
              </w:rPr>
              <w:t>85</w:t>
            </w:r>
          </w:p>
        </w:tc>
        <w:tc>
          <w:tcPr>
            <w:tcW w:w="756" w:type="dxa"/>
            <w:tcBorders>
              <w:tl2br w:val="nil"/>
              <w:tr2bl w:val="nil"/>
            </w:tcBorders>
            <w:noWrap w:val="0"/>
            <w:vAlign w:val="center"/>
          </w:tcPr>
          <w:p>
            <w:pPr>
              <w:jc w:val="center"/>
              <w:rPr>
                <w:rFonts w:hint="default"/>
                <w:color w:val="auto"/>
                <w:highlight w:val="none"/>
                <w:lang w:val="en-US" w:eastAsia="zh-CN"/>
              </w:rPr>
            </w:pPr>
            <w:r>
              <w:rPr>
                <w:rFonts w:hint="eastAsia"/>
                <w:color w:val="auto"/>
                <w:highlight w:val="none"/>
                <w:lang w:val="en-US" w:eastAsia="zh-CN"/>
              </w:rPr>
              <w:t>-146</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7.99E-03</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21071320</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2.00E-01</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3.99</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p>
        </w:tc>
        <w:tc>
          <w:tcPr>
            <w:tcW w:w="633" w:type="dxa"/>
            <w:tcBorders>
              <w:tl2br w:val="nil"/>
              <w:tr2bl w:val="nil"/>
            </w:tcBorders>
            <w:noWrap w:val="0"/>
            <w:vAlign w:val="center"/>
          </w:tcPr>
          <w:p>
            <w:pPr>
              <w:jc w:val="center"/>
              <w:rPr>
                <w:rFonts w:hint="default"/>
                <w:color w:val="auto"/>
                <w:highlight w:val="none"/>
                <w:lang w:val="en-US" w:eastAsia="zh-CN"/>
              </w:rPr>
            </w:pPr>
            <w:r>
              <w:rPr>
                <w:rFonts w:hint="eastAsia" w:cs="Times New Roman"/>
                <w:color w:val="auto"/>
                <w:kern w:val="2"/>
                <w:sz w:val="21"/>
                <w:szCs w:val="22"/>
                <w:highlight w:val="none"/>
                <w:lang w:val="en-US" w:eastAsia="zh-CN" w:bidi="ar-SA"/>
              </w:rPr>
              <w:t>-489</w:t>
            </w:r>
          </w:p>
        </w:tc>
        <w:tc>
          <w:tcPr>
            <w:tcW w:w="756" w:type="dxa"/>
            <w:tcBorders>
              <w:tl2br w:val="nil"/>
              <w:tr2bl w:val="nil"/>
            </w:tcBorders>
            <w:noWrap w:val="0"/>
            <w:vAlign w:val="center"/>
          </w:tcPr>
          <w:p>
            <w:pPr>
              <w:jc w:val="center"/>
              <w:rPr>
                <w:rFonts w:hint="default"/>
                <w:color w:val="auto"/>
                <w:highlight w:val="none"/>
                <w:lang w:val="en-US" w:eastAsia="zh-CN"/>
              </w:rPr>
            </w:pPr>
            <w:r>
              <w:rPr>
                <w:rFonts w:hint="eastAsia" w:cs="Times New Roman"/>
                <w:color w:val="auto"/>
                <w:kern w:val="2"/>
                <w:sz w:val="21"/>
                <w:szCs w:val="22"/>
                <w:highlight w:val="none"/>
                <w:lang w:val="en-US" w:eastAsia="zh-CN" w:bidi="ar-SA"/>
              </w:rPr>
              <w:t>-146</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1.28E-03</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211217</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93"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tcBorders>
              <w:tl2br w:val="nil"/>
              <w:tr2bl w:val="nil"/>
            </w:tcBorders>
            <w:noWrap w:val="0"/>
            <w:vAlign w:val="center"/>
          </w:tcPr>
          <w:p>
            <w:pPr>
              <w:jc w:val="center"/>
              <w:rPr>
                <w:rFonts w:hint="default"/>
                <w:color w:val="auto"/>
                <w:highlight w:val="none"/>
                <w:lang w:val="en-US" w:eastAsia="zh-CN"/>
              </w:rPr>
            </w:pPr>
            <w:r>
              <w:rPr>
                <w:rFonts w:hint="eastAsia" w:cs="Times New Roman"/>
                <w:color w:val="auto"/>
                <w:kern w:val="2"/>
                <w:sz w:val="21"/>
                <w:szCs w:val="22"/>
                <w:highlight w:val="none"/>
                <w:lang w:val="en-US" w:eastAsia="zh-CN" w:bidi="ar-SA"/>
              </w:rPr>
              <w:t>85</w:t>
            </w:r>
          </w:p>
        </w:tc>
        <w:tc>
          <w:tcPr>
            <w:tcW w:w="756" w:type="dxa"/>
            <w:tcBorders>
              <w:tl2br w:val="nil"/>
              <w:tr2bl w:val="nil"/>
            </w:tcBorders>
            <w:noWrap w:val="0"/>
            <w:vAlign w:val="center"/>
          </w:tcPr>
          <w:p>
            <w:pPr>
              <w:jc w:val="center"/>
              <w:rPr>
                <w:rFonts w:hint="default"/>
                <w:color w:val="auto"/>
                <w:highlight w:val="none"/>
                <w:lang w:val="en-US" w:eastAsia="zh-CN"/>
              </w:rPr>
            </w:pPr>
            <w:r>
              <w:rPr>
                <w:rFonts w:hint="eastAsia" w:cs="Times New Roman"/>
                <w:color w:val="auto"/>
                <w:kern w:val="2"/>
                <w:sz w:val="21"/>
                <w:szCs w:val="22"/>
                <w:highlight w:val="none"/>
                <w:lang w:val="en-US" w:eastAsia="zh-CN" w:bidi="ar-SA"/>
              </w:rPr>
              <w:t>57</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2.41E-04</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restart"/>
            <w:tcBorders>
              <w:tl2br w:val="nil"/>
              <w:tr2bl w:val="nil"/>
            </w:tcBorders>
            <w:noWrap w:val="0"/>
            <w:vAlign w:val="center"/>
          </w:tcPr>
          <w:p>
            <w:pPr>
              <w:keepNext w:val="0"/>
              <w:keepLines w:val="0"/>
              <w:widowControl/>
              <w:suppressLineNumbers w:val="0"/>
              <w:jc w:val="center"/>
              <w:textAlignment w:val="top"/>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硫化氢</w:t>
            </w:r>
          </w:p>
        </w:tc>
        <w:tc>
          <w:tcPr>
            <w:tcW w:w="848"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十八户村四组</w:t>
            </w:r>
          </w:p>
        </w:tc>
        <w:tc>
          <w:tcPr>
            <w:tcW w:w="633"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-2639</w:t>
            </w:r>
          </w:p>
        </w:tc>
        <w:tc>
          <w:tcPr>
            <w:tcW w:w="756"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-1063</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3.82E-04</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21080505</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1.00E-02</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3.82</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keepNext w:val="0"/>
              <w:keepLines w:val="0"/>
              <w:widowControl/>
              <w:suppressLineNumbers w:val="0"/>
              <w:jc w:val="center"/>
              <w:textAlignment w:val="top"/>
              <w:rPr>
                <w:rFonts w:hint="eastAsia" w:ascii="Times New Roman" w:hAnsi="Times New Roman" w:cs="Times New Roman"/>
                <w:i w:val="0"/>
                <w:color w:val="auto"/>
                <w:kern w:val="0"/>
                <w:sz w:val="21"/>
                <w:szCs w:val="21"/>
                <w:highlight w:val="none"/>
                <w:u w:val="none"/>
                <w:lang w:val="en-US" w:eastAsia="zh-CN" w:bidi="ar"/>
              </w:rPr>
            </w:pPr>
          </w:p>
        </w:tc>
        <w:tc>
          <w:tcPr>
            <w:tcW w:w="848"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jc w:val="center"/>
              <w:rPr>
                <w:rFonts w:hint="eastAsia"/>
                <w:color w:val="auto"/>
                <w:highlight w:val="none"/>
              </w:rPr>
            </w:pPr>
          </w:p>
        </w:tc>
        <w:tc>
          <w:tcPr>
            <w:tcW w:w="756" w:type="dxa"/>
            <w:vMerge w:val="continue"/>
            <w:tcBorders>
              <w:tl2br w:val="nil"/>
              <w:tr2bl w:val="nil"/>
            </w:tcBorders>
            <w:noWrap w:val="0"/>
            <w:vAlign w:val="center"/>
          </w:tcPr>
          <w:p>
            <w:pPr>
              <w:jc w:val="center"/>
              <w:rPr>
                <w:rFonts w:hint="eastAsia"/>
                <w:color w:val="auto"/>
                <w:highlight w:val="none"/>
              </w:rPr>
            </w:pPr>
          </w:p>
        </w:tc>
        <w:tc>
          <w:tcPr>
            <w:tcW w:w="924" w:type="dxa"/>
            <w:tcBorders>
              <w:tl2br w:val="nil"/>
              <w:tr2bl w:val="nil"/>
            </w:tcBorders>
            <w:noWrap w:val="0"/>
            <w:vAlign w:val="center"/>
          </w:tcPr>
          <w:p>
            <w:pPr>
              <w:widowControl/>
              <w:jc w:val="center"/>
              <w:textAlignment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4.77E-05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210805</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3.00E-06</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祁家湖村</w:t>
            </w:r>
          </w:p>
        </w:tc>
        <w:tc>
          <w:tcPr>
            <w:tcW w:w="633"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-4423</w:t>
            </w:r>
          </w:p>
        </w:tc>
        <w:tc>
          <w:tcPr>
            <w:tcW w:w="756"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-1779</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2.10E-04</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21071205</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1.00E-02</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hint="eastAsia" w:ascii="Times New Roman" w:hAnsi="Times New Roman" w:eastAsia="宋体" w:cs="Times New Roman"/>
                <w:color w:val="auto"/>
                <w:szCs w:val="21"/>
                <w:highlight w:val="none"/>
                <w:lang w:val="en-US" w:eastAsia="zh-CN"/>
              </w:rPr>
            </w:pPr>
          </w:p>
        </w:tc>
        <w:tc>
          <w:tcPr>
            <w:tcW w:w="633" w:type="dxa"/>
            <w:vMerge w:val="continue"/>
            <w:tcBorders>
              <w:tl2br w:val="nil"/>
              <w:tr2bl w:val="nil"/>
            </w:tcBorders>
            <w:noWrap w:val="0"/>
            <w:vAlign w:val="center"/>
          </w:tcPr>
          <w:p>
            <w:pPr>
              <w:jc w:val="center"/>
              <w:rPr>
                <w:rFonts w:hint="eastAsia"/>
                <w:color w:val="auto"/>
                <w:highlight w:val="none"/>
              </w:rPr>
            </w:pPr>
          </w:p>
        </w:tc>
        <w:tc>
          <w:tcPr>
            <w:tcW w:w="756" w:type="dxa"/>
            <w:vMerge w:val="continue"/>
            <w:tcBorders>
              <w:tl2br w:val="nil"/>
              <w:tr2bl w:val="nil"/>
            </w:tcBorders>
            <w:noWrap w:val="0"/>
            <w:vAlign w:val="center"/>
          </w:tcPr>
          <w:p>
            <w:pPr>
              <w:jc w:val="center"/>
              <w:rPr>
                <w:rFonts w:hint="eastAsia"/>
                <w:color w:val="auto"/>
                <w:highlight w:val="none"/>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3.50E-05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210712</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1.97E-06</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restart"/>
            <w:tcBorders>
              <w:tl2br w:val="nil"/>
              <w:tr2bl w:val="nil"/>
            </w:tcBorders>
            <w:noWrap w:val="0"/>
            <w:vAlign w:val="center"/>
          </w:tcPr>
          <w:p>
            <w:pPr>
              <w:jc w:val="center"/>
              <w:rPr>
                <w:rFonts w:ascii="Times New Roman" w:hAnsi="Times New Roman" w:cs="Times New Roman"/>
                <w:color w:val="auto"/>
                <w:szCs w:val="21"/>
                <w:highlight w:val="none"/>
                <w:lang w:val="en-US" w:eastAsia="zh-CN"/>
              </w:rPr>
            </w:pPr>
            <w:r>
              <w:rPr>
                <w:rFonts w:hint="eastAsia"/>
                <w:color w:val="auto"/>
              </w:rPr>
              <w:t>永丰四队</w:t>
            </w:r>
          </w:p>
        </w:tc>
        <w:tc>
          <w:tcPr>
            <w:tcW w:w="633"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-3363</w:t>
            </w:r>
          </w:p>
        </w:tc>
        <w:tc>
          <w:tcPr>
            <w:tcW w:w="756"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-3690</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1.74E-04</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21051023</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1.00E-02</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1.74</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2.73E-05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210707</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1.31E-06</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restart"/>
            <w:tcBorders>
              <w:tl2br w:val="nil"/>
              <w:tr2bl w:val="nil"/>
            </w:tcBorders>
            <w:noWrap w:val="0"/>
            <w:vAlign w:val="center"/>
          </w:tcPr>
          <w:p>
            <w:pPr>
              <w:jc w:val="center"/>
              <w:rPr>
                <w:rFonts w:ascii="Times New Roman" w:hAnsi="Times New Roman" w:cs="Times New Roman"/>
                <w:color w:val="auto"/>
                <w:szCs w:val="21"/>
                <w:highlight w:val="none"/>
                <w:lang w:val="en-US" w:eastAsia="zh-CN"/>
              </w:rPr>
            </w:pPr>
            <w:r>
              <w:rPr>
                <w:rFonts w:hint="eastAsia"/>
                <w:color w:val="auto"/>
              </w:rPr>
              <w:t>十八户村</w:t>
            </w:r>
          </w:p>
        </w:tc>
        <w:tc>
          <w:tcPr>
            <w:tcW w:w="633"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-3224</w:t>
            </w:r>
          </w:p>
        </w:tc>
        <w:tc>
          <w:tcPr>
            <w:tcW w:w="756"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-4231</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2.28E-04</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21080323</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1.00E-02</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2.28</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2.85E-05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210803</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1.15E-06</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restart"/>
            <w:tcBorders>
              <w:tl2br w:val="nil"/>
              <w:tr2bl w:val="nil"/>
            </w:tcBorders>
            <w:noWrap w:val="0"/>
            <w:vAlign w:val="center"/>
          </w:tcPr>
          <w:p>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网格点</w:t>
            </w:r>
          </w:p>
        </w:tc>
        <w:tc>
          <w:tcPr>
            <w:tcW w:w="633" w:type="dxa"/>
            <w:tcBorders>
              <w:tl2br w:val="nil"/>
              <w:tr2bl w:val="nil"/>
            </w:tcBorders>
            <w:noWrap w:val="0"/>
            <w:vAlign w:val="center"/>
          </w:tcPr>
          <w:p>
            <w:pPr>
              <w:jc w:val="center"/>
              <w:rPr>
                <w:rFonts w:hint="default"/>
                <w:color w:val="auto"/>
                <w:highlight w:val="none"/>
                <w:lang w:val="en-US" w:eastAsia="zh-CN"/>
              </w:rPr>
            </w:pPr>
            <w:r>
              <w:rPr>
                <w:rFonts w:hint="eastAsia"/>
                <w:color w:val="auto"/>
                <w:highlight w:val="none"/>
                <w:lang w:val="en-US" w:eastAsia="zh-CN"/>
              </w:rPr>
              <w:t>85</w:t>
            </w:r>
          </w:p>
        </w:tc>
        <w:tc>
          <w:tcPr>
            <w:tcW w:w="756" w:type="dxa"/>
            <w:tcBorders>
              <w:tl2br w:val="nil"/>
              <w:tr2bl w:val="nil"/>
            </w:tcBorders>
            <w:noWrap w:val="0"/>
            <w:vAlign w:val="center"/>
          </w:tcPr>
          <w:p>
            <w:pPr>
              <w:jc w:val="center"/>
              <w:rPr>
                <w:rFonts w:hint="default"/>
                <w:color w:val="auto"/>
                <w:highlight w:val="none"/>
                <w:lang w:val="en-US" w:eastAsia="zh-CN"/>
              </w:rPr>
            </w:pPr>
            <w:r>
              <w:rPr>
                <w:rFonts w:hint="eastAsia"/>
                <w:color w:val="auto"/>
                <w:highlight w:val="none"/>
                <w:lang w:val="en-US" w:eastAsia="zh-CN"/>
              </w:rPr>
              <w:t>-146</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2.19E-03</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21071320</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1.00E-02</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21.92</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p>
        </w:tc>
        <w:tc>
          <w:tcPr>
            <w:tcW w:w="633" w:type="dxa"/>
            <w:tcBorders>
              <w:tl2br w:val="nil"/>
              <w:tr2bl w:val="nil"/>
            </w:tcBorders>
            <w:noWrap w:val="0"/>
            <w:vAlign w:val="center"/>
          </w:tcPr>
          <w:p>
            <w:pPr>
              <w:jc w:val="center"/>
              <w:rPr>
                <w:rFonts w:hint="default"/>
                <w:color w:val="auto"/>
                <w:highlight w:val="none"/>
                <w:lang w:val="en-US" w:eastAsia="zh-CN"/>
              </w:rPr>
            </w:pPr>
            <w:r>
              <w:rPr>
                <w:rFonts w:hint="eastAsia" w:cs="Times New Roman"/>
                <w:color w:val="auto"/>
                <w:kern w:val="2"/>
                <w:sz w:val="21"/>
                <w:szCs w:val="22"/>
                <w:highlight w:val="none"/>
                <w:lang w:val="en-US" w:eastAsia="zh-CN" w:bidi="ar-SA"/>
              </w:rPr>
              <w:t>-489</w:t>
            </w:r>
          </w:p>
        </w:tc>
        <w:tc>
          <w:tcPr>
            <w:tcW w:w="756" w:type="dxa"/>
            <w:tcBorders>
              <w:tl2br w:val="nil"/>
              <w:tr2bl w:val="nil"/>
            </w:tcBorders>
            <w:noWrap w:val="0"/>
            <w:vAlign w:val="center"/>
          </w:tcPr>
          <w:p>
            <w:pPr>
              <w:jc w:val="center"/>
              <w:rPr>
                <w:rFonts w:hint="default"/>
                <w:color w:val="auto"/>
                <w:highlight w:val="none"/>
                <w:lang w:val="en-US" w:eastAsia="zh-CN"/>
              </w:rPr>
            </w:pPr>
            <w:r>
              <w:rPr>
                <w:rFonts w:hint="eastAsia" w:cs="Times New Roman"/>
                <w:color w:val="auto"/>
                <w:kern w:val="2"/>
                <w:sz w:val="21"/>
                <w:szCs w:val="22"/>
                <w:highlight w:val="none"/>
                <w:lang w:val="en-US" w:eastAsia="zh-CN" w:bidi="ar-SA"/>
              </w:rPr>
              <w:t>-146</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3.19E-04</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210710</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93"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tcBorders>
              <w:tl2br w:val="nil"/>
              <w:tr2bl w:val="nil"/>
            </w:tcBorders>
            <w:noWrap w:val="0"/>
            <w:vAlign w:val="center"/>
          </w:tcPr>
          <w:p>
            <w:pPr>
              <w:jc w:val="center"/>
              <w:rPr>
                <w:rFonts w:hint="default"/>
                <w:color w:val="auto"/>
                <w:highlight w:val="none"/>
                <w:lang w:val="en-US" w:eastAsia="zh-CN"/>
              </w:rPr>
            </w:pPr>
            <w:r>
              <w:rPr>
                <w:rFonts w:hint="eastAsia" w:cs="Times New Roman"/>
                <w:color w:val="auto"/>
                <w:kern w:val="2"/>
                <w:sz w:val="21"/>
                <w:szCs w:val="22"/>
                <w:highlight w:val="none"/>
                <w:lang w:val="en-US" w:eastAsia="zh-CN" w:bidi="ar-SA"/>
              </w:rPr>
              <w:t>85</w:t>
            </w:r>
          </w:p>
        </w:tc>
        <w:tc>
          <w:tcPr>
            <w:tcW w:w="756" w:type="dxa"/>
            <w:tcBorders>
              <w:tl2br w:val="nil"/>
              <w:tr2bl w:val="nil"/>
            </w:tcBorders>
            <w:noWrap w:val="0"/>
            <w:vAlign w:val="center"/>
          </w:tcPr>
          <w:p>
            <w:pPr>
              <w:jc w:val="center"/>
              <w:rPr>
                <w:rFonts w:hint="default"/>
                <w:color w:val="auto"/>
                <w:highlight w:val="none"/>
                <w:lang w:val="en-US" w:eastAsia="zh-CN"/>
              </w:rPr>
            </w:pPr>
            <w:r>
              <w:rPr>
                <w:rFonts w:hint="eastAsia" w:cs="Times New Roman"/>
                <w:color w:val="auto"/>
                <w:kern w:val="2"/>
                <w:sz w:val="21"/>
                <w:szCs w:val="22"/>
                <w:highlight w:val="none"/>
                <w:lang w:val="en-US" w:eastAsia="zh-CN" w:bidi="ar-SA"/>
              </w:rPr>
              <w:t>57</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3.05E-05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restart"/>
            <w:tcBorders>
              <w:tl2br w:val="nil"/>
              <w:tr2bl w:val="nil"/>
            </w:tcBorders>
            <w:noWrap w:val="0"/>
            <w:vAlign w:val="center"/>
          </w:tcPr>
          <w:p>
            <w:pPr>
              <w:keepNext w:val="0"/>
              <w:keepLines w:val="0"/>
              <w:widowControl/>
              <w:suppressLineNumbers w:val="0"/>
              <w:jc w:val="center"/>
              <w:textAlignment w:val="top"/>
              <w:rPr>
                <w:rFonts w:hint="default" w:ascii="Times New Roman" w:hAnsi="Times New Roman" w:eastAsia="宋体" w:cs="Times New Roman"/>
                <w:color w:val="auto"/>
                <w:highlight w:val="none"/>
                <w:vertAlign w:val="subscript"/>
                <w:lang w:val="en-US" w:eastAsia="zh-CN"/>
              </w:rPr>
            </w:pPr>
            <w:r>
              <w:rPr>
                <w:rFonts w:hint="eastAsia" w:cs="Times New Roman"/>
                <w:color w:val="auto"/>
                <w:highlight w:val="none"/>
                <w:vertAlign w:val="baseline"/>
                <w:lang w:val="en-US" w:eastAsia="zh-CN"/>
              </w:rPr>
              <w:t>NMHC</w:t>
            </w:r>
          </w:p>
        </w:tc>
        <w:tc>
          <w:tcPr>
            <w:tcW w:w="848"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十八户村四组</w:t>
            </w:r>
          </w:p>
        </w:tc>
        <w:tc>
          <w:tcPr>
            <w:tcW w:w="633"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-2639</w:t>
            </w:r>
          </w:p>
        </w:tc>
        <w:tc>
          <w:tcPr>
            <w:tcW w:w="756"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-1063</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5.03E-03</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21071205</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0.25</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keepNext w:val="0"/>
              <w:keepLines w:val="0"/>
              <w:widowControl/>
              <w:suppressLineNumbers w:val="0"/>
              <w:jc w:val="center"/>
              <w:textAlignment w:val="top"/>
              <w:rPr>
                <w:rFonts w:hint="eastAsia" w:ascii="Times New Roman" w:hAnsi="Times New Roman" w:cs="Times New Roman"/>
                <w:i w:val="0"/>
                <w:color w:val="auto"/>
                <w:kern w:val="0"/>
                <w:sz w:val="21"/>
                <w:szCs w:val="21"/>
                <w:highlight w:val="none"/>
                <w:u w:val="none"/>
                <w:lang w:val="en-US" w:eastAsia="zh-CN" w:bidi="ar"/>
              </w:rPr>
            </w:pPr>
          </w:p>
        </w:tc>
        <w:tc>
          <w:tcPr>
            <w:tcW w:w="848"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jc w:val="center"/>
              <w:rPr>
                <w:rFonts w:hint="eastAsia"/>
                <w:color w:val="auto"/>
                <w:highlight w:val="none"/>
              </w:rPr>
            </w:pPr>
          </w:p>
        </w:tc>
        <w:tc>
          <w:tcPr>
            <w:tcW w:w="756" w:type="dxa"/>
            <w:vMerge w:val="continue"/>
            <w:tcBorders>
              <w:tl2br w:val="nil"/>
              <w:tr2bl w:val="nil"/>
            </w:tcBorders>
            <w:noWrap w:val="0"/>
            <w:vAlign w:val="center"/>
          </w:tcPr>
          <w:p>
            <w:pPr>
              <w:jc w:val="center"/>
              <w:rPr>
                <w:rFonts w:hint="eastAsia"/>
                <w:color w:val="auto"/>
                <w:highlight w:val="none"/>
              </w:rPr>
            </w:pPr>
          </w:p>
        </w:tc>
        <w:tc>
          <w:tcPr>
            <w:tcW w:w="924" w:type="dxa"/>
            <w:tcBorders>
              <w:tl2br w:val="nil"/>
              <w:tr2bl w:val="nil"/>
            </w:tcBorders>
            <w:noWrap w:val="0"/>
            <w:vAlign w:val="center"/>
          </w:tcPr>
          <w:p>
            <w:pPr>
              <w:widowControl/>
              <w:jc w:val="center"/>
              <w:textAlignment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1.70E-03</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211217</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1.17E-04</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祁家湖村</w:t>
            </w:r>
          </w:p>
        </w:tc>
        <w:tc>
          <w:tcPr>
            <w:tcW w:w="633"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-4423</w:t>
            </w:r>
          </w:p>
        </w:tc>
        <w:tc>
          <w:tcPr>
            <w:tcW w:w="756"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-1779</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2.86E-03</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21071205</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0.14</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hint="eastAsia" w:ascii="Times New Roman" w:hAnsi="Times New Roman" w:eastAsia="宋体" w:cs="Times New Roman"/>
                <w:color w:val="auto"/>
                <w:szCs w:val="21"/>
                <w:highlight w:val="none"/>
                <w:lang w:val="en-US" w:eastAsia="zh-CN"/>
              </w:rPr>
            </w:pPr>
          </w:p>
        </w:tc>
        <w:tc>
          <w:tcPr>
            <w:tcW w:w="633" w:type="dxa"/>
            <w:vMerge w:val="continue"/>
            <w:tcBorders>
              <w:tl2br w:val="nil"/>
              <w:tr2bl w:val="nil"/>
            </w:tcBorders>
            <w:noWrap w:val="0"/>
            <w:vAlign w:val="center"/>
          </w:tcPr>
          <w:p>
            <w:pPr>
              <w:jc w:val="center"/>
              <w:rPr>
                <w:rFonts w:hint="eastAsia"/>
                <w:color w:val="auto"/>
                <w:highlight w:val="none"/>
              </w:rPr>
            </w:pPr>
          </w:p>
        </w:tc>
        <w:tc>
          <w:tcPr>
            <w:tcW w:w="756" w:type="dxa"/>
            <w:vMerge w:val="continue"/>
            <w:tcBorders>
              <w:tl2br w:val="nil"/>
              <w:tr2bl w:val="nil"/>
            </w:tcBorders>
            <w:noWrap w:val="0"/>
            <w:vAlign w:val="center"/>
          </w:tcPr>
          <w:p>
            <w:pPr>
              <w:jc w:val="center"/>
              <w:rPr>
                <w:rFonts w:hint="eastAsia"/>
                <w:color w:val="auto"/>
                <w:highlight w:val="none"/>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8.86E-04</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211217</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5.93E-05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restart"/>
            <w:tcBorders>
              <w:tl2br w:val="nil"/>
              <w:tr2bl w:val="nil"/>
            </w:tcBorders>
            <w:noWrap w:val="0"/>
            <w:vAlign w:val="center"/>
          </w:tcPr>
          <w:p>
            <w:pPr>
              <w:jc w:val="center"/>
              <w:rPr>
                <w:rFonts w:ascii="Times New Roman" w:hAnsi="Times New Roman" w:cs="Times New Roman"/>
                <w:color w:val="auto"/>
                <w:szCs w:val="21"/>
                <w:highlight w:val="none"/>
                <w:lang w:val="en-US" w:eastAsia="zh-CN"/>
              </w:rPr>
            </w:pPr>
            <w:r>
              <w:rPr>
                <w:rFonts w:hint="eastAsia"/>
                <w:color w:val="auto"/>
              </w:rPr>
              <w:t>永丰四队</w:t>
            </w:r>
          </w:p>
        </w:tc>
        <w:tc>
          <w:tcPr>
            <w:tcW w:w="633"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-3363</w:t>
            </w:r>
          </w:p>
        </w:tc>
        <w:tc>
          <w:tcPr>
            <w:tcW w:w="756"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-3690</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2.36E-03</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21050523</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0.12</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6.71E-04</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211201</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3.68E-05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restart"/>
            <w:tcBorders>
              <w:tl2br w:val="nil"/>
              <w:tr2bl w:val="nil"/>
            </w:tcBorders>
            <w:noWrap w:val="0"/>
            <w:vAlign w:val="center"/>
          </w:tcPr>
          <w:p>
            <w:pPr>
              <w:jc w:val="center"/>
              <w:rPr>
                <w:rFonts w:ascii="Times New Roman" w:hAnsi="Times New Roman" w:cs="Times New Roman"/>
                <w:color w:val="auto"/>
                <w:szCs w:val="21"/>
                <w:highlight w:val="none"/>
                <w:lang w:val="en-US" w:eastAsia="zh-CN"/>
              </w:rPr>
            </w:pPr>
            <w:r>
              <w:rPr>
                <w:rFonts w:hint="eastAsia"/>
                <w:color w:val="auto"/>
              </w:rPr>
              <w:t>十八户村</w:t>
            </w:r>
          </w:p>
        </w:tc>
        <w:tc>
          <w:tcPr>
            <w:tcW w:w="633"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-3224</w:t>
            </w:r>
          </w:p>
        </w:tc>
        <w:tc>
          <w:tcPr>
            <w:tcW w:w="756"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-4231</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2.71E-03</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21080323</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0.14</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4.74E-04</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210210</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3.14E-05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restart"/>
            <w:tcBorders>
              <w:tl2br w:val="nil"/>
              <w:tr2bl w:val="nil"/>
            </w:tcBorders>
            <w:noWrap w:val="0"/>
            <w:vAlign w:val="center"/>
          </w:tcPr>
          <w:p>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网格点</w:t>
            </w:r>
          </w:p>
        </w:tc>
        <w:tc>
          <w:tcPr>
            <w:tcW w:w="633" w:type="dxa"/>
            <w:tcBorders>
              <w:tl2br w:val="nil"/>
              <w:tr2bl w:val="nil"/>
            </w:tcBorders>
            <w:noWrap w:val="0"/>
            <w:vAlign w:val="center"/>
          </w:tcPr>
          <w:p>
            <w:pPr>
              <w:jc w:val="center"/>
              <w:rPr>
                <w:rFonts w:hint="default"/>
                <w:color w:val="auto"/>
                <w:highlight w:val="none"/>
                <w:lang w:val="en-US" w:eastAsia="zh-CN"/>
              </w:rPr>
            </w:pPr>
            <w:r>
              <w:rPr>
                <w:rFonts w:hint="eastAsia"/>
                <w:color w:val="auto"/>
                <w:highlight w:val="none"/>
                <w:lang w:val="en-US" w:eastAsia="zh-CN"/>
              </w:rPr>
              <w:t>85</w:t>
            </w:r>
          </w:p>
        </w:tc>
        <w:tc>
          <w:tcPr>
            <w:tcW w:w="756" w:type="dxa"/>
            <w:tcBorders>
              <w:tl2br w:val="nil"/>
              <w:tr2bl w:val="nil"/>
            </w:tcBorders>
            <w:noWrap w:val="0"/>
            <w:vAlign w:val="center"/>
          </w:tcPr>
          <w:p>
            <w:pPr>
              <w:jc w:val="center"/>
              <w:rPr>
                <w:rFonts w:hint="default"/>
                <w:color w:val="auto"/>
                <w:highlight w:val="none"/>
                <w:lang w:val="en-US" w:eastAsia="zh-CN"/>
              </w:rPr>
            </w:pPr>
            <w:r>
              <w:rPr>
                <w:rFonts w:hint="eastAsia"/>
                <w:color w:val="auto"/>
                <w:highlight w:val="none"/>
                <w:lang w:val="en-US" w:eastAsia="zh-CN"/>
              </w:rPr>
              <w:t>-146</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4.09E-02</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21071320</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2.05</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p>
        </w:tc>
        <w:tc>
          <w:tcPr>
            <w:tcW w:w="633" w:type="dxa"/>
            <w:tcBorders>
              <w:tl2br w:val="nil"/>
              <w:tr2bl w:val="nil"/>
            </w:tcBorders>
            <w:noWrap w:val="0"/>
            <w:vAlign w:val="center"/>
          </w:tcPr>
          <w:p>
            <w:pPr>
              <w:jc w:val="center"/>
              <w:rPr>
                <w:rFonts w:hint="default"/>
                <w:color w:val="auto"/>
                <w:highlight w:val="none"/>
                <w:lang w:val="en-US" w:eastAsia="zh-CN"/>
              </w:rPr>
            </w:pPr>
            <w:r>
              <w:rPr>
                <w:rFonts w:hint="eastAsia" w:cs="Times New Roman"/>
                <w:color w:val="auto"/>
                <w:kern w:val="2"/>
                <w:sz w:val="21"/>
                <w:szCs w:val="22"/>
                <w:highlight w:val="none"/>
                <w:lang w:val="en-US" w:eastAsia="zh-CN" w:bidi="ar-SA"/>
              </w:rPr>
              <w:t>-489</w:t>
            </w:r>
          </w:p>
        </w:tc>
        <w:tc>
          <w:tcPr>
            <w:tcW w:w="756" w:type="dxa"/>
            <w:tcBorders>
              <w:tl2br w:val="nil"/>
              <w:tr2bl w:val="nil"/>
            </w:tcBorders>
            <w:noWrap w:val="0"/>
            <w:vAlign w:val="center"/>
          </w:tcPr>
          <w:p>
            <w:pPr>
              <w:jc w:val="center"/>
              <w:rPr>
                <w:rFonts w:hint="default"/>
                <w:color w:val="auto"/>
                <w:highlight w:val="none"/>
                <w:lang w:val="en-US" w:eastAsia="zh-CN"/>
              </w:rPr>
            </w:pPr>
            <w:r>
              <w:rPr>
                <w:rFonts w:hint="eastAsia" w:cs="Times New Roman"/>
                <w:color w:val="auto"/>
                <w:kern w:val="2"/>
                <w:sz w:val="21"/>
                <w:szCs w:val="22"/>
                <w:highlight w:val="none"/>
                <w:lang w:val="en-US" w:eastAsia="zh-CN" w:bidi="ar-SA"/>
              </w:rPr>
              <w:t>-146</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8.19E-03</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211217</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93"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tcBorders>
              <w:tl2br w:val="nil"/>
              <w:tr2bl w:val="nil"/>
            </w:tcBorders>
            <w:noWrap w:val="0"/>
            <w:vAlign w:val="center"/>
          </w:tcPr>
          <w:p>
            <w:pPr>
              <w:jc w:val="center"/>
              <w:rPr>
                <w:rFonts w:hint="default"/>
                <w:color w:val="auto"/>
                <w:highlight w:val="none"/>
                <w:lang w:val="en-US" w:eastAsia="zh-CN"/>
              </w:rPr>
            </w:pPr>
            <w:r>
              <w:rPr>
                <w:rFonts w:hint="eastAsia" w:cs="Times New Roman"/>
                <w:color w:val="auto"/>
                <w:kern w:val="2"/>
                <w:sz w:val="21"/>
                <w:szCs w:val="22"/>
                <w:highlight w:val="none"/>
                <w:lang w:val="en-US" w:eastAsia="zh-CN" w:bidi="ar-SA"/>
              </w:rPr>
              <w:t>85</w:t>
            </w:r>
          </w:p>
        </w:tc>
        <w:tc>
          <w:tcPr>
            <w:tcW w:w="756" w:type="dxa"/>
            <w:tcBorders>
              <w:tl2br w:val="nil"/>
              <w:tr2bl w:val="nil"/>
            </w:tcBorders>
            <w:noWrap w:val="0"/>
            <w:vAlign w:val="center"/>
          </w:tcPr>
          <w:p>
            <w:pPr>
              <w:jc w:val="center"/>
              <w:rPr>
                <w:rFonts w:hint="default"/>
                <w:color w:val="auto"/>
                <w:highlight w:val="none"/>
                <w:lang w:val="en-US" w:eastAsia="zh-CN"/>
              </w:rPr>
            </w:pPr>
            <w:r>
              <w:rPr>
                <w:rFonts w:hint="eastAsia" w:cs="Times New Roman"/>
                <w:color w:val="auto"/>
                <w:kern w:val="2"/>
                <w:sz w:val="21"/>
                <w:szCs w:val="22"/>
                <w:highlight w:val="none"/>
                <w:lang w:val="en-US" w:eastAsia="zh-CN" w:bidi="ar-SA"/>
              </w:rPr>
              <w:t>57</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1.34E-03</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restart"/>
            <w:tcBorders>
              <w:tl2br w:val="nil"/>
              <w:tr2bl w:val="nil"/>
            </w:tcBorders>
            <w:noWrap w:val="0"/>
            <w:vAlign w:val="center"/>
          </w:tcPr>
          <w:p>
            <w:pPr>
              <w:keepNext w:val="0"/>
              <w:keepLines w:val="0"/>
              <w:widowControl/>
              <w:suppressLineNumbers w:val="0"/>
              <w:jc w:val="center"/>
              <w:textAlignment w:val="top"/>
              <w:rPr>
                <w:rFonts w:hint="default" w:ascii="Times New Roman" w:hAnsi="Times New Roman" w:eastAsia="宋体" w:cs="Times New Roman"/>
                <w:color w:val="auto"/>
                <w:highlight w:val="none"/>
                <w:vertAlign w:val="subscript"/>
                <w:lang w:val="en-US" w:eastAsia="zh-CN"/>
              </w:rPr>
            </w:pPr>
            <w:r>
              <w:rPr>
                <w:rFonts w:hint="eastAsia" w:cs="Times New Roman"/>
                <w:color w:val="auto"/>
                <w:highlight w:val="none"/>
                <w:vertAlign w:val="baseline"/>
                <w:lang w:val="en-US" w:eastAsia="zh-CN"/>
              </w:rPr>
              <w:t>甲醇</w:t>
            </w:r>
          </w:p>
        </w:tc>
        <w:tc>
          <w:tcPr>
            <w:tcW w:w="848"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十八户村四组</w:t>
            </w:r>
          </w:p>
        </w:tc>
        <w:tc>
          <w:tcPr>
            <w:tcW w:w="633"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-2639</w:t>
            </w:r>
          </w:p>
        </w:tc>
        <w:tc>
          <w:tcPr>
            <w:tcW w:w="756"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-1063</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2.09E-05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21110520</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keepNext w:val="0"/>
              <w:keepLines w:val="0"/>
              <w:widowControl/>
              <w:suppressLineNumbers w:val="0"/>
              <w:jc w:val="center"/>
              <w:textAlignment w:val="top"/>
              <w:rPr>
                <w:rFonts w:hint="eastAsia" w:ascii="Times New Roman" w:hAnsi="Times New Roman" w:cs="Times New Roman"/>
                <w:i w:val="0"/>
                <w:color w:val="auto"/>
                <w:kern w:val="0"/>
                <w:sz w:val="21"/>
                <w:szCs w:val="21"/>
                <w:highlight w:val="none"/>
                <w:u w:val="none"/>
                <w:lang w:val="en-US" w:eastAsia="zh-CN" w:bidi="ar"/>
              </w:rPr>
            </w:pPr>
          </w:p>
        </w:tc>
        <w:tc>
          <w:tcPr>
            <w:tcW w:w="848"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jc w:val="center"/>
              <w:rPr>
                <w:rFonts w:hint="eastAsia"/>
                <w:color w:val="auto"/>
                <w:highlight w:val="none"/>
              </w:rPr>
            </w:pPr>
          </w:p>
        </w:tc>
        <w:tc>
          <w:tcPr>
            <w:tcW w:w="756" w:type="dxa"/>
            <w:vMerge w:val="continue"/>
            <w:tcBorders>
              <w:tl2br w:val="nil"/>
              <w:tr2bl w:val="nil"/>
            </w:tcBorders>
            <w:noWrap w:val="0"/>
            <w:vAlign w:val="center"/>
          </w:tcPr>
          <w:p>
            <w:pPr>
              <w:jc w:val="center"/>
              <w:rPr>
                <w:rFonts w:hint="eastAsia"/>
                <w:color w:val="auto"/>
                <w:highlight w:val="none"/>
              </w:rPr>
            </w:pPr>
          </w:p>
        </w:tc>
        <w:tc>
          <w:tcPr>
            <w:tcW w:w="924" w:type="dxa"/>
            <w:tcBorders>
              <w:tl2br w:val="nil"/>
              <w:tr2bl w:val="nil"/>
            </w:tcBorders>
            <w:noWrap w:val="0"/>
            <w:vAlign w:val="center"/>
          </w:tcPr>
          <w:p>
            <w:pPr>
              <w:widowControl/>
              <w:jc w:val="center"/>
              <w:textAlignment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8.14E-06</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211217</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5.40E-07</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祁家湖村</w:t>
            </w:r>
          </w:p>
        </w:tc>
        <w:tc>
          <w:tcPr>
            <w:tcW w:w="633"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-4423</w:t>
            </w:r>
          </w:p>
        </w:tc>
        <w:tc>
          <w:tcPr>
            <w:tcW w:w="756" w:type="dxa"/>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olor w:val="auto"/>
              </w:rPr>
              <w:t>-1779</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1.09E-05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21110520</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hint="eastAsia" w:ascii="Times New Roman" w:hAnsi="Times New Roman" w:eastAsia="宋体" w:cs="Times New Roman"/>
                <w:color w:val="auto"/>
                <w:szCs w:val="21"/>
                <w:highlight w:val="none"/>
                <w:lang w:val="en-US" w:eastAsia="zh-CN"/>
              </w:rPr>
            </w:pPr>
          </w:p>
        </w:tc>
        <w:tc>
          <w:tcPr>
            <w:tcW w:w="633" w:type="dxa"/>
            <w:vMerge w:val="continue"/>
            <w:tcBorders>
              <w:tl2br w:val="nil"/>
              <w:tr2bl w:val="nil"/>
            </w:tcBorders>
            <w:noWrap w:val="0"/>
            <w:vAlign w:val="center"/>
          </w:tcPr>
          <w:p>
            <w:pPr>
              <w:jc w:val="center"/>
              <w:rPr>
                <w:rFonts w:hint="eastAsia"/>
                <w:color w:val="auto"/>
                <w:highlight w:val="none"/>
              </w:rPr>
            </w:pPr>
          </w:p>
        </w:tc>
        <w:tc>
          <w:tcPr>
            <w:tcW w:w="756" w:type="dxa"/>
            <w:vMerge w:val="continue"/>
            <w:tcBorders>
              <w:tl2br w:val="nil"/>
              <w:tr2bl w:val="nil"/>
            </w:tcBorders>
            <w:noWrap w:val="0"/>
            <w:vAlign w:val="center"/>
          </w:tcPr>
          <w:p>
            <w:pPr>
              <w:jc w:val="center"/>
              <w:rPr>
                <w:rFonts w:hint="eastAsia"/>
                <w:color w:val="auto"/>
                <w:highlight w:val="none"/>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4.23E-06</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211217</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2.60E-07</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restart"/>
            <w:tcBorders>
              <w:tl2br w:val="nil"/>
              <w:tr2bl w:val="nil"/>
            </w:tcBorders>
            <w:noWrap w:val="0"/>
            <w:vAlign w:val="center"/>
          </w:tcPr>
          <w:p>
            <w:pPr>
              <w:jc w:val="center"/>
              <w:rPr>
                <w:rFonts w:ascii="Times New Roman" w:hAnsi="Times New Roman" w:cs="Times New Roman"/>
                <w:color w:val="auto"/>
                <w:szCs w:val="21"/>
                <w:highlight w:val="none"/>
                <w:lang w:val="en-US" w:eastAsia="zh-CN"/>
              </w:rPr>
            </w:pPr>
            <w:r>
              <w:rPr>
                <w:rFonts w:hint="eastAsia"/>
                <w:color w:val="auto"/>
              </w:rPr>
              <w:t>永丰四队</w:t>
            </w:r>
          </w:p>
        </w:tc>
        <w:tc>
          <w:tcPr>
            <w:tcW w:w="633"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-3363</w:t>
            </w:r>
          </w:p>
        </w:tc>
        <w:tc>
          <w:tcPr>
            <w:tcW w:w="756"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-3690</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1.03E-05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21011105</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3.24E-06</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211201</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1.60E-07</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restart"/>
            <w:tcBorders>
              <w:tl2br w:val="nil"/>
              <w:tr2bl w:val="nil"/>
            </w:tcBorders>
            <w:noWrap w:val="0"/>
            <w:vAlign w:val="center"/>
          </w:tcPr>
          <w:p>
            <w:pPr>
              <w:jc w:val="center"/>
              <w:rPr>
                <w:rFonts w:ascii="Times New Roman" w:hAnsi="Times New Roman" w:cs="Times New Roman"/>
                <w:color w:val="auto"/>
                <w:szCs w:val="21"/>
                <w:highlight w:val="none"/>
                <w:lang w:val="en-US" w:eastAsia="zh-CN"/>
              </w:rPr>
            </w:pPr>
            <w:r>
              <w:rPr>
                <w:rFonts w:hint="eastAsia"/>
                <w:color w:val="auto"/>
              </w:rPr>
              <w:t>十八户村</w:t>
            </w:r>
          </w:p>
        </w:tc>
        <w:tc>
          <w:tcPr>
            <w:tcW w:w="633"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-3224</w:t>
            </w:r>
          </w:p>
        </w:tc>
        <w:tc>
          <w:tcPr>
            <w:tcW w:w="756" w:type="dxa"/>
            <w:vMerge w:val="restar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rPr>
              <w:t>-4231</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9.45E-06</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21011005</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2.27E-06</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210210</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756" w:type="dxa"/>
            <w:vMerge w:val="continue"/>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1.40E-07</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restart"/>
            <w:tcBorders>
              <w:tl2br w:val="nil"/>
              <w:tr2bl w:val="nil"/>
            </w:tcBorders>
            <w:noWrap w:val="0"/>
            <w:vAlign w:val="center"/>
          </w:tcPr>
          <w:p>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网格点</w:t>
            </w:r>
          </w:p>
        </w:tc>
        <w:tc>
          <w:tcPr>
            <w:tcW w:w="633" w:type="dxa"/>
            <w:tcBorders>
              <w:tl2br w:val="nil"/>
              <w:tr2bl w:val="nil"/>
            </w:tcBorders>
            <w:noWrap w:val="0"/>
            <w:vAlign w:val="center"/>
          </w:tcPr>
          <w:p>
            <w:pPr>
              <w:jc w:val="center"/>
              <w:rPr>
                <w:rFonts w:hint="default"/>
                <w:color w:val="auto"/>
                <w:highlight w:val="none"/>
                <w:lang w:val="en-US" w:eastAsia="zh-CN"/>
              </w:rPr>
            </w:pPr>
            <w:r>
              <w:rPr>
                <w:rFonts w:hint="eastAsia"/>
                <w:color w:val="auto"/>
                <w:highlight w:val="none"/>
                <w:lang w:val="en-US" w:eastAsia="zh-CN"/>
              </w:rPr>
              <w:t>85</w:t>
            </w:r>
          </w:p>
        </w:tc>
        <w:tc>
          <w:tcPr>
            <w:tcW w:w="756" w:type="dxa"/>
            <w:tcBorders>
              <w:tl2br w:val="nil"/>
              <w:tr2bl w:val="nil"/>
            </w:tcBorders>
            <w:noWrap w:val="0"/>
            <w:vAlign w:val="center"/>
          </w:tcPr>
          <w:p>
            <w:pPr>
              <w:jc w:val="center"/>
              <w:rPr>
                <w:rFonts w:hint="default"/>
                <w:color w:val="auto"/>
                <w:highlight w:val="none"/>
                <w:lang w:val="en-US" w:eastAsia="zh-CN"/>
              </w:rPr>
            </w:pPr>
            <w:r>
              <w:rPr>
                <w:rFonts w:hint="eastAsia"/>
                <w:color w:val="auto"/>
                <w:highlight w:val="none"/>
                <w:lang w:val="en-US" w:eastAsia="zh-CN"/>
              </w:rPr>
              <w:t>-146</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1小时</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2.00E-04</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21071320</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0.01</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p>
        </w:tc>
        <w:tc>
          <w:tcPr>
            <w:tcW w:w="633" w:type="dxa"/>
            <w:tcBorders>
              <w:tl2br w:val="nil"/>
              <w:tr2bl w:val="nil"/>
            </w:tcBorders>
            <w:noWrap w:val="0"/>
            <w:vAlign w:val="center"/>
          </w:tcPr>
          <w:p>
            <w:pPr>
              <w:jc w:val="center"/>
              <w:rPr>
                <w:rFonts w:hint="default"/>
                <w:color w:val="auto"/>
                <w:highlight w:val="none"/>
                <w:lang w:val="en-US" w:eastAsia="zh-CN"/>
              </w:rPr>
            </w:pPr>
            <w:r>
              <w:rPr>
                <w:rFonts w:hint="eastAsia" w:cs="Times New Roman"/>
                <w:color w:val="auto"/>
                <w:kern w:val="2"/>
                <w:sz w:val="21"/>
                <w:szCs w:val="22"/>
                <w:highlight w:val="none"/>
                <w:lang w:val="en-US" w:eastAsia="zh-CN" w:bidi="ar-SA"/>
              </w:rPr>
              <w:t>-489</w:t>
            </w:r>
          </w:p>
        </w:tc>
        <w:tc>
          <w:tcPr>
            <w:tcW w:w="756" w:type="dxa"/>
            <w:tcBorders>
              <w:tl2br w:val="nil"/>
              <w:tr2bl w:val="nil"/>
            </w:tcBorders>
            <w:noWrap w:val="0"/>
            <w:vAlign w:val="center"/>
          </w:tcPr>
          <w:p>
            <w:pPr>
              <w:jc w:val="center"/>
              <w:rPr>
                <w:rFonts w:hint="default"/>
                <w:color w:val="auto"/>
                <w:highlight w:val="none"/>
                <w:lang w:val="en-US" w:eastAsia="zh-CN"/>
              </w:rPr>
            </w:pPr>
            <w:r>
              <w:rPr>
                <w:rFonts w:hint="eastAsia" w:cs="Times New Roman"/>
                <w:color w:val="auto"/>
                <w:kern w:val="2"/>
                <w:sz w:val="21"/>
                <w:szCs w:val="22"/>
                <w:highlight w:val="none"/>
                <w:lang w:val="en-US" w:eastAsia="zh-CN" w:bidi="ar-SA"/>
              </w:rPr>
              <w:t>-146</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日平均</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3.72E-05</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211217</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93" w:hRule="atLeast"/>
          <w:jc w:val="center"/>
        </w:trPr>
        <w:tc>
          <w:tcPr>
            <w:tcW w:w="673" w:type="dxa"/>
            <w:vMerge w:val="continue"/>
            <w:tcBorders>
              <w:tl2br w:val="nil"/>
              <w:tr2bl w:val="nil"/>
            </w:tcBorders>
            <w:noWrap w:val="0"/>
            <w:vAlign w:val="center"/>
          </w:tcPr>
          <w:p>
            <w:pPr>
              <w:jc w:val="center"/>
              <w:rPr>
                <w:rFonts w:ascii="Times New Roman" w:hAnsi="Times New Roman" w:eastAsia="宋体" w:cs="Times New Roman"/>
                <w:color w:val="auto"/>
                <w:highlight w:val="none"/>
              </w:rPr>
            </w:pPr>
          </w:p>
        </w:tc>
        <w:tc>
          <w:tcPr>
            <w:tcW w:w="848" w:type="dxa"/>
            <w:vMerge w:val="continue"/>
            <w:tcBorders>
              <w:tl2br w:val="nil"/>
              <w:tr2bl w:val="nil"/>
            </w:tcBorders>
            <w:noWrap w:val="0"/>
            <w:vAlign w:val="center"/>
          </w:tcPr>
          <w:p>
            <w:pPr>
              <w:widowControl/>
              <w:jc w:val="center"/>
              <w:textAlignment w:val="center"/>
              <w:rPr>
                <w:rFonts w:ascii="Times New Roman" w:hAnsi="Times New Roman" w:cs="Times New Roman"/>
                <w:color w:val="auto"/>
                <w:szCs w:val="21"/>
                <w:highlight w:val="none"/>
                <w:lang w:val="en-US" w:eastAsia="zh-CN"/>
              </w:rPr>
            </w:pPr>
          </w:p>
        </w:tc>
        <w:tc>
          <w:tcPr>
            <w:tcW w:w="633" w:type="dxa"/>
            <w:tcBorders>
              <w:tl2br w:val="nil"/>
              <w:tr2bl w:val="nil"/>
            </w:tcBorders>
            <w:noWrap w:val="0"/>
            <w:vAlign w:val="center"/>
          </w:tcPr>
          <w:p>
            <w:pPr>
              <w:jc w:val="center"/>
              <w:rPr>
                <w:rFonts w:hint="default"/>
                <w:color w:val="auto"/>
                <w:highlight w:val="none"/>
                <w:lang w:val="en-US" w:eastAsia="zh-CN"/>
              </w:rPr>
            </w:pPr>
            <w:r>
              <w:rPr>
                <w:rFonts w:hint="eastAsia" w:cs="Times New Roman"/>
                <w:color w:val="auto"/>
                <w:kern w:val="2"/>
                <w:sz w:val="21"/>
                <w:szCs w:val="22"/>
                <w:highlight w:val="none"/>
                <w:lang w:val="en-US" w:eastAsia="zh-CN" w:bidi="ar-SA"/>
              </w:rPr>
              <w:t>85</w:t>
            </w:r>
          </w:p>
        </w:tc>
        <w:tc>
          <w:tcPr>
            <w:tcW w:w="756" w:type="dxa"/>
            <w:tcBorders>
              <w:tl2br w:val="nil"/>
              <w:tr2bl w:val="nil"/>
            </w:tcBorders>
            <w:noWrap w:val="0"/>
            <w:vAlign w:val="center"/>
          </w:tcPr>
          <w:p>
            <w:pPr>
              <w:jc w:val="center"/>
              <w:rPr>
                <w:rFonts w:hint="default"/>
                <w:color w:val="auto"/>
                <w:highlight w:val="none"/>
                <w:lang w:val="en-US" w:eastAsia="zh-CN"/>
              </w:rPr>
            </w:pPr>
            <w:r>
              <w:rPr>
                <w:rFonts w:hint="eastAsia" w:cs="Times New Roman"/>
                <w:color w:val="auto"/>
                <w:kern w:val="2"/>
                <w:sz w:val="21"/>
                <w:szCs w:val="22"/>
                <w:highlight w:val="none"/>
                <w:lang w:val="en-US" w:eastAsia="zh-CN" w:bidi="ar-SA"/>
              </w:rPr>
              <w:t>57</w:t>
            </w:r>
          </w:p>
        </w:tc>
        <w:tc>
          <w:tcPr>
            <w:tcW w:w="924" w:type="dxa"/>
            <w:tcBorders>
              <w:tl2br w:val="nil"/>
              <w:tr2bl w:val="nil"/>
            </w:tcBorders>
            <w:noWrap w:val="0"/>
            <w:vAlign w:val="center"/>
          </w:tcPr>
          <w:p>
            <w:pPr>
              <w:widowControl/>
              <w:jc w:val="center"/>
              <w:textAlignment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全时段</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6.72E-06</w:t>
            </w:r>
          </w:p>
        </w:tc>
        <w:tc>
          <w:tcPr>
            <w:tcW w:w="1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08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无标准</w:t>
            </w:r>
          </w:p>
        </w:tc>
        <w:tc>
          <w:tcPr>
            <w:tcW w:w="8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未知</w:t>
            </w:r>
          </w:p>
        </w:tc>
      </w:tr>
    </w:tbl>
    <w:p>
      <w:pPr>
        <w:pStyle w:val="3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rPr>
      </w:pPr>
    </w:p>
    <w:p>
      <w:pPr>
        <w:pStyle w:val="3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highlight w:val="none"/>
        </w:rPr>
      </w:pPr>
      <w:r>
        <w:rPr>
          <w:color w:val="auto"/>
        </w:rPr>
        <w:drawing>
          <wp:inline distT="0" distB="0" distL="114300" distR="114300">
            <wp:extent cx="5273675" cy="2899410"/>
            <wp:effectExtent l="0" t="0" r="3175" b="15240"/>
            <wp:docPr id="2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3"/>
                    <pic:cNvPicPr>
                      <a:picLocks noChangeAspect="1"/>
                    </pic:cNvPicPr>
                  </pic:nvPicPr>
                  <pic:blipFill>
                    <a:blip r:embed="rId45"/>
                    <a:stretch>
                      <a:fillRect/>
                    </a:stretch>
                  </pic:blipFill>
                  <pic:spPr>
                    <a:xfrm>
                      <a:off x="0" y="0"/>
                      <a:ext cx="5273675" cy="2899410"/>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color w:val="auto"/>
          <w:highlight w:val="none"/>
          <w:lang w:val="en-US" w:eastAsia="zh-CN"/>
        </w:rPr>
        <w:t xml:space="preserve">图 5.2.1-3 </w:t>
      </w:r>
      <w:r>
        <w:rPr>
          <w:rFonts w:hint="default" w:ascii="Times New Roman" w:hAnsi="Times New Roman" w:eastAsia="宋体" w:cs="Times New Roman"/>
          <w:b/>
          <w:color w:val="auto"/>
          <w:highlight w:val="none"/>
        </w:rPr>
        <w:t xml:space="preserve"> </w:t>
      </w:r>
      <w:r>
        <w:rPr>
          <w:rFonts w:hint="default" w:ascii="Times New Roman" w:hAnsi="Times New Roman" w:eastAsia="宋体" w:cs="Times New Roman"/>
          <w:b/>
          <w:color w:val="auto"/>
          <w:highlight w:val="none"/>
          <w:lang w:val="en-US" w:eastAsia="zh-CN"/>
        </w:rPr>
        <w:t>PM</w:t>
      </w:r>
      <w:r>
        <w:rPr>
          <w:rFonts w:hint="default" w:ascii="Times New Roman" w:hAnsi="Times New Roman" w:eastAsia="宋体" w:cs="Times New Roman"/>
          <w:b/>
          <w:color w:val="auto"/>
          <w:highlight w:val="none"/>
          <w:vertAlign w:val="subscript"/>
          <w:lang w:val="en-US" w:eastAsia="zh-CN"/>
        </w:rPr>
        <w:t>10</w:t>
      </w:r>
      <w:r>
        <w:rPr>
          <w:rFonts w:hint="default" w:ascii="Times New Roman" w:hAnsi="Times New Roman" w:eastAsia="宋体" w:cs="Times New Roman"/>
          <w:b/>
          <w:color w:val="auto"/>
          <w:highlight w:val="none"/>
          <w:vertAlign w:val="baseline"/>
          <w:lang w:val="en-US" w:eastAsia="zh-CN"/>
        </w:rPr>
        <w:t xml:space="preserve"> 1小时</w:t>
      </w:r>
      <w:r>
        <w:rPr>
          <w:rFonts w:hint="default" w:ascii="Times New Roman" w:hAnsi="Times New Roman" w:eastAsia="宋体" w:cs="Times New Roman"/>
          <w:b/>
          <w:color w:val="auto"/>
          <w:highlight w:val="none"/>
        </w:rPr>
        <w:t>环境质量浓度贡献值分布图</w:t>
      </w: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75580" cy="2835275"/>
            <wp:effectExtent l="0" t="0" r="1270" b="3175"/>
            <wp:docPr id="2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4"/>
                    <pic:cNvPicPr>
                      <a:picLocks noChangeAspect="1"/>
                    </pic:cNvPicPr>
                  </pic:nvPicPr>
                  <pic:blipFill>
                    <a:blip r:embed="rId46"/>
                    <a:stretch>
                      <a:fillRect/>
                    </a:stretch>
                  </pic:blipFill>
                  <pic:spPr>
                    <a:xfrm>
                      <a:off x="0" y="0"/>
                      <a:ext cx="5275580" cy="2835275"/>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adjustRightInd/>
        <w:snapToGrid/>
        <w:spacing w:line="520" w:lineRule="exact"/>
        <w:ind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color w:val="auto"/>
          <w:highlight w:val="none"/>
          <w:lang w:val="en-US" w:eastAsia="zh-CN"/>
        </w:rPr>
        <w:t xml:space="preserve">图 5.2.1-4  </w:t>
      </w:r>
      <w:r>
        <w:rPr>
          <w:rFonts w:hint="default" w:ascii="Times New Roman" w:hAnsi="Times New Roman" w:eastAsia="宋体" w:cs="Times New Roman"/>
          <w:b/>
          <w:color w:val="auto"/>
          <w:highlight w:val="none"/>
        </w:rPr>
        <w:t xml:space="preserve"> </w:t>
      </w:r>
      <w:r>
        <w:rPr>
          <w:rFonts w:hint="default" w:ascii="Times New Roman" w:hAnsi="Times New Roman" w:eastAsia="宋体" w:cs="Times New Roman"/>
          <w:b/>
          <w:color w:val="auto"/>
          <w:highlight w:val="none"/>
          <w:lang w:val="en-US" w:eastAsia="zh-CN"/>
        </w:rPr>
        <w:t>PM</w:t>
      </w:r>
      <w:r>
        <w:rPr>
          <w:rFonts w:hint="default" w:ascii="Times New Roman" w:hAnsi="Times New Roman" w:eastAsia="宋体" w:cs="Times New Roman"/>
          <w:b/>
          <w:color w:val="auto"/>
          <w:highlight w:val="none"/>
          <w:vertAlign w:val="subscript"/>
          <w:lang w:val="en-US" w:eastAsia="zh-CN"/>
        </w:rPr>
        <w:t>10</w:t>
      </w:r>
      <w:r>
        <w:rPr>
          <w:rFonts w:hint="default" w:ascii="Times New Roman" w:hAnsi="Times New Roman" w:eastAsia="宋体" w:cs="Times New Roman"/>
          <w:b/>
          <w:color w:val="auto"/>
          <w:highlight w:val="none"/>
          <w:lang w:val="en-US" w:eastAsia="zh-CN"/>
        </w:rPr>
        <w:t>日</w:t>
      </w:r>
      <w:r>
        <w:rPr>
          <w:rFonts w:hint="default" w:ascii="Times New Roman" w:hAnsi="Times New Roman" w:eastAsia="宋体" w:cs="Times New Roman"/>
          <w:b/>
          <w:color w:val="auto"/>
          <w:highlight w:val="none"/>
        </w:rPr>
        <w:t>平均值环境质量浓度贡献值分布图</w:t>
      </w: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73040" cy="2849245"/>
            <wp:effectExtent l="0" t="0" r="3810" b="8255"/>
            <wp:docPr id="2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5"/>
                    <pic:cNvPicPr>
                      <a:picLocks noChangeAspect="1"/>
                    </pic:cNvPicPr>
                  </pic:nvPicPr>
                  <pic:blipFill>
                    <a:blip r:embed="rId47"/>
                    <a:stretch>
                      <a:fillRect/>
                    </a:stretch>
                  </pic:blipFill>
                  <pic:spPr>
                    <a:xfrm>
                      <a:off x="0" y="0"/>
                      <a:ext cx="5273040" cy="2849245"/>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adjustRightInd/>
        <w:snapToGrid/>
        <w:spacing w:line="520" w:lineRule="exact"/>
        <w:ind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color w:val="auto"/>
          <w:highlight w:val="none"/>
          <w:lang w:val="en-US" w:eastAsia="zh-CN"/>
        </w:rPr>
        <w:t xml:space="preserve">图 5.2.1-5  </w:t>
      </w:r>
      <w:r>
        <w:rPr>
          <w:rFonts w:hint="default" w:ascii="Times New Roman" w:hAnsi="Times New Roman" w:eastAsia="宋体" w:cs="Times New Roman"/>
          <w:b/>
          <w:color w:val="auto"/>
          <w:highlight w:val="none"/>
        </w:rPr>
        <w:t xml:space="preserve"> </w:t>
      </w:r>
      <w:r>
        <w:rPr>
          <w:rFonts w:hint="default" w:ascii="Times New Roman" w:hAnsi="Times New Roman" w:eastAsia="宋体" w:cs="Times New Roman"/>
          <w:b/>
          <w:color w:val="auto"/>
          <w:highlight w:val="none"/>
          <w:lang w:val="en-US" w:eastAsia="zh-CN"/>
        </w:rPr>
        <w:t>PM</w:t>
      </w:r>
      <w:r>
        <w:rPr>
          <w:rFonts w:hint="default" w:ascii="Times New Roman" w:hAnsi="Times New Roman" w:eastAsia="宋体" w:cs="Times New Roman"/>
          <w:b/>
          <w:color w:val="auto"/>
          <w:highlight w:val="none"/>
          <w:vertAlign w:val="subscript"/>
          <w:lang w:val="en-US" w:eastAsia="zh-CN"/>
        </w:rPr>
        <w:t>10</w:t>
      </w:r>
      <w:r>
        <w:rPr>
          <w:rFonts w:hint="default" w:ascii="Times New Roman" w:hAnsi="Times New Roman" w:eastAsia="宋体" w:cs="Times New Roman"/>
          <w:b/>
          <w:color w:val="auto"/>
          <w:highlight w:val="none"/>
        </w:rPr>
        <w:t>全时段环境质量浓度贡献值分布图</w:t>
      </w: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73675" cy="2893695"/>
            <wp:effectExtent l="0" t="0" r="3175" b="190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48"/>
                    <a:stretch>
                      <a:fillRect/>
                    </a:stretch>
                  </pic:blipFill>
                  <pic:spPr>
                    <a:xfrm>
                      <a:off x="0" y="0"/>
                      <a:ext cx="5273675" cy="2893695"/>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color w:val="auto"/>
          <w:highlight w:val="none"/>
          <w:lang w:val="en-US" w:eastAsia="zh-CN"/>
        </w:rPr>
        <w:t xml:space="preserve">图 5.2.1-6   TSP  </w:t>
      </w:r>
      <w:r>
        <w:rPr>
          <w:rFonts w:hint="default" w:ascii="Times New Roman" w:hAnsi="Times New Roman" w:eastAsia="宋体" w:cs="Times New Roman"/>
          <w:b/>
          <w:color w:val="auto"/>
          <w:highlight w:val="none"/>
          <w:vertAlign w:val="baseline"/>
          <w:lang w:val="en-US" w:eastAsia="zh-CN"/>
        </w:rPr>
        <w:t>1小时</w:t>
      </w:r>
      <w:r>
        <w:rPr>
          <w:rFonts w:hint="default" w:ascii="Times New Roman" w:hAnsi="Times New Roman" w:eastAsia="宋体" w:cs="Times New Roman"/>
          <w:b/>
          <w:color w:val="auto"/>
          <w:highlight w:val="none"/>
        </w:rPr>
        <w:t>环境质量浓度贡献值分布图</w:t>
      </w: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76215" cy="2822575"/>
            <wp:effectExtent l="0" t="0" r="635" b="1587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49"/>
                    <a:stretch>
                      <a:fillRect/>
                    </a:stretch>
                  </pic:blipFill>
                  <pic:spPr>
                    <a:xfrm>
                      <a:off x="0" y="0"/>
                      <a:ext cx="5276215" cy="2822575"/>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color w:val="auto"/>
          <w:highlight w:val="none"/>
          <w:lang w:val="en-US" w:eastAsia="zh-CN"/>
        </w:rPr>
        <w:t>图 5.2.1-7   TSP 日</w:t>
      </w:r>
      <w:r>
        <w:rPr>
          <w:rFonts w:hint="default" w:ascii="Times New Roman" w:hAnsi="Times New Roman" w:eastAsia="宋体" w:cs="Times New Roman"/>
          <w:b/>
          <w:color w:val="auto"/>
          <w:highlight w:val="none"/>
        </w:rPr>
        <w:t>平均值环境质量浓度贡献值分布图</w:t>
      </w: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71770" cy="2826385"/>
            <wp:effectExtent l="0" t="0" r="5080" b="1206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50"/>
                    <a:stretch>
                      <a:fillRect/>
                    </a:stretch>
                  </pic:blipFill>
                  <pic:spPr>
                    <a:xfrm>
                      <a:off x="0" y="0"/>
                      <a:ext cx="5271770" cy="2826385"/>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color w:val="auto"/>
          <w:highlight w:val="none"/>
          <w:lang w:val="en-US" w:eastAsia="zh-CN"/>
        </w:rPr>
        <w:t xml:space="preserve">图 5.2.1-8   TSP </w:t>
      </w:r>
      <w:r>
        <w:rPr>
          <w:rFonts w:hint="default" w:ascii="Times New Roman" w:hAnsi="Times New Roman" w:eastAsia="宋体" w:cs="Times New Roman"/>
          <w:b/>
          <w:color w:val="auto"/>
          <w:highlight w:val="none"/>
        </w:rPr>
        <w:t>全时段环境质量浓度贡献值分布图</w:t>
      </w: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73040" cy="2938145"/>
            <wp:effectExtent l="0" t="0" r="3810" b="14605"/>
            <wp:docPr id="3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6"/>
                    <pic:cNvPicPr>
                      <a:picLocks noChangeAspect="1"/>
                    </pic:cNvPicPr>
                  </pic:nvPicPr>
                  <pic:blipFill>
                    <a:blip r:embed="rId51"/>
                    <a:stretch>
                      <a:fillRect/>
                    </a:stretch>
                  </pic:blipFill>
                  <pic:spPr>
                    <a:xfrm>
                      <a:off x="0" y="0"/>
                      <a:ext cx="5273040" cy="2938145"/>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color w:val="auto"/>
          <w:highlight w:val="none"/>
          <w:lang w:val="en-US" w:eastAsia="zh-CN"/>
        </w:rPr>
        <w:t xml:space="preserve">图 5.2.1-9   氨 </w:t>
      </w:r>
      <w:r>
        <w:rPr>
          <w:rFonts w:hint="default" w:ascii="Times New Roman" w:hAnsi="Times New Roman" w:eastAsia="宋体" w:cs="Times New Roman"/>
          <w:b/>
          <w:color w:val="auto"/>
          <w:highlight w:val="none"/>
          <w:vertAlign w:val="baseline"/>
          <w:lang w:val="en-US" w:eastAsia="zh-CN"/>
        </w:rPr>
        <w:t>1 小时</w:t>
      </w:r>
      <w:r>
        <w:rPr>
          <w:rFonts w:hint="default" w:ascii="Times New Roman" w:hAnsi="Times New Roman" w:eastAsia="宋体" w:cs="Times New Roman"/>
          <w:b/>
          <w:color w:val="auto"/>
          <w:highlight w:val="none"/>
        </w:rPr>
        <w:t>环境质量浓度贡献值分布图</w:t>
      </w: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77485" cy="2905760"/>
            <wp:effectExtent l="0" t="0" r="18415" b="8890"/>
            <wp:docPr id="3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7"/>
                    <pic:cNvPicPr>
                      <a:picLocks noChangeAspect="1"/>
                    </pic:cNvPicPr>
                  </pic:nvPicPr>
                  <pic:blipFill>
                    <a:blip r:embed="rId52"/>
                    <a:stretch>
                      <a:fillRect/>
                    </a:stretch>
                  </pic:blipFill>
                  <pic:spPr>
                    <a:xfrm>
                      <a:off x="0" y="0"/>
                      <a:ext cx="5277485" cy="2905760"/>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color w:val="auto"/>
          <w:highlight w:val="none"/>
          <w:lang w:val="en-US" w:eastAsia="zh-CN"/>
        </w:rPr>
        <w:t>图 5.2.1-10   氨日</w:t>
      </w:r>
      <w:r>
        <w:rPr>
          <w:rFonts w:hint="default" w:ascii="Times New Roman" w:hAnsi="Times New Roman" w:eastAsia="宋体" w:cs="Times New Roman"/>
          <w:b/>
          <w:color w:val="auto"/>
          <w:highlight w:val="none"/>
        </w:rPr>
        <w:t>平均值环境质量浓度贡献值分布图</w:t>
      </w: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76850" cy="2863215"/>
            <wp:effectExtent l="0" t="0" r="0" b="13335"/>
            <wp:docPr id="3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8"/>
                    <pic:cNvPicPr>
                      <a:picLocks noChangeAspect="1"/>
                    </pic:cNvPicPr>
                  </pic:nvPicPr>
                  <pic:blipFill>
                    <a:blip r:embed="rId53"/>
                    <a:stretch>
                      <a:fillRect/>
                    </a:stretch>
                  </pic:blipFill>
                  <pic:spPr>
                    <a:xfrm>
                      <a:off x="0" y="0"/>
                      <a:ext cx="5276850" cy="2863215"/>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color w:val="auto"/>
          <w:highlight w:val="none"/>
          <w:lang w:val="en-US" w:eastAsia="zh-CN"/>
        </w:rPr>
        <w:t>图 5.2.1-11   氨</w:t>
      </w:r>
      <w:r>
        <w:rPr>
          <w:rFonts w:hint="default" w:ascii="Times New Roman" w:hAnsi="Times New Roman" w:eastAsia="宋体" w:cs="Times New Roman"/>
          <w:b/>
          <w:color w:val="auto"/>
          <w:highlight w:val="none"/>
        </w:rPr>
        <w:t>全时段环境质量浓度贡献值分布图</w:t>
      </w: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73675" cy="2916555"/>
            <wp:effectExtent l="0" t="0" r="3175" b="17145"/>
            <wp:docPr id="3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9"/>
                    <pic:cNvPicPr>
                      <a:picLocks noChangeAspect="1"/>
                    </pic:cNvPicPr>
                  </pic:nvPicPr>
                  <pic:blipFill>
                    <a:blip r:embed="rId54"/>
                    <a:stretch>
                      <a:fillRect/>
                    </a:stretch>
                  </pic:blipFill>
                  <pic:spPr>
                    <a:xfrm>
                      <a:off x="0" y="0"/>
                      <a:ext cx="5273675" cy="2916555"/>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color w:val="auto"/>
          <w:highlight w:val="none"/>
          <w:lang w:val="en-US" w:eastAsia="zh-CN"/>
        </w:rPr>
        <w:t xml:space="preserve">图 5.2.1-12   硫化氢 </w:t>
      </w:r>
      <w:r>
        <w:rPr>
          <w:rFonts w:hint="default" w:ascii="Times New Roman" w:hAnsi="Times New Roman" w:eastAsia="宋体" w:cs="Times New Roman"/>
          <w:b/>
          <w:color w:val="auto"/>
          <w:highlight w:val="none"/>
          <w:vertAlign w:val="baseline"/>
          <w:lang w:val="en-US" w:eastAsia="zh-CN"/>
        </w:rPr>
        <w:t>1 小时</w:t>
      </w:r>
      <w:r>
        <w:rPr>
          <w:rFonts w:hint="default" w:ascii="Times New Roman" w:hAnsi="Times New Roman" w:eastAsia="宋体" w:cs="Times New Roman"/>
          <w:b/>
          <w:color w:val="auto"/>
          <w:highlight w:val="none"/>
        </w:rPr>
        <w:t>环境质量浓度贡献值分布图</w:t>
      </w: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71770" cy="2893060"/>
            <wp:effectExtent l="0" t="0" r="5080" b="2540"/>
            <wp:docPr id="3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0"/>
                    <pic:cNvPicPr>
                      <a:picLocks noChangeAspect="1"/>
                    </pic:cNvPicPr>
                  </pic:nvPicPr>
                  <pic:blipFill>
                    <a:blip r:embed="rId55"/>
                    <a:stretch>
                      <a:fillRect/>
                    </a:stretch>
                  </pic:blipFill>
                  <pic:spPr>
                    <a:xfrm>
                      <a:off x="0" y="0"/>
                      <a:ext cx="5271770" cy="2893060"/>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color w:val="auto"/>
          <w:highlight w:val="none"/>
          <w:lang w:val="en-US" w:eastAsia="zh-CN"/>
        </w:rPr>
        <w:t>图 5.2.1-13   硫化氢 日</w:t>
      </w:r>
      <w:r>
        <w:rPr>
          <w:rFonts w:hint="default" w:ascii="Times New Roman" w:hAnsi="Times New Roman" w:eastAsia="宋体" w:cs="Times New Roman"/>
          <w:b/>
          <w:color w:val="auto"/>
          <w:highlight w:val="none"/>
        </w:rPr>
        <w:t>平均值环境质量浓度贡献值分布图</w:t>
      </w: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76215" cy="2884805"/>
            <wp:effectExtent l="0" t="0" r="635" b="10795"/>
            <wp:docPr id="3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1"/>
                    <pic:cNvPicPr>
                      <a:picLocks noChangeAspect="1"/>
                    </pic:cNvPicPr>
                  </pic:nvPicPr>
                  <pic:blipFill>
                    <a:blip r:embed="rId56"/>
                    <a:stretch>
                      <a:fillRect/>
                    </a:stretch>
                  </pic:blipFill>
                  <pic:spPr>
                    <a:xfrm>
                      <a:off x="0" y="0"/>
                      <a:ext cx="5276215" cy="2884805"/>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color w:val="auto"/>
          <w:highlight w:val="none"/>
          <w:lang w:val="en-US" w:eastAsia="zh-CN"/>
        </w:rPr>
        <w:t>图 5.2.1-14   硫化氢</w:t>
      </w:r>
      <w:r>
        <w:rPr>
          <w:rFonts w:hint="default" w:ascii="Times New Roman" w:hAnsi="Times New Roman" w:eastAsia="宋体" w:cs="Times New Roman"/>
          <w:b/>
          <w:color w:val="auto"/>
          <w:highlight w:val="none"/>
        </w:rPr>
        <w:t>全时段环境质量浓度贡献值分布图</w:t>
      </w: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76215" cy="2976245"/>
            <wp:effectExtent l="0" t="0" r="635" b="1460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57"/>
                    <a:stretch>
                      <a:fillRect/>
                    </a:stretch>
                  </pic:blipFill>
                  <pic:spPr>
                    <a:xfrm>
                      <a:off x="0" y="0"/>
                      <a:ext cx="5276215" cy="2976245"/>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color w:val="auto"/>
          <w:highlight w:val="none"/>
          <w:lang w:val="en-US" w:eastAsia="zh-CN"/>
        </w:rPr>
        <w:t xml:space="preserve">图 5.2.1-15   </w:t>
      </w:r>
      <w:r>
        <w:rPr>
          <w:rFonts w:hint="eastAsia" w:cs="Times New Roman"/>
          <w:b/>
          <w:color w:val="auto"/>
          <w:highlight w:val="none"/>
          <w:lang w:val="en-US" w:eastAsia="zh-CN"/>
        </w:rPr>
        <w:t>非甲烷总烃</w:t>
      </w:r>
      <w:r>
        <w:rPr>
          <w:rFonts w:hint="default" w:ascii="Times New Roman" w:hAnsi="Times New Roman" w:eastAsia="宋体" w:cs="Times New Roman"/>
          <w:b/>
          <w:color w:val="auto"/>
          <w:highlight w:val="none"/>
          <w:vertAlign w:val="baseline"/>
          <w:lang w:val="en-US" w:eastAsia="zh-CN"/>
        </w:rPr>
        <w:t xml:space="preserve"> 1 小时</w:t>
      </w:r>
      <w:r>
        <w:rPr>
          <w:rFonts w:hint="default" w:ascii="Times New Roman" w:hAnsi="Times New Roman" w:eastAsia="宋体" w:cs="Times New Roman"/>
          <w:b/>
          <w:color w:val="auto"/>
          <w:highlight w:val="none"/>
        </w:rPr>
        <w:t>环境质量浓度贡献值分布图</w:t>
      </w: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77485" cy="2919730"/>
            <wp:effectExtent l="0" t="0" r="18415" b="1397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58"/>
                    <a:stretch>
                      <a:fillRect/>
                    </a:stretch>
                  </pic:blipFill>
                  <pic:spPr>
                    <a:xfrm>
                      <a:off x="0" y="0"/>
                      <a:ext cx="5277485" cy="2919730"/>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color w:val="auto"/>
          <w:highlight w:val="none"/>
          <w:lang w:val="en-US" w:eastAsia="zh-CN"/>
        </w:rPr>
        <w:t xml:space="preserve">图 5.2.1-16   </w:t>
      </w:r>
      <w:r>
        <w:rPr>
          <w:rFonts w:hint="eastAsia" w:cs="Times New Roman"/>
          <w:b/>
          <w:color w:val="auto"/>
          <w:highlight w:val="none"/>
          <w:lang w:val="en-US" w:eastAsia="zh-CN"/>
        </w:rPr>
        <w:t>非甲烷总烃</w:t>
      </w:r>
      <w:r>
        <w:rPr>
          <w:rFonts w:hint="default" w:ascii="Times New Roman" w:hAnsi="Times New Roman" w:eastAsia="宋体" w:cs="Times New Roman"/>
          <w:b/>
          <w:color w:val="auto"/>
          <w:highlight w:val="none"/>
          <w:vertAlign w:val="baseline"/>
          <w:lang w:val="en-US" w:eastAsia="zh-CN"/>
        </w:rPr>
        <w:t xml:space="preserve"> </w:t>
      </w:r>
      <w:r>
        <w:rPr>
          <w:rFonts w:hint="default" w:ascii="Times New Roman" w:hAnsi="Times New Roman" w:eastAsia="宋体" w:cs="Times New Roman"/>
          <w:b/>
          <w:color w:val="auto"/>
          <w:highlight w:val="none"/>
          <w:lang w:val="en-US" w:eastAsia="zh-CN"/>
        </w:rPr>
        <w:t>日</w:t>
      </w:r>
      <w:r>
        <w:rPr>
          <w:rFonts w:hint="default" w:ascii="Times New Roman" w:hAnsi="Times New Roman" w:eastAsia="宋体" w:cs="Times New Roman"/>
          <w:b/>
          <w:color w:val="auto"/>
          <w:highlight w:val="none"/>
        </w:rPr>
        <w:t>平均值环境质量浓度贡献值分布图</w:t>
      </w: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73675" cy="2875280"/>
            <wp:effectExtent l="0" t="0" r="3175" b="127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59"/>
                    <a:stretch>
                      <a:fillRect/>
                    </a:stretch>
                  </pic:blipFill>
                  <pic:spPr>
                    <a:xfrm>
                      <a:off x="0" y="0"/>
                      <a:ext cx="5273675" cy="2875280"/>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color w:val="auto"/>
          <w:highlight w:val="none"/>
          <w:lang w:val="en-US" w:eastAsia="zh-CN"/>
        </w:rPr>
        <w:t xml:space="preserve">图 5.2.1-17   </w:t>
      </w:r>
      <w:r>
        <w:rPr>
          <w:rFonts w:hint="eastAsia" w:cs="Times New Roman"/>
          <w:b/>
          <w:color w:val="auto"/>
          <w:highlight w:val="none"/>
          <w:lang w:val="en-US" w:eastAsia="zh-CN"/>
        </w:rPr>
        <w:t>非甲烷总烃</w:t>
      </w:r>
      <w:r>
        <w:rPr>
          <w:rFonts w:hint="default" w:ascii="Times New Roman" w:hAnsi="Times New Roman" w:eastAsia="宋体" w:cs="Times New Roman"/>
          <w:b/>
          <w:color w:val="auto"/>
          <w:highlight w:val="none"/>
          <w:vertAlign w:val="baseline"/>
          <w:lang w:val="en-US" w:eastAsia="zh-CN"/>
        </w:rPr>
        <w:t xml:space="preserve"> </w:t>
      </w:r>
      <w:r>
        <w:rPr>
          <w:rFonts w:hint="default" w:ascii="Times New Roman" w:hAnsi="Times New Roman" w:eastAsia="宋体" w:cs="Times New Roman"/>
          <w:b/>
          <w:color w:val="auto"/>
          <w:highlight w:val="none"/>
          <w:lang w:val="en-US" w:eastAsia="zh-CN"/>
        </w:rPr>
        <w:t>全时段</w:t>
      </w:r>
      <w:r>
        <w:rPr>
          <w:rFonts w:hint="default" w:ascii="Times New Roman" w:hAnsi="Times New Roman" w:eastAsia="宋体" w:cs="Times New Roman"/>
          <w:b/>
          <w:color w:val="auto"/>
          <w:highlight w:val="none"/>
        </w:rPr>
        <w:t>环境质量浓度贡献值分布图</w:t>
      </w: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71770" cy="2866390"/>
            <wp:effectExtent l="0" t="0" r="5080" b="1016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60"/>
                    <a:stretch>
                      <a:fillRect/>
                    </a:stretch>
                  </pic:blipFill>
                  <pic:spPr>
                    <a:xfrm>
                      <a:off x="0" y="0"/>
                      <a:ext cx="5271770" cy="2866390"/>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color w:val="auto"/>
          <w:highlight w:val="none"/>
          <w:lang w:val="en-US" w:eastAsia="zh-CN"/>
        </w:rPr>
        <w:t xml:space="preserve">图 5.2.1-18   甲醇 </w:t>
      </w:r>
      <w:r>
        <w:rPr>
          <w:rFonts w:hint="default" w:ascii="Times New Roman" w:hAnsi="Times New Roman" w:eastAsia="宋体" w:cs="Times New Roman"/>
          <w:b/>
          <w:color w:val="auto"/>
          <w:highlight w:val="none"/>
          <w:vertAlign w:val="baseline"/>
          <w:lang w:val="en-US" w:eastAsia="zh-CN"/>
        </w:rPr>
        <w:t>1 小时</w:t>
      </w:r>
      <w:r>
        <w:rPr>
          <w:rFonts w:hint="default" w:ascii="Times New Roman" w:hAnsi="Times New Roman" w:eastAsia="宋体" w:cs="Times New Roman"/>
          <w:b/>
          <w:color w:val="auto"/>
          <w:highlight w:val="none"/>
        </w:rPr>
        <w:t>环境质量浓度贡献值分布图</w:t>
      </w: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76215" cy="2849880"/>
            <wp:effectExtent l="0" t="0" r="635" b="762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61"/>
                    <a:stretch>
                      <a:fillRect/>
                    </a:stretch>
                  </pic:blipFill>
                  <pic:spPr>
                    <a:xfrm>
                      <a:off x="0" y="0"/>
                      <a:ext cx="5276215" cy="2849880"/>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lang w:val="en-US" w:eastAsia="zh-CN"/>
        </w:rPr>
        <w:t>图 5.2.1-19   甲醇日</w:t>
      </w:r>
      <w:r>
        <w:rPr>
          <w:rFonts w:hint="default" w:ascii="Times New Roman" w:hAnsi="Times New Roman" w:eastAsia="宋体" w:cs="Times New Roman"/>
          <w:b/>
          <w:color w:val="auto"/>
          <w:highlight w:val="none"/>
        </w:rPr>
        <w:t>平均值环境质量浓度贡献值分布图</w:t>
      </w:r>
    </w:p>
    <w:p>
      <w:pPr>
        <w:pStyle w:val="3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highlight w:val="none"/>
        </w:rPr>
      </w:pPr>
      <w:r>
        <w:rPr>
          <w:color w:val="auto"/>
        </w:rPr>
        <w:drawing>
          <wp:inline distT="0" distB="0" distL="114300" distR="114300">
            <wp:extent cx="5273675" cy="2828290"/>
            <wp:effectExtent l="0" t="0" r="3175" b="1016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62"/>
                    <a:stretch>
                      <a:fillRect/>
                    </a:stretch>
                  </pic:blipFill>
                  <pic:spPr>
                    <a:xfrm>
                      <a:off x="0" y="0"/>
                      <a:ext cx="5273675" cy="2828290"/>
                    </a:xfrm>
                    <a:prstGeom prst="rect">
                      <a:avLst/>
                    </a:prstGeom>
                    <a:noFill/>
                    <a:ln>
                      <a:noFill/>
                    </a:ln>
                  </pic:spPr>
                </pic:pic>
              </a:graphicData>
            </a:graphic>
          </wp:inline>
        </w:drawing>
      </w:r>
    </w:p>
    <w:p>
      <w:pPr>
        <w:pStyle w:val="26"/>
        <w:keepNext w:val="0"/>
        <w:keepLines w:val="0"/>
        <w:pageBreakBefore w:val="0"/>
        <w:widowControl w:val="0"/>
        <w:kinsoku/>
        <w:wordWrap/>
        <w:overflowPunct/>
        <w:topLinePunct w:val="0"/>
        <w:autoSpaceDE/>
        <w:autoSpaceDN/>
        <w:bidi w:val="0"/>
        <w:spacing w:line="560" w:lineRule="exact"/>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b/>
          <w:color w:val="auto"/>
          <w:highlight w:val="none"/>
          <w:lang w:val="en-US" w:eastAsia="zh-CN"/>
        </w:rPr>
        <w:t>图 5.2.1-20   甲醇全时段</w:t>
      </w:r>
      <w:r>
        <w:rPr>
          <w:rFonts w:hint="default" w:ascii="Times New Roman" w:hAnsi="Times New Roman" w:eastAsia="宋体" w:cs="Times New Roman"/>
          <w:b/>
          <w:color w:val="auto"/>
          <w:highlight w:val="none"/>
        </w:rPr>
        <w:t>环境质量浓度贡献值分布图</w:t>
      </w:r>
    </w:p>
    <w:p>
      <w:pPr>
        <w:pStyle w:val="26"/>
        <w:keepNext w:val="0"/>
        <w:keepLines w:val="0"/>
        <w:pageBreakBefore w:val="0"/>
        <w:widowControl w:val="0"/>
        <w:kinsoku/>
        <w:wordWrap/>
        <w:overflowPunct/>
        <w:topLinePunct w:val="0"/>
        <w:autoSpaceDE/>
        <w:autoSpaceDN/>
        <w:bidi w:val="0"/>
        <w:spacing w:line="560" w:lineRule="exact"/>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从上表预测结果可知，本项目污染源排放的 PM</w:t>
      </w:r>
      <w:r>
        <w:rPr>
          <w:rFonts w:hint="eastAsia" w:ascii="Times New Roman" w:hAnsi="Times New Roman" w:eastAsia="宋体" w:cs="Times New Roman"/>
          <w:color w:val="auto"/>
          <w:vertAlign w:val="subscript"/>
          <w:lang w:val="en-US" w:eastAsia="zh-CN"/>
        </w:rPr>
        <w:t>10</w:t>
      </w:r>
      <w:r>
        <w:rPr>
          <w:rFonts w:hint="eastAsia" w:ascii="Times New Roman" w:hAnsi="Times New Roman" w:eastAsia="宋体" w:cs="Times New Roman"/>
          <w:color w:val="auto"/>
          <w:lang w:val="en-US" w:eastAsia="zh-CN"/>
        </w:rPr>
        <w:t>、颗粒物、氨、硫化氢、甲醇和非甲烷总烃所有关注点和网络点短时浓度和全时段浓度均达标。</w:t>
      </w:r>
    </w:p>
    <w:p>
      <w:pPr>
        <w:pStyle w:val="26"/>
        <w:keepNext w:val="0"/>
        <w:keepLines w:val="0"/>
        <w:pageBreakBefore w:val="0"/>
        <w:widowControl w:val="0"/>
        <w:kinsoku/>
        <w:wordWrap/>
        <w:overflowPunct/>
        <w:topLinePunct w:val="0"/>
        <w:autoSpaceDE/>
        <w:autoSpaceDN/>
        <w:bidi w:val="0"/>
        <w:spacing w:line="560" w:lineRule="exact"/>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（2）叠加后环境质量浓度</w:t>
      </w:r>
    </w:p>
    <w:p>
      <w:pPr>
        <w:pStyle w:val="26"/>
        <w:keepNext w:val="0"/>
        <w:keepLines w:val="0"/>
        <w:pageBreakBefore w:val="0"/>
        <w:widowControl w:val="0"/>
        <w:kinsoku/>
        <w:wordWrap/>
        <w:overflowPunct/>
        <w:topLinePunct w:val="0"/>
        <w:autoSpaceDE/>
        <w:autoSpaceDN/>
        <w:bidi w:val="0"/>
        <w:spacing w:line="560" w:lineRule="exact"/>
        <w:textAlignment w:val="auto"/>
        <w:rPr>
          <w:rFonts w:hint="eastAsia" w:ascii="Times New Roman" w:hAnsi="Times New Roman" w:eastAsia="宋体" w:cs="Times New Roman"/>
          <w:color w:val="auto"/>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eastAsia" w:ascii="Times New Roman" w:hAnsi="Times New Roman" w:eastAsia="宋体" w:cs="Times New Roman"/>
          <w:color w:val="auto"/>
          <w:lang w:val="en-US" w:eastAsia="zh-CN"/>
        </w:rPr>
        <w:t>在正常排放下，本项目贡献叠加区域在建拟建污染源和现状背景值后，预测保证率日平均浓度和年平均浓度；对于项目排放的主要污染物仅有短期浓度限值的，评价其短期浓度叠加后的达标情况。本项目贡献叠加区域在建拟建污染源和现状背景值后，预测浓度叠加值的影响情况，对现状背景值未检出的污染物，不再体现其背景浓度。</w:t>
      </w:r>
    </w:p>
    <w:p>
      <w:pPr>
        <w:pStyle w:val="3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highlight w:val="none"/>
          <w:lang w:eastAsia="zh-CN"/>
        </w:rPr>
      </w:pPr>
      <w:r>
        <w:rPr>
          <w:rFonts w:hint="eastAsia" w:cs="Times New Roman"/>
          <w:b/>
          <w:color w:val="auto"/>
          <w:highlight w:val="none"/>
          <w:lang w:val="en-US" w:eastAsia="zh-CN"/>
        </w:rPr>
        <w:t xml:space="preserve">表 5.2.1-16   </w:t>
      </w:r>
      <w:r>
        <w:rPr>
          <w:rFonts w:hint="default" w:ascii="Times New Roman" w:hAnsi="Times New Roman" w:eastAsia="宋体" w:cs="Times New Roman"/>
          <w:b/>
          <w:color w:val="auto"/>
          <w:highlight w:val="none"/>
          <w:lang w:eastAsia="zh-CN"/>
        </w:rPr>
        <w:t>本项目</w:t>
      </w:r>
      <w:r>
        <w:rPr>
          <w:rFonts w:hint="default" w:ascii="Times New Roman" w:hAnsi="Times New Roman" w:eastAsia="宋体" w:cs="Times New Roman"/>
          <w:b/>
          <w:color w:val="auto"/>
          <w:highlight w:val="none"/>
          <w:lang w:val="en-US" w:eastAsia="zh-CN"/>
        </w:rPr>
        <w:t>污染物叠加后</w:t>
      </w:r>
      <w:r>
        <w:rPr>
          <w:rFonts w:hint="default" w:ascii="Times New Roman" w:hAnsi="Times New Roman" w:eastAsia="宋体" w:cs="Times New Roman"/>
          <w:b/>
          <w:color w:val="auto"/>
          <w:highlight w:val="none"/>
          <w:lang w:eastAsia="zh-CN"/>
        </w:rPr>
        <w:t>质量浓度预测结</w:t>
      </w:r>
      <w:r>
        <w:rPr>
          <w:rFonts w:hint="eastAsia" w:ascii="Times New Roman" w:hAnsi="Times New Roman" w:eastAsia="宋体" w:cs="Times New Roman"/>
          <w:b/>
          <w:color w:val="auto"/>
          <w:highlight w:val="none"/>
          <w:lang w:val="en-US" w:eastAsia="zh-CN"/>
        </w:rPr>
        <w:t>果</w:t>
      </w:r>
      <w:r>
        <w:rPr>
          <w:rFonts w:hint="default" w:ascii="Times New Roman" w:hAnsi="Times New Roman" w:eastAsia="宋体" w:cs="Times New Roman"/>
          <w:b/>
          <w:color w:val="auto"/>
          <w:highlight w:val="none"/>
          <w:lang w:eastAsia="zh-CN"/>
        </w:rPr>
        <w:t>一览表</w:t>
      </w:r>
    </w:p>
    <w:tbl>
      <w:tblPr>
        <w:tblStyle w:val="21"/>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898"/>
        <w:gridCol w:w="974"/>
        <w:gridCol w:w="846"/>
        <w:gridCol w:w="1019"/>
        <w:gridCol w:w="1984"/>
        <w:gridCol w:w="1128"/>
        <w:gridCol w:w="1209"/>
        <w:gridCol w:w="1209"/>
        <w:gridCol w:w="1374"/>
        <w:gridCol w:w="1425"/>
        <w:gridCol w:w="1235"/>
        <w:gridCol w:w="87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blHeader/>
          <w:jc w:val="center"/>
        </w:trPr>
        <w:tc>
          <w:tcPr>
            <w:tcW w:w="898"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974"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名称</w:t>
            </w:r>
          </w:p>
        </w:tc>
        <w:tc>
          <w:tcPr>
            <w:tcW w:w="1865" w:type="dxa"/>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点坐标</w:t>
            </w:r>
          </w:p>
        </w:tc>
        <w:tc>
          <w:tcPr>
            <w:tcW w:w="1984"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浓度类型</w:t>
            </w:r>
          </w:p>
        </w:tc>
        <w:tc>
          <w:tcPr>
            <w:tcW w:w="1128"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rPr>
              <w:t>贡献值/</w:t>
            </w:r>
            <w:r>
              <w:rPr>
                <w:rFonts w:hint="default" w:ascii="Times New Roman" w:hAnsi="Times New Roman" w:eastAsia="宋体" w:cs="Times New Roman"/>
                <w:b/>
                <w:bCs/>
                <w:color w:val="auto"/>
                <w:sz w:val="21"/>
                <w:szCs w:val="21"/>
                <w:highlight w:val="none"/>
              </w:rPr>
              <w:t>(</w:t>
            </w:r>
            <w:r>
              <w:rPr>
                <w:rFonts w:hint="eastAsia" w:cs="Times New Roman"/>
                <w:b/>
                <w:bCs/>
                <w:color w:val="auto"/>
                <w:sz w:val="21"/>
                <w:szCs w:val="21"/>
                <w:highlight w:val="none"/>
                <w:lang w:val="en-US" w:eastAsia="zh-CN"/>
              </w:rPr>
              <w:t>m</w:t>
            </w:r>
            <w:r>
              <w:rPr>
                <w:rFonts w:hint="default" w:ascii="Times New Roman" w:hAnsi="Times New Roman" w:eastAsia="宋体" w:cs="Times New Roman"/>
                <w:b/>
                <w:bCs/>
                <w:color w:val="auto"/>
                <w:sz w:val="21"/>
                <w:szCs w:val="21"/>
                <w:highlight w:val="none"/>
              </w:rPr>
              <w:t>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w:t>
            </w:r>
          </w:p>
        </w:tc>
        <w:tc>
          <w:tcPr>
            <w:tcW w:w="1209"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rPr>
              <w:t>出现时间</w:t>
            </w:r>
          </w:p>
        </w:tc>
        <w:tc>
          <w:tcPr>
            <w:tcW w:w="1209"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rPr>
              <w:t>现状浓度/</w:t>
            </w:r>
            <w:r>
              <w:rPr>
                <w:rFonts w:hint="default" w:ascii="Times New Roman" w:hAnsi="Times New Roman" w:eastAsia="宋体" w:cs="Times New Roman"/>
                <w:b/>
                <w:bCs/>
                <w:color w:val="auto"/>
                <w:sz w:val="21"/>
                <w:szCs w:val="21"/>
                <w:highlight w:val="none"/>
              </w:rPr>
              <w:t>(</w:t>
            </w:r>
            <w:r>
              <w:rPr>
                <w:rFonts w:hint="eastAsia" w:cs="Times New Roman"/>
                <w:b/>
                <w:bCs/>
                <w:color w:val="auto"/>
                <w:sz w:val="21"/>
                <w:szCs w:val="21"/>
                <w:highlight w:val="none"/>
                <w:lang w:val="en-US" w:eastAsia="zh-CN"/>
              </w:rPr>
              <w:t>m</w:t>
            </w:r>
            <w:r>
              <w:rPr>
                <w:rFonts w:hint="default" w:ascii="Times New Roman" w:hAnsi="Times New Roman" w:eastAsia="宋体" w:cs="Times New Roman"/>
                <w:b/>
                <w:bCs/>
                <w:color w:val="auto"/>
                <w:sz w:val="21"/>
                <w:szCs w:val="21"/>
                <w:highlight w:val="none"/>
              </w:rPr>
              <w:t>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w:t>
            </w:r>
          </w:p>
        </w:tc>
        <w:tc>
          <w:tcPr>
            <w:tcW w:w="1374"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eastAsia="zh-CN"/>
              </w:rPr>
              <w:t>叠加</w:t>
            </w:r>
            <w:r>
              <w:rPr>
                <w:rFonts w:hint="default" w:ascii="Times New Roman" w:hAnsi="Times New Roman" w:eastAsia="宋体" w:cs="Times New Roman"/>
                <w:b/>
                <w:bCs/>
                <w:color w:val="auto"/>
                <w:sz w:val="21"/>
                <w:szCs w:val="21"/>
                <w:highlight w:val="none"/>
              </w:rPr>
              <w:t>值(</w:t>
            </w:r>
            <w:r>
              <w:rPr>
                <w:rFonts w:hint="eastAsia" w:cs="Times New Roman"/>
                <w:b/>
                <w:bCs/>
                <w:color w:val="auto"/>
                <w:sz w:val="21"/>
                <w:szCs w:val="21"/>
                <w:highlight w:val="none"/>
                <w:lang w:val="en-US" w:eastAsia="zh-CN"/>
              </w:rPr>
              <w:t>m</w:t>
            </w:r>
            <w:r>
              <w:rPr>
                <w:rFonts w:hint="default" w:ascii="Times New Roman" w:hAnsi="Times New Roman" w:eastAsia="宋体" w:cs="Times New Roman"/>
                <w:b/>
                <w:bCs/>
                <w:color w:val="auto"/>
                <w:sz w:val="21"/>
                <w:szCs w:val="21"/>
                <w:highlight w:val="none"/>
              </w:rPr>
              <w:t>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w:t>
            </w:r>
          </w:p>
        </w:tc>
        <w:tc>
          <w:tcPr>
            <w:tcW w:w="1425"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rPr>
              <w:t>评价标准(</w:t>
            </w:r>
            <w:r>
              <w:rPr>
                <w:rFonts w:hint="eastAsia" w:cs="Times New Roman"/>
                <w:b/>
                <w:bCs/>
                <w:color w:val="auto"/>
                <w:sz w:val="21"/>
                <w:szCs w:val="21"/>
                <w:highlight w:val="none"/>
                <w:lang w:val="en-US" w:eastAsia="zh-CN"/>
              </w:rPr>
              <w:t>m</w:t>
            </w:r>
            <w:r>
              <w:rPr>
                <w:rFonts w:hint="default" w:ascii="Times New Roman" w:hAnsi="Times New Roman" w:eastAsia="宋体" w:cs="Times New Roman"/>
                <w:b/>
                <w:bCs/>
                <w:color w:val="auto"/>
                <w:sz w:val="21"/>
                <w:szCs w:val="21"/>
                <w:highlight w:val="none"/>
              </w:rPr>
              <w:t>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w:t>
            </w:r>
          </w:p>
        </w:tc>
        <w:tc>
          <w:tcPr>
            <w:tcW w:w="1235"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rPr>
              <w:t>占标率%</w:t>
            </w:r>
          </w:p>
        </w:tc>
        <w:tc>
          <w:tcPr>
            <w:tcW w:w="873"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rPr>
              <w:t>是否超标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6" w:hRule="atLeast"/>
          <w:tblHeader/>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b/>
                <w:bCs/>
                <w:color w:val="auto"/>
                <w:sz w:val="21"/>
                <w:szCs w:val="21"/>
                <w:highlight w:val="none"/>
              </w:rPr>
            </w:pPr>
          </w:p>
        </w:tc>
        <w:tc>
          <w:tcPr>
            <w:tcW w:w="97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b/>
                <w:bCs/>
                <w:color w:val="auto"/>
                <w:sz w:val="21"/>
                <w:szCs w:val="21"/>
                <w:highlight w:val="none"/>
              </w:rPr>
            </w:pPr>
          </w:p>
        </w:tc>
        <w:tc>
          <w:tcPr>
            <w:tcW w:w="84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X</w:t>
            </w:r>
          </w:p>
        </w:tc>
        <w:tc>
          <w:tcPr>
            <w:tcW w:w="1019"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Y</w:t>
            </w:r>
          </w:p>
        </w:tc>
        <w:tc>
          <w:tcPr>
            <w:tcW w:w="198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b/>
                <w:bCs/>
                <w:color w:val="auto"/>
                <w:sz w:val="21"/>
                <w:szCs w:val="21"/>
                <w:highlight w:val="none"/>
              </w:rPr>
            </w:pPr>
          </w:p>
        </w:tc>
        <w:tc>
          <w:tcPr>
            <w:tcW w:w="112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b/>
                <w:bCs/>
                <w:color w:val="auto"/>
                <w:sz w:val="21"/>
                <w:szCs w:val="21"/>
                <w:highlight w:val="none"/>
              </w:rPr>
            </w:pPr>
          </w:p>
        </w:tc>
        <w:tc>
          <w:tcPr>
            <w:tcW w:w="1209"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b/>
                <w:bCs/>
                <w:color w:val="auto"/>
                <w:sz w:val="21"/>
                <w:szCs w:val="21"/>
                <w:highlight w:val="none"/>
              </w:rPr>
            </w:pPr>
          </w:p>
        </w:tc>
        <w:tc>
          <w:tcPr>
            <w:tcW w:w="1209"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b/>
                <w:bCs/>
                <w:color w:val="auto"/>
                <w:sz w:val="21"/>
                <w:szCs w:val="21"/>
                <w:highlight w:val="none"/>
              </w:rPr>
            </w:pPr>
          </w:p>
        </w:tc>
        <w:tc>
          <w:tcPr>
            <w:tcW w:w="137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b/>
                <w:bCs/>
                <w:color w:val="auto"/>
                <w:sz w:val="21"/>
                <w:szCs w:val="21"/>
                <w:highlight w:val="none"/>
              </w:rPr>
            </w:pPr>
          </w:p>
        </w:tc>
        <w:tc>
          <w:tcPr>
            <w:tcW w:w="142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b/>
                <w:bCs/>
                <w:color w:val="auto"/>
                <w:sz w:val="21"/>
                <w:szCs w:val="21"/>
                <w:highlight w:val="none"/>
              </w:rPr>
            </w:pPr>
          </w:p>
        </w:tc>
        <w:tc>
          <w:tcPr>
            <w:tcW w:w="123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b/>
                <w:bCs/>
                <w:color w:val="auto"/>
                <w:sz w:val="21"/>
                <w:szCs w:val="21"/>
                <w:highlight w:val="none"/>
              </w:rPr>
            </w:pPr>
          </w:p>
        </w:tc>
        <w:tc>
          <w:tcPr>
            <w:tcW w:w="873"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b/>
                <w:bCs/>
                <w:color w:val="auto"/>
                <w:sz w:val="21"/>
                <w:szCs w:val="21"/>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top"/>
              <w:rPr>
                <w:rFonts w:hint="default" w:ascii="Times New Roman" w:hAnsi="Times New Roman" w:eastAsia="宋体" w:cs="Times New Roman"/>
                <w:color w:val="auto"/>
                <w:sz w:val="21"/>
                <w:szCs w:val="21"/>
                <w:highlight w:val="none"/>
                <w:vertAlign w:val="subscript"/>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PM</w:t>
            </w:r>
            <w:r>
              <w:rPr>
                <w:rFonts w:hint="default" w:ascii="Times New Roman" w:hAnsi="Times New Roman" w:eastAsia="宋体" w:cs="Times New Roman"/>
                <w:i w:val="0"/>
                <w:color w:val="auto"/>
                <w:kern w:val="0"/>
                <w:sz w:val="21"/>
                <w:szCs w:val="21"/>
                <w:highlight w:val="none"/>
                <w:u w:val="none"/>
                <w:vertAlign w:val="subscript"/>
                <w:lang w:val="en-US" w:eastAsia="zh-CN" w:bidi="ar"/>
              </w:rPr>
              <w:t>10</w:t>
            </w:r>
          </w:p>
        </w:tc>
        <w:tc>
          <w:tcPr>
            <w:tcW w:w="974" w:type="dxa"/>
            <w:vMerge w:val="restar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十八户村四组</w:t>
            </w:r>
          </w:p>
        </w:tc>
        <w:tc>
          <w:tcPr>
            <w:tcW w:w="846" w:type="dxa"/>
            <w:vMerge w:val="restar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-2639</w:t>
            </w:r>
          </w:p>
        </w:tc>
        <w:tc>
          <w:tcPr>
            <w:tcW w:w="1019" w:type="dxa"/>
            <w:vMerge w:val="restar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-1063</w:t>
            </w:r>
          </w:p>
        </w:tc>
        <w:tc>
          <w:tcPr>
            <w:tcW w:w="19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保证率日均浓度</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2.81E-05</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210712</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1.77E-01</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1.77E-01</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1.50E-01</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117.91</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超标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lang w:val="en-US" w:eastAsia="zh-CN"/>
              </w:rPr>
            </w:pPr>
          </w:p>
        </w:tc>
        <w:tc>
          <w:tcPr>
            <w:tcW w:w="846"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lang w:val="en-US" w:eastAsia="zh-CN"/>
              </w:rPr>
            </w:pPr>
          </w:p>
        </w:tc>
        <w:tc>
          <w:tcPr>
            <w:tcW w:w="1019"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lang w:val="en-US" w:eastAsia="zh-CN"/>
              </w:rPr>
            </w:pPr>
          </w:p>
        </w:tc>
        <w:tc>
          <w:tcPr>
            <w:tcW w:w="19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全时段</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1.81E-06</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8.84E-02</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8.84E-02</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7.00E-02</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126.32</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超标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vMerge w:val="restar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祁家湖村</w:t>
            </w:r>
          </w:p>
        </w:tc>
        <w:tc>
          <w:tcPr>
            <w:tcW w:w="846" w:type="dxa"/>
            <w:vMerge w:val="restar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-4423</w:t>
            </w:r>
          </w:p>
        </w:tc>
        <w:tc>
          <w:tcPr>
            <w:tcW w:w="1019" w:type="dxa"/>
            <w:vMerge w:val="restar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-1779</w:t>
            </w:r>
          </w:p>
        </w:tc>
        <w:tc>
          <w:tcPr>
            <w:tcW w:w="19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保证率日均浓度</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1.98E-05</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210712</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1.77E-01</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1.77E-01</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1.50E-01</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117.91</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超标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lang w:val="en-US" w:eastAsia="zh-CN"/>
              </w:rPr>
            </w:pPr>
          </w:p>
        </w:tc>
        <w:tc>
          <w:tcPr>
            <w:tcW w:w="846"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lang w:val="en-US" w:eastAsia="zh-CN"/>
              </w:rPr>
            </w:pPr>
          </w:p>
        </w:tc>
        <w:tc>
          <w:tcPr>
            <w:tcW w:w="1019"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lang w:val="en-US" w:eastAsia="zh-CN"/>
              </w:rPr>
            </w:pPr>
          </w:p>
        </w:tc>
        <w:tc>
          <w:tcPr>
            <w:tcW w:w="19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全时段</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1.46E-06</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8.84E-02</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8.84E-02</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7.00E-02</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126.32</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超标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vMerge w:val="restar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永丰四队</w:t>
            </w:r>
          </w:p>
        </w:tc>
        <w:tc>
          <w:tcPr>
            <w:tcW w:w="846" w:type="dxa"/>
            <w:vMerge w:val="restar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-3363</w:t>
            </w:r>
          </w:p>
        </w:tc>
        <w:tc>
          <w:tcPr>
            <w:tcW w:w="1019" w:type="dxa"/>
            <w:vMerge w:val="restar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-3690</w:t>
            </w:r>
          </w:p>
        </w:tc>
        <w:tc>
          <w:tcPr>
            <w:tcW w:w="19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保证率日均浓度</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1.51E-05</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211201</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1.77E-01</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1.77E-01</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1.50E-01</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117.9</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超标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93"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lang w:val="en-US" w:eastAsia="zh-CN"/>
              </w:rPr>
            </w:pPr>
          </w:p>
        </w:tc>
        <w:tc>
          <w:tcPr>
            <w:tcW w:w="846"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lang w:val="en-US" w:eastAsia="zh-CN"/>
              </w:rPr>
            </w:pPr>
          </w:p>
        </w:tc>
        <w:tc>
          <w:tcPr>
            <w:tcW w:w="1019"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lang w:val="en-US" w:eastAsia="zh-CN"/>
              </w:rPr>
            </w:pPr>
          </w:p>
        </w:tc>
        <w:tc>
          <w:tcPr>
            <w:tcW w:w="19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全时段</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1.00E-06</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8.84E-02</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8.84E-02</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7.00E-02</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126.32</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超标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top"/>
              <w:rPr>
                <w:rFonts w:hint="default" w:ascii="Times New Roman" w:hAnsi="Times New Roman" w:eastAsia="宋体" w:cs="Times New Roman"/>
                <w:color w:val="auto"/>
                <w:sz w:val="21"/>
                <w:szCs w:val="21"/>
                <w:highlight w:val="none"/>
              </w:rPr>
            </w:pPr>
          </w:p>
        </w:tc>
        <w:tc>
          <w:tcPr>
            <w:tcW w:w="974" w:type="dxa"/>
            <w:vMerge w:val="restar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rPr>
            </w:pPr>
            <w:r>
              <w:rPr>
                <w:rFonts w:hint="eastAsia"/>
                <w:color w:val="auto"/>
              </w:rPr>
              <w:t>十八户村</w:t>
            </w:r>
          </w:p>
        </w:tc>
        <w:tc>
          <w:tcPr>
            <w:tcW w:w="846" w:type="dxa"/>
            <w:vMerge w:val="restar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-3224</w:t>
            </w:r>
          </w:p>
        </w:tc>
        <w:tc>
          <w:tcPr>
            <w:tcW w:w="1019" w:type="dxa"/>
            <w:vMerge w:val="restar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-4231</w:t>
            </w:r>
          </w:p>
        </w:tc>
        <w:tc>
          <w:tcPr>
            <w:tcW w:w="19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保证率日均浓度</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1.48E-05</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210803</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1.77E-01</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1.77E-01</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1.50E-01</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117.9</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超标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lang w:val="en-US" w:eastAsia="zh-CN"/>
              </w:rPr>
            </w:pPr>
          </w:p>
        </w:tc>
        <w:tc>
          <w:tcPr>
            <w:tcW w:w="846"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lang w:val="en-US" w:eastAsia="zh-CN"/>
              </w:rPr>
            </w:pPr>
          </w:p>
        </w:tc>
        <w:tc>
          <w:tcPr>
            <w:tcW w:w="1019"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lang w:val="en-US" w:eastAsia="zh-CN"/>
              </w:rPr>
            </w:pPr>
          </w:p>
        </w:tc>
        <w:tc>
          <w:tcPr>
            <w:tcW w:w="19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全时段</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8.70E-07</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8.84E-02</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8.84E-02</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7.00E-02</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126.32</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超标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lang w:val="en-US" w:eastAsia="zh-CN"/>
              </w:rPr>
            </w:pPr>
          </w:p>
        </w:tc>
        <w:tc>
          <w:tcPr>
            <w:tcW w:w="846"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lang w:val="en-US" w:eastAsia="zh-CN"/>
              </w:rPr>
            </w:pPr>
          </w:p>
        </w:tc>
        <w:tc>
          <w:tcPr>
            <w:tcW w:w="1019"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lang w:val="en-US" w:eastAsia="zh-CN"/>
              </w:rPr>
            </w:pPr>
          </w:p>
        </w:tc>
        <w:tc>
          <w:tcPr>
            <w:tcW w:w="19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全时段</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1.69E-04</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210710</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1.77E-01</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1.77E-01</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1.50E-01</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118.01</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超标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网格点</w:t>
            </w:r>
          </w:p>
        </w:tc>
        <w:tc>
          <w:tcPr>
            <w:tcW w:w="846" w:type="dxa"/>
            <w:tcBorders>
              <w:tl2br w:val="nil"/>
              <w:tr2bl w:val="nil"/>
            </w:tcBorders>
            <w:noWrap w:val="0"/>
            <w:vAlign w:val="center"/>
          </w:tcPr>
          <w:p>
            <w:pPr>
              <w:jc w:val="center"/>
              <w:rPr>
                <w:rFonts w:hint="default" w:ascii="Times New Roman" w:hAnsi="Times New Roman" w:eastAsia="宋体" w:cs="Times New Roman"/>
                <w:color w:val="auto"/>
                <w:lang w:val="en-US" w:eastAsia="zh-CN"/>
              </w:rPr>
            </w:pPr>
            <w:r>
              <w:rPr>
                <w:rFonts w:hint="eastAsia" w:cs="Times New Roman"/>
                <w:color w:val="auto"/>
                <w:lang w:val="en-US" w:eastAsia="zh-CN"/>
              </w:rPr>
              <w:t>-489</w:t>
            </w:r>
          </w:p>
        </w:tc>
        <w:tc>
          <w:tcPr>
            <w:tcW w:w="1019" w:type="dxa"/>
            <w:tcBorders>
              <w:tl2br w:val="nil"/>
              <w:tr2bl w:val="nil"/>
            </w:tcBorders>
            <w:noWrap w:val="0"/>
            <w:vAlign w:val="center"/>
          </w:tcPr>
          <w:p>
            <w:pPr>
              <w:jc w:val="center"/>
              <w:rPr>
                <w:rFonts w:hint="default" w:ascii="Times New Roman" w:hAnsi="Times New Roman" w:eastAsia="宋体" w:cs="Times New Roman"/>
                <w:color w:val="auto"/>
                <w:lang w:val="en-US" w:eastAsia="zh-CN"/>
              </w:rPr>
            </w:pPr>
            <w:r>
              <w:rPr>
                <w:rFonts w:hint="eastAsia" w:cs="Times New Roman"/>
                <w:color w:val="auto"/>
                <w:lang w:val="en-US" w:eastAsia="zh-CN"/>
              </w:rPr>
              <w:t>-146</w:t>
            </w:r>
          </w:p>
        </w:tc>
        <w:tc>
          <w:tcPr>
            <w:tcW w:w="19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保证率日均浓度</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1.67E-05</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平均值</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8.84E-02</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8.84E-02</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7.00E-02</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126.34</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超标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bottom w:val="single" w:color="auto" w:sz="4" w:space="0"/>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rPr>
            </w:pPr>
          </w:p>
        </w:tc>
        <w:tc>
          <w:tcPr>
            <w:tcW w:w="846" w:type="dxa"/>
            <w:tcBorders>
              <w:tl2br w:val="nil"/>
              <w:tr2bl w:val="nil"/>
            </w:tcBorders>
            <w:noWrap w:val="0"/>
            <w:vAlign w:val="center"/>
          </w:tcPr>
          <w:p>
            <w:pPr>
              <w:jc w:val="center"/>
              <w:rPr>
                <w:rFonts w:hint="default" w:ascii="Times New Roman" w:hAnsi="Times New Roman" w:eastAsia="宋体" w:cs="Times New Roman"/>
                <w:color w:val="auto"/>
                <w:lang w:val="en-US" w:eastAsia="zh-CN"/>
              </w:rPr>
            </w:pPr>
            <w:r>
              <w:rPr>
                <w:rFonts w:hint="eastAsia" w:cs="Times New Roman"/>
                <w:color w:val="auto"/>
                <w:lang w:val="en-US" w:eastAsia="zh-CN"/>
              </w:rPr>
              <w:t>85</w:t>
            </w:r>
          </w:p>
        </w:tc>
        <w:tc>
          <w:tcPr>
            <w:tcW w:w="1019" w:type="dxa"/>
            <w:tcBorders>
              <w:tl2br w:val="nil"/>
              <w:tr2bl w:val="nil"/>
            </w:tcBorders>
            <w:noWrap w:val="0"/>
            <w:vAlign w:val="center"/>
          </w:tcPr>
          <w:p>
            <w:pPr>
              <w:jc w:val="center"/>
              <w:rPr>
                <w:rFonts w:hint="default" w:ascii="Times New Roman" w:hAnsi="Times New Roman" w:eastAsia="宋体" w:cs="Times New Roman"/>
                <w:color w:val="auto"/>
                <w:lang w:val="en-US" w:eastAsia="zh-CN"/>
              </w:rPr>
            </w:pPr>
            <w:r>
              <w:rPr>
                <w:rFonts w:hint="eastAsia" w:cs="Times New Roman"/>
                <w:color w:val="auto"/>
                <w:lang w:val="en-US" w:eastAsia="zh-CN"/>
              </w:rPr>
              <w:t>57</w:t>
            </w:r>
          </w:p>
        </w:tc>
        <w:tc>
          <w:tcPr>
            <w:tcW w:w="19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全时段</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1.52E-03</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211217</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1.41E-04</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1.66E-03</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3.00E-01</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0.55</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restart"/>
            <w:tcBorders>
              <w:top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top"/>
              <w:rPr>
                <w:rFonts w:hint="default" w:ascii="Times New Roman" w:hAnsi="Times New Roman" w:eastAsia="宋体" w:cs="Times New Roman"/>
                <w:color w:val="auto"/>
                <w:sz w:val="21"/>
                <w:szCs w:val="21"/>
                <w:highlight w:val="none"/>
                <w:lang w:val="en-US" w:eastAsia="zh-CN"/>
              </w:rPr>
            </w:pPr>
            <w:r>
              <w:rPr>
                <w:rFonts w:hint="eastAsia" w:cs="Times New Roman"/>
                <w:i w:val="0"/>
                <w:color w:val="auto"/>
                <w:kern w:val="0"/>
                <w:sz w:val="21"/>
                <w:szCs w:val="21"/>
                <w:highlight w:val="none"/>
                <w:u w:val="none"/>
                <w:lang w:val="en-US" w:eastAsia="zh-CN" w:bidi="ar"/>
              </w:rPr>
              <w:t>TSP</w:t>
            </w:r>
          </w:p>
        </w:tc>
        <w:tc>
          <w:tcPr>
            <w:tcW w:w="974" w:type="dxa"/>
            <w:vMerge w:val="restar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rPr>
            </w:pPr>
            <w:r>
              <w:rPr>
                <w:rFonts w:hint="eastAsia"/>
                <w:color w:val="auto"/>
              </w:rPr>
              <w:t>十八户村四组</w:t>
            </w:r>
          </w:p>
        </w:tc>
        <w:tc>
          <w:tcPr>
            <w:tcW w:w="846" w:type="dxa"/>
            <w:vMerge w:val="restar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-2639</w:t>
            </w:r>
          </w:p>
        </w:tc>
        <w:tc>
          <w:tcPr>
            <w:tcW w:w="1019" w:type="dxa"/>
            <w:vMerge w:val="restar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-1063</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保证率日均浓度</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1.02E-04</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1.22E-04</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2.23E-04</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2.00E-01</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0.11</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rPr>
            </w:pPr>
          </w:p>
        </w:tc>
        <w:tc>
          <w:tcPr>
            <w:tcW w:w="846" w:type="dxa"/>
            <w:vMerge w:val="continue"/>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p>
        </w:tc>
        <w:tc>
          <w:tcPr>
            <w:tcW w:w="1019" w:type="dxa"/>
            <w:vMerge w:val="continue"/>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全时段</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7.86E-04</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211217</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1.41E-04</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9.27E-04</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3.00E-01</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0.31</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vMerge w:val="restar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eastAsia="zh-CN"/>
              </w:rPr>
            </w:pPr>
            <w:r>
              <w:rPr>
                <w:rFonts w:hint="eastAsia"/>
                <w:color w:val="auto"/>
              </w:rPr>
              <w:t>祁家湖村</w:t>
            </w:r>
          </w:p>
        </w:tc>
        <w:tc>
          <w:tcPr>
            <w:tcW w:w="846" w:type="dxa"/>
            <w:vMerge w:val="restar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-4423</w:t>
            </w:r>
          </w:p>
        </w:tc>
        <w:tc>
          <w:tcPr>
            <w:tcW w:w="1019" w:type="dxa"/>
            <w:vMerge w:val="restar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-1779</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保证率日均浓度</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4.94E-05</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1.22E-04</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1.71E-04</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2.00E-01</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0.09</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rPr>
            </w:pPr>
          </w:p>
        </w:tc>
        <w:tc>
          <w:tcPr>
            <w:tcW w:w="846" w:type="dxa"/>
            <w:vMerge w:val="continue"/>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p>
        </w:tc>
        <w:tc>
          <w:tcPr>
            <w:tcW w:w="1019" w:type="dxa"/>
            <w:vMerge w:val="continue"/>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全时段</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6.00E-04</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211201</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1.41E-04</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7.41E-04</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3.00E-01</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0.25</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vMerge w:val="restar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rPr>
            </w:pPr>
            <w:r>
              <w:rPr>
                <w:rFonts w:hint="eastAsia"/>
                <w:color w:val="auto"/>
              </w:rPr>
              <w:t>永丰四队</w:t>
            </w:r>
          </w:p>
        </w:tc>
        <w:tc>
          <w:tcPr>
            <w:tcW w:w="846" w:type="dxa"/>
            <w:vMerge w:val="restar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-3363</w:t>
            </w:r>
          </w:p>
        </w:tc>
        <w:tc>
          <w:tcPr>
            <w:tcW w:w="1019" w:type="dxa"/>
            <w:vMerge w:val="restar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-3690</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保证率日均浓度</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2.94E-05</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1.22E-04</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1.51E-04</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2.00E-01</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0.08</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rPr>
            </w:pPr>
          </w:p>
        </w:tc>
        <w:tc>
          <w:tcPr>
            <w:tcW w:w="846" w:type="dxa"/>
            <w:vMerge w:val="continue"/>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p>
        </w:tc>
        <w:tc>
          <w:tcPr>
            <w:tcW w:w="1019" w:type="dxa"/>
            <w:vMerge w:val="continue"/>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全时段</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4.19E-04</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210210</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1.41E-04</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5.60E-04</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3.00E-01</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0.19</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top"/>
              <w:rPr>
                <w:rFonts w:hint="default" w:ascii="Times New Roman" w:hAnsi="Times New Roman" w:eastAsia="宋体" w:cs="Times New Roman"/>
                <w:color w:val="auto"/>
                <w:sz w:val="21"/>
                <w:szCs w:val="21"/>
                <w:highlight w:val="none"/>
              </w:rPr>
            </w:pPr>
          </w:p>
        </w:tc>
        <w:tc>
          <w:tcPr>
            <w:tcW w:w="974" w:type="dxa"/>
            <w:vMerge w:val="restar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rPr>
            </w:pPr>
            <w:r>
              <w:rPr>
                <w:rFonts w:hint="eastAsia"/>
                <w:color w:val="auto"/>
              </w:rPr>
              <w:t>十八户村</w:t>
            </w:r>
          </w:p>
        </w:tc>
        <w:tc>
          <w:tcPr>
            <w:tcW w:w="846" w:type="dxa"/>
            <w:vMerge w:val="restar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-3224</w:t>
            </w:r>
          </w:p>
        </w:tc>
        <w:tc>
          <w:tcPr>
            <w:tcW w:w="1019" w:type="dxa"/>
            <w:vMerge w:val="restar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-4231</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保证率日均浓度</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2.58E-05</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1.22E-04</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1.47E-04</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2.00E-01</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0.07</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rPr>
            </w:pPr>
          </w:p>
        </w:tc>
        <w:tc>
          <w:tcPr>
            <w:tcW w:w="846" w:type="dxa"/>
            <w:vMerge w:val="continue"/>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p>
        </w:tc>
        <w:tc>
          <w:tcPr>
            <w:tcW w:w="1019" w:type="dxa"/>
            <w:vMerge w:val="continue"/>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全时段</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6.42E-03</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211217</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1.41E-04</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6.57E-03</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3.00E-01</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2.19</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网格点</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-489</w:t>
            </w:r>
          </w:p>
        </w:tc>
        <w:tc>
          <w:tcPr>
            <w:tcW w:w="101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-146</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保证率日均浓度</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9.74E-04</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平均值</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1.22E-04</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1.10E-03</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2.00E-01</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0.55</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bottom w:val="single" w:color="auto" w:sz="4" w:space="0"/>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center"/>
              <w:rPr>
                <w:rFonts w:hint="default" w:ascii="Times New Roman" w:hAnsi="Times New Roman" w:eastAsia="宋体" w:cs="Times New Roman"/>
                <w:color w:val="auto"/>
                <w:sz w:val="21"/>
                <w:szCs w:val="21"/>
                <w:highlight w:val="none"/>
              </w:rPr>
            </w:pP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85</w:t>
            </w:r>
          </w:p>
        </w:tc>
        <w:tc>
          <w:tcPr>
            <w:tcW w:w="101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57</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全时段</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8.46E-04</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21071205</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8.00E-05</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9.26E-04</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2.00E-01</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0.46</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72" w:hRule="atLeast"/>
          <w:jc w:val="center"/>
        </w:trPr>
        <w:tc>
          <w:tcPr>
            <w:tcW w:w="898" w:type="dxa"/>
            <w:vMerge w:val="restart"/>
            <w:tcBorders>
              <w:top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top"/>
              <w:rPr>
                <w:rFonts w:hint="default" w:ascii="Times New Roman" w:hAnsi="Times New Roman" w:eastAsia="宋体" w:cs="Times New Roman"/>
                <w:color w:val="auto"/>
                <w:sz w:val="21"/>
                <w:szCs w:val="21"/>
                <w:highlight w:val="none"/>
              </w:rPr>
            </w:pPr>
            <w:r>
              <w:rPr>
                <w:rFonts w:hint="eastAsia" w:cs="Times New Roman"/>
                <w:i w:val="0"/>
                <w:color w:val="auto"/>
                <w:kern w:val="0"/>
                <w:sz w:val="21"/>
                <w:szCs w:val="21"/>
                <w:highlight w:val="none"/>
                <w:u w:val="none"/>
                <w:lang w:val="en-US" w:eastAsia="zh-CN" w:bidi="ar"/>
              </w:rPr>
              <w:t>氨</w:t>
            </w:r>
          </w:p>
        </w:tc>
        <w:tc>
          <w:tcPr>
            <w:tcW w:w="974"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rPr>
            </w:pPr>
            <w:r>
              <w:rPr>
                <w:rFonts w:hint="eastAsia"/>
                <w:color w:val="auto"/>
              </w:rPr>
              <w:t>十八户村四组</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-2639</w:t>
            </w:r>
          </w:p>
        </w:tc>
        <w:tc>
          <w:tcPr>
            <w:tcW w:w="101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-1063</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Style w:val="55"/>
                <w:rFonts w:eastAsia="宋体"/>
                <w:color w:val="auto"/>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4.83E-04</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21071205</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8.00E-05</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5.63E-04</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2.00E-01</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0.28</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2"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rPr>
            </w:pPr>
            <w:r>
              <w:rPr>
                <w:rFonts w:hint="eastAsia"/>
                <w:color w:val="auto"/>
              </w:rPr>
              <w:t>祁家湖村</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-4423</w:t>
            </w:r>
          </w:p>
        </w:tc>
        <w:tc>
          <w:tcPr>
            <w:tcW w:w="101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-1779</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Style w:val="55"/>
                <w:rFonts w:eastAsia="宋体"/>
                <w:color w:val="auto"/>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4.09E-04</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21050523</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8.00E-05</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4.89E-04</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2.00E-01</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0.24</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永丰四队</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-3363</w:t>
            </w:r>
          </w:p>
        </w:tc>
        <w:tc>
          <w:tcPr>
            <w:tcW w:w="101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-3690</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Style w:val="55"/>
                <w:rFonts w:eastAsia="宋体"/>
                <w:color w:val="auto"/>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4.56E-04</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21080323</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8.00E-05</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5.36E-04</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2.00E-01</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0.27</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十八户村</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-3224</w:t>
            </w:r>
          </w:p>
        </w:tc>
        <w:tc>
          <w:tcPr>
            <w:tcW w:w="101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-4231</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Style w:val="55"/>
                <w:rFonts w:eastAsia="宋体"/>
                <w:color w:val="auto"/>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7.99E-03</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21071320</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8.00E-05</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8.07E-03</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2.00E-01</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4.03</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网格点</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85</w:t>
            </w:r>
          </w:p>
        </w:tc>
        <w:tc>
          <w:tcPr>
            <w:tcW w:w="101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-146</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Style w:val="55"/>
                <w:rFonts w:eastAsia="宋体"/>
                <w:color w:val="auto"/>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3.82E-04</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21080505</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3.82E-04</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1.00E-02</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3.82</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72" w:hRule="atLeast"/>
          <w:jc w:val="center"/>
        </w:trPr>
        <w:tc>
          <w:tcPr>
            <w:tcW w:w="898" w:type="dxa"/>
            <w:vMerge w:val="restart"/>
            <w:tcBorders>
              <w:top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top"/>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i w:val="0"/>
                <w:color w:val="auto"/>
                <w:kern w:val="0"/>
                <w:sz w:val="21"/>
                <w:szCs w:val="21"/>
                <w:highlight w:val="none"/>
                <w:u w:val="none"/>
                <w:lang w:val="en-US" w:eastAsia="zh-CN" w:bidi="ar"/>
              </w:rPr>
              <w:t>硫化氢</w:t>
            </w:r>
          </w:p>
        </w:tc>
        <w:tc>
          <w:tcPr>
            <w:tcW w:w="974"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rPr>
            </w:pPr>
            <w:r>
              <w:rPr>
                <w:rFonts w:hint="eastAsia"/>
                <w:color w:val="auto"/>
              </w:rPr>
              <w:t>十八户村四组</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-2639</w:t>
            </w:r>
          </w:p>
        </w:tc>
        <w:tc>
          <w:tcPr>
            <w:tcW w:w="101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-1063</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Style w:val="55"/>
                <w:rFonts w:eastAsia="宋体"/>
                <w:color w:val="auto"/>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2.10E-04</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21071205</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2.10E-04</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1.00E-02</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2.1</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2"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rPr>
            </w:pPr>
            <w:r>
              <w:rPr>
                <w:rFonts w:hint="eastAsia"/>
                <w:color w:val="auto"/>
              </w:rPr>
              <w:t>祁家湖村</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-4423</w:t>
            </w:r>
          </w:p>
        </w:tc>
        <w:tc>
          <w:tcPr>
            <w:tcW w:w="101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-1779</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Style w:val="55"/>
                <w:rFonts w:eastAsia="宋体"/>
                <w:color w:val="auto"/>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1.74E-04</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21051023</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1.74E-04</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1.00E-02</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1.74</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永丰四队</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-3363</w:t>
            </w:r>
          </w:p>
        </w:tc>
        <w:tc>
          <w:tcPr>
            <w:tcW w:w="101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-3690</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Style w:val="55"/>
                <w:rFonts w:eastAsia="宋体"/>
                <w:color w:val="auto"/>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2.28E-04</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21080323</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2.28E-04</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1.00E-02</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2.28</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十八户村</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-3224</w:t>
            </w:r>
          </w:p>
        </w:tc>
        <w:tc>
          <w:tcPr>
            <w:tcW w:w="101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-4231</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Style w:val="55"/>
                <w:rFonts w:eastAsia="宋体"/>
                <w:color w:val="auto"/>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2.19E-03</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21071320</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0.00E+00</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2.19E-03</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1.00E-02</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21.92</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网格点</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85</w:t>
            </w:r>
          </w:p>
        </w:tc>
        <w:tc>
          <w:tcPr>
            <w:tcW w:w="101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-146</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Style w:val="55"/>
                <w:rFonts w:eastAsia="宋体"/>
                <w:color w:val="auto"/>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5.11E-03</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21071205</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1.42E-03</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6.53E-03</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2.00E+00</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0.33</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72" w:hRule="atLeast"/>
          <w:jc w:val="center"/>
        </w:trPr>
        <w:tc>
          <w:tcPr>
            <w:tcW w:w="898" w:type="dxa"/>
            <w:vMerge w:val="restart"/>
            <w:tcBorders>
              <w:top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top"/>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NMHC</w:t>
            </w:r>
          </w:p>
        </w:tc>
        <w:tc>
          <w:tcPr>
            <w:tcW w:w="974"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rPr>
            </w:pPr>
            <w:r>
              <w:rPr>
                <w:rFonts w:hint="eastAsia"/>
                <w:color w:val="auto"/>
              </w:rPr>
              <w:t>十八户村四组</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-2639</w:t>
            </w:r>
          </w:p>
        </w:tc>
        <w:tc>
          <w:tcPr>
            <w:tcW w:w="101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-1063</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Style w:val="55"/>
                <w:rFonts w:eastAsia="宋体"/>
                <w:color w:val="auto"/>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2.90E-03</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21071205</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1.42E-03</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4.32E-03</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2.00E+00</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0.22</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2"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rPr>
            </w:pPr>
            <w:r>
              <w:rPr>
                <w:rFonts w:hint="eastAsia"/>
                <w:color w:val="auto"/>
              </w:rPr>
              <w:t>祁家湖村</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-4423</w:t>
            </w:r>
          </w:p>
        </w:tc>
        <w:tc>
          <w:tcPr>
            <w:tcW w:w="101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-1779</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Style w:val="55"/>
                <w:rFonts w:eastAsia="宋体"/>
                <w:color w:val="auto"/>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2.36E-03</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21050523</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1.42E-03</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3.78E-03</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2.00E+00</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0.19</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永丰四队</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-3363</w:t>
            </w:r>
          </w:p>
        </w:tc>
        <w:tc>
          <w:tcPr>
            <w:tcW w:w="101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-3690</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Style w:val="55"/>
                <w:rFonts w:eastAsia="宋体"/>
                <w:color w:val="auto"/>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2.72E-03</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21080323</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1.42E-03</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4.14E-03</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2.00E+00</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0.21</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十八户村</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-3224</w:t>
            </w:r>
          </w:p>
        </w:tc>
        <w:tc>
          <w:tcPr>
            <w:tcW w:w="101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-4231</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Style w:val="55"/>
                <w:rFonts w:eastAsia="宋体"/>
                <w:color w:val="auto"/>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4.09E-02</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21071320</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1.42E-03</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4.24E-02</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2.00E+00</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2.12</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网格点</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85</w:t>
            </w:r>
          </w:p>
        </w:tc>
        <w:tc>
          <w:tcPr>
            <w:tcW w:w="101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-146</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Style w:val="55"/>
                <w:rFonts w:eastAsia="宋体"/>
                <w:color w:val="auto"/>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2.09E-05</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21110520</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2.00E-04</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2.21E-04</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3.00E+00</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0.01</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restart"/>
            <w:tcBorders>
              <w:top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top"/>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i w:val="0"/>
                <w:color w:val="auto"/>
                <w:kern w:val="0"/>
                <w:sz w:val="21"/>
                <w:szCs w:val="21"/>
                <w:highlight w:val="none"/>
                <w:u w:val="none"/>
                <w:lang w:val="en-US" w:eastAsia="zh-CN" w:bidi="ar"/>
              </w:rPr>
              <w:t>甲醇</w:t>
            </w:r>
          </w:p>
        </w:tc>
        <w:tc>
          <w:tcPr>
            <w:tcW w:w="974" w:type="dxa"/>
            <w:vMerge w:val="restar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rPr>
            </w:pPr>
            <w:r>
              <w:rPr>
                <w:rFonts w:hint="eastAsia"/>
                <w:color w:val="auto"/>
              </w:rPr>
              <w:t>十八户村四组</w:t>
            </w:r>
          </w:p>
        </w:tc>
        <w:tc>
          <w:tcPr>
            <w:tcW w:w="846" w:type="dxa"/>
            <w:vMerge w:val="restar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-2639</w:t>
            </w:r>
          </w:p>
        </w:tc>
        <w:tc>
          <w:tcPr>
            <w:tcW w:w="1019" w:type="dxa"/>
            <w:vMerge w:val="restar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-1063</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Style w:val="55"/>
                <w:rFonts w:eastAsia="宋体"/>
                <w:color w:val="auto"/>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8.14E-06</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211217</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2.00E-04</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2.08E-04</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1.00E+00</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top"/>
              <w:rPr>
                <w:rFonts w:hint="default" w:ascii="Times New Roman" w:hAnsi="Times New Roman" w:eastAsia="宋体" w:cs="Times New Roman"/>
                <w:i w:val="0"/>
                <w:color w:val="auto"/>
                <w:kern w:val="0"/>
                <w:sz w:val="21"/>
                <w:szCs w:val="21"/>
                <w:highlight w:val="none"/>
                <w:u w:val="none"/>
                <w:lang w:val="en-US" w:eastAsia="zh-CN" w:bidi="ar"/>
              </w:rPr>
            </w:pPr>
          </w:p>
        </w:tc>
        <w:tc>
          <w:tcPr>
            <w:tcW w:w="97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lang w:val="en-US" w:eastAsia="zh-CN"/>
              </w:rPr>
            </w:pPr>
          </w:p>
        </w:tc>
        <w:tc>
          <w:tcPr>
            <w:tcW w:w="846" w:type="dxa"/>
            <w:vMerge w:val="continue"/>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rPr>
            </w:pPr>
          </w:p>
        </w:tc>
        <w:tc>
          <w:tcPr>
            <w:tcW w:w="1019" w:type="dxa"/>
            <w:vMerge w:val="continue"/>
            <w:tcBorders>
              <w:tl2br w:val="nil"/>
              <w:tr2bl w:val="nil"/>
            </w:tcBorders>
            <w:noWrap w:val="0"/>
            <w:vAlign w:val="center"/>
          </w:tcPr>
          <w:p>
            <w:pPr>
              <w:jc w:val="center"/>
              <w:rPr>
                <w:rFonts w:hint="default" w:ascii="Times New Roman" w:hAnsi="Times New Roman" w:eastAsia="宋体" w:cs="Times New Roman"/>
                <w:color w:val="auto"/>
                <w:highlight w:val="none"/>
                <w:lang w:val="en-US" w:eastAsia="zh-CN"/>
              </w:rPr>
            </w:pP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eastAsia" w:ascii="宋体" w:hAnsi="宋体" w:eastAsia="宋体" w:cs="宋体"/>
                <w:i w:val="0"/>
                <w:iCs w:val="0"/>
                <w:color w:val="auto"/>
                <w:kern w:val="0"/>
                <w:sz w:val="21"/>
                <w:szCs w:val="21"/>
                <w:u w:val="none"/>
                <w:lang w:val="en-US" w:eastAsia="zh-CN" w:bidi="ar"/>
              </w:rPr>
              <w:t>日平均</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1.09E-05</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21110520</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2.00E-04</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2.11E-04</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3.00E+00</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0.01</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vMerge w:val="restar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eastAsia="zh-CN"/>
              </w:rPr>
            </w:pPr>
            <w:r>
              <w:rPr>
                <w:rFonts w:hint="eastAsia"/>
                <w:color w:val="auto"/>
              </w:rPr>
              <w:t>祁家湖村</w:t>
            </w:r>
          </w:p>
        </w:tc>
        <w:tc>
          <w:tcPr>
            <w:tcW w:w="846" w:type="dxa"/>
            <w:vMerge w:val="restar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-4423</w:t>
            </w:r>
          </w:p>
        </w:tc>
        <w:tc>
          <w:tcPr>
            <w:tcW w:w="1019" w:type="dxa"/>
            <w:vMerge w:val="restar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-1779</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Style w:val="55"/>
                <w:rFonts w:eastAsia="宋体"/>
                <w:color w:val="auto"/>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4.23E-06</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211217</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2.00E-04</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2.04E-04</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1.00E+00</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lang w:val="en-US" w:eastAsia="zh-CN"/>
              </w:rPr>
            </w:pPr>
          </w:p>
        </w:tc>
        <w:tc>
          <w:tcPr>
            <w:tcW w:w="846" w:type="dxa"/>
            <w:vMerge w:val="continue"/>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rPr>
            </w:pPr>
          </w:p>
        </w:tc>
        <w:tc>
          <w:tcPr>
            <w:tcW w:w="1019" w:type="dxa"/>
            <w:vMerge w:val="continue"/>
            <w:tcBorders>
              <w:tl2br w:val="nil"/>
              <w:tr2bl w:val="nil"/>
            </w:tcBorders>
            <w:noWrap w:val="0"/>
            <w:vAlign w:val="center"/>
          </w:tcPr>
          <w:p>
            <w:pPr>
              <w:jc w:val="center"/>
              <w:rPr>
                <w:rFonts w:hint="default" w:ascii="Times New Roman" w:hAnsi="Times New Roman" w:eastAsia="宋体" w:cs="Times New Roman"/>
                <w:color w:val="auto"/>
                <w:highlight w:val="none"/>
                <w:lang w:val="en-US" w:eastAsia="zh-CN"/>
              </w:rPr>
            </w:pP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eastAsia" w:ascii="宋体" w:hAnsi="宋体" w:eastAsia="宋体" w:cs="宋体"/>
                <w:i w:val="0"/>
                <w:iCs w:val="0"/>
                <w:color w:val="auto"/>
                <w:kern w:val="0"/>
                <w:sz w:val="21"/>
                <w:szCs w:val="21"/>
                <w:u w:val="none"/>
                <w:lang w:val="en-US" w:eastAsia="zh-CN" w:bidi="ar"/>
              </w:rPr>
              <w:t>日平均</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1.03E-05</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21011105</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2.00E-04</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2.10E-04</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3.00E+00</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0.01</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vMerge w:val="restar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rPr>
            </w:pPr>
            <w:r>
              <w:rPr>
                <w:rFonts w:hint="eastAsia"/>
                <w:color w:val="auto"/>
              </w:rPr>
              <w:t>永丰四队</w:t>
            </w:r>
          </w:p>
        </w:tc>
        <w:tc>
          <w:tcPr>
            <w:tcW w:w="846" w:type="dxa"/>
            <w:vMerge w:val="restar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-3363</w:t>
            </w:r>
          </w:p>
        </w:tc>
        <w:tc>
          <w:tcPr>
            <w:tcW w:w="1019" w:type="dxa"/>
            <w:vMerge w:val="restar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-3690</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Style w:val="55"/>
                <w:rFonts w:eastAsia="宋体"/>
                <w:color w:val="auto"/>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3.24E-06</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211201</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2.00E-04</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2.03E-04</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1.00E+00</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lang w:val="en-US" w:eastAsia="zh-CN"/>
              </w:rPr>
            </w:pPr>
          </w:p>
        </w:tc>
        <w:tc>
          <w:tcPr>
            <w:tcW w:w="846" w:type="dxa"/>
            <w:vMerge w:val="continue"/>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p>
        </w:tc>
        <w:tc>
          <w:tcPr>
            <w:tcW w:w="1019" w:type="dxa"/>
            <w:vMerge w:val="continue"/>
            <w:tcBorders>
              <w:tl2br w:val="nil"/>
              <w:tr2bl w:val="nil"/>
            </w:tcBorders>
            <w:noWrap w:val="0"/>
            <w:vAlign w:val="center"/>
          </w:tcPr>
          <w:p>
            <w:pPr>
              <w:jc w:val="center"/>
              <w:rPr>
                <w:rFonts w:hint="default" w:ascii="Times New Roman" w:hAnsi="Times New Roman" w:eastAsia="宋体" w:cs="Times New Roman"/>
                <w:color w:val="auto"/>
                <w:highlight w:val="none"/>
                <w:lang w:val="en-US" w:eastAsia="zh-CN"/>
              </w:rPr>
            </w:pP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eastAsia" w:ascii="宋体" w:hAnsi="宋体" w:eastAsia="宋体" w:cs="宋体"/>
                <w:i w:val="0"/>
                <w:iCs w:val="0"/>
                <w:color w:val="auto"/>
                <w:kern w:val="0"/>
                <w:sz w:val="21"/>
                <w:szCs w:val="21"/>
                <w:u w:val="none"/>
                <w:lang w:val="en-US" w:eastAsia="zh-CN" w:bidi="ar"/>
              </w:rPr>
              <w:t>日平均</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9.45E-06</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21011005</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2.00E-04</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2.09E-04</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3.00E+00</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0.01</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vMerge w:val="restart"/>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十八户村</w:t>
            </w:r>
          </w:p>
        </w:tc>
        <w:tc>
          <w:tcPr>
            <w:tcW w:w="846" w:type="dxa"/>
            <w:vMerge w:val="restar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-3224</w:t>
            </w:r>
          </w:p>
        </w:tc>
        <w:tc>
          <w:tcPr>
            <w:tcW w:w="1019" w:type="dxa"/>
            <w:vMerge w:val="restar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-4231</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Style w:val="55"/>
                <w:rFonts w:eastAsia="宋体"/>
                <w:color w:val="auto"/>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2.27E-06</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210210</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2.00E-04</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2.02E-04</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1.00E+00</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lang w:val="en-US" w:eastAsia="zh-CN"/>
              </w:rPr>
            </w:pPr>
          </w:p>
        </w:tc>
        <w:tc>
          <w:tcPr>
            <w:tcW w:w="846" w:type="dxa"/>
            <w:vMerge w:val="continue"/>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p>
        </w:tc>
        <w:tc>
          <w:tcPr>
            <w:tcW w:w="1019" w:type="dxa"/>
            <w:vMerge w:val="continue"/>
            <w:tcBorders>
              <w:tl2br w:val="nil"/>
              <w:tr2bl w:val="nil"/>
            </w:tcBorders>
            <w:noWrap w:val="0"/>
            <w:vAlign w:val="center"/>
          </w:tcPr>
          <w:p>
            <w:pPr>
              <w:jc w:val="center"/>
              <w:rPr>
                <w:rFonts w:hint="default" w:ascii="Times New Roman" w:hAnsi="Times New Roman" w:eastAsia="宋体" w:cs="Times New Roman"/>
                <w:color w:val="auto"/>
                <w:highlight w:val="none"/>
                <w:lang w:val="en-US" w:eastAsia="zh-CN"/>
              </w:rPr>
            </w:pP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eastAsia" w:ascii="宋体" w:hAnsi="宋体" w:eastAsia="宋体" w:cs="宋体"/>
                <w:i w:val="0"/>
                <w:iCs w:val="0"/>
                <w:color w:val="auto"/>
                <w:kern w:val="0"/>
                <w:sz w:val="21"/>
                <w:szCs w:val="21"/>
                <w:u w:val="none"/>
                <w:lang w:val="en-US" w:eastAsia="zh-CN" w:bidi="ar"/>
              </w:rPr>
              <w:t>日平均</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2.00E-04</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21071320</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2.00E-04</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4.00E-04</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3.00E+00</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0.01</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网格点</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85</w:t>
            </w:r>
          </w:p>
        </w:tc>
        <w:tc>
          <w:tcPr>
            <w:tcW w:w="101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-146</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Style w:val="55"/>
                <w:rFonts w:eastAsia="宋体"/>
                <w:color w:val="auto"/>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3.72E-05</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211217</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2.00E-04</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2.37E-04</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1.00E+00</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02" w:hRule="atLeast"/>
          <w:jc w:val="center"/>
        </w:trPr>
        <w:tc>
          <w:tcPr>
            <w:tcW w:w="8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rPr>
            </w:pPr>
          </w:p>
        </w:tc>
        <w:tc>
          <w:tcPr>
            <w:tcW w:w="97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lang w:val="en-US" w:eastAsia="zh-CN"/>
              </w:rPr>
            </w:pP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-489</w:t>
            </w:r>
          </w:p>
        </w:tc>
        <w:tc>
          <w:tcPr>
            <w:tcW w:w="101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-146</w:t>
            </w:r>
          </w:p>
        </w:tc>
        <w:tc>
          <w:tcPr>
            <w:tcW w:w="19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eastAsia" w:ascii="宋体" w:hAnsi="宋体" w:eastAsia="宋体" w:cs="宋体"/>
                <w:i w:val="0"/>
                <w:iCs w:val="0"/>
                <w:color w:val="auto"/>
                <w:kern w:val="0"/>
                <w:sz w:val="21"/>
                <w:szCs w:val="21"/>
                <w:u w:val="none"/>
                <w:lang w:val="en-US" w:eastAsia="zh-CN" w:bidi="ar"/>
              </w:rPr>
              <w:t>日平均</w:t>
            </w:r>
          </w:p>
        </w:tc>
        <w:tc>
          <w:tcPr>
            <w:tcW w:w="112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2.81E-05</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210712</w:t>
            </w:r>
          </w:p>
        </w:tc>
        <w:tc>
          <w:tcPr>
            <w:tcW w:w="120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1.77E-01</w:t>
            </w:r>
          </w:p>
        </w:tc>
        <w:tc>
          <w:tcPr>
            <w:tcW w:w="137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1.77E-01</w:t>
            </w:r>
          </w:p>
        </w:tc>
        <w:tc>
          <w:tcPr>
            <w:tcW w:w="14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1.50E-01</w:t>
            </w:r>
          </w:p>
        </w:tc>
        <w:tc>
          <w:tcPr>
            <w:tcW w:w="123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117.91</w:t>
            </w:r>
          </w:p>
        </w:tc>
        <w:tc>
          <w:tcPr>
            <w:tcW w:w="8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超标</w:t>
            </w:r>
          </w:p>
        </w:tc>
      </w:tr>
    </w:tbl>
    <w:p>
      <w:pPr>
        <w:pStyle w:val="26"/>
        <w:keepNext w:val="0"/>
        <w:keepLines w:val="0"/>
        <w:pageBreakBefore w:val="0"/>
        <w:widowControl w:val="0"/>
        <w:kinsoku/>
        <w:wordWrap/>
        <w:overflowPunct/>
        <w:topLinePunct w:val="0"/>
        <w:autoSpaceDE/>
        <w:autoSpaceDN/>
        <w:bidi w:val="0"/>
        <w:spacing w:line="560" w:lineRule="exact"/>
        <w:ind w:left="0" w:leftChars="0" w:firstLine="0" w:firstLineChars="0"/>
        <w:textAlignment w:val="auto"/>
        <w:rPr>
          <w:rFonts w:hint="eastAsia" w:ascii="Times New Roman" w:hAnsi="Times New Roman" w:eastAsia="宋体" w:cs="Times New Roman"/>
          <w:color w:val="auto"/>
          <w:lang w:val="en-US" w:eastAsia="zh-CN"/>
        </w:rPr>
      </w:pPr>
    </w:p>
    <w:p>
      <w:pPr>
        <w:pStyle w:val="26"/>
        <w:keepNext w:val="0"/>
        <w:keepLines w:val="0"/>
        <w:pageBreakBefore w:val="0"/>
        <w:widowControl w:val="0"/>
        <w:kinsoku/>
        <w:wordWrap/>
        <w:overflowPunct/>
        <w:topLinePunct w:val="0"/>
        <w:autoSpaceDE/>
        <w:autoSpaceDN/>
        <w:bidi w:val="0"/>
        <w:spacing w:line="560" w:lineRule="exact"/>
        <w:ind w:left="0" w:leftChars="0" w:firstLine="0" w:firstLineChars="0"/>
        <w:textAlignment w:val="auto"/>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 xml:space="preserve"> </w:t>
      </w:r>
    </w:p>
    <w:p>
      <w:pPr>
        <w:pStyle w:val="26"/>
        <w:keepNext w:val="0"/>
        <w:keepLines w:val="0"/>
        <w:pageBreakBefore w:val="0"/>
        <w:widowControl w:val="0"/>
        <w:kinsoku/>
        <w:wordWrap/>
        <w:overflowPunct/>
        <w:topLinePunct w:val="0"/>
        <w:autoSpaceDE/>
        <w:autoSpaceDN/>
        <w:bidi w:val="0"/>
        <w:spacing w:line="560" w:lineRule="exact"/>
        <w:textAlignment w:val="auto"/>
        <w:rPr>
          <w:rFonts w:hint="eastAsia" w:ascii="Times New Roman" w:hAnsi="Times New Roman" w:eastAsia="宋体" w:cs="Times New Roman"/>
          <w:color w:val="auto"/>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73675" cy="3035935"/>
            <wp:effectExtent l="0" t="0" r="3175" b="1206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63"/>
                    <a:stretch>
                      <a:fillRect/>
                    </a:stretch>
                  </pic:blipFill>
                  <pic:spPr>
                    <a:xfrm>
                      <a:off x="0" y="0"/>
                      <a:ext cx="5273675" cy="3035935"/>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color w:val="auto"/>
          <w:highlight w:val="none"/>
        </w:rPr>
      </w:pPr>
      <w:r>
        <w:rPr>
          <w:rFonts w:hint="eastAsia" w:ascii="Times New Roman" w:hAnsi="Times New Roman" w:eastAsia="宋体" w:cs="Times New Roman"/>
          <w:b/>
          <w:color w:val="auto"/>
          <w:highlight w:val="none"/>
          <w:lang w:val="en-US" w:eastAsia="zh-CN"/>
        </w:rPr>
        <w:t xml:space="preserve">图 5.2.1-21   </w:t>
      </w:r>
      <w:r>
        <w:rPr>
          <w:rFonts w:hint="default" w:ascii="Times New Roman" w:hAnsi="Times New Roman" w:eastAsia="宋体" w:cs="Times New Roman"/>
          <w:b/>
          <w:color w:val="auto"/>
          <w:highlight w:val="none"/>
          <w:lang w:val="en-US" w:eastAsia="zh-CN"/>
        </w:rPr>
        <w:t>PM</w:t>
      </w:r>
      <w:r>
        <w:rPr>
          <w:rFonts w:hint="default" w:ascii="Times New Roman" w:hAnsi="Times New Roman" w:eastAsia="宋体" w:cs="Times New Roman"/>
          <w:b/>
          <w:color w:val="auto"/>
          <w:highlight w:val="none"/>
          <w:vertAlign w:val="subscript"/>
          <w:lang w:val="en-US" w:eastAsia="zh-CN"/>
        </w:rPr>
        <w:t>10</w:t>
      </w:r>
      <w:r>
        <w:rPr>
          <w:rFonts w:hint="eastAsia" w:ascii="Times New Roman" w:hAnsi="Times New Roman" w:eastAsia="宋体" w:cs="Times New Roman"/>
          <w:b/>
          <w:color w:val="auto"/>
          <w:highlight w:val="none"/>
          <w:vertAlign w:val="baseline"/>
          <w:lang w:val="en-US" w:eastAsia="zh-CN"/>
        </w:rPr>
        <w:t xml:space="preserve"> </w:t>
      </w:r>
      <w:r>
        <w:rPr>
          <w:rFonts w:hint="default" w:ascii="Times New Roman" w:hAnsi="Times New Roman" w:eastAsia="宋体" w:cs="Times New Roman"/>
          <w:b/>
          <w:color w:val="auto"/>
          <w:highlight w:val="none"/>
          <w:vertAlign w:val="baseline"/>
          <w:lang w:val="en-US" w:eastAsia="zh-CN"/>
        </w:rPr>
        <w:t>保证率日均浓度</w:t>
      </w:r>
      <w:r>
        <w:rPr>
          <w:rFonts w:hint="default" w:ascii="Times New Roman" w:hAnsi="Times New Roman" w:eastAsia="宋体" w:cs="Times New Roman"/>
          <w:b/>
          <w:color w:val="auto"/>
          <w:highlight w:val="none"/>
        </w:rPr>
        <w:t>环境质量浓度</w:t>
      </w:r>
      <w:r>
        <w:rPr>
          <w:rFonts w:hint="default" w:ascii="Times New Roman" w:hAnsi="Times New Roman" w:eastAsia="宋体" w:cs="Times New Roman"/>
          <w:b/>
          <w:color w:val="auto"/>
          <w:highlight w:val="none"/>
          <w:lang w:eastAsia="zh-CN"/>
        </w:rPr>
        <w:t>叠加</w:t>
      </w:r>
      <w:r>
        <w:rPr>
          <w:rFonts w:hint="default" w:ascii="Times New Roman" w:hAnsi="Times New Roman" w:eastAsia="宋体" w:cs="Times New Roman"/>
          <w:b/>
          <w:color w:val="auto"/>
          <w:highlight w:val="none"/>
        </w:rPr>
        <w:t>值分布图</w:t>
      </w: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67960" cy="3001645"/>
            <wp:effectExtent l="0" t="0" r="8890" b="825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64"/>
                    <a:stretch>
                      <a:fillRect/>
                    </a:stretch>
                  </pic:blipFill>
                  <pic:spPr>
                    <a:xfrm>
                      <a:off x="0" y="0"/>
                      <a:ext cx="5267960" cy="3001645"/>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color w:val="auto"/>
          <w:highlight w:val="none"/>
        </w:rPr>
      </w:pPr>
      <w:r>
        <w:rPr>
          <w:rFonts w:hint="eastAsia" w:ascii="Times New Roman" w:hAnsi="Times New Roman" w:eastAsia="宋体" w:cs="Times New Roman"/>
          <w:b/>
          <w:color w:val="auto"/>
          <w:highlight w:val="none"/>
          <w:lang w:val="en-US" w:eastAsia="zh-CN"/>
        </w:rPr>
        <w:t xml:space="preserve">图 5.2.1-22   </w:t>
      </w:r>
      <w:r>
        <w:rPr>
          <w:rFonts w:hint="default" w:ascii="Times New Roman" w:hAnsi="Times New Roman" w:eastAsia="宋体" w:cs="Times New Roman"/>
          <w:b/>
          <w:color w:val="auto"/>
          <w:highlight w:val="none"/>
          <w:lang w:val="en-US" w:eastAsia="zh-CN"/>
        </w:rPr>
        <w:t>PM</w:t>
      </w:r>
      <w:r>
        <w:rPr>
          <w:rFonts w:hint="default" w:ascii="Times New Roman" w:hAnsi="Times New Roman" w:eastAsia="宋体" w:cs="Times New Roman"/>
          <w:b/>
          <w:color w:val="auto"/>
          <w:highlight w:val="none"/>
          <w:vertAlign w:val="subscript"/>
          <w:lang w:val="en-US" w:eastAsia="zh-CN"/>
        </w:rPr>
        <w:t>10</w:t>
      </w:r>
      <w:r>
        <w:rPr>
          <w:rFonts w:hint="eastAsia" w:ascii="Times New Roman" w:hAnsi="Times New Roman" w:eastAsia="宋体" w:cs="Times New Roman"/>
          <w:b/>
          <w:color w:val="auto"/>
          <w:highlight w:val="none"/>
          <w:vertAlign w:val="baseline"/>
          <w:lang w:val="en-US" w:eastAsia="zh-CN"/>
        </w:rPr>
        <w:t xml:space="preserve"> </w:t>
      </w:r>
      <w:r>
        <w:rPr>
          <w:rFonts w:hint="default" w:ascii="Times New Roman" w:hAnsi="Times New Roman" w:eastAsia="宋体" w:cs="Times New Roman"/>
          <w:b/>
          <w:color w:val="auto"/>
          <w:highlight w:val="none"/>
        </w:rPr>
        <w:t>全时段环境质量浓度</w:t>
      </w:r>
      <w:r>
        <w:rPr>
          <w:rFonts w:hint="default" w:ascii="Times New Roman" w:hAnsi="Times New Roman" w:eastAsia="宋体" w:cs="Times New Roman"/>
          <w:b/>
          <w:color w:val="auto"/>
          <w:highlight w:val="none"/>
          <w:lang w:eastAsia="zh-CN"/>
        </w:rPr>
        <w:t>叠加</w:t>
      </w:r>
      <w:r>
        <w:rPr>
          <w:rFonts w:hint="default" w:ascii="Times New Roman" w:hAnsi="Times New Roman" w:eastAsia="宋体" w:cs="Times New Roman"/>
          <w:b/>
          <w:color w:val="auto"/>
          <w:highlight w:val="none"/>
        </w:rPr>
        <w:t>值分布图</w:t>
      </w: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73040" cy="2973070"/>
            <wp:effectExtent l="0" t="0" r="3810" b="1778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65"/>
                    <a:stretch>
                      <a:fillRect/>
                    </a:stretch>
                  </pic:blipFill>
                  <pic:spPr>
                    <a:xfrm>
                      <a:off x="0" y="0"/>
                      <a:ext cx="5273040" cy="2973070"/>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color w:val="auto"/>
          <w:highlight w:val="none"/>
        </w:rPr>
      </w:pPr>
      <w:r>
        <w:rPr>
          <w:rFonts w:hint="eastAsia" w:ascii="Times New Roman" w:hAnsi="Times New Roman" w:eastAsia="宋体" w:cs="Times New Roman"/>
          <w:b/>
          <w:color w:val="auto"/>
          <w:highlight w:val="none"/>
          <w:lang w:val="en-US" w:eastAsia="zh-CN"/>
        </w:rPr>
        <w:t xml:space="preserve">图 5.2.1-23   </w:t>
      </w:r>
      <w:r>
        <w:rPr>
          <w:rFonts w:hint="default" w:ascii="Times New Roman" w:hAnsi="Times New Roman" w:eastAsia="宋体" w:cs="Times New Roman"/>
          <w:b/>
          <w:color w:val="auto"/>
          <w:highlight w:val="none"/>
          <w:lang w:val="en-US" w:eastAsia="zh-CN"/>
        </w:rPr>
        <w:t>TSP</w:t>
      </w:r>
      <w:r>
        <w:rPr>
          <w:rFonts w:hint="eastAsia" w:ascii="Times New Roman" w:hAnsi="Times New Roman" w:eastAsia="宋体" w:cs="Times New Roman"/>
          <w:b/>
          <w:color w:val="auto"/>
          <w:highlight w:val="none"/>
          <w:lang w:val="en-US" w:eastAsia="zh-CN"/>
        </w:rPr>
        <w:t xml:space="preserve"> </w:t>
      </w:r>
      <w:r>
        <w:rPr>
          <w:rFonts w:hint="default" w:ascii="Times New Roman" w:hAnsi="Times New Roman" w:eastAsia="宋体" w:cs="Times New Roman"/>
          <w:b/>
          <w:color w:val="auto"/>
          <w:highlight w:val="none"/>
          <w:vertAlign w:val="baseline"/>
          <w:lang w:val="en-US" w:eastAsia="zh-CN"/>
        </w:rPr>
        <w:t>保证率日均浓度</w:t>
      </w:r>
      <w:r>
        <w:rPr>
          <w:rFonts w:hint="default" w:ascii="Times New Roman" w:hAnsi="Times New Roman" w:eastAsia="宋体" w:cs="Times New Roman"/>
          <w:b/>
          <w:color w:val="auto"/>
          <w:highlight w:val="none"/>
        </w:rPr>
        <w:t>环境质量浓度</w:t>
      </w:r>
      <w:r>
        <w:rPr>
          <w:rFonts w:hint="default" w:ascii="Times New Roman" w:hAnsi="Times New Roman" w:eastAsia="宋体" w:cs="Times New Roman"/>
          <w:b/>
          <w:color w:val="auto"/>
          <w:highlight w:val="none"/>
          <w:lang w:eastAsia="zh-CN"/>
        </w:rPr>
        <w:t>叠加</w:t>
      </w:r>
      <w:r>
        <w:rPr>
          <w:rFonts w:hint="default" w:ascii="Times New Roman" w:hAnsi="Times New Roman" w:eastAsia="宋体" w:cs="Times New Roman"/>
          <w:b/>
          <w:color w:val="auto"/>
          <w:highlight w:val="none"/>
        </w:rPr>
        <w:t>值分布图</w:t>
      </w: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68595" cy="2895600"/>
            <wp:effectExtent l="0" t="0" r="8255"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66"/>
                    <a:stretch>
                      <a:fillRect/>
                    </a:stretch>
                  </pic:blipFill>
                  <pic:spPr>
                    <a:xfrm>
                      <a:off x="0" y="0"/>
                      <a:ext cx="5268595" cy="2895600"/>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color w:val="auto"/>
          <w:highlight w:val="none"/>
        </w:rPr>
      </w:pPr>
      <w:r>
        <w:rPr>
          <w:rFonts w:hint="eastAsia" w:ascii="Times New Roman" w:hAnsi="Times New Roman" w:eastAsia="宋体" w:cs="Times New Roman"/>
          <w:b/>
          <w:color w:val="auto"/>
          <w:highlight w:val="none"/>
          <w:lang w:val="en-US" w:eastAsia="zh-CN"/>
        </w:rPr>
        <w:t xml:space="preserve">图 5.2.1-24   </w:t>
      </w:r>
      <w:r>
        <w:rPr>
          <w:rFonts w:hint="default" w:ascii="Times New Roman" w:hAnsi="Times New Roman" w:eastAsia="宋体" w:cs="Times New Roman"/>
          <w:b/>
          <w:color w:val="auto"/>
          <w:highlight w:val="none"/>
          <w:lang w:val="en-US" w:eastAsia="zh-CN"/>
        </w:rPr>
        <w:t>TSP</w:t>
      </w:r>
      <w:r>
        <w:rPr>
          <w:rFonts w:hint="eastAsia" w:ascii="Times New Roman" w:hAnsi="Times New Roman" w:eastAsia="宋体" w:cs="Times New Roman"/>
          <w:b/>
          <w:color w:val="auto"/>
          <w:highlight w:val="none"/>
          <w:lang w:val="en-US" w:eastAsia="zh-CN"/>
        </w:rPr>
        <w:t xml:space="preserve"> </w:t>
      </w:r>
      <w:r>
        <w:rPr>
          <w:rFonts w:hint="default" w:ascii="Times New Roman" w:hAnsi="Times New Roman" w:eastAsia="宋体" w:cs="Times New Roman"/>
          <w:b/>
          <w:color w:val="auto"/>
          <w:highlight w:val="none"/>
        </w:rPr>
        <w:t>全时段环境质量浓度</w:t>
      </w:r>
      <w:r>
        <w:rPr>
          <w:rFonts w:hint="default" w:ascii="Times New Roman" w:hAnsi="Times New Roman" w:eastAsia="宋体" w:cs="Times New Roman"/>
          <w:b/>
          <w:color w:val="auto"/>
          <w:highlight w:val="none"/>
          <w:lang w:eastAsia="zh-CN"/>
        </w:rPr>
        <w:t>叠加</w:t>
      </w:r>
      <w:r>
        <w:rPr>
          <w:rFonts w:hint="default" w:ascii="Times New Roman" w:hAnsi="Times New Roman" w:eastAsia="宋体" w:cs="Times New Roman"/>
          <w:b/>
          <w:color w:val="auto"/>
          <w:highlight w:val="none"/>
        </w:rPr>
        <w:t>值分布图</w:t>
      </w: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73040" cy="2924175"/>
            <wp:effectExtent l="0" t="0" r="3810" b="952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67"/>
                    <a:stretch>
                      <a:fillRect/>
                    </a:stretch>
                  </pic:blipFill>
                  <pic:spPr>
                    <a:xfrm>
                      <a:off x="0" y="0"/>
                      <a:ext cx="5273040" cy="2924175"/>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color w:val="auto"/>
          <w:highlight w:val="none"/>
        </w:rPr>
      </w:pPr>
      <w:r>
        <w:rPr>
          <w:rFonts w:hint="eastAsia" w:ascii="Times New Roman" w:hAnsi="Times New Roman" w:eastAsia="宋体" w:cs="Times New Roman"/>
          <w:b/>
          <w:color w:val="auto"/>
          <w:highlight w:val="none"/>
          <w:lang w:val="en-US" w:eastAsia="zh-CN"/>
        </w:rPr>
        <w:t xml:space="preserve">图 5.2.1-25   </w:t>
      </w:r>
      <w:r>
        <w:rPr>
          <w:rFonts w:hint="default" w:ascii="Times New Roman" w:hAnsi="Times New Roman" w:eastAsia="宋体" w:cs="Times New Roman"/>
          <w:b/>
          <w:color w:val="auto"/>
          <w:highlight w:val="none"/>
          <w:lang w:val="en-US" w:eastAsia="zh-CN"/>
        </w:rPr>
        <w:t>氨</w:t>
      </w:r>
      <w:r>
        <w:rPr>
          <w:rFonts w:hint="default" w:ascii="Times New Roman" w:hAnsi="Times New Roman" w:eastAsia="宋体" w:cs="Times New Roman"/>
          <w:b/>
          <w:color w:val="auto"/>
          <w:highlight w:val="none"/>
          <w:vertAlign w:val="baseline"/>
          <w:lang w:val="en-US" w:eastAsia="zh-CN"/>
        </w:rPr>
        <w:t>短时浓度</w:t>
      </w:r>
      <w:r>
        <w:rPr>
          <w:rFonts w:hint="default" w:ascii="Times New Roman" w:hAnsi="Times New Roman" w:eastAsia="宋体" w:cs="Times New Roman"/>
          <w:b/>
          <w:color w:val="auto"/>
          <w:highlight w:val="none"/>
        </w:rPr>
        <w:t>平均值环境质量浓度</w:t>
      </w:r>
      <w:r>
        <w:rPr>
          <w:rFonts w:hint="default" w:ascii="Times New Roman" w:hAnsi="Times New Roman" w:eastAsia="宋体" w:cs="Times New Roman"/>
          <w:b/>
          <w:color w:val="auto"/>
          <w:highlight w:val="none"/>
          <w:lang w:eastAsia="zh-CN"/>
        </w:rPr>
        <w:t>叠加</w:t>
      </w:r>
      <w:r>
        <w:rPr>
          <w:rFonts w:hint="default" w:ascii="Times New Roman" w:hAnsi="Times New Roman" w:eastAsia="宋体" w:cs="Times New Roman"/>
          <w:b/>
          <w:color w:val="auto"/>
          <w:highlight w:val="none"/>
        </w:rPr>
        <w:t>值分布图</w:t>
      </w: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73675" cy="2884805"/>
            <wp:effectExtent l="0" t="0" r="3175" b="1079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68"/>
                    <a:stretch>
                      <a:fillRect/>
                    </a:stretch>
                  </pic:blipFill>
                  <pic:spPr>
                    <a:xfrm>
                      <a:off x="0" y="0"/>
                      <a:ext cx="5273675" cy="2884805"/>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color w:val="auto"/>
          <w:highlight w:val="none"/>
        </w:rPr>
      </w:pPr>
      <w:r>
        <w:rPr>
          <w:rFonts w:hint="eastAsia" w:ascii="Times New Roman" w:hAnsi="Times New Roman" w:eastAsia="宋体" w:cs="Times New Roman"/>
          <w:b/>
          <w:color w:val="auto"/>
          <w:highlight w:val="none"/>
          <w:lang w:val="en-US" w:eastAsia="zh-CN"/>
        </w:rPr>
        <w:t xml:space="preserve">图 5.2.1-26   </w:t>
      </w:r>
      <w:r>
        <w:rPr>
          <w:rFonts w:hint="default" w:ascii="Times New Roman" w:hAnsi="Times New Roman" w:eastAsia="宋体" w:cs="Times New Roman"/>
          <w:b/>
          <w:color w:val="auto"/>
          <w:highlight w:val="none"/>
          <w:lang w:val="en-US" w:eastAsia="zh-CN"/>
        </w:rPr>
        <w:t>硫化氢</w:t>
      </w:r>
      <w:r>
        <w:rPr>
          <w:rFonts w:hint="default" w:ascii="Times New Roman" w:hAnsi="Times New Roman" w:eastAsia="宋体" w:cs="Times New Roman"/>
          <w:b/>
          <w:color w:val="auto"/>
          <w:highlight w:val="none"/>
          <w:vertAlign w:val="baseline"/>
          <w:lang w:val="en-US" w:eastAsia="zh-CN"/>
        </w:rPr>
        <w:t>短时浓度</w:t>
      </w:r>
      <w:r>
        <w:rPr>
          <w:rFonts w:hint="default" w:ascii="Times New Roman" w:hAnsi="Times New Roman" w:eastAsia="宋体" w:cs="Times New Roman"/>
          <w:b/>
          <w:color w:val="auto"/>
          <w:highlight w:val="none"/>
        </w:rPr>
        <w:t>平均值环境质量浓度</w:t>
      </w:r>
      <w:r>
        <w:rPr>
          <w:rFonts w:hint="default" w:ascii="Times New Roman" w:hAnsi="Times New Roman" w:eastAsia="宋体" w:cs="Times New Roman"/>
          <w:b/>
          <w:color w:val="auto"/>
          <w:highlight w:val="none"/>
          <w:lang w:eastAsia="zh-CN"/>
        </w:rPr>
        <w:t>叠加</w:t>
      </w:r>
      <w:r>
        <w:rPr>
          <w:rFonts w:hint="default" w:ascii="Times New Roman" w:hAnsi="Times New Roman" w:eastAsia="宋体" w:cs="Times New Roman"/>
          <w:b/>
          <w:color w:val="auto"/>
          <w:highlight w:val="none"/>
        </w:rPr>
        <w:t>值分布图</w:t>
      </w: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68595" cy="2951480"/>
            <wp:effectExtent l="0" t="0" r="8255" b="127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69"/>
                    <a:stretch>
                      <a:fillRect/>
                    </a:stretch>
                  </pic:blipFill>
                  <pic:spPr>
                    <a:xfrm>
                      <a:off x="0" y="0"/>
                      <a:ext cx="5268595" cy="2951480"/>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color w:val="auto"/>
          <w:highlight w:val="none"/>
        </w:rPr>
      </w:pPr>
      <w:r>
        <w:rPr>
          <w:rFonts w:hint="eastAsia" w:ascii="Times New Roman" w:hAnsi="Times New Roman" w:eastAsia="宋体" w:cs="Times New Roman"/>
          <w:b/>
          <w:color w:val="auto"/>
          <w:highlight w:val="none"/>
          <w:lang w:val="en-US" w:eastAsia="zh-CN"/>
        </w:rPr>
        <w:t xml:space="preserve">图 5.2.1-27   </w:t>
      </w:r>
      <w:r>
        <w:rPr>
          <w:rFonts w:hint="eastAsia" w:cs="Times New Roman"/>
          <w:b/>
          <w:color w:val="auto"/>
          <w:highlight w:val="none"/>
          <w:lang w:val="en-US" w:eastAsia="zh-CN"/>
        </w:rPr>
        <w:t>非甲烷总烃</w:t>
      </w:r>
      <w:r>
        <w:rPr>
          <w:rFonts w:hint="default" w:ascii="Times New Roman" w:hAnsi="Times New Roman" w:eastAsia="宋体" w:cs="Times New Roman"/>
          <w:b/>
          <w:color w:val="auto"/>
          <w:highlight w:val="none"/>
          <w:vertAlign w:val="baseline"/>
          <w:lang w:val="en-US" w:eastAsia="zh-CN"/>
        </w:rPr>
        <w:t>短时浓度</w:t>
      </w:r>
      <w:r>
        <w:rPr>
          <w:rFonts w:hint="default" w:ascii="Times New Roman" w:hAnsi="Times New Roman" w:eastAsia="宋体" w:cs="Times New Roman"/>
          <w:b/>
          <w:color w:val="auto"/>
          <w:highlight w:val="none"/>
        </w:rPr>
        <w:t>平均值环境质量浓度</w:t>
      </w:r>
      <w:r>
        <w:rPr>
          <w:rFonts w:hint="default" w:ascii="Times New Roman" w:hAnsi="Times New Roman" w:eastAsia="宋体" w:cs="Times New Roman"/>
          <w:b/>
          <w:color w:val="auto"/>
          <w:highlight w:val="none"/>
          <w:lang w:eastAsia="zh-CN"/>
        </w:rPr>
        <w:t>叠加</w:t>
      </w:r>
      <w:r>
        <w:rPr>
          <w:rFonts w:hint="default" w:ascii="Times New Roman" w:hAnsi="Times New Roman" w:eastAsia="宋体" w:cs="Times New Roman"/>
          <w:b/>
          <w:color w:val="auto"/>
          <w:highlight w:val="none"/>
        </w:rPr>
        <w:t>值分布图</w:t>
      </w: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66690" cy="2861310"/>
            <wp:effectExtent l="0" t="0" r="10160" b="1524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70"/>
                    <a:stretch>
                      <a:fillRect/>
                    </a:stretch>
                  </pic:blipFill>
                  <pic:spPr>
                    <a:xfrm>
                      <a:off x="0" y="0"/>
                      <a:ext cx="5266690" cy="2861310"/>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b/>
          <w:color w:val="auto"/>
          <w:highlight w:val="none"/>
        </w:rPr>
      </w:pPr>
      <w:r>
        <w:rPr>
          <w:rFonts w:hint="eastAsia" w:ascii="Times New Roman" w:hAnsi="Times New Roman" w:eastAsia="宋体" w:cs="Times New Roman"/>
          <w:b/>
          <w:color w:val="auto"/>
          <w:highlight w:val="none"/>
          <w:lang w:val="en-US" w:eastAsia="zh-CN"/>
        </w:rPr>
        <w:t xml:space="preserve">图 5.2.1-28   </w:t>
      </w:r>
      <w:r>
        <w:rPr>
          <w:rFonts w:hint="default" w:ascii="Times New Roman" w:hAnsi="Times New Roman" w:eastAsia="宋体" w:cs="Times New Roman"/>
          <w:b/>
          <w:color w:val="auto"/>
          <w:highlight w:val="none"/>
          <w:lang w:val="en-US" w:eastAsia="zh-CN"/>
        </w:rPr>
        <w:t>甲醇</w:t>
      </w:r>
      <w:r>
        <w:rPr>
          <w:rFonts w:hint="eastAsia" w:ascii="Times New Roman" w:hAnsi="Times New Roman" w:eastAsia="宋体" w:cs="Times New Roman"/>
          <w:b/>
          <w:color w:val="auto"/>
          <w:highlight w:val="none"/>
          <w:lang w:val="en-US" w:eastAsia="zh-CN"/>
        </w:rPr>
        <w:t xml:space="preserve"> </w:t>
      </w:r>
      <w:r>
        <w:rPr>
          <w:rFonts w:hint="default" w:ascii="Times New Roman" w:hAnsi="Times New Roman" w:eastAsia="宋体" w:cs="Times New Roman"/>
          <w:b/>
          <w:color w:val="auto"/>
          <w:highlight w:val="none"/>
          <w:vertAlign w:val="baseline"/>
          <w:lang w:val="en-US" w:eastAsia="zh-CN"/>
        </w:rPr>
        <w:t>1</w:t>
      </w:r>
      <w:r>
        <w:rPr>
          <w:rFonts w:hint="eastAsia" w:ascii="Times New Roman" w:hAnsi="Times New Roman" w:eastAsia="宋体" w:cs="Times New Roman"/>
          <w:b/>
          <w:color w:val="auto"/>
          <w:highlight w:val="none"/>
          <w:vertAlign w:val="baseline"/>
          <w:lang w:val="en-US" w:eastAsia="zh-CN"/>
        </w:rPr>
        <w:t xml:space="preserve"> </w:t>
      </w:r>
      <w:r>
        <w:rPr>
          <w:rFonts w:hint="default" w:ascii="Times New Roman" w:hAnsi="Times New Roman" w:eastAsia="宋体" w:cs="Times New Roman"/>
          <w:b/>
          <w:color w:val="auto"/>
          <w:highlight w:val="none"/>
          <w:vertAlign w:val="baseline"/>
          <w:lang w:val="en-US" w:eastAsia="zh-CN"/>
        </w:rPr>
        <w:t>小时</w:t>
      </w:r>
      <w:r>
        <w:rPr>
          <w:rFonts w:hint="default" w:ascii="Times New Roman" w:hAnsi="Times New Roman" w:eastAsia="宋体" w:cs="Times New Roman"/>
          <w:b/>
          <w:color w:val="auto"/>
          <w:highlight w:val="none"/>
        </w:rPr>
        <w:t>平均值环境质量浓度</w:t>
      </w:r>
      <w:r>
        <w:rPr>
          <w:rFonts w:hint="default" w:ascii="Times New Roman" w:hAnsi="Times New Roman" w:eastAsia="宋体" w:cs="Times New Roman"/>
          <w:b/>
          <w:color w:val="auto"/>
          <w:highlight w:val="none"/>
          <w:lang w:eastAsia="zh-CN"/>
        </w:rPr>
        <w:t>叠加</w:t>
      </w:r>
      <w:r>
        <w:rPr>
          <w:rFonts w:hint="default" w:ascii="Times New Roman" w:hAnsi="Times New Roman" w:eastAsia="宋体" w:cs="Times New Roman"/>
          <w:b/>
          <w:color w:val="auto"/>
          <w:highlight w:val="none"/>
        </w:rPr>
        <w:t>值分布图</w:t>
      </w:r>
    </w:p>
    <w:p>
      <w:pPr>
        <w:pStyle w:val="3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highlight w:val="none"/>
        </w:rPr>
      </w:pPr>
      <w:r>
        <w:rPr>
          <w:color w:val="auto"/>
        </w:rPr>
        <w:drawing>
          <wp:inline distT="0" distB="0" distL="114300" distR="114300">
            <wp:extent cx="5269865" cy="2846705"/>
            <wp:effectExtent l="0" t="0" r="6985" b="1079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71"/>
                    <a:stretch>
                      <a:fillRect/>
                    </a:stretch>
                  </pic:blipFill>
                  <pic:spPr>
                    <a:xfrm>
                      <a:off x="0" y="0"/>
                      <a:ext cx="5269865" cy="2846705"/>
                    </a:xfrm>
                    <a:prstGeom prst="rect">
                      <a:avLst/>
                    </a:prstGeom>
                    <a:noFill/>
                    <a:ln>
                      <a:noFill/>
                    </a:ln>
                  </pic:spPr>
                </pic:pic>
              </a:graphicData>
            </a:graphic>
          </wp:inline>
        </w:drawing>
      </w:r>
    </w:p>
    <w:p>
      <w:pPr>
        <w:pStyle w:val="26"/>
        <w:keepNext w:val="0"/>
        <w:keepLines w:val="0"/>
        <w:pageBreakBefore w:val="0"/>
        <w:widowControl w:val="0"/>
        <w:kinsoku/>
        <w:wordWrap/>
        <w:overflowPunct/>
        <w:topLinePunct w:val="0"/>
        <w:autoSpaceDE/>
        <w:autoSpaceDN/>
        <w:bidi w:val="0"/>
        <w:spacing w:line="560" w:lineRule="exact"/>
        <w:ind w:firstLine="0" w:firstLineChars="0"/>
        <w:jc w:val="center"/>
        <w:textAlignment w:val="auto"/>
        <w:rPr>
          <w:rFonts w:hint="default" w:ascii="Times New Roman" w:hAnsi="Times New Roman" w:eastAsia="宋体" w:cs="Times New Roman"/>
          <w:color w:val="auto"/>
          <w:lang w:val="en-US" w:eastAsia="zh-CN"/>
        </w:rPr>
      </w:pPr>
      <w:r>
        <w:rPr>
          <w:rFonts w:hint="eastAsia" w:ascii="Times New Roman" w:hAnsi="Times New Roman" w:eastAsia="宋体" w:cs="Times New Roman"/>
          <w:b/>
          <w:color w:val="auto"/>
          <w:highlight w:val="none"/>
          <w:lang w:val="en-US" w:eastAsia="zh-CN"/>
        </w:rPr>
        <w:t xml:space="preserve">图 5.2.1-29   </w:t>
      </w:r>
      <w:r>
        <w:rPr>
          <w:rFonts w:hint="default" w:ascii="Times New Roman" w:hAnsi="Times New Roman" w:eastAsia="宋体" w:cs="Times New Roman"/>
          <w:b/>
          <w:color w:val="auto"/>
          <w:highlight w:val="none"/>
          <w:lang w:val="en-US" w:eastAsia="zh-CN"/>
        </w:rPr>
        <w:t>甲醇</w:t>
      </w:r>
      <w:r>
        <w:rPr>
          <w:rFonts w:hint="default" w:ascii="Times New Roman" w:hAnsi="Times New Roman" w:eastAsia="宋体" w:cs="Times New Roman"/>
          <w:b/>
          <w:color w:val="auto"/>
          <w:highlight w:val="none"/>
          <w:vertAlign w:val="baseline"/>
          <w:lang w:val="en-US" w:eastAsia="zh-CN"/>
        </w:rPr>
        <w:t>日平均</w:t>
      </w:r>
      <w:r>
        <w:rPr>
          <w:rFonts w:hint="default" w:ascii="Times New Roman" w:hAnsi="Times New Roman" w:eastAsia="宋体" w:cs="Times New Roman"/>
          <w:b/>
          <w:color w:val="auto"/>
          <w:highlight w:val="none"/>
        </w:rPr>
        <w:t>环境质量浓度</w:t>
      </w:r>
      <w:r>
        <w:rPr>
          <w:rFonts w:hint="default" w:ascii="Times New Roman" w:hAnsi="Times New Roman" w:eastAsia="宋体" w:cs="Times New Roman"/>
          <w:b/>
          <w:color w:val="auto"/>
          <w:highlight w:val="none"/>
          <w:lang w:eastAsia="zh-CN"/>
        </w:rPr>
        <w:t>叠加</w:t>
      </w:r>
      <w:r>
        <w:rPr>
          <w:rFonts w:hint="default" w:ascii="Times New Roman" w:hAnsi="Times New Roman" w:eastAsia="宋体" w:cs="Times New Roman"/>
          <w:b/>
          <w:color w:val="auto"/>
          <w:highlight w:val="none"/>
        </w:rPr>
        <w:t>值分布图</w:t>
      </w:r>
    </w:p>
    <w:p>
      <w:pPr>
        <w:pStyle w:val="26"/>
        <w:keepNext w:val="0"/>
        <w:keepLines w:val="0"/>
        <w:pageBreakBefore w:val="0"/>
        <w:widowControl w:val="0"/>
        <w:kinsoku/>
        <w:wordWrap/>
        <w:overflowPunct/>
        <w:topLinePunct w:val="0"/>
        <w:autoSpaceDE/>
        <w:autoSpaceDN/>
        <w:bidi w:val="0"/>
        <w:spacing w:line="560" w:lineRule="exact"/>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从上表预测结果可知，本项目污染源排放的颗粒物、氨、硫化氢、甲醇和非甲烷总烃，所有网络点短时浓度和全时段浓度叠加值均达标。</w:t>
      </w:r>
    </w:p>
    <w:p>
      <w:pPr>
        <w:pStyle w:val="26"/>
        <w:keepNext w:val="0"/>
        <w:keepLines w:val="0"/>
        <w:pageBreakBefore w:val="0"/>
        <w:widowControl w:val="0"/>
        <w:kinsoku/>
        <w:wordWrap/>
        <w:overflowPunct/>
        <w:topLinePunct w:val="0"/>
        <w:autoSpaceDE/>
        <w:autoSpaceDN/>
        <w:bidi w:val="0"/>
        <w:spacing w:line="560" w:lineRule="exact"/>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（3）非正常工况情况下的小时浓度预测</w:t>
      </w:r>
    </w:p>
    <w:p>
      <w:pPr>
        <w:pStyle w:val="26"/>
        <w:keepNext w:val="0"/>
        <w:keepLines w:val="0"/>
        <w:pageBreakBefore w:val="0"/>
        <w:widowControl w:val="0"/>
        <w:kinsoku/>
        <w:wordWrap/>
        <w:overflowPunct/>
        <w:topLinePunct w:val="0"/>
        <w:autoSpaceDE/>
        <w:autoSpaceDN/>
        <w:bidi w:val="0"/>
        <w:spacing w:line="560" w:lineRule="exact"/>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根据工程分析章节，可知，项目非正常工况情况下，考虑的废气处理设施的不稳定或损坏不能正常运行。</w:t>
      </w:r>
    </w:p>
    <w:p>
      <w:pPr>
        <w:pStyle w:val="3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lang w:eastAsia="zh-CN"/>
        </w:rPr>
        <w:t>表</w:t>
      </w:r>
      <w:r>
        <w:rPr>
          <w:rFonts w:hint="default" w:ascii="Times New Roman" w:hAnsi="Times New Roman" w:eastAsia="宋体" w:cs="Times New Roman"/>
          <w:b/>
          <w:color w:val="auto"/>
          <w:highlight w:val="none"/>
          <w:lang w:val="en-US" w:eastAsia="zh-CN"/>
        </w:rPr>
        <w:t xml:space="preserve"> </w:t>
      </w:r>
      <w:r>
        <w:rPr>
          <w:rFonts w:hint="default" w:ascii="Times New Roman" w:hAnsi="Times New Roman" w:eastAsia="宋体" w:cs="Times New Roman"/>
          <w:b/>
          <w:color w:val="auto"/>
          <w:highlight w:val="none"/>
          <w:lang w:eastAsia="zh-CN"/>
        </w:rPr>
        <w:t>5.2</w:t>
      </w:r>
      <w:r>
        <w:rPr>
          <w:rFonts w:hint="default" w:ascii="Times New Roman" w:hAnsi="Times New Roman" w:eastAsia="宋体" w:cs="Times New Roman"/>
          <w:b/>
          <w:color w:val="auto"/>
          <w:highlight w:val="none"/>
          <w:lang w:val="en-US" w:eastAsia="zh-CN"/>
        </w:rPr>
        <w:t>.1</w:t>
      </w:r>
      <w:r>
        <w:rPr>
          <w:rFonts w:hint="default" w:ascii="Times New Roman" w:hAnsi="Times New Roman" w:eastAsia="宋体" w:cs="Times New Roman"/>
          <w:b/>
          <w:color w:val="auto"/>
          <w:highlight w:val="none"/>
          <w:lang w:eastAsia="zh-CN"/>
        </w:rPr>
        <w:t>-</w:t>
      </w:r>
      <w:r>
        <w:rPr>
          <w:rFonts w:hint="default" w:ascii="Times New Roman" w:hAnsi="Times New Roman" w:eastAsia="宋体" w:cs="Times New Roman"/>
          <w:b/>
          <w:color w:val="auto"/>
          <w:highlight w:val="none"/>
          <w:lang w:val="en-US" w:eastAsia="zh-CN"/>
        </w:rPr>
        <w:t>17</w:t>
      </w:r>
      <w:r>
        <w:rPr>
          <w:rFonts w:hint="default" w:ascii="Times New Roman" w:hAnsi="Times New Roman" w:eastAsia="宋体" w:cs="Times New Roman"/>
          <w:b/>
          <w:color w:val="auto"/>
          <w:highlight w:val="none"/>
          <w:lang w:eastAsia="zh-CN"/>
        </w:rPr>
        <w:t xml:space="preserve">    本项目</w:t>
      </w:r>
      <w:r>
        <w:rPr>
          <w:rFonts w:hint="default" w:ascii="Times New Roman" w:hAnsi="Times New Roman" w:eastAsia="宋体" w:cs="Times New Roman"/>
          <w:b/>
          <w:color w:val="auto"/>
          <w:highlight w:val="none"/>
          <w:lang w:val="en-US" w:eastAsia="zh-CN"/>
        </w:rPr>
        <w:t>污染物非正常工况</w:t>
      </w:r>
      <w:r>
        <w:rPr>
          <w:rFonts w:hint="default" w:ascii="Times New Roman" w:hAnsi="Times New Roman" w:eastAsia="宋体" w:cs="Times New Roman"/>
          <w:b/>
          <w:color w:val="auto"/>
          <w:highlight w:val="none"/>
          <w:lang w:eastAsia="zh-CN"/>
        </w:rPr>
        <w:t>浓度预测结果一览表</w:t>
      </w:r>
    </w:p>
    <w:tbl>
      <w:tblPr>
        <w:tblStyle w:val="21"/>
        <w:tblW w:w="8789"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57" w:type="dxa"/>
          <w:bottom w:w="0" w:type="dxa"/>
          <w:right w:w="57" w:type="dxa"/>
        </w:tblCellMar>
      </w:tblPr>
      <w:tblGrid>
        <w:gridCol w:w="673"/>
        <w:gridCol w:w="1195"/>
        <w:gridCol w:w="720"/>
        <w:gridCol w:w="747"/>
        <w:gridCol w:w="787"/>
        <w:gridCol w:w="1120"/>
        <w:gridCol w:w="1107"/>
        <w:gridCol w:w="1101"/>
        <w:gridCol w:w="636"/>
        <w:gridCol w:w="70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57" w:type="dxa"/>
            <w:bottom w:w="0" w:type="dxa"/>
            <w:right w:w="57" w:type="dxa"/>
          </w:tblCellMar>
        </w:tblPrEx>
        <w:trPr>
          <w:trHeight w:val="540" w:hRule="atLeast"/>
          <w:tblHeader/>
          <w:jc w:val="center"/>
        </w:trPr>
        <w:tc>
          <w:tcPr>
            <w:tcW w:w="673"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1195"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名称</w:t>
            </w:r>
          </w:p>
        </w:tc>
        <w:tc>
          <w:tcPr>
            <w:tcW w:w="1467" w:type="dxa"/>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点坐标</w:t>
            </w:r>
          </w:p>
        </w:tc>
        <w:tc>
          <w:tcPr>
            <w:tcW w:w="787"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浓度类型</w:t>
            </w:r>
          </w:p>
        </w:tc>
        <w:tc>
          <w:tcPr>
            <w:tcW w:w="1120"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贡献值(</w:t>
            </w:r>
            <w:r>
              <w:rPr>
                <w:rFonts w:hint="eastAsia" w:cs="Times New Roman"/>
                <w:b/>
                <w:bCs/>
                <w:color w:val="auto"/>
                <w:sz w:val="21"/>
                <w:szCs w:val="21"/>
                <w:highlight w:val="none"/>
                <w:lang w:val="en-US" w:eastAsia="zh-CN"/>
              </w:rPr>
              <w:t>m</w:t>
            </w:r>
            <w:r>
              <w:rPr>
                <w:rFonts w:hint="default" w:ascii="Times New Roman" w:hAnsi="Times New Roman" w:eastAsia="宋体" w:cs="Times New Roman"/>
                <w:b/>
                <w:bCs/>
                <w:color w:val="auto"/>
                <w:sz w:val="21"/>
                <w:szCs w:val="21"/>
                <w:highlight w:val="none"/>
              </w:rPr>
              <w:t>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w:t>
            </w:r>
          </w:p>
        </w:tc>
        <w:tc>
          <w:tcPr>
            <w:tcW w:w="1107"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出现时间</w:t>
            </w:r>
          </w:p>
        </w:tc>
        <w:tc>
          <w:tcPr>
            <w:tcW w:w="1101"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评价标准(</w:t>
            </w:r>
            <w:r>
              <w:rPr>
                <w:rFonts w:hint="eastAsia" w:cs="Times New Roman"/>
                <w:b/>
                <w:bCs/>
                <w:color w:val="auto"/>
                <w:sz w:val="21"/>
                <w:szCs w:val="21"/>
                <w:highlight w:val="none"/>
                <w:lang w:val="en-US" w:eastAsia="zh-CN"/>
              </w:rPr>
              <w:t>m</w:t>
            </w:r>
            <w:r>
              <w:rPr>
                <w:rFonts w:hint="default" w:ascii="Times New Roman" w:hAnsi="Times New Roman" w:eastAsia="宋体" w:cs="Times New Roman"/>
                <w:b/>
                <w:bCs/>
                <w:color w:val="auto"/>
                <w:sz w:val="21"/>
                <w:szCs w:val="21"/>
                <w:highlight w:val="none"/>
              </w:rPr>
              <w:t>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w:t>
            </w:r>
          </w:p>
        </w:tc>
        <w:tc>
          <w:tcPr>
            <w:tcW w:w="636"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占标率%</w:t>
            </w:r>
          </w:p>
        </w:tc>
        <w:tc>
          <w:tcPr>
            <w:tcW w:w="703"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是否超标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57" w:type="dxa"/>
            <w:bottom w:w="0" w:type="dxa"/>
            <w:right w:w="57" w:type="dxa"/>
          </w:tblCellMar>
        </w:tblPrEx>
        <w:trPr>
          <w:trHeight w:val="426" w:hRule="atLeast"/>
          <w:tblHeader/>
          <w:jc w:val="center"/>
        </w:trPr>
        <w:tc>
          <w:tcPr>
            <w:tcW w:w="673"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highlight w:val="none"/>
              </w:rPr>
            </w:pPr>
          </w:p>
        </w:tc>
        <w:tc>
          <w:tcPr>
            <w:tcW w:w="119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highlight w:val="none"/>
              </w:rPr>
            </w:pPr>
          </w:p>
        </w:tc>
        <w:tc>
          <w:tcPr>
            <w:tcW w:w="72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X</w:t>
            </w:r>
          </w:p>
        </w:tc>
        <w:tc>
          <w:tcPr>
            <w:tcW w:w="74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Y</w:t>
            </w:r>
          </w:p>
        </w:tc>
        <w:tc>
          <w:tcPr>
            <w:tcW w:w="78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highlight w:val="none"/>
              </w:rPr>
            </w:pPr>
          </w:p>
        </w:tc>
        <w:tc>
          <w:tcPr>
            <w:tcW w:w="1120"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highlight w:val="none"/>
              </w:rPr>
            </w:pPr>
          </w:p>
        </w:tc>
        <w:tc>
          <w:tcPr>
            <w:tcW w:w="110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highlight w:val="none"/>
              </w:rPr>
            </w:pPr>
          </w:p>
        </w:tc>
        <w:tc>
          <w:tcPr>
            <w:tcW w:w="1101"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highlight w:val="none"/>
              </w:rPr>
            </w:pPr>
          </w:p>
        </w:tc>
        <w:tc>
          <w:tcPr>
            <w:tcW w:w="636"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highlight w:val="none"/>
              </w:rPr>
            </w:pPr>
          </w:p>
        </w:tc>
        <w:tc>
          <w:tcPr>
            <w:tcW w:w="703"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02" w:hRule="atLeast"/>
          <w:jc w:val="center"/>
        </w:trPr>
        <w:tc>
          <w:tcPr>
            <w:tcW w:w="673" w:type="dxa"/>
            <w:vMerge w:val="restart"/>
            <w:tcBorders>
              <w:top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top"/>
              <w:rPr>
                <w:rFonts w:hint="default" w:ascii="Times New Roman" w:hAnsi="Times New Roman" w:eastAsia="宋体" w:cs="Times New Roman"/>
                <w:color w:val="auto"/>
                <w:sz w:val="21"/>
                <w:szCs w:val="21"/>
                <w:highlight w:val="none"/>
                <w:vertAlign w:val="subscript"/>
                <w:lang w:val="en-US" w:eastAsia="zh-CN"/>
              </w:rPr>
            </w:pPr>
            <w:r>
              <w:rPr>
                <w:rFonts w:hint="eastAsia" w:cs="Times New Roman"/>
                <w:i w:val="0"/>
                <w:color w:val="auto"/>
                <w:kern w:val="0"/>
                <w:sz w:val="21"/>
                <w:szCs w:val="21"/>
                <w:highlight w:val="none"/>
                <w:u w:val="none"/>
                <w:lang w:val="en-US" w:eastAsia="zh-CN" w:bidi="ar"/>
              </w:rPr>
              <w:t>PM</w:t>
            </w:r>
            <w:r>
              <w:rPr>
                <w:rFonts w:hint="eastAsia" w:cs="Times New Roman"/>
                <w:i w:val="0"/>
                <w:color w:val="auto"/>
                <w:kern w:val="0"/>
                <w:sz w:val="21"/>
                <w:szCs w:val="21"/>
                <w:highlight w:val="none"/>
                <w:u w:val="none"/>
                <w:vertAlign w:val="subscript"/>
                <w:lang w:val="en-US" w:eastAsia="zh-CN" w:bidi="ar"/>
              </w:rPr>
              <w:t>10</w:t>
            </w:r>
          </w:p>
        </w:tc>
        <w:tc>
          <w:tcPr>
            <w:tcW w:w="1195"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rPr>
              <w:t>十八户村四组</w:t>
            </w:r>
          </w:p>
        </w:tc>
        <w:tc>
          <w:tcPr>
            <w:tcW w:w="720"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rPr>
              <w:t>-2639</w:t>
            </w:r>
          </w:p>
        </w:tc>
        <w:tc>
          <w:tcPr>
            <w:tcW w:w="747" w:type="dxa"/>
            <w:tcBorders>
              <w:tl2br w:val="nil"/>
              <w:tr2bl w:val="nil"/>
            </w:tcBorders>
            <w:noWrap w:val="0"/>
            <w:vAlign w:val="center"/>
          </w:tcPr>
          <w:p>
            <w:pPr>
              <w:jc w:val="center"/>
              <w:rPr>
                <w:rFonts w:hint="default" w:ascii="Times New Roman" w:hAnsi="Times New Roman" w:eastAsia="宋体" w:cs="Times New Roman"/>
                <w:color w:val="auto"/>
                <w:kern w:val="2"/>
                <w:sz w:val="21"/>
                <w:szCs w:val="22"/>
                <w:highlight w:val="none"/>
                <w:lang w:val="en-US" w:eastAsia="zh-CN" w:bidi="ar-SA"/>
              </w:rPr>
            </w:pPr>
            <w:r>
              <w:rPr>
                <w:rFonts w:hint="eastAsia"/>
                <w:color w:val="auto"/>
              </w:rPr>
              <w:t>-1063</w:t>
            </w:r>
          </w:p>
        </w:tc>
        <w:tc>
          <w:tcPr>
            <w:tcW w:w="78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w:t>
            </w:r>
          </w:p>
        </w:tc>
        <w:tc>
          <w:tcPr>
            <w:tcW w:w="112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1.92E-02</w:t>
            </w:r>
          </w:p>
        </w:tc>
        <w:tc>
          <w:tcPr>
            <w:tcW w:w="11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21071205</w:t>
            </w:r>
          </w:p>
        </w:tc>
        <w:tc>
          <w:tcPr>
            <w:tcW w:w="110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9.00E-01</w:t>
            </w:r>
          </w:p>
        </w:tc>
        <w:tc>
          <w:tcPr>
            <w:tcW w:w="6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2.13</w:t>
            </w:r>
          </w:p>
        </w:tc>
        <w:tc>
          <w:tcPr>
            <w:tcW w:w="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57" w:type="dxa"/>
            <w:bottom w:w="0" w:type="dxa"/>
            <w:right w:w="57" w:type="dxa"/>
          </w:tblCellMar>
        </w:tblPrEx>
        <w:trPr>
          <w:trHeight w:val="502" w:hRule="atLeast"/>
          <w:jc w:val="center"/>
        </w:trPr>
        <w:tc>
          <w:tcPr>
            <w:tcW w:w="673"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1195"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rPr>
              <w:t>祁家湖村</w:t>
            </w:r>
          </w:p>
        </w:tc>
        <w:tc>
          <w:tcPr>
            <w:tcW w:w="720"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rPr>
              <w:t>-4423</w:t>
            </w:r>
          </w:p>
        </w:tc>
        <w:tc>
          <w:tcPr>
            <w:tcW w:w="747" w:type="dxa"/>
            <w:tcBorders>
              <w:tl2br w:val="nil"/>
              <w:tr2bl w:val="nil"/>
            </w:tcBorders>
            <w:noWrap w:val="0"/>
            <w:vAlign w:val="center"/>
          </w:tcPr>
          <w:p>
            <w:pPr>
              <w:jc w:val="center"/>
              <w:rPr>
                <w:rFonts w:hint="default" w:ascii="Times New Roman" w:hAnsi="Times New Roman" w:eastAsia="宋体" w:cs="Times New Roman"/>
                <w:color w:val="auto"/>
                <w:kern w:val="2"/>
                <w:sz w:val="21"/>
                <w:szCs w:val="22"/>
                <w:highlight w:val="none"/>
                <w:lang w:val="en-US" w:eastAsia="zh-CN" w:bidi="ar-SA"/>
              </w:rPr>
            </w:pPr>
            <w:r>
              <w:rPr>
                <w:rFonts w:hint="eastAsia"/>
                <w:color w:val="auto"/>
              </w:rPr>
              <w:t>-1779</w:t>
            </w:r>
          </w:p>
        </w:tc>
        <w:tc>
          <w:tcPr>
            <w:tcW w:w="78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w:t>
            </w:r>
          </w:p>
        </w:tc>
        <w:tc>
          <w:tcPr>
            <w:tcW w:w="112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1.25E-02</w:t>
            </w:r>
          </w:p>
        </w:tc>
        <w:tc>
          <w:tcPr>
            <w:tcW w:w="11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21071205</w:t>
            </w:r>
          </w:p>
        </w:tc>
        <w:tc>
          <w:tcPr>
            <w:tcW w:w="110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9.00E-01</w:t>
            </w:r>
          </w:p>
        </w:tc>
        <w:tc>
          <w:tcPr>
            <w:tcW w:w="6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1.39</w:t>
            </w:r>
          </w:p>
        </w:tc>
        <w:tc>
          <w:tcPr>
            <w:tcW w:w="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57" w:type="dxa"/>
            <w:bottom w:w="0" w:type="dxa"/>
            <w:right w:w="57" w:type="dxa"/>
          </w:tblCellMar>
        </w:tblPrEx>
        <w:trPr>
          <w:trHeight w:val="502" w:hRule="atLeast"/>
          <w:jc w:val="center"/>
        </w:trPr>
        <w:tc>
          <w:tcPr>
            <w:tcW w:w="673"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1195"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rPr>
              <w:t>永丰四队</w:t>
            </w:r>
          </w:p>
        </w:tc>
        <w:tc>
          <w:tcPr>
            <w:tcW w:w="720"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rPr>
              <w:t>-3363</w:t>
            </w:r>
          </w:p>
        </w:tc>
        <w:tc>
          <w:tcPr>
            <w:tcW w:w="747" w:type="dxa"/>
            <w:tcBorders>
              <w:tl2br w:val="nil"/>
              <w:tr2bl w:val="nil"/>
            </w:tcBorders>
            <w:noWrap w:val="0"/>
            <w:vAlign w:val="center"/>
          </w:tcPr>
          <w:p>
            <w:pPr>
              <w:jc w:val="center"/>
              <w:rPr>
                <w:rFonts w:hint="default" w:ascii="Times New Roman" w:hAnsi="Times New Roman" w:eastAsia="宋体" w:cs="Times New Roman"/>
                <w:color w:val="auto"/>
                <w:kern w:val="2"/>
                <w:sz w:val="21"/>
                <w:szCs w:val="22"/>
                <w:highlight w:val="none"/>
                <w:lang w:val="en-US" w:eastAsia="zh-CN" w:bidi="ar-SA"/>
              </w:rPr>
            </w:pPr>
            <w:r>
              <w:rPr>
                <w:rFonts w:hint="eastAsia"/>
                <w:color w:val="auto"/>
              </w:rPr>
              <w:t>-3690</w:t>
            </w:r>
          </w:p>
        </w:tc>
        <w:tc>
          <w:tcPr>
            <w:tcW w:w="78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w:t>
            </w:r>
          </w:p>
        </w:tc>
        <w:tc>
          <w:tcPr>
            <w:tcW w:w="112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1.02E-02</w:t>
            </w:r>
          </w:p>
        </w:tc>
        <w:tc>
          <w:tcPr>
            <w:tcW w:w="11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21050523</w:t>
            </w:r>
          </w:p>
        </w:tc>
        <w:tc>
          <w:tcPr>
            <w:tcW w:w="110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9.00E-01</w:t>
            </w:r>
          </w:p>
        </w:tc>
        <w:tc>
          <w:tcPr>
            <w:tcW w:w="6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1.14</w:t>
            </w:r>
          </w:p>
        </w:tc>
        <w:tc>
          <w:tcPr>
            <w:tcW w:w="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57" w:type="dxa"/>
            <w:bottom w:w="0" w:type="dxa"/>
            <w:right w:w="57" w:type="dxa"/>
          </w:tblCellMar>
        </w:tblPrEx>
        <w:trPr>
          <w:trHeight w:val="502" w:hRule="atLeast"/>
          <w:jc w:val="center"/>
        </w:trPr>
        <w:tc>
          <w:tcPr>
            <w:tcW w:w="673"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top"/>
              <w:rPr>
                <w:rFonts w:hint="default" w:ascii="Times New Roman" w:hAnsi="Times New Roman" w:eastAsia="宋体" w:cs="Times New Roman"/>
                <w:color w:val="auto"/>
                <w:sz w:val="21"/>
                <w:szCs w:val="21"/>
                <w:highlight w:val="none"/>
              </w:rPr>
            </w:pPr>
          </w:p>
        </w:tc>
        <w:tc>
          <w:tcPr>
            <w:tcW w:w="1195"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rPr>
              <w:t>十八户村</w:t>
            </w:r>
          </w:p>
        </w:tc>
        <w:tc>
          <w:tcPr>
            <w:tcW w:w="720"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rPr>
              <w:t>-3224</w:t>
            </w:r>
          </w:p>
        </w:tc>
        <w:tc>
          <w:tcPr>
            <w:tcW w:w="747" w:type="dxa"/>
            <w:tcBorders>
              <w:tl2br w:val="nil"/>
              <w:tr2bl w:val="nil"/>
            </w:tcBorders>
            <w:noWrap w:val="0"/>
            <w:vAlign w:val="center"/>
          </w:tcPr>
          <w:p>
            <w:pPr>
              <w:jc w:val="center"/>
              <w:rPr>
                <w:rFonts w:hint="default" w:ascii="Times New Roman" w:hAnsi="Times New Roman" w:eastAsia="宋体" w:cs="Times New Roman"/>
                <w:color w:val="auto"/>
                <w:kern w:val="2"/>
                <w:sz w:val="21"/>
                <w:szCs w:val="22"/>
                <w:highlight w:val="none"/>
                <w:lang w:val="en-US" w:eastAsia="zh-CN" w:bidi="ar-SA"/>
              </w:rPr>
            </w:pPr>
            <w:r>
              <w:rPr>
                <w:rFonts w:hint="eastAsia"/>
                <w:color w:val="auto"/>
              </w:rPr>
              <w:t>-4231</w:t>
            </w:r>
          </w:p>
        </w:tc>
        <w:tc>
          <w:tcPr>
            <w:tcW w:w="78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w:t>
            </w:r>
          </w:p>
        </w:tc>
        <w:tc>
          <w:tcPr>
            <w:tcW w:w="112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1.19E-02</w:t>
            </w:r>
          </w:p>
        </w:tc>
        <w:tc>
          <w:tcPr>
            <w:tcW w:w="11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21080323</w:t>
            </w:r>
          </w:p>
        </w:tc>
        <w:tc>
          <w:tcPr>
            <w:tcW w:w="110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9.00E-01</w:t>
            </w:r>
          </w:p>
        </w:tc>
        <w:tc>
          <w:tcPr>
            <w:tcW w:w="6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1.32</w:t>
            </w:r>
          </w:p>
        </w:tc>
        <w:tc>
          <w:tcPr>
            <w:tcW w:w="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57" w:type="dxa"/>
            <w:bottom w:w="0" w:type="dxa"/>
            <w:right w:w="57" w:type="dxa"/>
          </w:tblCellMar>
        </w:tblPrEx>
        <w:trPr>
          <w:trHeight w:val="502" w:hRule="atLeast"/>
          <w:jc w:val="center"/>
        </w:trPr>
        <w:tc>
          <w:tcPr>
            <w:tcW w:w="673"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119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网格点</w:t>
            </w:r>
          </w:p>
        </w:tc>
        <w:tc>
          <w:tcPr>
            <w:tcW w:w="720"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highlight w:val="none"/>
                <w:lang w:val="en-US" w:eastAsia="zh-CN"/>
              </w:rPr>
              <w:t>85</w:t>
            </w:r>
          </w:p>
        </w:tc>
        <w:tc>
          <w:tcPr>
            <w:tcW w:w="747"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highlight w:val="none"/>
                <w:lang w:val="en-US" w:eastAsia="zh-CN"/>
              </w:rPr>
              <w:t>-146</w:t>
            </w:r>
          </w:p>
        </w:tc>
        <w:tc>
          <w:tcPr>
            <w:tcW w:w="78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w:t>
            </w:r>
          </w:p>
        </w:tc>
        <w:tc>
          <w:tcPr>
            <w:tcW w:w="112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1.21E-01</w:t>
            </w:r>
          </w:p>
        </w:tc>
        <w:tc>
          <w:tcPr>
            <w:tcW w:w="11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21071320</w:t>
            </w:r>
          </w:p>
        </w:tc>
        <w:tc>
          <w:tcPr>
            <w:tcW w:w="110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9.00E-01</w:t>
            </w:r>
          </w:p>
        </w:tc>
        <w:tc>
          <w:tcPr>
            <w:tcW w:w="6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13.41</w:t>
            </w:r>
          </w:p>
        </w:tc>
        <w:tc>
          <w:tcPr>
            <w:tcW w:w="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57" w:type="dxa"/>
            <w:bottom w:w="0" w:type="dxa"/>
            <w:right w:w="57" w:type="dxa"/>
          </w:tblCellMar>
        </w:tblPrEx>
        <w:trPr>
          <w:trHeight w:val="502" w:hRule="atLeast"/>
          <w:jc w:val="center"/>
        </w:trPr>
        <w:tc>
          <w:tcPr>
            <w:tcW w:w="673" w:type="dxa"/>
            <w:vMerge w:val="restart"/>
            <w:tcBorders>
              <w:top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top"/>
              <w:rPr>
                <w:rFonts w:hint="default" w:ascii="Times New Roman" w:hAnsi="Times New Roman" w:eastAsia="宋体" w:cs="Times New Roman"/>
                <w:color w:val="auto"/>
                <w:sz w:val="21"/>
                <w:szCs w:val="21"/>
                <w:highlight w:val="none"/>
                <w:lang w:val="en-US" w:eastAsia="zh-CN"/>
              </w:rPr>
            </w:pPr>
            <w:r>
              <w:rPr>
                <w:rFonts w:hint="eastAsia" w:cs="Times New Roman"/>
                <w:i w:val="0"/>
                <w:color w:val="auto"/>
                <w:kern w:val="0"/>
                <w:sz w:val="21"/>
                <w:szCs w:val="21"/>
                <w:highlight w:val="none"/>
                <w:u w:val="none"/>
                <w:lang w:val="en-US" w:eastAsia="zh-CN" w:bidi="ar"/>
              </w:rPr>
              <w:t>氨</w:t>
            </w:r>
          </w:p>
        </w:tc>
        <w:tc>
          <w:tcPr>
            <w:tcW w:w="1195"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eastAsia"/>
                <w:color w:val="auto"/>
              </w:rPr>
              <w:t>十八户村四组</w:t>
            </w:r>
          </w:p>
        </w:tc>
        <w:tc>
          <w:tcPr>
            <w:tcW w:w="720"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-2639</w:t>
            </w:r>
          </w:p>
        </w:tc>
        <w:tc>
          <w:tcPr>
            <w:tcW w:w="747"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-1063</w:t>
            </w:r>
          </w:p>
        </w:tc>
        <w:tc>
          <w:tcPr>
            <w:tcW w:w="78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w:t>
            </w:r>
          </w:p>
        </w:tc>
        <w:tc>
          <w:tcPr>
            <w:tcW w:w="112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4.72E-03</w:t>
            </w:r>
          </w:p>
        </w:tc>
        <w:tc>
          <w:tcPr>
            <w:tcW w:w="11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21080505</w:t>
            </w:r>
          </w:p>
        </w:tc>
        <w:tc>
          <w:tcPr>
            <w:tcW w:w="110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2.00E-01</w:t>
            </w:r>
          </w:p>
        </w:tc>
        <w:tc>
          <w:tcPr>
            <w:tcW w:w="6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2.36</w:t>
            </w:r>
          </w:p>
        </w:tc>
        <w:tc>
          <w:tcPr>
            <w:tcW w:w="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57" w:type="dxa"/>
            <w:bottom w:w="0" w:type="dxa"/>
            <w:right w:w="57" w:type="dxa"/>
          </w:tblCellMar>
        </w:tblPrEx>
        <w:trPr>
          <w:trHeight w:val="502" w:hRule="atLeast"/>
          <w:jc w:val="center"/>
        </w:trPr>
        <w:tc>
          <w:tcPr>
            <w:tcW w:w="673"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1195"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eastAsia="zh-CN"/>
              </w:rPr>
            </w:pPr>
            <w:r>
              <w:rPr>
                <w:rFonts w:hint="eastAsia"/>
                <w:color w:val="auto"/>
              </w:rPr>
              <w:t>祁家湖村</w:t>
            </w:r>
          </w:p>
        </w:tc>
        <w:tc>
          <w:tcPr>
            <w:tcW w:w="720"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-4423</w:t>
            </w:r>
          </w:p>
        </w:tc>
        <w:tc>
          <w:tcPr>
            <w:tcW w:w="747"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-1779</w:t>
            </w:r>
          </w:p>
        </w:tc>
        <w:tc>
          <w:tcPr>
            <w:tcW w:w="78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w:t>
            </w:r>
          </w:p>
        </w:tc>
        <w:tc>
          <w:tcPr>
            <w:tcW w:w="112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2.60E-03</w:t>
            </w:r>
          </w:p>
        </w:tc>
        <w:tc>
          <w:tcPr>
            <w:tcW w:w="11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21071205</w:t>
            </w:r>
          </w:p>
        </w:tc>
        <w:tc>
          <w:tcPr>
            <w:tcW w:w="110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2.00E-01</w:t>
            </w:r>
          </w:p>
        </w:tc>
        <w:tc>
          <w:tcPr>
            <w:tcW w:w="6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1.3</w:t>
            </w:r>
          </w:p>
        </w:tc>
        <w:tc>
          <w:tcPr>
            <w:tcW w:w="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57" w:type="dxa"/>
            <w:bottom w:w="0" w:type="dxa"/>
            <w:right w:w="57" w:type="dxa"/>
          </w:tblCellMar>
        </w:tblPrEx>
        <w:trPr>
          <w:trHeight w:val="502" w:hRule="atLeast"/>
          <w:jc w:val="center"/>
        </w:trPr>
        <w:tc>
          <w:tcPr>
            <w:tcW w:w="673"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1195"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eastAsia"/>
                <w:color w:val="auto"/>
              </w:rPr>
              <w:t>永丰四队</w:t>
            </w:r>
          </w:p>
        </w:tc>
        <w:tc>
          <w:tcPr>
            <w:tcW w:w="720"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-3363</w:t>
            </w:r>
          </w:p>
        </w:tc>
        <w:tc>
          <w:tcPr>
            <w:tcW w:w="747"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-3690</w:t>
            </w:r>
          </w:p>
        </w:tc>
        <w:tc>
          <w:tcPr>
            <w:tcW w:w="78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w:t>
            </w:r>
          </w:p>
        </w:tc>
        <w:tc>
          <w:tcPr>
            <w:tcW w:w="112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2.15E-03</w:t>
            </w:r>
          </w:p>
        </w:tc>
        <w:tc>
          <w:tcPr>
            <w:tcW w:w="11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21051023</w:t>
            </w:r>
          </w:p>
        </w:tc>
        <w:tc>
          <w:tcPr>
            <w:tcW w:w="110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2.00E-01</w:t>
            </w:r>
          </w:p>
        </w:tc>
        <w:tc>
          <w:tcPr>
            <w:tcW w:w="6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1.08</w:t>
            </w:r>
          </w:p>
        </w:tc>
        <w:tc>
          <w:tcPr>
            <w:tcW w:w="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57" w:type="dxa"/>
            <w:bottom w:w="0" w:type="dxa"/>
            <w:right w:w="57" w:type="dxa"/>
          </w:tblCellMar>
        </w:tblPrEx>
        <w:trPr>
          <w:trHeight w:val="502" w:hRule="atLeast"/>
          <w:jc w:val="center"/>
        </w:trPr>
        <w:tc>
          <w:tcPr>
            <w:tcW w:w="673"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color w:val="auto"/>
                <w:sz w:val="21"/>
                <w:szCs w:val="21"/>
                <w:highlight w:val="none"/>
                <w:lang w:val="en-US" w:eastAsia="zh-CN"/>
              </w:rPr>
            </w:pPr>
          </w:p>
        </w:tc>
        <w:tc>
          <w:tcPr>
            <w:tcW w:w="1195"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十八户村</w:t>
            </w:r>
          </w:p>
        </w:tc>
        <w:tc>
          <w:tcPr>
            <w:tcW w:w="720" w:type="dxa"/>
            <w:tcBorders>
              <w:tl2br w:val="nil"/>
              <w:tr2bl w:val="nil"/>
            </w:tcBorders>
            <w:noWrap w:val="0"/>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olor w:val="auto"/>
              </w:rPr>
              <w:t>-3224</w:t>
            </w:r>
          </w:p>
        </w:tc>
        <w:tc>
          <w:tcPr>
            <w:tcW w:w="747" w:type="dxa"/>
            <w:tcBorders>
              <w:tl2br w:val="nil"/>
              <w:tr2bl w:val="nil"/>
            </w:tcBorders>
            <w:noWrap w:val="0"/>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olor w:val="auto"/>
              </w:rPr>
              <w:t>-4231</w:t>
            </w:r>
          </w:p>
        </w:tc>
        <w:tc>
          <w:tcPr>
            <w:tcW w:w="78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w:t>
            </w:r>
          </w:p>
        </w:tc>
        <w:tc>
          <w:tcPr>
            <w:tcW w:w="112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2.82E-03</w:t>
            </w:r>
          </w:p>
        </w:tc>
        <w:tc>
          <w:tcPr>
            <w:tcW w:w="11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21080323</w:t>
            </w:r>
          </w:p>
        </w:tc>
        <w:tc>
          <w:tcPr>
            <w:tcW w:w="110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2.00E-01</w:t>
            </w:r>
          </w:p>
        </w:tc>
        <w:tc>
          <w:tcPr>
            <w:tcW w:w="6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1.41</w:t>
            </w:r>
          </w:p>
        </w:tc>
        <w:tc>
          <w:tcPr>
            <w:tcW w:w="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57" w:type="dxa"/>
            <w:bottom w:w="0" w:type="dxa"/>
            <w:right w:w="57" w:type="dxa"/>
          </w:tblCellMar>
        </w:tblPrEx>
        <w:trPr>
          <w:trHeight w:val="502" w:hRule="atLeast"/>
          <w:jc w:val="center"/>
        </w:trPr>
        <w:tc>
          <w:tcPr>
            <w:tcW w:w="673"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119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网格点</w:t>
            </w:r>
          </w:p>
        </w:tc>
        <w:tc>
          <w:tcPr>
            <w:tcW w:w="720" w:type="dxa"/>
            <w:tcBorders>
              <w:tl2br w:val="nil"/>
              <w:tr2bl w:val="nil"/>
            </w:tcBorders>
            <w:noWrap w:val="0"/>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olor w:val="auto"/>
                <w:highlight w:val="none"/>
                <w:lang w:val="en-US" w:eastAsia="zh-CN"/>
              </w:rPr>
              <w:t>85</w:t>
            </w:r>
          </w:p>
        </w:tc>
        <w:tc>
          <w:tcPr>
            <w:tcW w:w="747" w:type="dxa"/>
            <w:tcBorders>
              <w:tl2br w:val="nil"/>
              <w:tr2bl w:val="nil"/>
            </w:tcBorders>
            <w:noWrap w:val="0"/>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olor w:val="auto"/>
                <w:highlight w:val="none"/>
                <w:lang w:val="en-US" w:eastAsia="zh-CN"/>
              </w:rPr>
              <w:t>-146</w:t>
            </w:r>
          </w:p>
        </w:tc>
        <w:tc>
          <w:tcPr>
            <w:tcW w:w="78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w:t>
            </w:r>
          </w:p>
        </w:tc>
        <w:tc>
          <w:tcPr>
            <w:tcW w:w="112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2.70E-02</w:t>
            </w:r>
          </w:p>
        </w:tc>
        <w:tc>
          <w:tcPr>
            <w:tcW w:w="11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21071320</w:t>
            </w:r>
          </w:p>
        </w:tc>
        <w:tc>
          <w:tcPr>
            <w:tcW w:w="110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2.00E-01</w:t>
            </w:r>
          </w:p>
        </w:tc>
        <w:tc>
          <w:tcPr>
            <w:tcW w:w="6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13.5</w:t>
            </w:r>
          </w:p>
        </w:tc>
        <w:tc>
          <w:tcPr>
            <w:tcW w:w="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57" w:type="dxa"/>
            <w:bottom w:w="0" w:type="dxa"/>
            <w:right w:w="57" w:type="dxa"/>
          </w:tblCellMar>
        </w:tblPrEx>
        <w:trPr>
          <w:trHeight w:val="502" w:hRule="atLeast"/>
          <w:jc w:val="center"/>
        </w:trPr>
        <w:tc>
          <w:tcPr>
            <w:tcW w:w="673"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top"/>
              <w:rPr>
                <w:rFonts w:hint="default" w:ascii="Times New Roman" w:hAnsi="Times New Roman" w:eastAsia="宋体" w:cs="Times New Roman"/>
                <w:color w:val="auto"/>
                <w:sz w:val="21"/>
                <w:szCs w:val="21"/>
                <w:highlight w:val="none"/>
                <w:vertAlign w:val="subscript"/>
                <w:lang w:val="en-US" w:eastAsia="zh-CN"/>
              </w:rPr>
            </w:pPr>
            <w:r>
              <w:rPr>
                <w:rFonts w:hint="eastAsia" w:ascii="Times New Roman" w:hAnsi="Times New Roman" w:eastAsia="宋体" w:cs="Times New Roman"/>
                <w:i w:val="0"/>
                <w:color w:val="auto"/>
                <w:kern w:val="0"/>
                <w:sz w:val="21"/>
                <w:szCs w:val="21"/>
                <w:highlight w:val="none"/>
                <w:u w:val="none"/>
                <w:lang w:val="en-US" w:eastAsia="zh-CN" w:bidi="ar"/>
              </w:rPr>
              <w:t>硫化氢</w:t>
            </w:r>
          </w:p>
        </w:tc>
        <w:tc>
          <w:tcPr>
            <w:tcW w:w="1195"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十八户村四组</w:t>
            </w:r>
          </w:p>
        </w:tc>
        <w:tc>
          <w:tcPr>
            <w:tcW w:w="720"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-2639</w:t>
            </w:r>
          </w:p>
        </w:tc>
        <w:tc>
          <w:tcPr>
            <w:tcW w:w="747"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-1063</w:t>
            </w:r>
          </w:p>
        </w:tc>
        <w:tc>
          <w:tcPr>
            <w:tcW w:w="78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w:t>
            </w:r>
          </w:p>
        </w:tc>
        <w:tc>
          <w:tcPr>
            <w:tcW w:w="112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3.39E-04</w:t>
            </w:r>
          </w:p>
        </w:tc>
        <w:tc>
          <w:tcPr>
            <w:tcW w:w="11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21080505</w:t>
            </w:r>
          </w:p>
        </w:tc>
        <w:tc>
          <w:tcPr>
            <w:tcW w:w="110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1.00E-02</w:t>
            </w:r>
          </w:p>
        </w:tc>
        <w:tc>
          <w:tcPr>
            <w:tcW w:w="6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3.38</w:t>
            </w:r>
          </w:p>
        </w:tc>
        <w:tc>
          <w:tcPr>
            <w:tcW w:w="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57" w:type="dxa"/>
            <w:bottom w:w="0" w:type="dxa"/>
            <w:right w:w="57" w:type="dxa"/>
          </w:tblCellMar>
        </w:tblPrEx>
        <w:trPr>
          <w:trHeight w:val="502" w:hRule="atLeast"/>
          <w:jc w:val="center"/>
        </w:trPr>
        <w:tc>
          <w:tcPr>
            <w:tcW w:w="673"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1195"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祁家湖村</w:t>
            </w:r>
          </w:p>
        </w:tc>
        <w:tc>
          <w:tcPr>
            <w:tcW w:w="720"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-4423</w:t>
            </w:r>
          </w:p>
        </w:tc>
        <w:tc>
          <w:tcPr>
            <w:tcW w:w="747"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-1779</w:t>
            </w:r>
          </w:p>
        </w:tc>
        <w:tc>
          <w:tcPr>
            <w:tcW w:w="78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w:t>
            </w:r>
          </w:p>
        </w:tc>
        <w:tc>
          <w:tcPr>
            <w:tcW w:w="112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1.87E-04</w:t>
            </w:r>
          </w:p>
        </w:tc>
        <w:tc>
          <w:tcPr>
            <w:tcW w:w="11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21071205</w:t>
            </w:r>
          </w:p>
        </w:tc>
        <w:tc>
          <w:tcPr>
            <w:tcW w:w="110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1.00E-02</w:t>
            </w:r>
          </w:p>
        </w:tc>
        <w:tc>
          <w:tcPr>
            <w:tcW w:w="6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1.87</w:t>
            </w:r>
          </w:p>
        </w:tc>
        <w:tc>
          <w:tcPr>
            <w:tcW w:w="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57" w:type="dxa"/>
            <w:bottom w:w="0" w:type="dxa"/>
            <w:right w:w="57" w:type="dxa"/>
          </w:tblCellMar>
        </w:tblPrEx>
        <w:trPr>
          <w:trHeight w:val="502" w:hRule="atLeast"/>
          <w:jc w:val="center"/>
        </w:trPr>
        <w:tc>
          <w:tcPr>
            <w:tcW w:w="673"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1195"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永丰四队</w:t>
            </w:r>
          </w:p>
        </w:tc>
        <w:tc>
          <w:tcPr>
            <w:tcW w:w="720"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-3363</w:t>
            </w:r>
          </w:p>
        </w:tc>
        <w:tc>
          <w:tcPr>
            <w:tcW w:w="747"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-3690</w:t>
            </w:r>
          </w:p>
        </w:tc>
        <w:tc>
          <w:tcPr>
            <w:tcW w:w="78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w:t>
            </w:r>
          </w:p>
        </w:tc>
        <w:tc>
          <w:tcPr>
            <w:tcW w:w="112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1.54E-04</w:t>
            </w:r>
          </w:p>
        </w:tc>
        <w:tc>
          <w:tcPr>
            <w:tcW w:w="11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21051023</w:t>
            </w:r>
          </w:p>
        </w:tc>
        <w:tc>
          <w:tcPr>
            <w:tcW w:w="110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1.00E-02</w:t>
            </w:r>
          </w:p>
        </w:tc>
        <w:tc>
          <w:tcPr>
            <w:tcW w:w="6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1.54</w:t>
            </w:r>
          </w:p>
        </w:tc>
        <w:tc>
          <w:tcPr>
            <w:tcW w:w="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57" w:type="dxa"/>
            <w:bottom w:w="0" w:type="dxa"/>
            <w:right w:w="57" w:type="dxa"/>
          </w:tblCellMar>
        </w:tblPrEx>
        <w:trPr>
          <w:trHeight w:val="502" w:hRule="atLeast"/>
          <w:jc w:val="center"/>
        </w:trPr>
        <w:tc>
          <w:tcPr>
            <w:tcW w:w="673"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top"/>
              <w:rPr>
                <w:rFonts w:hint="default" w:ascii="Times New Roman" w:hAnsi="Times New Roman" w:eastAsia="宋体" w:cs="Times New Roman"/>
                <w:color w:val="auto"/>
                <w:sz w:val="21"/>
                <w:szCs w:val="21"/>
                <w:highlight w:val="none"/>
              </w:rPr>
            </w:pPr>
          </w:p>
        </w:tc>
        <w:tc>
          <w:tcPr>
            <w:tcW w:w="1195"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eastAsia"/>
                <w:color w:val="auto"/>
              </w:rPr>
              <w:t>十八户村</w:t>
            </w:r>
          </w:p>
        </w:tc>
        <w:tc>
          <w:tcPr>
            <w:tcW w:w="720"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-3224</w:t>
            </w:r>
          </w:p>
        </w:tc>
        <w:tc>
          <w:tcPr>
            <w:tcW w:w="747"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-4231</w:t>
            </w:r>
          </w:p>
        </w:tc>
        <w:tc>
          <w:tcPr>
            <w:tcW w:w="78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w:t>
            </w:r>
          </w:p>
        </w:tc>
        <w:tc>
          <w:tcPr>
            <w:tcW w:w="112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2.02E-04</w:t>
            </w:r>
          </w:p>
        </w:tc>
        <w:tc>
          <w:tcPr>
            <w:tcW w:w="11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21080323</w:t>
            </w:r>
          </w:p>
        </w:tc>
        <w:tc>
          <w:tcPr>
            <w:tcW w:w="110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1.00E-02</w:t>
            </w:r>
          </w:p>
        </w:tc>
        <w:tc>
          <w:tcPr>
            <w:tcW w:w="6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2.02</w:t>
            </w:r>
          </w:p>
        </w:tc>
        <w:tc>
          <w:tcPr>
            <w:tcW w:w="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57" w:type="dxa"/>
            <w:bottom w:w="0" w:type="dxa"/>
            <w:right w:w="57" w:type="dxa"/>
          </w:tblCellMar>
        </w:tblPrEx>
        <w:trPr>
          <w:trHeight w:val="502" w:hRule="atLeast"/>
          <w:jc w:val="center"/>
        </w:trPr>
        <w:tc>
          <w:tcPr>
            <w:tcW w:w="673"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119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网格点</w:t>
            </w:r>
          </w:p>
        </w:tc>
        <w:tc>
          <w:tcPr>
            <w:tcW w:w="720"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highlight w:val="none"/>
                <w:lang w:val="en-US" w:eastAsia="zh-CN"/>
              </w:rPr>
              <w:t>85</w:t>
            </w:r>
          </w:p>
        </w:tc>
        <w:tc>
          <w:tcPr>
            <w:tcW w:w="747"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highlight w:val="none"/>
                <w:lang w:val="en-US" w:eastAsia="zh-CN"/>
              </w:rPr>
              <w:t>-146</w:t>
            </w:r>
          </w:p>
        </w:tc>
        <w:tc>
          <w:tcPr>
            <w:tcW w:w="78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w:t>
            </w:r>
          </w:p>
        </w:tc>
        <w:tc>
          <w:tcPr>
            <w:tcW w:w="112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1.98E-03</w:t>
            </w:r>
          </w:p>
        </w:tc>
        <w:tc>
          <w:tcPr>
            <w:tcW w:w="11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21071320</w:t>
            </w:r>
          </w:p>
        </w:tc>
        <w:tc>
          <w:tcPr>
            <w:tcW w:w="110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1.00E-02</w:t>
            </w:r>
          </w:p>
        </w:tc>
        <w:tc>
          <w:tcPr>
            <w:tcW w:w="6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19.82</w:t>
            </w:r>
          </w:p>
        </w:tc>
        <w:tc>
          <w:tcPr>
            <w:tcW w:w="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57" w:type="dxa"/>
            <w:bottom w:w="0" w:type="dxa"/>
            <w:right w:w="57" w:type="dxa"/>
          </w:tblCellMar>
        </w:tblPrEx>
        <w:trPr>
          <w:trHeight w:val="502" w:hRule="atLeast"/>
          <w:jc w:val="center"/>
        </w:trPr>
        <w:tc>
          <w:tcPr>
            <w:tcW w:w="673" w:type="dxa"/>
            <w:vMerge w:val="restart"/>
            <w:tcBorders>
              <w:top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top"/>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NMHC</w:t>
            </w:r>
          </w:p>
        </w:tc>
        <w:tc>
          <w:tcPr>
            <w:tcW w:w="1195"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eastAsia"/>
                <w:color w:val="auto"/>
              </w:rPr>
              <w:t>十八户村四组</w:t>
            </w:r>
          </w:p>
        </w:tc>
        <w:tc>
          <w:tcPr>
            <w:tcW w:w="720"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-2639</w:t>
            </w:r>
          </w:p>
        </w:tc>
        <w:tc>
          <w:tcPr>
            <w:tcW w:w="747"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-1063</w:t>
            </w:r>
          </w:p>
        </w:tc>
        <w:tc>
          <w:tcPr>
            <w:tcW w:w="78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w:t>
            </w:r>
          </w:p>
        </w:tc>
        <w:tc>
          <w:tcPr>
            <w:tcW w:w="112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3.39E-02</w:t>
            </w:r>
          </w:p>
        </w:tc>
        <w:tc>
          <w:tcPr>
            <w:tcW w:w="11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21080505</w:t>
            </w:r>
          </w:p>
        </w:tc>
        <w:tc>
          <w:tcPr>
            <w:tcW w:w="110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2.00E+00</w:t>
            </w:r>
          </w:p>
        </w:tc>
        <w:tc>
          <w:tcPr>
            <w:tcW w:w="6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1.69</w:t>
            </w:r>
          </w:p>
        </w:tc>
        <w:tc>
          <w:tcPr>
            <w:tcW w:w="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57" w:type="dxa"/>
            <w:bottom w:w="0" w:type="dxa"/>
            <w:right w:w="57" w:type="dxa"/>
          </w:tblCellMar>
        </w:tblPrEx>
        <w:trPr>
          <w:trHeight w:val="502" w:hRule="atLeast"/>
          <w:jc w:val="center"/>
        </w:trPr>
        <w:tc>
          <w:tcPr>
            <w:tcW w:w="673"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1195"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eastAsia="zh-CN"/>
              </w:rPr>
            </w:pPr>
            <w:r>
              <w:rPr>
                <w:rFonts w:hint="eastAsia"/>
                <w:color w:val="auto"/>
              </w:rPr>
              <w:t>祁家湖村</w:t>
            </w:r>
          </w:p>
        </w:tc>
        <w:tc>
          <w:tcPr>
            <w:tcW w:w="720"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-4423</w:t>
            </w:r>
          </w:p>
        </w:tc>
        <w:tc>
          <w:tcPr>
            <w:tcW w:w="747"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-1779</w:t>
            </w:r>
          </w:p>
        </w:tc>
        <w:tc>
          <w:tcPr>
            <w:tcW w:w="78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w:t>
            </w:r>
          </w:p>
        </w:tc>
        <w:tc>
          <w:tcPr>
            <w:tcW w:w="112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1.87E-02</w:t>
            </w:r>
          </w:p>
        </w:tc>
        <w:tc>
          <w:tcPr>
            <w:tcW w:w="11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21080505</w:t>
            </w:r>
          </w:p>
        </w:tc>
        <w:tc>
          <w:tcPr>
            <w:tcW w:w="110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2.00E+00</w:t>
            </w:r>
          </w:p>
        </w:tc>
        <w:tc>
          <w:tcPr>
            <w:tcW w:w="6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0.94</w:t>
            </w:r>
          </w:p>
        </w:tc>
        <w:tc>
          <w:tcPr>
            <w:tcW w:w="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57" w:type="dxa"/>
            <w:bottom w:w="0" w:type="dxa"/>
            <w:right w:w="57" w:type="dxa"/>
          </w:tblCellMar>
        </w:tblPrEx>
        <w:trPr>
          <w:trHeight w:val="502" w:hRule="atLeast"/>
          <w:jc w:val="center"/>
        </w:trPr>
        <w:tc>
          <w:tcPr>
            <w:tcW w:w="673"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1195"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eastAsia"/>
                <w:color w:val="auto"/>
              </w:rPr>
              <w:t>永丰四队</w:t>
            </w:r>
          </w:p>
        </w:tc>
        <w:tc>
          <w:tcPr>
            <w:tcW w:w="720"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-3363</w:t>
            </w:r>
          </w:p>
        </w:tc>
        <w:tc>
          <w:tcPr>
            <w:tcW w:w="747"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-3690</w:t>
            </w:r>
          </w:p>
        </w:tc>
        <w:tc>
          <w:tcPr>
            <w:tcW w:w="78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w:t>
            </w:r>
          </w:p>
        </w:tc>
        <w:tc>
          <w:tcPr>
            <w:tcW w:w="112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1.55E-02</w:t>
            </w:r>
          </w:p>
        </w:tc>
        <w:tc>
          <w:tcPr>
            <w:tcW w:w="11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21051023</w:t>
            </w:r>
          </w:p>
        </w:tc>
        <w:tc>
          <w:tcPr>
            <w:tcW w:w="110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2.00E+00</w:t>
            </w:r>
          </w:p>
        </w:tc>
        <w:tc>
          <w:tcPr>
            <w:tcW w:w="6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0.77</w:t>
            </w:r>
          </w:p>
        </w:tc>
        <w:tc>
          <w:tcPr>
            <w:tcW w:w="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57" w:type="dxa"/>
            <w:bottom w:w="0" w:type="dxa"/>
            <w:right w:w="57" w:type="dxa"/>
          </w:tblCellMar>
        </w:tblPrEx>
        <w:trPr>
          <w:trHeight w:val="502" w:hRule="atLeast"/>
          <w:jc w:val="center"/>
        </w:trPr>
        <w:tc>
          <w:tcPr>
            <w:tcW w:w="673"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top"/>
              <w:rPr>
                <w:rFonts w:hint="default" w:ascii="Times New Roman" w:hAnsi="Times New Roman" w:eastAsia="宋体" w:cs="Times New Roman"/>
                <w:color w:val="auto"/>
                <w:sz w:val="21"/>
                <w:szCs w:val="21"/>
                <w:highlight w:val="none"/>
              </w:rPr>
            </w:pPr>
          </w:p>
        </w:tc>
        <w:tc>
          <w:tcPr>
            <w:tcW w:w="1195"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eastAsia"/>
                <w:color w:val="auto"/>
              </w:rPr>
              <w:t>十八户村</w:t>
            </w:r>
          </w:p>
        </w:tc>
        <w:tc>
          <w:tcPr>
            <w:tcW w:w="720"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-3224</w:t>
            </w:r>
          </w:p>
        </w:tc>
        <w:tc>
          <w:tcPr>
            <w:tcW w:w="747"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-4231</w:t>
            </w:r>
          </w:p>
        </w:tc>
        <w:tc>
          <w:tcPr>
            <w:tcW w:w="78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w:t>
            </w:r>
          </w:p>
        </w:tc>
        <w:tc>
          <w:tcPr>
            <w:tcW w:w="112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2.03E-02</w:t>
            </w:r>
          </w:p>
        </w:tc>
        <w:tc>
          <w:tcPr>
            <w:tcW w:w="11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21080323</w:t>
            </w:r>
          </w:p>
        </w:tc>
        <w:tc>
          <w:tcPr>
            <w:tcW w:w="110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2.00E+00</w:t>
            </w:r>
          </w:p>
        </w:tc>
        <w:tc>
          <w:tcPr>
            <w:tcW w:w="6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1.02</w:t>
            </w:r>
          </w:p>
        </w:tc>
        <w:tc>
          <w:tcPr>
            <w:tcW w:w="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57" w:type="dxa"/>
            <w:bottom w:w="0" w:type="dxa"/>
            <w:right w:w="57" w:type="dxa"/>
          </w:tblCellMar>
        </w:tblPrEx>
        <w:trPr>
          <w:trHeight w:val="502" w:hRule="atLeast"/>
          <w:jc w:val="center"/>
        </w:trPr>
        <w:tc>
          <w:tcPr>
            <w:tcW w:w="673"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119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网格点</w:t>
            </w:r>
          </w:p>
        </w:tc>
        <w:tc>
          <w:tcPr>
            <w:tcW w:w="720"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highlight w:val="none"/>
                <w:lang w:val="en-US" w:eastAsia="zh-CN"/>
              </w:rPr>
              <w:t>85</w:t>
            </w:r>
          </w:p>
        </w:tc>
        <w:tc>
          <w:tcPr>
            <w:tcW w:w="747"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highlight w:val="none"/>
                <w:lang w:val="en-US" w:eastAsia="zh-CN"/>
              </w:rPr>
              <w:t>-146</w:t>
            </w:r>
          </w:p>
        </w:tc>
        <w:tc>
          <w:tcPr>
            <w:tcW w:w="78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w:t>
            </w:r>
          </w:p>
        </w:tc>
        <w:tc>
          <w:tcPr>
            <w:tcW w:w="112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1.82E-01</w:t>
            </w:r>
          </w:p>
        </w:tc>
        <w:tc>
          <w:tcPr>
            <w:tcW w:w="11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21071320</w:t>
            </w:r>
          </w:p>
        </w:tc>
        <w:tc>
          <w:tcPr>
            <w:tcW w:w="110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2.00E+00</w:t>
            </w:r>
          </w:p>
        </w:tc>
        <w:tc>
          <w:tcPr>
            <w:tcW w:w="6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9.12</w:t>
            </w:r>
          </w:p>
        </w:tc>
        <w:tc>
          <w:tcPr>
            <w:tcW w:w="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57" w:type="dxa"/>
            <w:bottom w:w="0" w:type="dxa"/>
            <w:right w:w="57" w:type="dxa"/>
          </w:tblCellMar>
        </w:tblPrEx>
        <w:trPr>
          <w:trHeight w:val="502" w:hRule="atLeast"/>
          <w:jc w:val="center"/>
        </w:trPr>
        <w:tc>
          <w:tcPr>
            <w:tcW w:w="673" w:type="dxa"/>
            <w:vMerge w:val="restart"/>
            <w:tcBorders>
              <w:top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top"/>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i w:val="0"/>
                <w:color w:val="auto"/>
                <w:kern w:val="0"/>
                <w:sz w:val="21"/>
                <w:szCs w:val="21"/>
                <w:highlight w:val="none"/>
                <w:u w:val="none"/>
                <w:lang w:val="en-US" w:eastAsia="zh-CN" w:bidi="ar"/>
              </w:rPr>
              <w:t>甲醇</w:t>
            </w:r>
          </w:p>
        </w:tc>
        <w:tc>
          <w:tcPr>
            <w:tcW w:w="1195"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eastAsia"/>
                <w:color w:val="auto"/>
              </w:rPr>
              <w:t>十八户村四组</w:t>
            </w:r>
          </w:p>
        </w:tc>
        <w:tc>
          <w:tcPr>
            <w:tcW w:w="720"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-2639</w:t>
            </w:r>
          </w:p>
        </w:tc>
        <w:tc>
          <w:tcPr>
            <w:tcW w:w="747"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-1063</w:t>
            </w:r>
          </w:p>
        </w:tc>
        <w:tc>
          <w:tcPr>
            <w:tcW w:w="78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w:t>
            </w:r>
          </w:p>
        </w:tc>
        <w:tc>
          <w:tcPr>
            <w:tcW w:w="112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2.09E-05</w:t>
            </w:r>
          </w:p>
        </w:tc>
        <w:tc>
          <w:tcPr>
            <w:tcW w:w="11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21110520</w:t>
            </w:r>
          </w:p>
        </w:tc>
        <w:tc>
          <w:tcPr>
            <w:tcW w:w="110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3.00E+00</w:t>
            </w:r>
          </w:p>
        </w:tc>
        <w:tc>
          <w:tcPr>
            <w:tcW w:w="6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p>
        </w:tc>
        <w:tc>
          <w:tcPr>
            <w:tcW w:w="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57" w:type="dxa"/>
            <w:bottom w:w="0" w:type="dxa"/>
            <w:right w:w="57" w:type="dxa"/>
          </w:tblCellMar>
        </w:tblPrEx>
        <w:trPr>
          <w:trHeight w:val="502" w:hRule="atLeast"/>
          <w:jc w:val="center"/>
        </w:trPr>
        <w:tc>
          <w:tcPr>
            <w:tcW w:w="673"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1195"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eastAsia="zh-CN"/>
              </w:rPr>
            </w:pPr>
            <w:r>
              <w:rPr>
                <w:rFonts w:hint="eastAsia"/>
                <w:color w:val="auto"/>
              </w:rPr>
              <w:t>祁家湖村</w:t>
            </w:r>
          </w:p>
        </w:tc>
        <w:tc>
          <w:tcPr>
            <w:tcW w:w="720"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-4423</w:t>
            </w:r>
          </w:p>
        </w:tc>
        <w:tc>
          <w:tcPr>
            <w:tcW w:w="747"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-1779</w:t>
            </w:r>
          </w:p>
        </w:tc>
        <w:tc>
          <w:tcPr>
            <w:tcW w:w="78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w:t>
            </w:r>
          </w:p>
        </w:tc>
        <w:tc>
          <w:tcPr>
            <w:tcW w:w="112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1.09E-05</w:t>
            </w:r>
          </w:p>
        </w:tc>
        <w:tc>
          <w:tcPr>
            <w:tcW w:w="11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21110520</w:t>
            </w:r>
          </w:p>
        </w:tc>
        <w:tc>
          <w:tcPr>
            <w:tcW w:w="110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3.00E+00</w:t>
            </w:r>
          </w:p>
        </w:tc>
        <w:tc>
          <w:tcPr>
            <w:tcW w:w="6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p>
        </w:tc>
        <w:tc>
          <w:tcPr>
            <w:tcW w:w="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57" w:type="dxa"/>
            <w:bottom w:w="0" w:type="dxa"/>
            <w:right w:w="57" w:type="dxa"/>
          </w:tblCellMar>
        </w:tblPrEx>
        <w:trPr>
          <w:trHeight w:val="502" w:hRule="atLeast"/>
          <w:jc w:val="center"/>
        </w:trPr>
        <w:tc>
          <w:tcPr>
            <w:tcW w:w="673"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1195"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eastAsia"/>
                <w:color w:val="auto"/>
              </w:rPr>
              <w:t>永丰四队</w:t>
            </w:r>
          </w:p>
        </w:tc>
        <w:tc>
          <w:tcPr>
            <w:tcW w:w="720"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-3363</w:t>
            </w:r>
          </w:p>
        </w:tc>
        <w:tc>
          <w:tcPr>
            <w:tcW w:w="747"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-3690</w:t>
            </w:r>
          </w:p>
        </w:tc>
        <w:tc>
          <w:tcPr>
            <w:tcW w:w="78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w:t>
            </w:r>
          </w:p>
        </w:tc>
        <w:tc>
          <w:tcPr>
            <w:tcW w:w="112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1.03E-05</w:t>
            </w:r>
          </w:p>
        </w:tc>
        <w:tc>
          <w:tcPr>
            <w:tcW w:w="11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21011105</w:t>
            </w:r>
          </w:p>
        </w:tc>
        <w:tc>
          <w:tcPr>
            <w:tcW w:w="110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3.00E+00</w:t>
            </w:r>
          </w:p>
        </w:tc>
        <w:tc>
          <w:tcPr>
            <w:tcW w:w="6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p>
        </w:tc>
        <w:tc>
          <w:tcPr>
            <w:tcW w:w="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57" w:type="dxa"/>
            <w:bottom w:w="0" w:type="dxa"/>
            <w:right w:w="57" w:type="dxa"/>
          </w:tblCellMar>
        </w:tblPrEx>
        <w:trPr>
          <w:trHeight w:val="502" w:hRule="atLeast"/>
          <w:jc w:val="center"/>
        </w:trPr>
        <w:tc>
          <w:tcPr>
            <w:tcW w:w="673"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color w:val="auto"/>
                <w:sz w:val="21"/>
                <w:szCs w:val="21"/>
                <w:highlight w:val="none"/>
                <w:lang w:val="en-US" w:eastAsia="zh-CN"/>
              </w:rPr>
            </w:pPr>
          </w:p>
        </w:tc>
        <w:tc>
          <w:tcPr>
            <w:tcW w:w="1195"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eastAsia="zh-CN"/>
              </w:rPr>
            </w:pPr>
            <w:r>
              <w:rPr>
                <w:rFonts w:hint="eastAsia"/>
                <w:color w:val="auto"/>
              </w:rPr>
              <w:t>十八户村</w:t>
            </w:r>
          </w:p>
        </w:tc>
        <w:tc>
          <w:tcPr>
            <w:tcW w:w="720" w:type="dxa"/>
            <w:tcBorders>
              <w:tl2br w:val="nil"/>
              <w:tr2bl w:val="nil"/>
            </w:tcBorders>
            <w:noWrap w:val="0"/>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olor w:val="auto"/>
              </w:rPr>
              <w:t>-3224</w:t>
            </w:r>
          </w:p>
        </w:tc>
        <w:tc>
          <w:tcPr>
            <w:tcW w:w="747" w:type="dxa"/>
            <w:tcBorders>
              <w:tl2br w:val="nil"/>
              <w:tr2bl w:val="nil"/>
            </w:tcBorders>
            <w:noWrap w:val="0"/>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olor w:val="auto"/>
              </w:rPr>
              <w:t>-4231</w:t>
            </w:r>
          </w:p>
        </w:tc>
        <w:tc>
          <w:tcPr>
            <w:tcW w:w="78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w:t>
            </w:r>
          </w:p>
        </w:tc>
        <w:tc>
          <w:tcPr>
            <w:tcW w:w="112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9.45E-06</w:t>
            </w:r>
          </w:p>
        </w:tc>
        <w:tc>
          <w:tcPr>
            <w:tcW w:w="11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21011005</w:t>
            </w:r>
          </w:p>
        </w:tc>
        <w:tc>
          <w:tcPr>
            <w:tcW w:w="110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3.00E+00</w:t>
            </w:r>
          </w:p>
        </w:tc>
        <w:tc>
          <w:tcPr>
            <w:tcW w:w="6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p>
        </w:tc>
        <w:tc>
          <w:tcPr>
            <w:tcW w:w="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57" w:type="dxa"/>
            <w:bottom w:w="0" w:type="dxa"/>
            <w:right w:w="57" w:type="dxa"/>
          </w:tblCellMar>
        </w:tblPrEx>
        <w:trPr>
          <w:trHeight w:val="502" w:hRule="atLeast"/>
          <w:jc w:val="center"/>
        </w:trPr>
        <w:tc>
          <w:tcPr>
            <w:tcW w:w="673"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119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网格点</w:t>
            </w:r>
          </w:p>
        </w:tc>
        <w:tc>
          <w:tcPr>
            <w:tcW w:w="720" w:type="dxa"/>
            <w:tcBorders>
              <w:tl2br w:val="nil"/>
              <w:tr2bl w:val="nil"/>
            </w:tcBorders>
            <w:noWrap w:val="0"/>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olor w:val="auto"/>
                <w:highlight w:val="none"/>
                <w:lang w:val="en-US" w:eastAsia="zh-CN"/>
              </w:rPr>
              <w:t>85</w:t>
            </w:r>
          </w:p>
        </w:tc>
        <w:tc>
          <w:tcPr>
            <w:tcW w:w="747" w:type="dxa"/>
            <w:tcBorders>
              <w:tl2br w:val="nil"/>
              <w:tr2bl w:val="nil"/>
            </w:tcBorders>
            <w:noWrap w:val="0"/>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olor w:val="auto"/>
                <w:highlight w:val="none"/>
                <w:lang w:val="en-US" w:eastAsia="zh-CN"/>
              </w:rPr>
              <w:t>-146</w:t>
            </w:r>
          </w:p>
        </w:tc>
        <w:tc>
          <w:tcPr>
            <w:tcW w:w="78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w:t>
            </w:r>
          </w:p>
        </w:tc>
        <w:tc>
          <w:tcPr>
            <w:tcW w:w="112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2.00E-04</w:t>
            </w:r>
          </w:p>
        </w:tc>
        <w:tc>
          <w:tcPr>
            <w:tcW w:w="110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21071320</w:t>
            </w:r>
          </w:p>
        </w:tc>
        <w:tc>
          <w:tcPr>
            <w:tcW w:w="110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3.00E+00</w:t>
            </w:r>
          </w:p>
        </w:tc>
        <w:tc>
          <w:tcPr>
            <w:tcW w:w="6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0.01</w:t>
            </w:r>
          </w:p>
        </w:tc>
        <w:tc>
          <w:tcPr>
            <w:tcW w:w="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宋体" w:hAnsi="宋体" w:eastAsia="宋体" w:cs="宋体"/>
                <w:i w:val="0"/>
                <w:iCs w:val="0"/>
                <w:color w:val="auto"/>
                <w:kern w:val="0"/>
                <w:sz w:val="21"/>
                <w:szCs w:val="21"/>
                <w:u w:val="none"/>
                <w:lang w:val="en-US" w:eastAsia="zh-CN" w:bidi="ar"/>
              </w:rPr>
              <w:t>达标</w:t>
            </w:r>
          </w:p>
        </w:tc>
      </w:tr>
    </w:tbl>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70500" cy="3009265"/>
            <wp:effectExtent l="0" t="0" r="6350" b="63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72"/>
                    <a:stretch>
                      <a:fillRect/>
                    </a:stretch>
                  </pic:blipFill>
                  <pic:spPr>
                    <a:xfrm>
                      <a:off x="0" y="0"/>
                      <a:ext cx="5270500" cy="3009265"/>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color w:val="auto"/>
          <w:highlight w:val="none"/>
          <w:lang w:val="en-US" w:eastAsia="zh-CN"/>
        </w:rPr>
        <w:t xml:space="preserve">图 5.2.1-30  </w:t>
      </w:r>
      <w:r>
        <w:rPr>
          <w:rFonts w:hint="default" w:ascii="Times New Roman" w:hAnsi="Times New Roman" w:eastAsia="宋体" w:cs="Times New Roman"/>
          <w:b/>
          <w:color w:val="auto"/>
          <w:highlight w:val="none"/>
        </w:rPr>
        <w:t xml:space="preserve"> </w:t>
      </w:r>
      <w:r>
        <w:rPr>
          <w:rFonts w:hint="default" w:ascii="Times New Roman" w:hAnsi="Times New Roman" w:eastAsia="宋体" w:cs="Times New Roman"/>
          <w:b/>
          <w:color w:val="auto"/>
          <w:highlight w:val="none"/>
          <w:lang w:val="en-US" w:eastAsia="zh-CN"/>
        </w:rPr>
        <w:t xml:space="preserve">非正常工况 </w:t>
      </w:r>
      <w:r>
        <w:rPr>
          <w:rFonts w:hint="eastAsia" w:cs="Times New Roman"/>
          <w:b/>
          <w:color w:val="auto"/>
          <w:highlight w:val="none"/>
          <w:lang w:val="en-US" w:eastAsia="zh-CN"/>
        </w:rPr>
        <w:t>PM</w:t>
      </w:r>
      <w:r>
        <w:rPr>
          <w:rFonts w:hint="eastAsia" w:cs="Times New Roman"/>
          <w:b/>
          <w:color w:val="auto"/>
          <w:highlight w:val="none"/>
          <w:vertAlign w:val="subscript"/>
          <w:lang w:val="en-US" w:eastAsia="zh-CN"/>
        </w:rPr>
        <w:t>10</w:t>
      </w:r>
      <w:r>
        <w:rPr>
          <w:rFonts w:hint="default" w:ascii="Times New Roman" w:hAnsi="Times New Roman" w:eastAsia="宋体" w:cs="Times New Roman"/>
          <w:b/>
          <w:color w:val="auto"/>
          <w:highlight w:val="none"/>
          <w:lang w:val="en-US" w:eastAsia="zh-CN"/>
        </w:rPr>
        <w:t xml:space="preserve"> </w:t>
      </w:r>
      <w:r>
        <w:rPr>
          <w:rFonts w:hint="default" w:ascii="Times New Roman" w:hAnsi="Times New Roman" w:eastAsia="宋体" w:cs="Times New Roman"/>
          <w:b/>
          <w:color w:val="auto"/>
          <w:highlight w:val="none"/>
          <w:vertAlign w:val="baseline"/>
          <w:lang w:val="en-US" w:eastAsia="zh-CN"/>
        </w:rPr>
        <w:t>1h 时</w:t>
      </w:r>
      <w:r>
        <w:rPr>
          <w:rFonts w:hint="default" w:ascii="Times New Roman" w:hAnsi="Times New Roman" w:eastAsia="宋体" w:cs="Times New Roman"/>
          <w:b/>
          <w:color w:val="auto"/>
          <w:highlight w:val="none"/>
        </w:rPr>
        <w:t>环境质量浓度</w:t>
      </w:r>
      <w:r>
        <w:rPr>
          <w:rFonts w:hint="default" w:ascii="Times New Roman" w:hAnsi="Times New Roman" w:eastAsia="宋体" w:cs="Times New Roman"/>
          <w:b/>
          <w:color w:val="auto"/>
          <w:highlight w:val="none"/>
          <w:lang w:val="en-US" w:eastAsia="zh-CN"/>
        </w:rPr>
        <w:t>贡献</w:t>
      </w:r>
      <w:r>
        <w:rPr>
          <w:rFonts w:hint="default" w:ascii="Times New Roman" w:hAnsi="Times New Roman" w:eastAsia="宋体" w:cs="Times New Roman"/>
          <w:b/>
          <w:color w:val="auto"/>
          <w:highlight w:val="none"/>
        </w:rPr>
        <w:t>值分布图</w:t>
      </w: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67960" cy="2947670"/>
            <wp:effectExtent l="0" t="0" r="8890" b="508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73"/>
                    <a:stretch>
                      <a:fillRect/>
                    </a:stretch>
                  </pic:blipFill>
                  <pic:spPr>
                    <a:xfrm>
                      <a:off x="0" y="0"/>
                      <a:ext cx="5267960" cy="2947670"/>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color w:val="auto"/>
          <w:highlight w:val="none"/>
          <w:lang w:val="en-US" w:eastAsia="zh-CN"/>
        </w:rPr>
        <w:t xml:space="preserve">图 5.2.1-31  </w:t>
      </w:r>
      <w:r>
        <w:rPr>
          <w:rFonts w:hint="default" w:ascii="Times New Roman" w:hAnsi="Times New Roman" w:eastAsia="宋体" w:cs="Times New Roman"/>
          <w:b/>
          <w:color w:val="auto"/>
          <w:highlight w:val="none"/>
        </w:rPr>
        <w:t xml:space="preserve"> </w:t>
      </w:r>
      <w:r>
        <w:rPr>
          <w:rFonts w:hint="default" w:ascii="Times New Roman" w:hAnsi="Times New Roman" w:eastAsia="宋体" w:cs="Times New Roman"/>
          <w:b/>
          <w:color w:val="auto"/>
          <w:highlight w:val="none"/>
          <w:lang w:val="en-US" w:eastAsia="zh-CN"/>
        </w:rPr>
        <w:t xml:space="preserve">非正常工况氨 </w:t>
      </w:r>
      <w:r>
        <w:rPr>
          <w:rFonts w:hint="default" w:ascii="Times New Roman" w:hAnsi="Times New Roman" w:eastAsia="宋体" w:cs="Times New Roman"/>
          <w:b/>
          <w:color w:val="auto"/>
          <w:highlight w:val="none"/>
          <w:vertAlign w:val="baseline"/>
          <w:lang w:val="en-US" w:eastAsia="zh-CN"/>
        </w:rPr>
        <w:t>1h 时</w:t>
      </w:r>
      <w:r>
        <w:rPr>
          <w:rFonts w:hint="default" w:ascii="Times New Roman" w:hAnsi="Times New Roman" w:eastAsia="宋体" w:cs="Times New Roman"/>
          <w:b/>
          <w:color w:val="auto"/>
          <w:highlight w:val="none"/>
        </w:rPr>
        <w:t>环境质量浓度</w:t>
      </w:r>
      <w:r>
        <w:rPr>
          <w:rFonts w:hint="default" w:ascii="Times New Roman" w:hAnsi="Times New Roman" w:eastAsia="宋体" w:cs="Times New Roman"/>
          <w:b/>
          <w:color w:val="auto"/>
          <w:highlight w:val="none"/>
          <w:lang w:val="en-US" w:eastAsia="zh-CN"/>
        </w:rPr>
        <w:t>贡献</w:t>
      </w:r>
      <w:r>
        <w:rPr>
          <w:rFonts w:hint="default" w:ascii="Times New Roman" w:hAnsi="Times New Roman" w:eastAsia="宋体" w:cs="Times New Roman"/>
          <w:b/>
          <w:color w:val="auto"/>
          <w:highlight w:val="none"/>
        </w:rPr>
        <w:t>值分布图</w:t>
      </w: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73675" cy="2898775"/>
            <wp:effectExtent l="0" t="0" r="3175" b="1587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74"/>
                    <a:stretch>
                      <a:fillRect/>
                    </a:stretch>
                  </pic:blipFill>
                  <pic:spPr>
                    <a:xfrm>
                      <a:off x="0" y="0"/>
                      <a:ext cx="5273675" cy="2898775"/>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color w:val="auto"/>
          <w:highlight w:val="none"/>
          <w:lang w:val="en-US" w:eastAsia="zh-CN"/>
        </w:rPr>
        <w:t xml:space="preserve">图 5.2.1-32  </w:t>
      </w:r>
      <w:r>
        <w:rPr>
          <w:rFonts w:hint="default" w:ascii="Times New Roman" w:hAnsi="Times New Roman" w:eastAsia="宋体" w:cs="Times New Roman"/>
          <w:b/>
          <w:color w:val="auto"/>
          <w:highlight w:val="none"/>
        </w:rPr>
        <w:t xml:space="preserve"> </w:t>
      </w:r>
      <w:r>
        <w:rPr>
          <w:rFonts w:hint="default" w:ascii="Times New Roman" w:hAnsi="Times New Roman" w:eastAsia="宋体" w:cs="Times New Roman"/>
          <w:b/>
          <w:color w:val="auto"/>
          <w:highlight w:val="none"/>
          <w:lang w:val="en-US" w:eastAsia="zh-CN"/>
        </w:rPr>
        <w:t xml:space="preserve">非正常工况硫化氢 </w:t>
      </w:r>
      <w:r>
        <w:rPr>
          <w:rFonts w:hint="default" w:ascii="Times New Roman" w:hAnsi="Times New Roman" w:eastAsia="宋体" w:cs="Times New Roman"/>
          <w:b/>
          <w:color w:val="auto"/>
          <w:highlight w:val="none"/>
          <w:vertAlign w:val="baseline"/>
          <w:lang w:val="en-US" w:eastAsia="zh-CN"/>
        </w:rPr>
        <w:t>1h 时</w:t>
      </w:r>
      <w:r>
        <w:rPr>
          <w:rFonts w:hint="default" w:ascii="Times New Roman" w:hAnsi="Times New Roman" w:eastAsia="宋体" w:cs="Times New Roman"/>
          <w:b/>
          <w:color w:val="auto"/>
          <w:highlight w:val="none"/>
        </w:rPr>
        <w:t>环境质量浓度</w:t>
      </w:r>
      <w:r>
        <w:rPr>
          <w:rFonts w:hint="default" w:ascii="Times New Roman" w:hAnsi="Times New Roman" w:eastAsia="宋体" w:cs="Times New Roman"/>
          <w:b/>
          <w:color w:val="auto"/>
          <w:highlight w:val="none"/>
          <w:lang w:val="en-US" w:eastAsia="zh-CN"/>
        </w:rPr>
        <w:t>贡献</w:t>
      </w:r>
      <w:r>
        <w:rPr>
          <w:rFonts w:hint="default" w:ascii="Times New Roman" w:hAnsi="Times New Roman" w:eastAsia="宋体" w:cs="Times New Roman"/>
          <w:b/>
          <w:color w:val="auto"/>
          <w:highlight w:val="none"/>
        </w:rPr>
        <w:t>值分布图</w:t>
      </w:r>
    </w:p>
    <w:p>
      <w:pPr>
        <w:pStyle w:val="39"/>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66690" cy="2962910"/>
            <wp:effectExtent l="0" t="0" r="10160" b="8890"/>
            <wp:docPr id="5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1"/>
                    <pic:cNvPicPr>
                      <a:picLocks noChangeAspect="1"/>
                    </pic:cNvPicPr>
                  </pic:nvPicPr>
                  <pic:blipFill>
                    <a:blip r:embed="rId75"/>
                    <a:stretch>
                      <a:fillRect/>
                    </a:stretch>
                  </pic:blipFill>
                  <pic:spPr>
                    <a:xfrm>
                      <a:off x="0" y="0"/>
                      <a:ext cx="5266690" cy="2962910"/>
                    </a:xfrm>
                    <a:prstGeom prst="rect">
                      <a:avLst/>
                    </a:prstGeom>
                    <a:noFill/>
                    <a:ln>
                      <a:noFill/>
                    </a:ln>
                  </pic:spPr>
                </pic:pic>
              </a:graphicData>
            </a:graphic>
          </wp:inline>
        </w:drawing>
      </w:r>
    </w:p>
    <w:p>
      <w:pPr>
        <w:pStyle w:val="39"/>
        <w:keepNext w:val="0"/>
        <w:keepLines w:val="0"/>
        <w:pageBreakBefore w:val="0"/>
        <w:widowControl w:val="0"/>
        <w:kinsoku/>
        <w:wordWrap/>
        <w:overflowPunct/>
        <w:topLinePunct w:val="0"/>
        <w:autoSpaceDE/>
        <w:autoSpaceDN/>
        <w:bidi w:val="0"/>
        <w:spacing w:line="520" w:lineRule="exact"/>
        <w:ind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color w:val="auto"/>
          <w:highlight w:val="none"/>
          <w:lang w:val="en-US" w:eastAsia="zh-CN"/>
        </w:rPr>
        <w:t xml:space="preserve">图 5.2.1-33  </w:t>
      </w:r>
      <w:r>
        <w:rPr>
          <w:rFonts w:hint="default" w:ascii="Times New Roman" w:hAnsi="Times New Roman" w:eastAsia="宋体" w:cs="Times New Roman"/>
          <w:b/>
          <w:color w:val="auto"/>
          <w:highlight w:val="none"/>
        </w:rPr>
        <w:t xml:space="preserve"> </w:t>
      </w:r>
      <w:r>
        <w:rPr>
          <w:rFonts w:hint="default" w:ascii="Times New Roman" w:hAnsi="Times New Roman" w:eastAsia="宋体" w:cs="Times New Roman"/>
          <w:b/>
          <w:color w:val="auto"/>
          <w:highlight w:val="none"/>
          <w:lang w:val="en-US" w:eastAsia="zh-CN"/>
        </w:rPr>
        <w:t>非正常工况</w:t>
      </w:r>
      <w:r>
        <w:rPr>
          <w:rFonts w:hint="eastAsia" w:cs="Times New Roman"/>
          <w:b/>
          <w:color w:val="auto"/>
          <w:highlight w:val="none"/>
          <w:lang w:val="en-US" w:eastAsia="zh-CN"/>
        </w:rPr>
        <w:t>非甲烷总烃</w:t>
      </w:r>
      <w:r>
        <w:rPr>
          <w:rFonts w:hint="default" w:ascii="Times New Roman" w:hAnsi="Times New Roman" w:eastAsia="宋体" w:cs="Times New Roman"/>
          <w:b/>
          <w:color w:val="auto"/>
          <w:highlight w:val="none"/>
          <w:lang w:val="en-US" w:eastAsia="zh-CN"/>
        </w:rPr>
        <w:t xml:space="preserve"> </w:t>
      </w:r>
      <w:r>
        <w:rPr>
          <w:rFonts w:hint="default" w:ascii="Times New Roman" w:hAnsi="Times New Roman" w:eastAsia="宋体" w:cs="Times New Roman"/>
          <w:b/>
          <w:color w:val="auto"/>
          <w:highlight w:val="none"/>
          <w:vertAlign w:val="baseline"/>
          <w:lang w:val="en-US" w:eastAsia="zh-CN"/>
        </w:rPr>
        <w:t>1h 时</w:t>
      </w:r>
      <w:r>
        <w:rPr>
          <w:rFonts w:hint="default" w:ascii="Times New Roman" w:hAnsi="Times New Roman" w:eastAsia="宋体" w:cs="Times New Roman"/>
          <w:b/>
          <w:color w:val="auto"/>
          <w:highlight w:val="none"/>
        </w:rPr>
        <w:t>环境质量浓度</w:t>
      </w:r>
      <w:r>
        <w:rPr>
          <w:rFonts w:hint="default" w:ascii="Times New Roman" w:hAnsi="Times New Roman" w:eastAsia="宋体" w:cs="Times New Roman"/>
          <w:b/>
          <w:color w:val="auto"/>
          <w:highlight w:val="none"/>
          <w:lang w:val="en-US" w:eastAsia="zh-CN"/>
        </w:rPr>
        <w:t>贡献</w:t>
      </w:r>
      <w:r>
        <w:rPr>
          <w:rFonts w:hint="default" w:ascii="Times New Roman" w:hAnsi="Times New Roman" w:eastAsia="宋体" w:cs="Times New Roman"/>
          <w:b/>
          <w:color w:val="auto"/>
          <w:highlight w:val="none"/>
        </w:rPr>
        <w:t>值分布图</w:t>
      </w:r>
    </w:p>
    <w:p>
      <w:pPr>
        <w:pStyle w:val="3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rPr>
      </w:pPr>
      <w:r>
        <w:rPr>
          <w:color w:val="auto"/>
        </w:rPr>
        <w:drawing>
          <wp:inline distT="0" distB="0" distL="114300" distR="114300">
            <wp:extent cx="5272405" cy="2850515"/>
            <wp:effectExtent l="0" t="0" r="4445" b="6985"/>
            <wp:docPr id="5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2"/>
                    <pic:cNvPicPr>
                      <a:picLocks noChangeAspect="1"/>
                    </pic:cNvPicPr>
                  </pic:nvPicPr>
                  <pic:blipFill>
                    <a:blip r:embed="rId76"/>
                    <a:stretch>
                      <a:fillRect/>
                    </a:stretch>
                  </pic:blipFill>
                  <pic:spPr>
                    <a:xfrm>
                      <a:off x="0" y="0"/>
                      <a:ext cx="5272405" cy="2850515"/>
                    </a:xfrm>
                    <a:prstGeom prst="rect">
                      <a:avLst/>
                    </a:prstGeom>
                    <a:noFill/>
                    <a:ln>
                      <a:noFill/>
                    </a:ln>
                  </pic:spPr>
                </pic:pic>
              </a:graphicData>
            </a:graphic>
          </wp:inline>
        </w:drawing>
      </w:r>
    </w:p>
    <w:p>
      <w:pPr>
        <w:pStyle w:val="26"/>
        <w:keepNext w:val="0"/>
        <w:keepLines w:val="0"/>
        <w:pageBreakBefore w:val="0"/>
        <w:widowControl w:val="0"/>
        <w:kinsoku/>
        <w:wordWrap/>
        <w:overflowPunct/>
        <w:topLinePunct w:val="0"/>
        <w:autoSpaceDE/>
        <w:autoSpaceDN/>
        <w:bidi w:val="0"/>
        <w:spacing w:line="560" w:lineRule="exact"/>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b/>
          <w:color w:val="auto"/>
          <w:highlight w:val="none"/>
          <w:lang w:val="en-US" w:eastAsia="zh-CN"/>
        </w:rPr>
        <w:t xml:space="preserve">图 5.2.1-34  </w:t>
      </w:r>
      <w:r>
        <w:rPr>
          <w:rFonts w:hint="default" w:ascii="Times New Roman" w:hAnsi="Times New Roman" w:eastAsia="宋体" w:cs="Times New Roman"/>
          <w:b/>
          <w:color w:val="auto"/>
          <w:highlight w:val="none"/>
        </w:rPr>
        <w:t xml:space="preserve"> </w:t>
      </w:r>
      <w:r>
        <w:rPr>
          <w:rFonts w:hint="default" w:ascii="Times New Roman" w:hAnsi="Times New Roman" w:eastAsia="宋体" w:cs="Times New Roman"/>
          <w:b/>
          <w:color w:val="auto"/>
          <w:highlight w:val="none"/>
          <w:lang w:val="en-US" w:eastAsia="zh-CN"/>
        </w:rPr>
        <w:t xml:space="preserve">非正常工况甲醇 </w:t>
      </w:r>
      <w:r>
        <w:rPr>
          <w:rFonts w:hint="default" w:ascii="Times New Roman" w:hAnsi="Times New Roman" w:eastAsia="宋体" w:cs="Times New Roman"/>
          <w:b/>
          <w:color w:val="auto"/>
          <w:highlight w:val="none"/>
          <w:vertAlign w:val="baseline"/>
          <w:lang w:val="en-US" w:eastAsia="zh-CN"/>
        </w:rPr>
        <w:t>1h 时</w:t>
      </w:r>
      <w:r>
        <w:rPr>
          <w:rFonts w:hint="default" w:ascii="Times New Roman" w:hAnsi="Times New Roman" w:eastAsia="宋体" w:cs="Times New Roman"/>
          <w:b/>
          <w:color w:val="auto"/>
          <w:highlight w:val="none"/>
        </w:rPr>
        <w:t>环境质量浓度</w:t>
      </w:r>
      <w:r>
        <w:rPr>
          <w:rFonts w:hint="default" w:ascii="Times New Roman" w:hAnsi="Times New Roman" w:eastAsia="宋体" w:cs="Times New Roman"/>
          <w:b/>
          <w:color w:val="auto"/>
          <w:highlight w:val="none"/>
          <w:lang w:val="en-US" w:eastAsia="zh-CN"/>
        </w:rPr>
        <w:t>贡献</w:t>
      </w:r>
      <w:r>
        <w:rPr>
          <w:rFonts w:hint="default" w:ascii="Times New Roman" w:hAnsi="Times New Roman" w:eastAsia="宋体" w:cs="Times New Roman"/>
          <w:b/>
          <w:color w:val="auto"/>
          <w:highlight w:val="none"/>
        </w:rPr>
        <w:t>值分布图</w:t>
      </w:r>
    </w:p>
    <w:p>
      <w:pPr>
        <w:pStyle w:val="26"/>
        <w:keepNext w:val="0"/>
        <w:keepLines w:val="0"/>
        <w:pageBreakBefore w:val="0"/>
        <w:widowControl w:val="0"/>
        <w:kinsoku/>
        <w:wordWrap/>
        <w:overflowPunct/>
        <w:topLinePunct w:val="0"/>
        <w:autoSpaceDE/>
        <w:autoSpaceDN/>
        <w:bidi w:val="0"/>
        <w:adjustRightInd w:val="0"/>
        <w:snapToGrid w:val="0"/>
        <w:spacing w:line="560" w:lineRule="exact"/>
        <w:ind w:left="0" w:leftChars="0" w:firstLine="0" w:firstLineChars="0"/>
        <w:textAlignment w:val="auto"/>
        <w:outlineLvl w:val="3"/>
        <w:rPr>
          <w:rFonts w:hint="default" w:ascii="Times New Roman" w:hAnsi="Times New Roman" w:eastAsia="宋体" w:cs="Times New Roman"/>
          <w:color w:val="auto"/>
          <w:lang w:val="en-US" w:eastAsia="zh-CN"/>
        </w:rPr>
      </w:pPr>
      <w:r>
        <w:rPr>
          <w:rFonts w:hint="eastAsia" w:ascii="Times New Roman" w:hAnsi="Times New Roman" w:eastAsia="宋体" w:cs="Times New Roman"/>
          <w:b/>
          <w:bCs/>
          <w:color w:val="auto"/>
          <w:lang w:val="en-US" w:eastAsia="zh-CN"/>
        </w:rPr>
        <w:t>5.2.1.8 环境质量现状不达标污染物环境质量变化评价情况</w:t>
      </w:r>
    </w:p>
    <w:p>
      <w:pPr>
        <w:pStyle w:val="26"/>
        <w:keepNext w:val="0"/>
        <w:keepLines w:val="0"/>
        <w:pageBreakBefore w:val="0"/>
        <w:widowControl w:val="0"/>
        <w:kinsoku/>
        <w:wordWrap/>
        <w:overflowPunct/>
        <w:topLinePunct w:val="0"/>
        <w:autoSpaceDE/>
        <w:autoSpaceDN/>
        <w:bidi w:val="0"/>
        <w:spacing w:line="560" w:lineRule="exact"/>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根据环境质量现状分析结论，本项目所在区域属于不达标区，不达标污染物为 PM</w:t>
      </w:r>
      <w:r>
        <w:rPr>
          <w:rFonts w:hint="eastAsia" w:ascii="Times New Roman" w:hAnsi="Times New Roman" w:eastAsia="宋体" w:cs="Times New Roman"/>
          <w:color w:val="auto"/>
          <w:vertAlign w:val="subscript"/>
          <w:lang w:val="en-US" w:eastAsia="zh-CN"/>
        </w:rPr>
        <w:t>10</w:t>
      </w:r>
      <w:r>
        <w:rPr>
          <w:rFonts w:hint="eastAsia" w:ascii="Times New Roman" w:hAnsi="Times New Roman" w:eastAsia="宋体" w:cs="Times New Roman"/>
          <w:color w:val="auto"/>
          <w:lang w:val="en-US" w:eastAsia="zh-CN"/>
        </w:rPr>
        <w:t>和 PM</w:t>
      </w:r>
      <w:r>
        <w:rPr>
          <w:rFonts w:hint="eastAsia" w:ascii="Times New Roman" w:hAnsi="Times New Roman" w:eastAsia="宋体" w:cs="Times New Roman"/>
          <w:color w:val="auto"/>
          <w:vertAlign w:val="subscript"/>
          <w:lang w:val="en-US" w:eastAsia="zh-CN"/>
        </w:rPr>
        <w:t>2.5</w:t>
      </w:r>
      <w:r>
        <w:rPr>
          <w:rFonts w:hint="eastAsia" w:ascii="Times New Roman" w:hAnsi="Times New Roman" w:eastAsia="宋体" w:cs="Times New Roman"/>
          <w:color w:val="auto"/>
          <w:lang w:val="en-US" w:eastAsia="zh-CN"/>
        </w:rPr>
        <w:t>，其中本项目涉及污染物为 PM</w:t>
      </w:r>
      <w:r>
        <w:rPr>
          <w:rFonts w:hint="eastAsia" w:ascii="Times New Roman" w:hAnsi="Times New Roman" w:eastAsia="宋体" w:cs="Times New Roman"/>
          <w:color w:val="auto"/>
          <w:vertAlign w:val="subscript"/>
          <w:lang w:val="en-US" w:eastAsia="zh-CN"/>
        </w:rPr>
        <w:t>10</w:t>
      </w:r>
      <w:r>
        <w:rPr>
          <w:rFonts w:hint="eastAsia" w:ascii="Times New Roman" w:hAnsi="Times New Roman" w:eastAsia="宋体" w:cs="Times New Roman"/>
          <w:color w:val="auto"/>
          <w:lang w:val="en-US" w:eastAsia="zh-CN"/>
        </w:rPr>
        <w:t>。根据导则“8.8.4 区域环境质量变化评价”，按照公式计算实施区域削减方案后预测范围的年平均质量浓度变化率 k，公式如下：</w:t>
      </w:r>
    </w:p>
    <w:p>
      <w:pPr>
        <w:pStyle w:val="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position w:val="-10"/>
          <w:lang w:val="en-US" w:eastAsia="zh-CN"/>
        </w:rPr>
        <w:object>
          <v:shape id="_x0000_i1037" o:spt="75" type="#_x0000_t75" style="height:19pt;width:209pt;" o:ole="t" filled="f" o:preferrelative="t" stroked="f" coordsize="21600,21600">
            <v:path/>
            <v:fill on="f" focussize="0,0"/>
            <v:stroke on="f"/>
            <v:imagedata r:id="rId78" o:title=""/>
            <o:lock v:ext="edit" aspectratio="t"/>
            <w10:wrap type="none"/>
            <w10:anchorlock/>
          </v:shape>
          <o:OLEObject Type="Embed" ProgID="Equation.KSEE3" ShapeID="_x0000_i1037" DrawAspect="Content" ObjectID="_1468075737" r:id="rId77">
            <o:LockedField>false</o:LockedField>
          </o:OLEObject>
        </w:object>
      </w:r>
    </w:p>
    <w:p>
      <w:pPr>
        <w:pStyle w:val="26"/>
        <w:keepNext w:val="0"/>
        <w:keepLines w:val="0"/>
        <w:pageBreakBefore w:val="0"/>
        <w:widowControl w:val="0"/>
        <w:kinsoku/>
        <w:wordWrap/>
        <w:overflowPunct/>
        <w:topLinePunct w:val="0"/>
        <w:autoSpaceDE/>
        <w:autoSpaceDN/>
        <w:bidi w:val="0"/>
        <w:spacing w:line="560" w:lineRule="exac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式中：k——预测范围年平均质量浓度变化率，%；</w:t>
      </w:r>
    </w:p>
    <w:p>
      <w:pPr>
        <w:pStyle w:val="26"/>
        <w:keepNext w:val="0"/>
        <w:keepLines w:val="0"/>
        <w:pageBreakBefore w:val="0"/>
        <w:widowControl w:val="0"/>
        <w:kinsoku/>
        <w:wordWrap/>
        <w:overflowPunct/>
        <w:topLinePunct w:val="0"/>
        <w:autoSpaceDE/>
        <w:autoSpaceDN/>
        <w:bidi w:val="0"/>
        <w:spacing w:line="560" w:lineRule="exact"/>
        <w:ind w:firstLine="1200" w:firstLineChars="5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EQ \* jc0 \* "Font:宋体" \* hps12 \o \ad(\s \up 11(—),ρ)</w:instrText>
      </w:r>
      <w:r>
        <w:rPr>
          <w:rFonts w:hint="default" w:ascii="Times New Roman" w:hAnsi="Times New Roman" w:eastAsia="宋体" w:cs="Times New Roman"/>
          <w:color w:val="auto"/>
          <w:lang w:val="en-US" w:eastAsia="zh-CN"/>
        </w:rPr>
        <w:fldChar w:fldCharType="end"/>
      </w:r>
      <w:r>
        <w:rPr>
          <w:rFonts w:hint="default" w:ascii="Times New Roman" w:hAnsi="Times New Roman" w:eastAsia="宋体" w:cs="Times New Roman"/>
          <w:color w:val="auto"/>
          <w:vertAlign w:val="subscript"/>
          <w:lang w:val="en-US" w:eastAsia="zh-CN"/>
        </w:rPr>
        <w:t>本项目（a）</w:t>
      </w:r>
      <w:r>
        <w:rPr>
          <w:rFonts w:hint="default" w:ascii="Times New Roman" w:hAnsi="Times New Roman" w:eastAsia="宋体" w:cs="Times New Roman"/>
          <w:color w:val="auto"/>
          <w:lang w:val="en-US" w:eastAsia="zh-CN"/>
        </w:rPr>
        <w:t>——本项目对所有网格点的年平均质量浓度贡献值的算术平均值，μg/m</w:t>
      </w:r>
      <w:r>
        <w:rPr>
          <w:rFonts w:hint="default" w:ascii="Times New Roman" w:hAnsi="Times New Roman" w:eastAsia="宋体" w:cs="Times New Roman"/>
          <w:color w:val="auto"/>
          <w:vertAlign w:val="superscript"/>
          <w:lang w:val="en-US" w:eastAsia="zh-CN"/>
        </w:rPr>
        <w:t>3</w:t>
      </w:r>
      <w:r>
        <w:rPr>
          <w:rFonts w:hint="default" w:ascii="Times New Roman" w:hAnsi="Times New Roman" w:eastAsia="宋体" w:cs="Times New Roman"/>
          <w:color w:val="auto"/>
          <w:lang w:val="en-US" w:eastAsia="zh-CN"/>
        </w:rPr>
        <w:t>；</w:t>
      </w:r>
    </w:p>
    <w:p>
      <w:pPr>
        <w:pStyle w:val="26"/>
        <w:keepNext w:val="0"/>
        <w:keepLines w:val="0"/>
        <w:pageBreakBefore w:val="0"/>
        <w:widowControl w:val="0"/>
        <w:kinsoku/>
        <w:wordWrap/>
        <w:overflowPunct/>
        <w:topLinePunct w:val="0"/>
        <w:autoSpaceDE/>
        <w:autoSpaceDN/>
        <w:bidi w:val="0"/>
        <w:spacing w:line="560" w:lineRule="exact"/>
        <w:ind w:firstLine="1200" w:firstLineChars="500"/>
        <w:textAlignment w:val="auto"/>
        <w:rPr>
          <w:rFonts w:hint="eastAsia"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EQ \* jc0 \* "Font:宋体" \* hps12 \o \ad(\s \up 11(—),ρ)</w:instrText>
      </w:r>
      <w:r>
        <w:rPr>
          <w:rFonts w:hint="default" w:ascii="Times New Roman" w:hAnsi="Times New Roman" w:eastAsia="宋体" w:cs="Times New Roman"/>
          <w:color w:val="auto"/>
          <w:lang w:val="en-US" w:eastAsia="zh-CN"/>
        </w:rPr>
        <w:fldChar w:fldCharType="end"/>
      </w:r>
      <w:r>
        <w:rPr>
          <w:rFonts w:hint="default" w:ascii="Times New Roman" w:hAnsi="Times New Roman" w:eastAsia="宋体" w:cs="Times New Roman"/>
          <w:color w:val="auto"/>
          <w:vertAlign w:val="subscript"/>
          <w:lang w:val="en-US" w:eastAsia="zh-CN"/>
        </w:rPr>
        <w:t>区域削减（a）</w:t>
      </w:r>
      <w:r>
        <w:rPr>
          <w:rFonts w:hint="default" w:ascii="Times New Roman" w:hAnsi="Times New Roman" w:eastAsia="宋体" w:cs="Times New Roman"/>
          <w:color w:val="auto"/>
          <w:lang w:val="en-US" w:eastAsia="zh-CN"/>
        </w:rPr>
        <w:t>——区域削减污染源对所有网格点的年平均质量浓度贡献值的算术平均值，μg/m</w:t>
      </w:r>
      <w:r>
        <w:rPr>
          <w:rFonts w:hint="default" w:ascii="Times New Roman" w:hAnsi="Times New Roman" w:eastAsia="宋体" w:cs="Times New Roman"/>
          <w:color w:val="auto"/>
          <w:vertAlign w:val="superscript"/>
          <w:lang w:val="en-US" w:eastAsia="zh-CN"/>
        </w:rPr>
        <w:t>3</w:t>
      </w:r>
      <w:r>
        <w:rPr>
          <w:rFonts w:hint="default" w:ascii="Times New Roman" w:hAnsi="Times New Roman" w:eastAsia="宋体" w:cs="Times New Roman"/>
          <w:color w:val="auto"/>
          <w:lang w:val="en-US" w:eastAsia="zh-CN"/>
        </w:rPr>
        <w:t>。</w:t>
      </w:r>
    </w:p>
    <w:p>
      <w:pPr>
        <w:pStyle w:val="26"/>
        <w:keepNext w:val="0"/>
        <w:keepLines w:val="0"/>
        <w:pageBreakBefore w:val="0"/>
        <w:widowControl w:val="0"/>
        <w:kinsoku/>
        <w:wordWrap/>
        <w:overflowPunct/>
        <w:topLinePunct w:val="0"/>
        <w:autoSpaceDE/>
        <w:autoSpaceDN/>
        <w:bidi w:val="0"/>
        <w:spacing w:line="560" w:lineRule="exact"/>
        <w:textAlignment w:val="auto"/>
        <w:rPr>
          <w:rFonts w:hint="eastAsia" w:ascii="Times New Roman" w:hAnsi="Times New Roman" w:eastAsia="宋体" w:cs="Times New Roman"/>
          <w:color w:val="auto"/>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eastAsia" w:ascii="Times New Roman" w:hAnsi="Times New Roman" w:eastAsia="宋体" w:cs="Times New Roman"/>
          <w:color w:val="auto"/>
          <w:lang w:val="en-US" w:eastAsia="zh-CN"/>
        </w:rPr>
        <w:t>本项目所在地区属于不达标区域，根据区域削减情况，区域削减源新疆金马再生资源开发有限公司 5 万吨/年农副产品精深开发利用项目，本项目区域削减排放参数见下表。</w:t>
      </w:r>
    </w:p>
    <w:p>
      <w:pPr>
        <w:pStyle w:val="43"/>
        <w:keepNext w:val="0"/>
        <w:keepLines w:val="0"/>
        <w:pageBreakBefore w:val="0"/>
        <w:widowControl/>
        <w:kinsoku/>
        <w:wordWrap/>
        <w:overflowPunct/>
        <w:topLinePunct w:val="0"/>
        <w:autoSpaceDE/>
        <w:autoSpaceDN/>
        <w:bidi w:val="0"/>
        <w:adjustRightInd/>
        <w:snapToGrid w:val="0"/>
        <w:spacing w:after="0" w:line="240" w:lineRule="auto"/>
        <w:textAlignment w:val="auto"/>
        <w:rPr>
          <w:color w:val="auto"/>
          <w:highlight w:val="none"/>
        </w:rPr>
      </w:pPr>
      <w:r>
        <w:rPr>
          <w:rFonts w:hint="default" w:ascii="Times New Roman" w:hAnsi="Times New Roman" w:eastAsia="宋体" w:cs="Times New Roman"/>
          <w:color w:val="auto"/>
          <w:sz w:val="24"/>
          <w:szCs w:val="24"/>
          <w:highlight w:val="none"/>
        </w:rPr>
        <w:t>表</w:t>
      </w:r>
      <w:r>
        <w:rPr>
          <w:rFonts w:hint="default" w:ascii="Times New Roman" w:hAnsi="Times New Roman" w:eastAsia="宋体" w:cs="Times New Roman"/>
          <w:color w:val="auto"/>
          <w:sz w:val="24"/>
          <w:szCs w:val="24"/>
          <w:highlight w:val="none"/>
          <w:lang w:val="en-US" w:eastAsia="zh-CN"/>
        </w:rPr>
        <w:t xml:space="preserve"> 5.2.1-18   区域削减源</w:t>
      </w:r>
      <w:r>
        <w:rPr>
          <w:rFonts w:hint="default" w:ascii="Times New Roman" w:hAnsi="Times New Roman" w:eastAsia="宋体" w:cs="Times New Roman"/>
          <w:color w:val="auto"/>
          <w:sz w:val="24"/>
          <w:szCs w:val="24"/>
          <w:highlight w:val="none"/>
        </w:rPr>
        <w:t>排放参数</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5"/>
        <w:gridCol w:w="2471"/>
        <w:gridCol w:w="655"/>
        <w:gridCol w:w="721"/>
        <w:gridCol w:w="1092"/>
        <w:gridCol w:w="814"/>
        <w:gridCol w:w="984"/>
        <w:gridCol w:w="803"/>
        <w:gridCol w:w="1356"/>
        <w:gridCol w:w="1024"/>
        <w:gridCol w:w="661"/>
        <w:gridCol w:w="641"/>
        <w:gridCol w:w="755"/>
        <w:gridCol w:w="803"/>
        <w:gridCol w:w="8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 w:type="pct"/>
            <w:vMerge w:val="restar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编号</w:t>
            </w:r>
          </w:p>
        </w:tc>
        <w:tc>
          <w:tcPr>
            <w:tcW w:w="871" w:type="pct"/>
            <w:vMerge w:val="restar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点源名称</w:t>
            </w:r>
          </w:p>
        </w:tc>
        <w:tc>
          <w:tcPr>
            <w:tcW w:w="485" w:type="pct"/>
            <w:gridSpan w:val="2"/>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排气筒底部中心坐标/m</w:t>
            </w:r>
          </w:p>
        </w:tc>
        <w:tc>
          <w:tcPr>
            <w:tcW w:w="385" w:type="pct"/>
            <w:vMerge w:val="restar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排气筒底部海拔高度</w:t>
            </w:r>
          </w:p>
        </w:tc>
        <w:tc>
          <w:tcPr>
            <w:tcW w:w="287" w:type="pct"/>
            <w:vMerge w:val="restar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排气筒高度/m</w:t>
            </w:r>
          </w:p>
        </w:tc>
        <w:tc>
          <w:tcPr>
            <w:tcW w:w="347" w:type="pct"/>
            <w:vMerge w:val="restar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排气筒出口内径/m</w:t>
            </w:r>
          </w:p>
        </w:tc>
        <w:tc>
          <w:tcPr>
            <w:tcW w:w="283" w:type="pct"/>
            <w:vMerge w:val="restar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烟气温度/℃</w:t>
            </w:r>
          </w:p>
        </w:tc>
        <w:tc>
          <w:tcPr>
            <w:tcW w:w="478" w:type="pct"/>
            <w:vMerge w:val="restar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烟气流量/（m</w:t>
            </w:r>
            <w:r>
              <w:rPr>
                <w:rFonts w:hint="default" w:ascii="Times New Roman" w:hAnsi="Times New Roman" w:eastAsia="宋体" w:cs="Times New Roman"/>
                <w:b w:val="0"/>
                <w:bCs w:val="0"/>
                <w:color w:val="auto"/>
                <w:sz w:val="21"/>
                <w:szCs w:val="21"/>
                <w:vertAlign w:val="superscript"/>
                <w:lang w:val="en-US" w:eastAsia="zh-CN"/>
              </w:rPr>
              <w:t>3</w:t>
            </w:r>
            <w:r>
              <w:rPr>
                <w:rFonts w:hint="default" w:ascii="Times New Roman" w:hAnsi="Times New Roman" w:eastAsia="宋体" w:cs="Times New Roman"/>
                <w:b w:val="0"/>
                <w:bCs w:val="0"/>
                <w:color w:val="auto"/>
                <w:sz w:val="21"/>
                <w:szCs w:val="21"/>
                <w:vertAlign w:val="baseline"/>
                <w:lang w:val="en-US" w:eastAsia="zh-CN"/>
              </w:rPr>
              <w:t>/h</w:t>
            </w:r>
            <w:r>
              <w:rPr>
                <w:rFonts w:hint="eastAsia" w:ascii="Times New Roman" w:hAnsi="Times New Roman" w:eastAsia="宋体" w:cs="Times New Roman"/>
                <w:b w:val="0"/>
                <w:bCs w:val="0"/>
                <w:color w:val="auto"/>
                <w:sz w:val="21"/>
                <w:szCs w:val="21"/>
                <w:vertAlign w:val="baseline"/>
                <w:lang w:val="en-US" w:eastAsia="zh-CN"/>
              </w:rPr>
              <w:t>）</w:t>
            </w:r>
          </w:p>
        </w:tc>
        <w:tc>
          <w:tcPr>
            <w:tcW w:w="361" w:type="pct"/>
            <w:vMerge w:val="restar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年排放小时数/h</w:t>
            </w:r>
          </w:p>
        </w:tc>
        <w:tc>
          <w:tcPr>
            <w:tcW w:w="233" w:type="pct"/>
            <w:vMerge w:val="restar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排放工况</w:t>
            </w:r>
          </w:p>
        </w:tc>
        <w:tc>
          <w:tcPr>
            <w:tcW w:w="1081" w:type="pct"/>
            <w:gridSpan w:val="4"/>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 w:type="pct"/>
            <w:vMerge w:val="continue"/>
            <w:vAlign w:val="center"/>
          </w:tcPr>
          <w:p>
            <w:pPr>
              <w:jc w:val="center"/>
              <w:rPr>
                <w:rFonts w:hint="default" w:ascii="Times New Roman" w:hAnsi="Times New Roman" w:eastAsia="宋体" w:cs="Times New Roman"/>
                <w:b w:val="0"/>
                <w:bCs w:val="0"/>
                <w:color w:val="auto"/>
                <w:sz w:val="21"/>
                <w:szCs w:val="21"/>
                <w:vertAlign w:val="baseline"/>
                <w:lang w:val="en-US" w:eastAsia="zh-CN"/>
              </w:rPr>
            </w:pPr>
          </w:p>
        </w:tc>
        <w:tc>
          <w:tcPr>
            <w:tcW w:w="871" w:type="pct"/>
            <w:vMerge w:val="continue"/>
            <w:vAlign w:val="center"/>
          </w:tcPr>
          <w:p>
            <w:pPr>
              <w:jc w:val="center"/>
              <w:rPr>
                <w:rFonts w:hint="default" w:ascii="Times New Roman" w:hAnsi="Times New Roman" w:eastAsia="宋体" w:cs="Times New Roman"/>
                <w:b w:val="0"/>
                <w:bCs w:val="0"/>
                <w:color w:val="auto"/>
                <w:sz w:val="21"/>
                <w:szCs w:val="21"/>
                <w:vertAlign w:val="baseline"/>
                <w:lang w:val="en-US" w:eastAsia="zh-CN"/>
              </w:rPr>
            </w:pPr>
          </w:p>
        </w:tc>
        <w:tc>
          <w:tcPr>
            <w:tcW w:w="231" w:type="pc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X</w:t>
            </w:r>
          </w:p>
        </w:tc>
        <w:tc>
          <w:tcPr>
            <w:tcW w:w="253" w:type="pc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Y</w:t>
            </w:r>
          </w:p>
        </w:tc>
        <w:tc>
          <w:tcPr>
            <w:tcW w:w="385" w:type="pct"/>
            <w:vMerge w:val="continue"/>
            <w:vAlign w:val="center"/>
          </w:tcPr>
          <w:p>
            <w:pPr>
              <w:jc w:val="center"/>
              <w:rPr>
                <w:rFonts w:hint="default" w:ascii="Times New Roman" w:hAnsi="Times New Roman" w:eastAsia="宋体" w:cs="Times New Roman"/>
                <w:b w:val="0"/>
                <w:bCs w:val="0"/>
                <w:color w:val="auto"/>
                <w:sz w:val="21"/>
                <w:szCs w:val="21"/>
                <w:vertAlign w:val="baseline"/>
                <w:lang w:val="en-US" w:eastAsia="zh-CN"/>
              </w:rPr>
            </w:pPr>
          </w:p>
        </w:tc>
        <w:tc>
          <w:tcPr>
            <w:tcW w:w="287" w:type="pct"/>
            <w:vMerge w:val="continue"/>
            <w:vAlign w:val="center"/>
          </w:tcPr>
          <w:p>
            <w:pPr>
              <w:jc w:val="center"/>
              <w:rPr>
                <w:rFonts w:hint="default" w:ascii="Times New Roman" w:hAnsi="Times New Roman" w:eastAsia="宋体" w:cs="Times New Roman"/>
                <w:b w:val="0"/>
                <w:bCs w:val="0"/>
                <w:color w:val="auto"/>
                <w:sz w:val="21"/>
                <w:szCs w:val="21"/>
                <w:vertAlign w:val="baseline"/>
                <w:lang w:val="en-US" w:eastAsia="zh-CN"/>
              </w:rPr>
            </w:pPr>
          </w:p>
        </w:tc>
        <w:tc>
          <w:tcPr>
            <w:tcW w:w="347" w:type="pct"/>
            <w:vMerge w:val="continue"/>
            <w:vAlign w:val="center"/>
          </w:tcPr>
          <w:p>
            <w:pPr>
              <w:jc w:val="center"/>
              <w:rPr>
                <w:rFonts w:hint="default" w:ascii="Times New Roman" w:hAnsi="Times New Roman" w:eastAsia="宋体" w:cs="Times New Roman"/>
                <w:b w:val="0"/>
                <w:bCs w:val="0"/>
                <w:color w:val="auto"/>
                <w:sz w:val="21"/>
                <w:szCs w:val="21"/>
                <w:vertAlign w:val="baseline"/>
                <w:lang w:val="en-US" w:eastAsia="zh-CN"/>
              </w:rPr>
            </w:pPr>
          </w:p>
        </w:tc>
        <w:tc>
          <w:tcPr>
            <w:tcW w:w="283" w:type="pct"/>
            <w:vMerge w:val="continue"/>
            <w:vAlign w:val="center"/>
          </w:tcPr>
          <w:p>
            <w:pPr>
              <w:jc w:val="center"/>
              <w:rPr>
                <w:rFonts w:hint="default" w:ascii="Times New Roman" w:hAnsi="Times New Roman" w:eastAsia="宋体" w:cs="Times New Roman"/>
                <w:b w:val="0"/>
                <w:bCs w:val="0"/>
                <w:color w:val="auto"/>
                <w:sz w:val="21"/>
                <w:szCs w:val="21"/>
                <w:vertAlign w:val="baseline"/>
                <w:lang w:val="en-US" w:eastAsia="zh-CN"/>
              </w:rPr>
            </w:pPr>
          </w:p>
        </w:tc>
        <w:tc>
          <w:tcPr>
            <w:tcW w:w="478" w:type="pct"/>
            <w:vMerge w:val="continue"/>
            <w:vAlign w:val="center"/>
          </w:tcPr>
          <w:p>
            <w:pPr>
              <w:jc w:val="center"/>
              <w:rPr>
                <w:rFonts w:hint="default" w:ascii="Times New Roman" w:hAnsi="Times New Roman" w:eastAsia="宋体" w:cs="Times New Roman"/>
                <w:b w:val="0"/>
                <w:bCs w:val="0"/>
                <w:color w:val="auto"/>
                <w:sz w:val="21"/>
                <w:szCs w:val="21"/>
                <w:vertAlign w:val="baseline"/>
                <w:lang w:val="en-US" w:eastAsia="zh-CN"/>
              </w:rPr>
            </w:pPr>
          </w:p>
        </w:tc>
        <w:tc>
          <w:tcPr>
            <w:tcW w:w="361" w:type="pct"/>
            <w:vMerge w:val="continue"/>
            <w:vAlign w:val="center"/>
          </w:tcPr>
          <w:p>
            <w:pPr>
              <w:jc w:val="center"/>
              <w:rPr>
                <w:rFonts w:hint="default" w:ascii="Times New Roman" w:hAnsi="Times New Roman" w:eastAsia="宋体" w:cs="Times New Roman"/>
                <w:b w:val="0"/>
                <w:bCs w:val="0"/>
                <w:color w:val="auto"/>
                <w:sz w:val="21"/>
                <w:szCs w:val="21"/>
                <w:vertAlign w:val="baseline"/>
                <w:lang w:val="en-US" w:eastAsia="zh-CN"/>
              </w:rPr>
            </w:pPr>
          </w:p>
        </w:tc>
        <w:tc>
          <w:tcPr>
            <w:tcW w:w="233" w:type="pct"/>
            <w:vMerge w:val="continue"/>
            <w:vAlign w:val="center"/>
          </w:tcPr>
          <w:p>
            <w:pPr>
              <w:jc w:val="center"/>
              <w:rPr>
                <w:rFonts w:hint="default" w:ascii="Times New Roman" w:hAnsi="Times New Roman" w:eastAsia="宋体" w:cs="Times New Roman"/>
                <w:b w:val="0"/>
                <w:bCs w:val="0"/>
                <w:color w:val="auto"/>
                <w:sz w:val="21"/>
                <w:szCs w:val="21"/>
                <w:vertAlign w:val="baseline"/>
                <w:lang w:val="en-US" w:eastAsia="zh-CN"/>
              </w:rPr>
            </w:pPr>
          </w:p>
        </w:tc>
        <w:tc>
          <w:tcPr>
            <w:tcW w:w="226" w:type="pc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SO</w:t>
            </w:r>
            <w:r>
              <w:rPr>
                <w:rFonts w:hint="default" w:ascii="Times New Roman" w:hAnsi="Times New Roman" w:eastAsia="宋体" w:cs="Times New Roman"/>
                <w:b w:val="0"/>
                <w:bCs w:val="0"/>
                <w:color w:val="auto"/>
                <w:sz w:val="21"/>
                <w:szCs w:val="21"/>
                <w:vertAlign w:val="subscript"/>
                <w:lang w:val="en-US" w:eastAsia="zh-CN"/>
              </w:rPr>
              <w:t>2</w:t>
            </w:r>
          </w:p>
        </w:tc>
        <w:tc>
          <w:tcPr>
            <w:tcW w:w="266" w:type="pc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NO</w:t>
            </w:r>
            <w:r>
              <w:rPr>
                <w:rFonts w:hint="default" w:ascii="Times New Roman" w:hAnsi="Times New Roman" w:eastAsia="宋体" w:cs="Times New Roman"/>
                <w:b w:val="0"/>
                <w:bCs w:val="0"/>
                <w:color w:val="auto"/>
                <w:sz w:val="21"/>
                <w:szCs w:val="21"/>
                <w:vertAlign w:val="subscript"/>
                <w:lang w:val="en-US" w:eastAsia="zh-CN"/>
              </w:rPr>
              <w:t>2</w:t>
            </w:r>
          </w:p>
        </w:tc>
        <w:tc>
          <w:tcPr>
            <w:tcW w:w="283" w:type="pc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PM</w:t>
            </w:r>
            <w:r>
              <w:rPr>
                <w:rFonts w:hint="default" w:ascii="Times New Roman" w:hAnsi="Times New Roman" w:eastAsia="宋体" w:cs="Times New Roman"/>
                <w:b w:val="0"/>
                <w:bCs w:val="0"/>
                <w:color w:val="auto"/>
                <w:sz w:val="21"/>
                <w:szCs w:val="21"/>
                <w:vertAlign w:val="subscript"/>
                <w:lang w:val="en-US" w:eastAsia="zh-CN"/>
              </w:rPr>
              <w:t>10</w:t>
            </w:r>
          </w:p>
        </w:tc>
        <w:tc>
          <w:tcPr>
            <w:tcW w:w="304" w:type="pc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PM</w:t>
            </w:r>
            <w:r>
              <w:rPr>
                <w:rFonts w:hint="default" w:ascii="Times New Roman" w:hAnsi="Times New Roman" w:eastAsia="宋体" w:cs="Times New Roman"/>
                <w:b w:val="0"/>
                <w:bCs w:val="0"/>
                <w:color w:val="auto"/>
                <w:sz w:val="21"/>
                <w:szCs w:val="21"/>
                <w:vertAlign w:val="subscript"/>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 w:type="pc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1</w:t>
            </w:r>
          </w:p>
        </w:tc>
        <w:tc>
          <w:tcPr>
            <w:tcW w:w="871" w:type="pc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新疆金马再生资源开发有限公司5万吨/年农副产品精深开发利用项目</w:t>
            </w:r>
          </w:p>
        </w:tc>
        <w:tc>
          <w:tcPr>
            <w:tcW w:w="231" w:type="pc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-6</w:t>
            </w:r>
          </w:p>
        </w:tc>
        <w:tc>
          <w:tcPr>
            <w:tcW w:w="253" w:type="pc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84</w:t>
            </w:r>
          </w:p>
        </w:tc>
        <w:tc>
          <w:tcPr>
            <w:tcW w:w="385" w:type="pc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483</w:t>
            </w:r>
          </w:p>
        </w:tc>
        <w:tc>
          <w:tcPr>
            <w:tcW w:w="287" w:type="pc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65</w:t>
            </w:r>
          </w:p>
        </w:tc>
        <w:tc>
          <w:tcPr>
            <w:tcW w:w="347" w:type="pc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3.6</w:t>
            </w:r>
          </w:p>
        </w:tc>
        <w:tc>
          <w:tcPr>
            <w:tcW w:w="283" w:type="pc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80</w:t>
            </w:r>
          </w:p>
        </w:tc>
        <w:tc>
          <w:tcPr>
            <w:tcW w:w="478" w:type="pc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621159.3</w:t>
            </w:r>
          </w:p>
        </w:tc>
        <w:tc>
          <w:tcPr>
            <w:tcW w:w="361" w:type="pc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7920</w:t>
            </w:r>
          </w:p>
        </w:tc>
        <w:tc>
          <w:tcPr>
            <w:tcW w:w="233" w:type="pc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正常</w:t>
            </w:r>
          </w:p>
        </w:tc>
        <w:tc>
          <w:tcPr>
            <w:tcW w:w="226" w:type="pc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5.41</w:t>
            </w:r>
          </w:p>
        </w:tc>
        <w:tc>
          <w:tcPr>
            <w:tcW w:w="266" w:type="pc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7.848</w:t>
            </w:r>
          </w:p>
        </w:tc>
        <w:tc>
          <w:tcPr>
            <w:tcW w:w="283" w:type="pc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4.42</w:t>
            </w:r>
          </w:p>
        </w:tc>
        <w:tc>
          <w:tcPr>
            <w:tcW w:w="304" w:type="pct"/>
            <w:vAlign w:val="center"/>
          </w:tcPr>
          <w:p>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2.21</w:t>
            </w:r>
          </w:p>
        </w:tc>
      </w:tr>
    </w:tbl>
    <w:p>
      <w:pPr>
        <w:pStyle w:val="26"/>
        <w:keepNext w:val="0"/>
        <w:keepLines w:val="0"/>
        <w:pageBreakBefore w:val="0"/>
        <w:widowControl w:val="0"/>
        <w:kinsoku/>
        <w:wordWrap/>
        <w:overflowPunct/>
        <w:topLinePunct w:val="0"/>
        <w:autoSpaceDE/>
        <w:autoSpaceDN/>
        <w:bidi w:val="0"/>
        <w:spacing w:line="560" w:lineRule="exact"/>
        <w:ind w:left="0" w:leftChars="0" w:firstLine="0" w:firstLineChars="0"/>
        <w:textAlignment w:val="auto"/>
        <w:rPr>
          <w:rFonts w:hint="eastAsia" w:ascii="Times New Roman" w:hAnsi="Times New Roman" w:eastAsia="宋体" w:cs="Times New Roman"/>
          <w:color w:val="auto"/>
          <w:lang w:val="en-US" w:eastAsia="zh-CN"/>
        </w:rPr>
      </w:pPr>
    </w:p>
    <w:p>
      <w:pPr>
        <w:pStyle w:val="26"/>
        <w:keepNext w:val="0"/>
        <w:keepLines w:val="0"/>
        <w:pageBreakBefore w:val="0"/>
        <w:widowControl w:val="0"/>
        <w:kinsoku/>
        <w:wordWrap/>
        <w:overflowPunct/>
        <w:topLinePunct w:val="0"/>
        <w:autoSpaceDE/>
        <w:autoSpaceDN/>
        <w:bidi w:val="0"/>
        <w:spacing w:line="560" w:lineRule="exact"/>
        <w:ind w:left="0" w:leftChars="0" w:firstLine="0" w:firstLineChars="0"/>
        <w:textAlignment w:val="auto"/>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 xml:space="preserve"> </w:t>
      </w:r>
    </w:p>
    <w:p>
      <w:pPr>
        <w:pStyle w:val="26"/>
        <w:keepNext w:val="0"/>
        <w:keepLines w:val="0"/>
        <w:pageBreakBefore w:val="0"/>
        <w:widowControl w:val="0"/>
        <w:kinsoku/>
        <w:wordWrap/>
        <w:overflowPunct/>
        <w:topLinePunct w:val="0"/>
        <w:autoSpaceDE/>
        <w:autoSpaceDN/>
        <w:bidi w:val="0"/>
        <w:spacing w:line="560" w:lineRule="exact"/>
        <w:textAlignment w:val="auto"/>
        <w:rPr>
          <w:rFonts w:hint="eastAsia" w:ascii="Times New Roman" w:hAnsi="Times New Roman" w:eastAsia="宋体" w:cs="Times New Roman"/>
          <w:color w:val="auto"/>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pStyle w:val="26"/>
        <w:keepNext w:val="0"/>
        <w:keepLines w:val="0"/>
        <w:pageBreakBefore w:val="0"/>
        <w:widowControl w:val="0"/>
        <w:kinsoku/>
        <w:wordWrap/>
        <w:overflowPunct/>
        <w:topLinePunct w:val="0"/>
        <w:autoSpaceDE/>
        <w:autoSpaceDN/>
        <w:bidi w:val="0"/>
        <w:spacing w:line="560" w:lineRule="exac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PM</w:t>
      </w:r>
      <w:r>
        <w:rPr>
          <w:rFonts w:hint="default" w:ascii="Times New Roman" w:hAnsi="Times New Roman" w:eastAsia="宋体" w:cs="Times New Roman"/>
          <w:color w:val="auto"/>
          <w:vertAlign w:val="subscript"/>
          <w:lang w:val="en-US" w:eastAsia="zh-CN"/>
        </w:rPr>
        <w:t>10</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年均浓度变化率K：经预测，本项目达产后源在所有网格点上的年平均贡献浓度的算术平均值为</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0.00179μg/m</w:t>
      </w:r>
      <w:r>
        <w:rPr>
          <w:rFonts w:hint="default" w:ascii="Times New Roman" w:hAnsi="Times New Roman" w:eastAsia="宋体" w:cs="Times New Roman"/>
          <w:color w:val="auto"/>
          <w:vertAlign w:val="superscript"/>
          <w:lang w:val="en-US" w:eastAsia="zh-CN"/>
        </w:rPr>
        <w:t>3</w:t>
      </w:r>
      <w:r>
        <w:rPr>
          <w:rFonts w:hint="default" w:ascii="Times New Roman" w:hAnsi="Times New Roman" w:eastAsia="宋体" w:cs="Times New Roman"/>
          <w:color w:val="auto"/>
          <w:lang w:val="en-US" w:eastAsia="zh-CN"/>
        </w:rPr>
        <w:t>，区域削减源在所有网格点上的年平均贡献浓度的算术平均值约</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0.0175μg/m</w:t>
      </w:r>
      <w:r>
        <w:rPr>
          <w:rFonts w:hint="default" w:ascii="Times New Roman" w:hAnsi="Times New Roman" w:eastAsia="宋体" w:cs="Times New Roman"/>
          <w:color w:val="auto"/>
          <w:vertAlign w:val="superscript"/>
          <w:lang w:val="en-US" w:eastAsia="zh-CN"/>
        </w:rPr>
        <w:t>3</w:t>
      </w:r>
      <w:r>
        <w:rPr>
          <w:rFonts w:hint="default" w:ascii="Times New Roman" w:hAnsi="Times New Roman" w:eastAsia="宋体" w:cs="Times New Roman"/>
          <w:color w:val="auto"/>
          <w:lang w:val="en-US" w:eastAsia="zh-CN"/>
        </w:rPr>
        <w:t>，实施削减后本项目预测范围的年平均浓度变化率为</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k=-89.77%，浓度变化率</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k&lt;=-20%。</w:t>
      </w:r>
    </w:p>
    <w:p>
      <w:pPr>
        <w:pStyle w:val="26"/>
        <w:keepNext w:val="0"/>
        <w:keepLines w:val="0"/>
        <w:pageBreakBefore w:val="0"/>
        <w:widowControl w:val="0"/>
        <w:kinsoku/>
        <w:wordWrap/>
        <w:overflowPunct/>
        <w:topLinePunct w:val="0"/>
        <w:autoSpaceDE/>
        <w:autoSpaceDN/>
        <w:bidi w:val="0"/>
        <w:spacing w:line="560" w:lineRule="exac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预测范围的</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PM</w:t>
      </w:r>
      <w:r>
        <w:rPr>
          <w:rFonts w:hint="default" w:ascii="Times New Roman" w:hAnsi="Times New Roman" w:eastAsia="宋体" w:cs="Times New Roman"/>
          <w:color w:val="auto"/>
          <w:vertAlign w:val="subscript"/>
          <w:lang w:val="en-US" w:eastAsia="zh-CN"/>
        </w:rPr>
        <w:t>10</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年平均浓度变化率</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k＜-20%，因此区域环境质量整体改善。</w:t>
      </w:r>
    </w:p>
    <w:p>
      <w:pPr>
        <w:pStyle w:val="26"/>
        <w:keepNext w:val="0"/>
        <w:keepLines w:val="0"/>
        <w:pageBreakBefore w:val="0"/>
        <w:widowControl w:val="0"/>
        <w:kinsoku/>
        <w:wordWrap/>
        <w:overflowPunct/>
        <w:topLinePunct w:val="0"/>
        <w:autoSpaceDE/>
        <w:autoSpaceDN/>
        <w:bidi w:val="0"/>
        <w:adjustRightInd w:val="0"/>
        <w:snapToGrid w:val="0"/>
        <w:spacing w:line="560" w:lineRule="exact"/>
        <w:ind w:left="0" w:leftChars="0" w:firstLine="0" w:firstLineChars="0"/>
        <w:textAlignment w:val="auto"/>
        <w:outlineLvl w:val="3"/>
        <w:rPr>
          <w:rFonts w:hint="default"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5.2.1.9 运输移动源大气环境影响</w:t>
      </w:r>
    </w:p>
    <w:p>
      <w:pPr>
        <w:pStyle w:val="26"/>
        <w:keepNext w:val="0"/>
        <w:keepLines w:val="0"/>
        <w:pageBreakBefore w:val="0"/>
        <w:widowControl w:val="0"/>
        <w:kinsoku/>
        <w:wordWrap/>
        <w:overflowPunct/>
        <w:topLinePunct w:val="0"/>
        <w:autoSpaceDE/>
        <w:autoSpaceDN/>
        <w:bidi w:val="0"/>
        <w:spacing w:line="560" w:lineRule="exac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本项目原料、产品及厂内固体废物均通过车辆运输出场，大量物料输送会产生一定的运输影响。本项目物料及产品运输新增的交通运输量，将产生交通运输移动污染源，主要为机动车尾气。</w:t>
      </w:r>
    </w:p>
    <w:p>
      <w:pPr>
        <w:pStyle w:val="26"/>
        <w:keepNext w:val="0"/>
        <w:keepLines w:val="0"/>
        <w:pageBreakBefore w:val="0"/>
        <w:widowControl w:val="0"/>
        <w:kinsoku/>
        <w:wordWrap/>
        <w:overflowPunct/>
        <w:topLinePunct w:val="0"/>
        <w:autoSpaceDE/>
        <w:autoSpaceDN/>
        <w:bidi w:val="0"/>
        <w:spacing w:line="560" w:lineRule="exac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机动车废气污染物主要来自曲轴箱漏气、燃油系统挥发和排气管的排放，主要有</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CO、NO</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、THC。</w:t>
      </w:r>
    </w:p>
    <w:p>
      <w:pPr>
        <w:pStyle w:val="26"/>
        <w:keepNext w:val="0"/>
        <w:keepLines w:val="0"/>
        <w:pageBreakBefore w:val="0"/>
        <w:widowControl w:val="0"/>
        <w:kinsoku/>
        <w:wordWrap/>
        <w:overflowPunct/>
        <w:topLinePunct w:val="0"/>
        <w:autoSpaceDE/>
        <w:autoSpaceDN/>
        <w:bidi w:val="0"/>
        <w:spacing w:line="560" w:lineRule="exac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CO</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是燃料在发动机内不完全燃烧的产物，主要取决于空燃比和各种汽缸燃料分配的均匀性。NO</w:t>
      </w:r>
      <w:r>
        <w:rPr>
          <w:rFonts w:hint="default" w:ascii="Times New Roman" w:hAnsi="Times New Roman" w:eastAsia="宋体" w:cs="Times New Roman"/>
          <w:color w:val="auto"/>
          <w:vertAlign w:val="subscript"/>
          <w:lang w:val="en-US" w:eastAsia="zh-CN"/>
        </w:rPr>
        <w:t>2</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是汽缸内过量空气中的氧气和氮气在高温下形成的产物。THC</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产生于汽缸壁面淬效应和混合缸不完全燃烧。由于目前国内汽车使用的为无铅汽油，因此，不产生铅的污染影响。</w:t>
      </w:r>
    </w:p>
    <w:p>
      <w:pPr>
        <w:pStyle w:val="26"/>
        <w:keepNext w:val="0"/>
        <w:keepLines w:val="0"/>
        <w:pageBreakBefore w:val="0"/>
        <w:widowControl w:val="0"/>
        <w:kinsoku/>
        <w:wordWrap/>
        <w:overflowPunct/>
        <w:topLinePunct w:val="0"/>
        <w:autoSpaceDE/>
        <w:autoSpaceDN/>
        <w:bidi w:val="0"/>
        <w:spacing w:line="560" w:lineRule="exac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根据核算，本项目建成后全厂公路总运输量将导致该区域公路新增。本项目交通移动源排放主要影响有以下几方面：</w:t>
      </w:r>
    </w:p>
    <w:p>
      <w:pPr>
        <w:pStyle w:val="26"/>
        <w:keepNext w:val="0"/>
        <w:keepLines w:val="0"/>
        <w:pageBreakBefore w:val="0"/>
        <w:widowControl w:val="0"/>
        <w:kinsoku/>
        <w:wordWrap/>
        <w:overflowPunct/>
        <w:topLinePunct w:val="0"/>
        <w:autoSpaceDE/>
        <w:autoSpaceDN/>
        <w:bidi w:val="0"/>
        <w:spacing w:line="560" w:lineRule="exac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①</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噪声。随着车辆轴载质量和总质量的增加，公路运输车辆必然增加交通噪声。</w:t>
      </w:r>
    </w:p>
    <w:p>
      <w:pPr>
        <w:pStyle w:val="26"/>
        <w:keepNext w:val="0"/>
        <w:keepLines w:val="0"/>
        <w:pageBreakBefore w:val="0"/>
        <w:widowControl w:val="0"/>
        <w:kinsoku/>
        <w:wordWrap/>
        <w:overflowPunct/>
        <w:topLinePunct w:val="0"/>
        <w:autoSpaceDE/>
        <w:autoSpaceDN/>
        <w:bidi w:val="0"/>
        <w:spacing w:line="560" w:lineRule="exac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②</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振动。由于货运车辆汽车总质量增加，会直接造成对环境的振动影响。这种影响除取决于汽车的质量外，还取决于汽车的轴数、轮胎内压力和悬架结构。如果汽车增加总质量后，采用减振性能好的空气悬挂，或者采用减振性能好和空气悬挂相当的其它悬挂，可以减轻因增加总质量后，对环境造成的振动影响。当然路面平整度好时，也可以减轻对环境振动的影响。</w:t>
      </w:r>
    </w:p>
    <w:p>
      <w:pPr>
        <w:pStyle w:val="26"/>
        <w:keepNext w:val="0"/>
        <w:keepLines w:val="0"/>
        <w:pageBreakBefore w:val="0"/>
        <w:widowControl w:val="0"/>
        <w:kinsoku/>
        <w:wordWrap/>
        <w:overflowPunct/>
        <w:topLinePunct w:val="0"/>
        <w:autoSpaceDE/>
        <w:autoSpaceDN/>
        <w:bidi w:val="0"/>
        <w:spacing w:line="560" w:lineRule="exac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③</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污染空气。公路运输车辆大多采用柴油发动机作动力。柴油机排放的一氧化碳、氮的氧化物和碳氢化合物，将对环境空气造成一定的影响。本项目新增交通运输源污染物排放情况为氮氧化物、一氧化碳产生量分别约为</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0.001t/a、0.00</w:t>
      </w:r>
      <w:r>
        <w:rPr>
          <w:rFonts w:hint="eastAsia" w:ascii="Times New Roman" w:hAnsi="Times New Roman" w:eastAsia="宋体" w:cs="Times New Roman"/>
          <w:color w:val="auto"/>
          <w:lang w:val="en-US" w:eastAsia="zh-CN"/>
        </w:rPr>
        <w:t>5</w:t>
      </w:r>
      <w:r>
        <w:rPr>
          <w:rFonts w:hint="default" w:ascii="Times New Roman" w:hAnsi="Times New Roman" w:eastAsia="宋体" w:cs="Times New Roman"/>
          <w:color w:val="auto"/>
          <w:lang w:val="en-US" w:eastAsia="zh-CN"/>
        </w:rPr>
        <w:t>t/a，移动源源强较低，在加强管理、保障车辆在正常工况下行驶的前提下，对大气环境影响较小。</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5.2.1.10 大气环境防护距离</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大气环境防护距离的计算采用《环境影响评价技术导则 大气环境》（HJ2.2-2008）推荐的大气环境防护距离计算模式，该模式是基于估算模式开发的计算模式。采用环境保护部环境工程评估中心推荐的 EIAProA 软件进行计算。计算出的距离是以污染源中心点为起点的控制距离，结合厂区平面布置，确定控制距离范围，超出厂界以外的范围，即为项目大气环境防护区域。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采用大气导则推荐模式中的大气环境防护距离模式计算得出本项目无组织排放污染物在厂界外无超标点，因此本项目不设置大气环境防护距离。</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5.2.1.11 卫生防护距离</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本次评价依据《大气有害物质无组织排放卫生防护距离推导技术导则》（GB/T39499-2020）规定的方法对本项目的卫生防护距离进行计算。</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（1）特征大气有害物质选取</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本项目无组织排放的有害物质有 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、H</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S、非甲烷总烃、甲醇、油脂烟气和 TSP 六种。根据七种有害物质单位时间无组织排放量 Q</w:t>
      </w:r>
      <w:r>
        <w:rPr>
          <w:rFonts w:hint="eastAsia" w:ascii="Times New Roman" w:hAnsi="Times New Roman" w:eastAsia="宋体" w:cs="Times New Roman"/>
          <w:color w:val="auto"/>
          <w:sz w:val="24"/>
          <w:szCs w:val="24"/>
          <w:vertAlign w:val="subscript"/>
          <w:lang w:val="en-US" w:eastAsia="zh-CN"/>
        </w:rPr>
        <w:t>C</w:t>
      </w:r>
      <w:r>
        <w:rPr>
          <w:rFonts w:hint="eastAsia" w:ascii="Times New Roman" w:hAnsi="Times New Roman" w:eastAsia="宋体" w:cs="Times New Roman"/>
          <w:color w:val="auto"/>
          <w:sz w:val="24"/>
          <w:szCs w:val="24"/>
          <w:vertAlign w:val="baseline"/>
          <w:lang w:val="en-US" w:eastAsia="zh-CN"/>
        </w:rPr>
        <w:t xml:space="preserve"> </w:t>
      </w:r>
      <w:r>
        <w:rPr>
          <w:rFonts w:hint="eastAsia" w:ascii="Times New Roman" w:hAnsi="Times New Roman" w:eastAsia="宋体" w:cs="Times New Roman"/>
          <w:color w:val="auto"/>
          <w:sz w:val="24"/>
          <w:szCs w:val="24"/>
          <w:lang w:val="en-US" w:eastAsia="zh-CN"/>
        </w:rPr>
        <w:t>和各自的环境空气质量标准限值 C</w:t>
      </w:r>
      <w:r>
        <w:rPr>
          <w:rFonts w:hint="eastAsia" w:ascii="Times New Roman" w:hAnsi="Times New Roman" w:eastAsia="宋体" w:cs="Times New Roman"/>
          <w:color w:val="auto"/>
          <w:sz w:val="24"/>
          <w:szCs w:val="24"/>
          <w:vertAlign w:val="subscript"/>
          <w:lang w:val="en-US" w:eastAsia="zh-CN"/>
        </w:rPr>
        <w:t>m</w:t>
      </w:r>
      <w:r>
        <w:rPr>
          <w:rFonts w:hint="eastAsia" w:ascii="Times New Roman" w:hAnsi="Times New Roman" w:eastAsia="宋体" w:cs="Times New Roman"/>
          <w:color w:val="auto"/>
          <w:sz w:val="24"/>
          <w:szCs w:val="24"/>
          <w:lang w:val="en-US" w:eastAsia="zh-CN"/>
        </w:rPr>
        <w:t>，计算等标排放量（单一大气污染物的单位时间无组织排放量与污染物环境空气质量标准限值的比值），见下表。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5.2.1-19    有害物质灯标排放量计算</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4"/>
        <w:gridCol w:w="1031"/>
        <w:gridCol w:w="2658"/>
        <w:gridCol w:w="2773"/>
        <w:gridCol w:w="1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序号</w:t>
            </w:r>
          </w:p>
        </w:tc>
        <w:tc>
          <w:tcPr>
            <w:tcW w:w="5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有害物质</w:t>
            </w:r>
          </w:p>
        </w:tc>
        <w:tc>
          <w:tcPr>
            <w:tcW w:w="15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sz w:val="21"/>
                <w:szCs w:val="21"/>
                <w:lang w:val="en-US" w:eastAsia="zh-CN"/>
              </w:rPr>
            </w:pPr>
            <w:r>
              <w:rPr>
                <w:rFonts w:hint="eastAsia" w:ascii="Times New Roman" w:hAnsi="Times New Roman" w:eastAsia="宋体" w:cs="Times New Roman"/>
                <w:color w:val="auto"/>
                <w:sz w:val="21"/>
                <w:szCs w:val="21"/>
                <w:vertAlign w:val="baseline"/>
                <w:lang w:val="en-US" w:eastAsia="zh-CN"/>
              </w:rPr>
              <w:t>单位时间无组织排放量Q</w:t>
            </w:r>
            <w:r>
              <w:rPr>
                <w:rFonts w:hint="eastAsia" w:ascii="Times New Roman" w:hAnsi="Times New Roman" w:eastAsia="宋体" w:cs="Times New Roman"/>
                <w:color w:val="auto"/>
                <w:sz w:val="21"/>
                <w:szCs w:val="21"/>
                <w:vertAlign w:val="subscript"/>
                <w:lang w:val="en-US" w:eastAsia="zh-CN"/>
              </w:rPr>
              <w:t>C</w:t>
            </w:r>
            <w:r>
              <w:rPr>
                <w:rFonts w:hint="eastAsia" w:ascii="Times New Roman" w:hAnsi="Times New Roman" w:eastAsia="宋体" w:cs="Times New Roman"/>
                <w:color w:val="auto"/>
                <w:sz w:val="21"/>
                <w:szCs w:val="21"/>
                <w:vertAlign w:val="baseline"/>
                <w:lang w:val="en-US" w:eastAsia="zh-CN"/>
              </w:rPr>
              <w:t>(kg/h)</w:t>
            </w:r>
          </w:p>
        </w:tc>
        <w:tc>
          <w:tcPr>
            <w:tcW w:w="156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环境控制质量标准限值C</w:t>
            </w:r>
            <w:r>
              <w:rPr>
                <w:rFonts w:hint="eastAsia" w:ascii="Times New Roman" w:hAnsi="Times New Roman" w:eastAsia="宋体" w:cs="Times New Roman"/>
                <w:color w:val="auto"/>
                <w:sz w:val="21"/>
                <w:szCs w:val="21"/>
                <w:vertAlign w:val="subscript"/>
                <w:lang w:val="en-US" w:eastAsia="zh-CN"/>
              </w:rPr>
              <w:t>m</w:t>
            </w:r>
            <w:r>
              <w:rPr>
                <w:rFonts w:hint="eastAsia" w:ascii="Times New Roman" w:hAnsi="Times New Roman" w:eastAsia="宋体" w:cs="Times New Roman"/>
                <w:color w:val="auto"/>
                <w:sz w:val="21"/>
                <w:szCs w:val="21"/>
                <w:vertAlign w:val="baseline"/>
                <w:lang w:val="en-US" w:eastAsia="zh-CN"/>
              </w:rPr>
              <w:t>(mg/m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w:t>
            </w:r>
          </w:p>
        </w:tc>
        <w:tc>
          <w:tcPr>
            <w:tcW w:w="101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灯等标排放量Q</w:t>
            </w:r>
            <w:r>
              <w:rPr>
                <w:rFonts w:hint="eastAsia" w:ascii="Times New Roman" w:hAnsi="Times New Roman" w:eastAsia="宋体" w:cs="Times New Roman"/>
                <w:color w:val="auto"/>
                <w:sz w:val="21"/>
                <w:szCs w:val="21"/>
                <w:vertAlign w:val="subscript"/>
                <w:lang w:val="en-US" w:eastAsia="zh-CN"/>
              </w:rPr>
              <w:t>C</w:t>
            </w:r>
            <w:r>
              <w:rPr>
                <w:rFonts w:hint="eastAsia" w:ascii="Times New Roman" w:hAnsi="Times New Roman" w:eastAsia="宋体" w:cs="Times New Roman"/>
                <w:color w:val="auto"/>
                <w:sz w:val="21"/>
                <w:szCs w:val="21"/>
                <w:vertAlign w:val="baseline"/>
                <w:lang w:val="en-US" w:eastAsia="zh-CN"/>
              </w:rPr>
              <w:t>/cm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5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NH</w:t>
            </w:r>
            <w:r>
              <w:rPr>
                <w:rFonts w:hint="eastAsia" w:ascii="Times New Roman" w:hAnsi="Times New Roman" w:eastAsia="宋体" w:cs="Times New Roman"/>
                <w:color w:val="auto"/>
                <w:sz w:val="21"/>
                <w:szCs w:val="21"/>
                <w:vertAlign w:val="subscript"/>
                <w:lang w:val="en-US" w:eastAsia="zh-CN"/>
              </w:rPr>
              <w:t>3</w:t>
            </w:r>
          </w:p>
        </w:tc>
        <w:tc>
          <w:tcPr>
            <w:tcW w:w="15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0.17</w:t>
            </w:r>
          </w:p>
        </w:tc>
        <w:tc>
          <w:tcPr>
            <w:tcW w:w="156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0.2</w:t>
            </w:r>
          </w:p>
        </w:tc>
        <w:tc>
          <w:tcPr>
            <w:tcW w:w="101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5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H</w:t>
            </w:r>
            <w:r>
              <w:rPr>
                <w:rFonts w:hint="eastAsia" w:ascii="Times New Roman" w:hAnsi="Times New Roman" w:eastAsia="宋体" w:cs="Times New Roman"/>
                <w:color w:val="auto"/>
                <w:sz w:val="21"/>
                <w:szCs w:val="21"/>
                <w:vertAlign w:val="subscript"/>
                <w:lang w:val="en-US" w:eastAsia="zh-CN"/>
              </w:rPr>
              <w:t>2</w:t>
            </w:r>
            <w:r>
              <w:rPr>
                <w:rFonts w:hint="eastAsia" w:ascii="Times New Roman" w:hAnsi="Times New Roman" w:eastAsia="宋体" w:cs="Times New Roman"/>
                <w:color w:val="auto"/>
                <w:sz w:val="21"/>
                <w:szCs w:val="21"/>
                <w:lang w:val="en-US" w:eastAsia="zh-CN"/>
              </w:rPr>
              <w:t>S</w:t>
            </w:r>
          </w:p>
        </w:tc>
        <w:tc>
          <w:tcPr>
            <w:tcW w:w="15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0.014</w:t>
            </w:r>
          </w:p>
        </w:tc>
        <w:tc>
          <w:tcPr>
            <w:tcW w:w="156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w:t>
            </w:r>
          </w:p>
        </w:tc>
        <w:tc>
          <w:tcPr>
            <w:tcW w:w="101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5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非甲烷总烃</w:t>
            </w:r>
          </w:p>
        </w:tc>
        <w:tc>
          <w:tcPr>
            <w:tcW w:w="15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1.032</w:t>
            </w:r>
          </w:p>
        </w:tc>
        <w:tc>
          <w:tcPr>
            <w:tcW w:w="156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101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0.516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5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甲醇</w:t>
            </w:r>
          </w:p>
        </w:tc>
        <w:tc>
          <w:tcPr>
            <w:tcW w:w="15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5×10</w:t>
            </w:r>
            <w:r>
              <w:rPr>
                <w:rFonts w:hint="eastAsia" w:ascii="Times New Roman" w:hAnsi="Times New Roman" w:eastAsia="宋体" w:cs="Times New Roman"/>
                <w:color w:val="auto"/>
                <w:sz w:val="21"/>
                <w:szCs w:val="21"/>
                <w:vertAlign w:val="superscript"/>
                <w:lang w:val="en-US" w:eastAsia="zh-CN"/>
              </w:rPr>
              <w:t>-3</w:t>
            </w:r>
          </w:p>
        </w:tc>
        <w:tc>
          <w:tcPr>
            <w:tcW w:w="156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101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1.67×10</w:t>
            </w:r>
            <w:r>
              <w:rPr>
                <w:rFonts w:hint="eastAsia" w:ascii="Times New Roman" w:hAnsi="Times New Roman" w:eastAsia="宋体" w:cs="Times New Roman"/>
                <w:color w:val="auto"/>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w:t>
            </w:r>
          </w:p>
        </w:tc>
        <w:tc>
          <w:tcPr>
            <w:tcW w:w="5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油脂烟气</w:t>
            </w:r>
          </w:p>
        </w:tc>
        <w:tc>
          <w:tcPr>
            <w:tcW w:w="15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2×10</w:t>
            </w:r>
            <w:r>
              <w:rPr>
                <w:rFonts w:hint="eastAsia" w:ascii="Times New Roman" w:hAnsi="Times New Roman" w:eastAsia="宋体" w:cs="Times New Roman"/>
                <w:color w:val="auto"/>
                <w:sz w:val="21"/>
                <w:szCs w:val="21"/>
                <w:vertAlign w:val="superscript"/>
                <w:lang w:val="en-US" w:eastAsia="zh-CN"/>
              </w:rPr>
              <w:t>-3</w:t>
            </w:r>
          </w:p>
        </w:tc>
        <w:tc>
          <w:tcPr>
            <w:tcW w:w="156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101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1×10</w:t>
            </w:r>
            <w:r>
              <w:rPr>
                <w:rFonts w:hint="eastAsia" w:ascii="Times New Roman" w:hAnsi="Times New Roman" w:eastAsia="宋体" w:cs="Times New Roman"/>
                <w:color w:val="auto"/>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w:t>
            </w:r>
          </w:p>
        </w:tc>
        <w:tc>
          <w:tcPr>
            <w:tcW w:w="5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TSP</w:t>
            </w:r>
          </w:p>
        </w:tc>
        <w:tc>
          <w:tcPr>
            <w:tcW w:w="15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0.94</w:t>
            </w:r>
          </w:p>
        </w:tc>
        <w:tc>
          <w:tcPr>
            <w:tcW w:w="156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0.3</w:t>
            </w:r>
          </w:p>
        </w:tc>
        <w:tc>
          <w:tcPr>
            <w:tcW w:w="101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3.13</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基于单个污染物的等标排放量计算结果，优先选择等标排放量最大的污染物为企业无组织排放的主要特征大气有害物质，选取 TSP 作为主要特征大气有害物质。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（2）卫生防护距离初值</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color w:val="auto"/>
        </w:rPr>
        <w:drawing>
          <wp:inline distT="0" distB="0" distL="114300" distR="114300">
            <wp:extent cx="2857500" cy="514350"/>
            <wp:effectExtent l="0" t="0" r="0" b="0"/>
            <wp:docPr id="6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7"/>
                    <pic:cNvPicPr>
                      <a:picLocks noChangeAspect="1"/>
                    </pic:cNvPicPr>
                  </pic:nvPicPr>
                  <pic:blipFill>
                    <a:blip r:embed="rId79"/>
                    <a:stretch>
                      <a:fillRect/>
                    </a:stretch>
                  </pic:blipFill>
                  <pic:spPr>
                    <a:xfrm>
                      <a:off x="0" y="0"/>
                      <a:ext cx="2857500" cy="5143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式中：</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Q</w:t>
      </w:r>
      <w:r>
        <w:rPr>
          <w:rFonts w:hint="eastAsia" w:ascii="Times New Roman" w:hAnsi="Times New Roman" w:eastAsia="宋体" w:cs="Times New Roman"/>
          <w:color w:val="auto"/>
          <w:sz w:val="24"/>
          <w:szCs w:val="24"/>
          <w:vertAlign w:val="subscript"/>
          <w:lang w:val="en-US" w:eastAsia="zh-CN"/>
        </w:rPr>
        <w:t>C</w:t>
      </w:r>
      <w:r>
        <w:rPr>
          <w:rFonts w:hint="eastAsia" w:ascii="Times New Roman" w:hAnsi="Times New Roman" w:eastAsia="宋体" w:cs="Times New Roman"/>
          <w:color w:val="auto"/>
          <w:sz w:val="24"/>
          <w:szCs w:val="24"/>
          <w:lang w:val="en-US" w:eastAsia="zh-CN"/>
        </w:rPr>
        <w:t>—大气有害物质的无组织排放量，单位为千克每小时（kg/h）；</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Cm—大气有害物质环境空气质量的标准限值，单位为毫克每立方米（mg/m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L—大气有害物质卫生防护距离初值，单位为米（m）；</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r—大气有害物质无组织排放源所在生产单元的等效半径，单位为米（m）；</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A、B、C、D—卫生防护距离初值计算系数，无因次，根据工业企业所在地区近 5 年平均风速及大气污染源构成类别查取。区域近 5 年平均风速为 2.5m/s；</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无组织排放源共存的排放同种有害气体的排气筒的排放量，大于允许排放量的 1</w:t>
      </w:r>
      <w:r>
        <w:rPr>
          <w:rFonts w:hint="default" w:ascii="Times New Roman" w:hAnsi="Times New Roman" w:eastAsia="宋体" w:cs="Times New Roman"/>
          <w:color w:val="auto"/>
          <w:sz w:val="24"/>
          <w:szCs w:val="24"/>
          <w:lang w:val="en-US" w:eastAsia="zh-CN"/>
        </w:rPr>
        <w:t>/3，判定为 Ⅰ 类；卫生防护距离 L 小于等于 1000m</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因此，A、B、C、D 取值分别为 700、0.021、1.85 和 0.84。</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等效半径 r=（28000/3.14）0.5=94.43m</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根据上述公式，本项目卫生防护距离初值详见下表。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5.2.1-20    本项目卫生防护距离初值一览表</w:t>
      </w:r>
    </w:p>
    <w:tbl>
      <w:tblPr>
        <w:tblStyle w:val="2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0"/>
        <w:gridCol w:w="2788"/>
        <w:gridCol w:w="46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序号</w:t>
            </w:r>
          </w:p>
        </w:tc>
        <w:tc>
          <w:tcPr>
            <w:tcW w:w="157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w:t>
            </w:r>
          </w:p>
        </w:tc>
        <w:tc>
          <w:tcPr>
            <w:tcW w:w="2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卫生防护距离初值/m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157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NH</w:t>
            </w:r>
            <w:r>
              <w:rPr>
                <w:rFonts w:hint="default" w:ascii="Times New Roman" w:hAnsi="Times New Roman" w:eastAsia="宋体" w:cs="Times New Roman"/>
                <w:color w:val="auto"/>
                <w:sz w:val="21"/>
                <w:szCs w:val="21"/>
                <w:vertAlign w:val="subscript"/>
                <w:lang w:val="en-US" w:eastAsia="zh-CN"/>
              </w:rPr>
              <w:t>3</w:t>
            </w:r>
          </w:p>
        </w:tc>
        <w:tc>
          <w:tcPr>
            <w:tcW w:w="2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157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H</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lang w:val="en-US" w:eastAsia="zh-CN"/>
              </w:rPr>
              <w:t>S</w:t>
            </w:r>
          </w:p>
        </w:tc>
        <w:tc>
          <w:tcPr>
            <w:tcW w:w="2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w:t>
            </w:r>
          </w:p>
        </w:tc>
        <w:tc>
          <w:tcPr>
            <w:tcW w:w="157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非甲烷总烃</w:t>
            </w:r>
          </w:p>
        </w:tc>
        <w:tc>
          <w:tcPr>
            <w:tcW w:w="2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w:t>
            </w:r>
          </w:p>
        </w:tc>
        <w:tc>
          <w:tcPr>
            <w:tcW w:w="157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甲醇</w:t>
            </w:r>
          </w:p>
        </w:tc>
        <w:tc>
          <w:tcPr>
            <w:tcW w:w="2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w:t>
            </w:r>
          </w:p>
        </w:tc>
        <w:tc>
          <w:tcPr>
            <w:tcW w:w="157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油脂烟气</w:t>
            </w:r>
          </w:p>
        </w:tc>
        <w:tc>
          <w:tcPr>
            <w:tcW w:w="2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w:t>
            </w:r>
          </w:p>
        </w:tc>
        <w:tc>
          <w:tcPr>
            <w:tcW w:w="157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TSP</w:t>
            </w:r>
          </w:p>
        </w:tc>
        <w:tc>
          <w:tcPr>
            <w:tcW w:w="2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59.43</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由上表可知，本项目卫生防护距离初值最高为 94.16m。</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（3）卫生防护距离终值确定</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本项目最大卫生防护距离初值大于 50m 小于 100m，由此确定本项目卫生防护距离终值为 100m。</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5.2.1.12 项目污染物排放量核算</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（1）大气污染物排放量核算</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在各类环保设施正常运行的情况下，污染物排放量见下表。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5.2.1-20    项目大气污染物排放量核算表</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1"/>
        <w:gridCol w:w="1517"/>
        <w:gridCol w:w="2528"/>
        <w:gridCol w:w="2528"/>
        <w:gridCol w:w="15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序号</w:t>
            </w:r>
          </w:p>
        </w:tc>
        <w:tc>
          <w:tcPr>
            <w:tcW w:w="85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w:t>
            </w:r>
          </w:p>
        </w:tc>
        <w:tc>
          <w:tcPr>
            <w:tcW w:w="14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有组织排放量（t/a）</w:t>
            </w:r>
          </w:p>
        </w:tc>
        <w:tc>
          <w:tcPr>
            <w:tcW w:w="14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无组织排放量（t/a）</w:t>
            </w:r>
          </w:p>
        </w:tc>
        <w:tc>
          <w:tcPr>
            <w:tcW w:w="85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合计（t/a）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85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TSP</w:t>
            </w:r>
          </w:p>
        </w:tc>
        <w:tc>
          <w:tcPr>
            <w:tcW w:w="14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0.09</w:t>
            </w:r>
          </w:p>
        </w:tc>
        <w:tc>
          <w:tcPr>
            <w:tcW w:w="14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0.9403</w:t>
            </w:r>
          </w:p>
        </w:tc>
        <w:tc>
          <w:tcPr>
            <w:tcW w:w="85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1.0303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85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NH</w:t>
            </w:r>
            <w:r>
              <w:rPr>
                <w:rFonts w:hint="default" w:ascii="Times New Roman" w:hAnsi="Times New Roman" w:eastAsia="宋体" w:cs="Times New Roman"/>
                <w:color w:val="auto"/>
                <w:sz w:val="21"/>
                <w:szCs w:val="21"/>
                <w:vertAlign w:val="subscript"/>
                <w:lang w:val="en-US" w:eastAsia="zh-CN"/>
              </w:rPr>
              <w:t>3</w:t>
            </w:r>
          </w:p>
        </w:tc>
        <w:tc>
          <w:tcPr>
            <w:tcW w:w="14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0.095</w:t>
            </w:r>
          </w:p>
        </w:tc>
        <w:tc>
          <w:tcPr>
            <w:tcW w:w="14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0.17169</w:t>
            </w:r>
          </w:p>
        </w:tc>
        <w:tc>
          <w:tcPr>
            <w:tcW w:w="85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0.26669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w:t>
            </w:r>
          </w:p>
        </w:tc>
        <w:tc>
          <w:tcPr>
            <w:tcW w:w="85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H</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vertAlign w:val="baseline"/>
                <w:lang w:val="en-US" w:eastAsia="zh-CN"/>
              </w:rPr>
              <w:t>S</w:t>
            </w:r>
          </w:p>
        </w:tc>
        <w:tc>
          <w:tcPr>
            <w:tcW w:w="14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0.130</w:t>
            </w:r>
          </w:p>
        </w:tc>
        <w:tc>
          <w:tcPr>
            <w:tcW w:w="14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0.014048</w:t>
            </w:r>
          </w:p>
        </w:tc>
        <w:tc>
          <w:tcPr>
            <w:tcW w:w="85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0.144048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w:t>
            </w:r>
          </w:p>
        </w:tc>
        <w:tc>
          <w:tcPr>
            <w:tcW w:w="85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非甲烷总烃</w:t>
            </w:r>
          </w:p>
        </w:tc>
        <w:tc>
          <w:tcPr>
            <w:tcW w:w="14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0.53</w:t>
            </w:r>
          </w:p>
        </w:tc>
        <w:tc>
          <w:tcPr>
            <w:tcW w:w="14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1.032</w:t>
            </w:r>
          </w:p>
        </w:tc>
        <w:tc>
          <w:tcPr>
            <w:tcW w:w="85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1.562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w:t>
            </w:r>
          </w:p>
        </w:tc>
        <w:tc>
          <w:tcPr>
            <w:tcW w:w="85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油脂烟气</w:t>
            </w:r>
          </w:p>
        </w:tc>
        <w:tc>
          <w:tcPr>
            <w:tcW w:w="14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6.45×10</w:t>
            </w:r>
            <w:r>
              <w:rPr>
                <w:rFonts w:hint="default" w:ascii="Times New Roman" w:hAnsi="Times New Roman" w:eastAsia="宋体" w:cs="Times New Roman"/>
                <w:color w:val="auto"/>
                <w:sz w:val="21"/>
                <w:szCs w:val="21"/>
                <w:vertAlign w:val="superscript"/>
                <w:lang w:val="en-US" w:eastAsia="zh-CN"/>
              </w:rPr>
              <w:t>-3</w:t>
            </w:r>
          </w:p>
        </w:tc>
        <w:tc>
          <w:tcPr>
            <w:tcW w:w="14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highlight w:val="none"/>
                <w:lang w:val="en-US" w:eastAsia="zh-CN"/>
              </w:rPr>
              <w:t>2×10</w:t>
            </w:r>
            <w:r>
              <w:rPr>
                <w:rFonts w:hint="default" w:ascii="Times New Roman" w:hAnsi="Times New Roman" w:eastAsia="宋体" w:cs="Times New Roman"/>
                <w:color w:val="auto"/>
                <w:sz w:val="21"/>
                <w:szCs w:val="21"/>
                <w:highlight w:val="none"/>
                <w:vertAlign w:val="superscript"/>
                <w:lang w:val="en-US" w:eastAsia="zh-CN"/>
              </w:rPr>
              <w:t>-3</w:t>
            </w:r>
          </w:p>
        </w:tc>
        <w:tc>
          <w:tcPr>
            <w:tcW w:w="85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8.45×10</w:t>
            </w:r>
            <w:r>
              <w:rPr>
                <w:rFonts w:hint="default" w:ascii="Times New Roman" w:hAnsi="Times New Roman" w:eastAsia="宋体" w:cs="Times New Roman"/>
                <w:color w:val="auto"/>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w:t>
            </w:r>
          </w:p>
        </w:tc>
        <w:tc>
          <w:tcPr>
            <w:tcW w:w="85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甲醇</w:t>
            </w:r>
          </w:p>
        </w:tc>
        <w:tc>
          <w:tcPr>
            <w:tcW w:w="14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p>
        </w:tc>
        <w:tc>
          <w:tcPr>
            <w:tcW w:w="14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5×10</w:t>
            </w:r>
            <w:r>
              <w:rPr>
                <w:rFonts w:hint="default" w:ascii="Times New Roman" w:hAnsi="Times New Roman" w:eastAsia="宋体" w:cs="Times New Roman"/>
                <w:color w:val="auto"/>
                <w:sz w:val="21"/>
                <w:szCs w:val="21"/>
                <w:vertAlign w:val="superscript"/>
                <w:lang w:val="en-US" w:eastAsia="zh-CN"/>
              </w:rPr>
              <w:t>-3</w:t>
            </w:r>
          </w:p>
        </w:tc>
        <w:tc>
          <w:tcPr>
            <w:tcW w:w="85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5×10</w:t>
            </w:r>
            <w:r>
              <w:rPr>
                <w:rFonts w:hint="default" w:ascii="Times New Roman" w:hAnsi="Times New Roman" w:eastAsia="宋体" w:cs="Times New Roman"/>
                <w:color w:val="auto"/>
                <w:sz w:val="21"/>
                <w:szCs w:val="21"/>
                <w:vertAlign w:val="superscript"/>
                <w:lang w:val="en-US" w:eastAsia="zh-CN"/>
              </w:rPr>
              <w:t>-3</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（2）有组织排放量核算</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本项目运行期，在各类环保设施正常运行的情况下，废气有组织排放量核算见下表。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5.2.1-21    项目大气污染物有组织排放核算表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1282"/>
        <w:gridCol w:w="1327"/>
        <w:gridCol w:w="1576"/>
        <w:gridCol w:w="2001"/>
        <w:gridCol w:w="1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序号</w:t>
            </w:r>
          </w:p>
        </w:tc>
        <w:tc>
          <w:tcPr>
            <w:tcW w:w="7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排放口编号</w:t>
            </w:r>
          </w:p>
        </w:tc>
        <w:tc>
          <w:tcPr>
            <w:tcW w:w="7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污染物</w:t>
            </w:r>
          </w:p>
        </w:tc>
        <w:tc>
          <w:tcPr>
            <w:tcW w:w="8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核算排放浓度（mg/m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w:t>
            </w:r>
          </w:p>
        </w:tc>
        <w:tc>
          <w:tcPr>
            <w:tcW w:w="11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核算排放速率（kg/h）</w:t>
            </w:r>
          </w:p>
        </w:tc>
        <w:tc>
          <w:tcPr>
            <w:tcW w:w="10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核算年排放量（t/a）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一般排放口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724"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DA001</w:t>
            </w:r>
          </w:p>
        </w:tc>
        <w:tc>
          <w:tcPr>
            <w:tcW w:w="7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油脂烟气</w:t>
            </w:r>
          </w:p>
        </w:tc>
        <w:tc>
          <w:tcPr>
            <w:tcW w:w="8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0.05</w:t>
            </w:r>
          </w:p>
        </w:tc>
        <w:tc>
          <w:tcPr>
            <w:tcW w:w="11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1.12×10-</w:t>
            </w:r>
            <w:r>
              <w:rPr>
                <w:rFonts w:hint="default" w:ascii="Times New Roman" w:hAnsi="Times New Roman" w:eastAsia="宋体" w:cs="Times New Roman"/>
                <w:color w:val="auto"/>
                <w:sz w:val="21"/>
                <w:szCs w:val="21"/>
                <w:vertAlign w:val="superscript"/>
                <w:lang w:val="en-US" w:eastAsia="zh-CN"/>
              </w:rPr>
              <w:t>3</w:t>
            </w:r>
          </w:p>
        </w:tc>
        <w:tc>
          <w:tcPr>
            <w:tcW w:w="10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6.45×10</w:t>
            </w:r>
            <w:r>
              <w:rPr>
                <w:rFonts w:hint="default" w:ascii="Times New Roman" w:hAnsi="Times New Roman" w:eastAsia="宋体" w:cs="Times New Roman"/>
                <w:color w:val="auto"/>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72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NH</w:t>
            </w:r>
            <w:r>
              <w:rPr>
                <w:rFonts w:hint="eastAsia" w:ascii="Times New Roman" w:hAnsi="Times New Roman" w:eastAsia="宋体" w:cs="Times New Roman"/>
                <w:color w:val="auto"/>
                <w:sz w:val="21"/>
                <w:szCs w:val="21"/>
                <w:vertAlign w:val="subscript"/>
                <w:lang w:val="en-US" w:eastAsia="zh-CN"/>
              </w:rPr>
              <w:t>3</w:t>
            </w:r>
          </w:p>
        </w:tc>
        <w:tc>
          <w:tcPr>
            <w:tcW w:w="8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0.47</w:t>
            </w:r>
          </w:p>
        </w:tc>
        <w:tc>
          <w:tcPr>
            <w:tcW w:w="11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0.012</w:t>
            </w:r>
          </w:p>
        </w:tc>
        <w:tc>
          <w:tcPr>
            <w:tcW w:w="10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72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H</w:t>
            </w:r>
            <w:r>
              <w:rPr>
                <w:rFonts w:hint="eastAsia" w:ascii="Times New Roman" w:hAnsi="Times New Roman" w:eastAsia="宋体" w:cs="Times New Roman"/>
                <w:color w:val="auto"/>
                <w:sz w:val="21"/>
                <w:szCs w:val="21"/>
                <w:vertAlign w:val="subscript"/>
                <w:lang w:val="en-US" w:eastAsia="zh-CN"/>
              </w:rPr>
              <w:t>2</w:t>
            </w:r>
            <w:r>
              <w:rPr>
                <w:rFonts w:hint="eastAsia" w:ascii="Times New Roman" w:hAnsi="Times New Roman" w:eastAsia="宋体" w:cs="Times New Roman"/>
                <w:color w:val="auto"/>
                <w:sz w:val="21"/>
                <w:szCs w:val="21"/>
                <w:vertAlign w:val="baseline"/>
                <w:lang w:val="en-US" w:eastAsia="zh-CN"/>
              </w:rPr>
              <w:t>S</w:t>
            </w:r>
          </w:p>
        </w:tc>
        <w:tc>
          <w:tcPr>
            <w:tcW w:w="8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0.9</w:t>
            </w:r>
          </w:p>
        </w:tc>
        <w:tc>
          <w:tcPr>
            <w:tcW w:w="11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0.023</w:t>
            </w:r>
          </w:p>
        </w:tc>
        <w:tc>
          <w:tcPr>
            <w:tcW w:w="10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72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非甲烷总烃</w:t>
            </w:r>
          </w:p>
        </w:tc>
        <w:tc>
          <w:tcPr>
            <w:tcW w:w="8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3.68</w:t>
            </w:r>
          </w:p>
        </w:tc>
        <w:tc>
          <w:tcPr>
            <w:tcW w:w="11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0.092</w:t>
            </w:r>
          </w:p>
        </w:tc>
        <w:tc>
          <w:tcPr>
            <w:tcW w:w="10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w:t>
            </w:r>
          </w:p>
        </w:tc>
        <w:tc>
          <w:tcPr>
            <w:tcW w:w="72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TSP</w:t>
            </w:r>
          </w:p>
        </w:tc>
        <w:tc>
          <w:tcPr>
            <w:tcW w:w="8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0.69</w:t>
            </w:r>
          </w:p>
        </w:tc>
        <w:tc>
          <w:tcPr>
            <w:tcW w:w="11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3.47×10</w:t>
            </w:r>
            <w:r>
              <w:rPr>
                <w:rFonts w:hint="eastAsia" w:ascii="Times New Roman" w:hAnsi="Times New Roman" w:eastAsia="宋体" w:cs="Times New Roman"/>
                <w:bCs/>
                <w:color w:val="auto"/>
                <w:sz w:val="21"/>
                <w:szCs w:val="21"/>
                <w:vertAlign w:val="superscript"/>
                <w:lang w:val="en-US" w:eastAsia="zh-CN"/>
              </w:rPr>
              <w:t>-3</w:t>
            </w:r>
          </w:p>
        </w:tc>
        <w:tc>
          <w:tcPr>
            <w:tcW w:w="10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w:t>
            </w:r>
          </w:p>
        </w:tc>
        <w:tc>
          <w:tcPr>
            <w:tcW w:w="724"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DA002</w:t>
            </w:r>
          </w:p>
        </w:tc>
        <w:tc>
          <w:tcPr>
            <w:tcW w:w="7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TSP</w:t>
            </w:r>
          </w:p>
        </w:tc>
        <w:tc>
          <w:tcPr>
            <w:tcW w:w="8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2.43</w:t>
            </w:r>
          </w:p>
        </w:tc>
        <w:tc>
          <w:tcPr>
            <w:tcW w:w="11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w:t>
            </w:r>
          </w:p>
        </w:tc>
        <w:tc>
          <w:tcPr>
            <w:tcW w:w="10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w:t>
            </w:r>
          </w:p>
        </w:tc>
        <w:tc>
          <w:tcPr>
            <w:tcW w:w="72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NH</w:t>
            </w:r>
            <w:r>
              <w:rPr>
                <w:rFonts w:hint="eastAsia" w:ascii="Times New Roman" w:hAnsi="Times New Roman" w:eastAsia="宋体" w:cs="Times New Roman"/>
                <w:color w:val="auto"/>
                <w:sz w:val="21"/>
                <w:szCs w:val="21"/>
                <w:vertAlign w:val="subscript"/>
                <w:lang w:val="en-US" w:eastAsia="zh-CN"/>
              </w:rPr>
              <w:t>3</w:t>
            </w:r>
          </w:p>
        </w:tc>
        <w:tc>
          <w:tcPr>
            <w:tcW w:w="8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0.87</w:t>
            </w:r>
          </w:p>
        </w:tc>
        <w:tc>
          <w:tcPr>
            <w:tcW w:w="11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4.34×10</w:t>
            </w:r>
            <w:r>
              <w:rPr>
                <w:rFonts w:hint="eastAsia" w:ascii="Times New Roman" w:hAnsi="Times New Roman" w:eastAsia="宋体" w:cs="Times New Roman"/>
                <w:bCs/>
                <w:color w:val="auto"/>
                <w:sz w:val="21"/>
                <w:szCs w:val="21"/>
                <w:vertAlign w:val="superscript"/>
                <w:lang w:val="en-US" w:eastAsia="zh-CN"/>
              </w:rPr>
              <w:t>-3</w:t>
            </w:r>
          </w:p>
        </w:tc>
        <w:tc>
          <w:tcPr>
            <w:tcW w:w="10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w:t>
            </w:r>
          </w:p>
        </w:tc>
        <w:tc>
          <w:tcPr>
            <w:tcW w:w="72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H</w:t>
            </w:r>
            <w:r>
              <w:rPr>
                <w:rFonts w:hint="eastAsia" w:ascii="Times New Roman" w:hAnsi="Times New Roman" w:eastAsia="宋体" w:cs="Times New Roman"/>
                <w:color w:val="auto"/>
                <w:sz w:val="21"/>
                <w:szCs w:val="21"/>
                <w:vertAlign w:val="subscript"/>
                <w:lang w:val="en-US" w:eastAsia="zh-CN"/>
              </w:rPr>
              <w:t>2</w:t>
            </w:r>
            <w:r>
              <w:rPr>
                <w:rFonts w:hint="eastAsia" w:ascii="Times New Roman" w:hAnsi="Times New Roman" w:eastAsia="宋体" w:cs="Times New Roman"/>
                <w:color w:val="auto"/>
                <w:sz w:val="21"/>
                <w:szCs w:val="21"/>
                <w:vertAlign w:val="baseline"/>
                <w:lang w:val="en-US" w:eastAsia="zh-CN"/>
              </w:rPr>
              <w:t>S</w:t>
            </w:r>
          </w:p>
        </w:tc>
        <w:tc>
          <w:tcPr>
            <w:tcW w:w="8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0.01</w:t>
            </w:r>
          </w:p>
        </w:tc>
        <w:tc>
          <w:tcPr>
            <w:tcW w:w="11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5.69×10</w:t>
            </w:r>
            <w:r>
              <w:rPr>
                <w:rFonts w:hint="eastAsia" w:ascii="Times New Roman" w:hAnsi="Times New Roman" w:eastAsia="宋体" w:cs="Times New Roman"/>
                <w:bCs/>
                <w:color w:val="auto"/>
                <w:sz w:val="21"/>
                <w:szCs w:val="21"/>
                <w:vertAlign w:val="superscript"/>
                <w:lang w:val="en-US" w:eastAsia="zh-CN"/>
              </w:rPr>
              <w:t>-5</w:t>
            </w:r>
          </w:p>
        </w:tc>
        <w:tc>
          <w:tcPr>
            <w:tcW w:w="10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3.28×10</w:t>
            </w:r>
            <w:r>
              <w:rPr>
                <w:rFonts w:hint="eastAsia" w:ascii="Times New Roman" w:hAnsi="Times New Roman" w:eastAsia="宋体" w:cs="Times New Roman"/>
                <w:color w:val="auto"/>
                <w:sz w:val="21"/>
                <w:szCs w:val="21"/>
                <w:vertAlign w:val="superscript"/>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vertAlign w:val="baseline"/>
                <w:lang w:val="en-US" w:eastAsia="zh-CN"/>
              </w:rPr>
              <w:t>一般排放口合计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5" w:type="pct"/>
            <w:gridSpan w:val="2"/>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有组织年排放总计</w:t>
            </w:r>
          </w:p>
        </w:tc>
        <w:tc>
          <w:tcPr>
            <w:tcW w:w="7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油脂烟气</w:t>
            </w:r>
          </w:p>
        </w:tc>
        <w:tc>
          <w:tcPr>
            <w:tcW w:w="3104"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vertAlign w:val="baseline"/>
                <w:lang w:val="en-US" w:eastAsia="zh-CN"/>
              </w:rPr>
              <w:t>6.45×10</w:t>
            </w:r>
            <w:r>
              <w:rPr>
                <w:rFonts w:hint="default" w:ascii="Times New Roman" w:hAnsi="Times New Roman" w:eastAsia="宋体" w:cs="Times New Roman"/>
                <w:color w:val="auto"/>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 w:hRule="atLeast"/>
        </w:trPr>
        <w:tc>
          <w:tcPr>
            <w:tcW w:w="1145" w:type="pct"/>
            <w:gridSpan w:val="2"/>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NH</w:t>
            </w:r>
            <w:r>
              <w:rPr>
                <w:rFonts w:hint="eastAsia" w:ascii="Times New Roman" w:hAnsi="Times New Roman" w:eastAsia="宋体" w:cs="Times New Roman"/>
                <w:color w:val="auto"/>
                <w:sz w:val="21"/>
                <w:szCs w:val="21"/>
                <w:vertAlign w:val="subscript"/>
                <w:lang w:val="en-US" w:eastAsia="zh-CN"/>
              </w:rPr>
              <w:t>3</w:t>
            </w:r>
          </w:p>
        </w:tc>
        <w:tc>
          <w:tcPr>
            <w:tcW w:w="3104"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5" w:type="pct"/>
            <w:gridSpan w:val="2"/>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H</w:t>
            </w:r>
            <w:r>
              <w:rPr>
                <w:rFonts w:hint="eastAsia" w:ascii="Times New Roman" w:hAnsi="Times New Roman" w:eastAsia="宋体" w:cs="Times New Roman"/>
                <w:color w:val="auto"/>
                <w:sz w:val="21"/>
                <w:szCs w:val="21"/>
                <w:vertAlign w:val="subscript"/>
                <w:lang w:val="en-US" w:eastAsia="zh-CN"/>
              </w:rPr>
              <w:t>2</w:t>
            </w:r>
            <w:r>
              <w:rPr>
                <w:rFonts w:hint="eastAsia" w:ascii="Times New Roman" w:hAnsi="Times New Roman" w:eastAsia="宋体" w:cs="Times New Roman"/>
                <w:color w:val="auto"/>
                <w:sz w:val="21"/>
                <w:szCs w:val="21"/>
                <w:vertAlign w:val="baseline"/>
                <w:lang w:val="en-US" w:eastAsia="zh-CN"/>
              </w:rPr>
              <w:t>S</w:t>
            </w:r>
          </w:p>
        </w:tc>
        <w:tc>
          <w:tcPr>
            <w:tcW w:w="3104"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5" w:type="pct"/>
            <w:gridSpan w:val="2"/>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非甲烷总烃</w:t>
            </w:r>
          </w:p>
        </w:tc>
        <w:tc>
          <w:tcPr>
            <w:tcW w:w="3104"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45" w:type="pct"/>
            <w:gridSpan w:val="2"/>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TSP</w:t>
            </w:r>
          </w:p>
        </w:tc>
        <w:tc>
          <w:tcPr>
            <w:tcW w:w="3104"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0.09</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（3）无组织排放量核算</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本项目运行期，在各类环保设施正常运行的情况下，废气无组织排放量核算见下表。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5.2.1-22    项目废气无组织排放量核算表</w:t>
      </w:r>
    </w:p>
    <w:tbl>
      <w:tblPr>
        <w:tblStyle w:val="21"/>
        <w:tblW w:w="50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40"/>
        <w:gridCol w:w="841"/>
        <w:gridCol w:w="920"/>
        <w:gridCol w:w="3551"/>
        <w:gridCol w:w="1057"/>
        <w:gridCol w:w="9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74" w:type="pct"/>
            <w:vMerge w:val="restart"/>
            <w:tcBorders>
              <w:tl2br w:val="nil"/>
              <w:tr2bl w:val="nil"/>
            </w:tcBorders>
            <w:noWrap w:val="0"/>
            <w:vAlign w:val="center"/>
          </w:tcPr>
          <w:p>
            <w:pPr>
              <w:pStyle w:val="34"/>
              <w:shd w:val="clear" w:color="auto" w:fill="auto"/>
              <w:bidi w:val="0"/>
              <w:rPr>
                <w:rFonts w:hint="default"/>
                <w:b/>
                <w:bCs/>
                <w:color w:val="auto"/>
                <w:highlight w:val="none"/>
                <w:lang w:val="en-US" w:eastAsia="zh-CN"/>
              </w:rPr>
            </w:pPr>
            <w:r>
              <w:rPr>
                <w:rFonts w:hint="default"/>
                <w:b/>
                <w:bCs/>
                <w:color w:val="auto"/>
                <w:highlight w:val="none"/>
                <w:lang w:val="en-US" w:eastAsia="zh-CN"/>
              </w:rPr>
              <w:t>产污环节</w:t>
            </w:r>
          </w:p>
        </w:tc>
        <w:tc>
          <w:tcPr>
            <w:tcW w:w="486" w:type="pct"/>
            <w:vMerge w:val="restart"/>
            <w:tcBorders>
              <w:tl2br w:val="nil"/>
              <w:tr2bl w:val="nil"/>
            </w:tcBorders>
            <w:noWrap w:val="0"/>
            <w:vAlign w:val="center"/>
          </w:tcPr>
          <w:p>
            <w:pPr>
              <w:pStyle w:val="34"/>
              <w:shd w:val="clear" w:color="auto" w:fill="auto"/>
              <w:bidi w:val="0"/>
              <w:rPr>
                <w:rFonts w:hint="default"/>
                <w:b/>
                <w:bCs/>
                <w:color w:val="auto"/>
                <w:highlight w:val="none"/>
                <w:lang w:val="en-US" w:eastAsia="zh-CN"/>
              </w:rPr>
            </w:pPr>
            <w:r>
              <w:rPr>
                <w:rFonts w:hint="default"/>
                <w:b/>
                <w:bCs/>
                <w:color w:val="auto"/>
                <w:highlight w:val="none"/>
                <w:lang w:val="en-US" w:eastAsia="zh-CN"/>
              </w:rPr>
              <w:t>污染物</w:t>
            </w:r>
          </w:p>
        </w:tc>
        <w:tc>
          <w:tcPr>
            <w:tcW w:w="531" w:type="pct"/>
            <w:vMerge w:val="restart"/>
            <w:tcBorders>
              <w:tl2br w:val="nil"/>
              <w:tr2bl w:val="nil"/>
            </w:tcBorders>
            <w:noWrap w:val="0"/>
            <w:vAlign w:val="center"/>
          </w:tcPr>
          <w:p>
            <w:pPr>
              <w:pStyle w:val="34"/>
              <w:shd w:val="clear" w:color="auto" w:fill="auto"/>
              <w:bidi w:val="0"/>
              <w:rPr>
                <w:rFonts w:hint="default"/>
                <w:b/>
                <w:bCs/>
                <w:color w:val="auto"/>
                <w:highlight w:val="none"/>
                <w:lang w:val="en-US" w:eastAsia="zh-CN"/>
              </w:rPr>
            </w:pPr>
            <w:r>
              <w:rPr>
                <w:rFonts w:hint="default"/>
                <w:b/>
                <w:bCs/>
                <w:color w:val="auto"/>
                <w:highlight w:val="none"/>
                <w:lang w:val="en-US" w:eastAsia="zh-CN"/>
              </w:rPr>
              <w:t>主要污染防治措施</w:t>
            </w:r>
          </w:p>
        </w:tc>
        <w:tc>
          <w:tcPr>
            <w:tcW w:w="2660" w:type="pct"/>
            <w:gridSpan w:val="2"/>
            <w:tcBorders>
              <w:tl2br w:val="nil"/>
              <w:tr2bl w:val="nil"/>
            </w:tcBorders>
            <w:noWrap w:val="0"/>
            <w:vAlign w:val="center"/>
          </w:tcPr>
          <w:p>
            <w:pPr>
              <w:pStyle w:val="34"/>
              <w:shd w:val="clear" w:color="auto" w:fill="auto"/>
              <w:bidi w:val="0"/>
              <w:rPr>
                <w:rFonts w:hint="default"/>
                <w:b/>
                <w:bCs/>
                <w:color w:val="auto"/>
                <w:highlight w:val="none"/>
                <w:lang w:val="en-US" w:eastAsia="zh-CN"/>
              </w:rPr>
            </w:pPr>
            <w:r>
              <w:rPr>
                <w:rFonts w:hint="default"/>
                <w:b/>
                <w:bCs/>
                <w:color w:val="auto"/>
                <w:highlight w:val="none"/>
                <w:lang w:val="en-US" w:eastAsia="zh-CN"/>
              </w:rPr>
              <w:t>排放标准</w:t>
            </w:r>
          </w:p>
        </w:tc>
        <w:tc>
          <w:tcPr>
            <w:tcW w:w="547" w:type="pct"/>
            <w:vMerge w:val="restart"/>
            <w:tcBorders>
              <w:tl2br w:val="nil"/>
              <w:tr2bl w:val="nil"/>
            </w:tcBorders>
            <w:noWrap w:val="0"/>
            <w:vAlign w:val="center"/>
          </w:tcPr>
          <w:p>
            <w:pPr>
              <w:pStyle w:val="34"/>
              <w:shd w:val="clear" w:color="auto" w:fill="auto"/>
              <w:bidi w:val="0"/>
              <w:rPr>
                <w:rFonts w:hint="default"/>
                <w:b/>
                <w:bCs/>
                <w:color w:val="auto"/>
                <w:highlight w:val="none"/>
                <w:lang w:val="en-US" w:eastAsia="zh-CN"/>
              </w:rPr>
            </w:pPr>
            <w:r>
              <w:rPr>
                <w:rFonts w:hint="default"/>
                <w:b/>
                <w:bCs/>
                <w:color w:val="auto"/>
                <w:highlight w:val="none"/>
                <w:lang w:val="en-US" w:eastAsia="zh-CN"/>
              </w:rPr>
              <w:t>年排放量</w:t>
            </w:r>
          </w:p>
          <w:p>
            <w:pPr>
              <w:pStyle w:val="34"/>
              <w:shd w:val="clear" w:color="auto" w:fill="auto"/>
              <w:bidi w:val="0"/>
              <w:rPr>
                <w:rFonts w:hint="default"/>
                <w:b/>
                <w:bCs/>
                <w:color w:val="auto"/>
                <w:highlight w:val="none"/>
                <w:lang w:val="en-US" w:eastAsia="zh-CN"/>
              </w:rPr>
            </w:pPr>
            <w:r>
              <w:rPr>
                <w:rFonts w:hint="default"/>
                <w:b/>
                <w:bCs/>
                <w:color w:val="auto"/>
                <w:highlight w:val="none"/>
                <w:lang w:val="en-US" w:eastAsia="zh-CN"/>
              </w:rPr>
              <w:t>（</w:t>
            </w:r>
            <w:r>
              <w:rPr>
                <w:rFonts w:hint="eastAsia"/>
                <w:b/>
                <w:bCs/>
                <w:color w:val="auto"/>
                <w:highlight w:val="none"/>
                <w:lang w:val="en-US" w:eastAsia="zh-CN"/>
              </w:rPr>
              <w:t>t</w:t>
            </w:r>
            <w:r>
              <w:rPr>
                <w:rFonts w:hint="default"/>
                <w:b/>
                <w:bCs/>
                <w:color w:val="auto"/>
                <w:highlight w:val="none"/>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74" w:type="pct"/>
            <w:vMerge w:val="continue"/>
            <w:tcBorders>
              <w:tl2br w:val="nil"/>
              <w:tr2bl w:val="nil"/>
            </w:tcBorders>
            <w:noWrap w:val="0"/>
            <w:vAlign w:val="center"/>
          </w:tcPr>
          <w:p>
            <w:pPr>
              <w:pStyle w:val="34"/>
              <w:shd w:val="clear" w:color="auto" w:fill="auto"/>
              <w:bidi w:val="0"/>
              <w:rPr>
                <w:rFonts w:hint="default"/>
                <w:b/>
                <w:bCs/>
                <w:color w:val="auto"/>
                <w:highlight w:val="none"/>
                <w:lang w:val="en-US" w:eastAsia="zh-CN"/>
              </w:rPr>
            </w:pPr>
          </w:p>
        </w:tc>
        <w:tc>
          <w:tcPr>
            <w:tcW w:w="486" w:type="pct"/>
            <w:vMerge w:val="continue"/>
            <w:tcBorders>
              <w:tl2br w:val="nil"/>
              <w:tr2bl w:val="nil"/>
            </w:tcBorders>
            <w:noWrap w:val="0"/>
            <w:vAlign w:val="center"/>
          </w:tcPr>
          <w:p>
            <w:pPr>
              <w:pStyle w:val="34"/>
              <w:shd w:val="clear" w:color="auto" w:fill="auto"/>
              <w:bidi w:val="0"/>
              <w:rPr>
                <w:rFonts w:hint="default"/>
                <w:b/>
                <w:bCs/>
                <w:color w:val="auto"/>
                <w:highlight w:val="none"/>
                <w:lang w:val="en-US" w:eastAsia="zh-CN"/>
              </w:rPr>
            </w:pPr>
          </w:p>
        </w:tc>
        <w:tc>
          <w:tcPr>
            <w:tcW w:w="531" w:type="pct"/>
            <w:vMerge w:val="continue"/>
            <w:tcBorders>
              <w:tl2br w:val="nil"/>
              <w:tr2bl w:val="nil"/>
            </w:tcBorders>
            <w:noWrap w:val="0"/>
            <w:vAlign w:val="center"/>
          </w:tcPr>
          <w:p>
            <w:pPr>
              <w:pStyle w:val="34"/>
              <w:shd w:val="clear" w:color="auto" w:fill="auto"/>
              <w:bidi w:val="0"/>
              <w:rPr>
                <w:rFonts w:hint="default"/>
                <w:b/>
                <w:bCs/>
                <w:color w:val="auto"/>
                <w:highlight w:val="none"/>
                <w:lang w:val="en-US" w:eastAsia="zh-CN"/>
              </w:rPr>
            </w:pPr>
          </w:p>
        </w:tc>
        <w:tc>
          <w:tcPr>
            <w:tcW w:w="2050" w:type="pct"/>
            <w:tcBorders>
              <w:tl2br w:val="nil"/>
              <w:tr2bl w:val="nil"/>
            </w:tcBorders>
            <w:noWrap w:val="0"/>
            <w:vAlign w:val="center"/>
          </w:tcPr>
          <w:p>
            <w:pPr>
              <w:pStyle w:val="34"/>
              <w:shd w:val="clear" w:color="auto" w:fill="auto"/>
              <w:bidi w:val="0"/>
              <w:rPr>
                <w:rFonts w:hint="default"/>
                <w:b/>
                <w:bCs/>
                <w:color w:val="auto"/>
                <w:highlight w:val="none"/>
                <w:lang w:val="en-US" w:eastAsia="zh-CN"/>
              </w:rPr>
            </w:pPr>
            <w:r>
              <w:rPr>
                <w:rFonts w:hint="default"/>
                <w:b/>
                <w:bCs/>
                <w:color w:val="auto"/>
                <w:highlight w:val="none"/>
                <w:lang w:val="en-US" w:eastAsia="zh-CN"/>
              </w:rPr>
              <w:t>标准名称</w:t>
            </w:r>
          </w:p>
        </w:tc>
        <w:tc>
          <w:tcPr>
            <w:tcW w:w="609" w:type="pct"/>
            <w:tcBorders>
              <w:tl2br w:val="nil"/>
              <w:tr2bl w:val="nil"/>
            </w:tcBorders>
            <w:noWrap w:val="0"/>
            <w:vAlign w:val="center"/>
          </w:tcPr>
          <w:p>
            <w:pPr>
              <w:pStyle w:val="34"/>
              <w:shd w:val="clear" w:color="auto" w:fill="auto"/>
              <w:bidi w:val="0"/>
              <w:rPr>
                <w:rFonts w:hint="default"/>
                <w:b/>
                <w:bCs/>
                <w:color w:val="auto"/>
                <w:highlight w:val="none"/>
                <w:lang w:val="en-US" w:eastAsia="zh-CN"/>
              </w:rPr>
            </w:pPr>
            <w:r>
              <w:rPr>
                <w:rFonts w:hint="default"/>
                <w:b/>
                <w:bCs/>
                <w:color w:val="auto"/>
                <w:highlight w:val="none"/>
                <w:lang w:val="en-US" w:eastAsia="zh-CN"/>
              </w:rPr>
              <w:t>浓度限值</w:t>
            </w:r>
          </w:p>
          <w:p>
            <w:pPr>
              <w:pStyle w:val="34"/>
              <w:shd w:val="clear" w:color="auto" w:fill="auto"/>
              <w:bidi w:val="0"/>
              <w:rPr>
                <w:rFonts w:hint="default"/>
                <w:b/>
                <w:bCs/>
                <w:color w:val="auto"/>
                <w:highlight w:val="none"/>
                <w:lang w:val="en-US" w:eastAsia="zh-CN"/>
              </w:rPr>
            </w:pPr>
            <w:r>
              <w:rPr>
                <w:rFonts w:hint="default"/>
                <w:b/>
                <w:bCs/>
                <w:color w:val="auto"/>
                <w:highlight w:val="none"/>
                <w:lang w:val="en-US" w:eastAsia="zh-CN"/>
              </w:rPr>
              <w:t>（</w:t>
            </w:r>
            <w:r>
              <w:rPr>
                <w:rFonts w:hint="eastAsia"/>
                <w:b/>
                <w:bCs/>
                <w:color w:val="auto"/>
                <w:highlight w:val="none"/>
                <w:lang w:val="en-US" w:eastAsia="zh-CN"/>
              </w:rPr>
              <w:t>m</w:t>
            </w:r>
            <w:r>
              <w:rPr>
                <w:rFonts w:hint="default"/>
                <w:b/>
                <w:bCs/>
                <w:color w:val="auto"/>
                <w:highlight w:val="none"/>
                <w:lang w:val="en-US" w:eastAsia="zh-CN"/>
              </w:rPr>
              <w:t>g/</w:t>
            </w:r>
            <w:r>
              <w:rPr>
                <w:rFonts w:hint="eastAsia"/>
                <w:b/>
                <w:bCs/>
                <w:color w:val="auto"/>
                <w:highlight w:val="none"/>
                <w:lang w:val="en-US" w:eastAsia="zh-CN"/>
              </w:rPr>
              <w:t>m</w:t>
            </w:r>
            <w:r>
              <w:rPr>
                <w:rFonts w:hint="eastAsia"/>
                <w:b/>
                <w:bCs/>
                <w:color w:val="auto"/>
                <w:highlight w:val="none"/>
                <w:vertAlign w:val="superscript"/>
                <w:lang w:val="en-US" w:eastAsia="zh-CN"/>
              </w:rPr>
              <w:t>3</w:t>
            </w:r>
            <w:r>
              <w:rPr>
                <w:rFonts w:hint="default"/>
                <w:b/>
                <w:bCs/>
                <w:color w:val="auto"/>
                <w:highlight w:val="none"/>
                <w:lang w:val="en-US" w:eastAsia="zh-CN"/>
              </w:rPr>
              <w:t>）</w:t>
            </w:r>
          </w:p>
        </w:tc>
        <w:tc>
          <w:tcPr>
            <w:tcW w:w="547" w:type="pct"/>
            <w:vMerge w:val="continue"/>
            <w:tcBorders>
              <w:tl2br w:val="nil"/>
              <w:tr2bl w:val="nil"/>
            </w:tcBorders>
            <w:noWrap w:val="0"/>
            <w:vAlign w:val="center"/>
          </w:tcPr>
          <w:p>
            <w:pPr>
              <w:pStyle w:val="34"/>
              <w:shd w:val="clear" w:color="auto" w:fill="auto"/>
              <w:bidi w:val="0"/>
              <w:rPr>
                <w:rFonts w:hint="default"/>
                <w:b/>
                <w:bCs/>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74" w:type="pct"/>
            <w:vMerge w:val="restart"/>
            <w:tcBorders>
              <w:tl2br w:val="nil"/>
              <w:tr2bl w:val="nil"/>
            </w:tcBorders>
            <w:noWrap w:val="0"/>
            <w:vAlign w:val="center"/>
          </w:tcPr>
          <w:p>
            <w:pPr>
              <w:pStyle w:val="34"/>
              <w:shd w:val="clear" w:color="auto" w:fill="auto"/>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0"/>
                <w:sz w:val="21"/>
                <w:szCs w:val="21"/>
                <w:highlight w:val="none"/>
                <w:lang w:val="en-US" w:eastAsia="zh-CN" w:bidi="ar-SA"/>
              </w:rPr>
              <w:t>动植物油脂回收、生物燃料生产车间</w:t>
            </w:r>
          </w:p>
        </w:tc>
        <w:tc>
          <w:tcPr>
            <w:tcW w:w="486" w:type="pct"/>
            <w:tcBorders>
              <w:tl2br w:val="nil"/>
              <w:tr2bl w:val="nil"/>
            </w:tcBorders>
            <w:noWrap w:val="0"/>
            <w:vAlign w:val="center"/>
          </w:tcPr>
          <w:p>
            <w:pPr>
              <w:pStyle w:val="34"/>
              <w:shd w:val="clear" w:color="auto" w:fill="auto"/>
              <w:bidi w:val="0"/>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油烟</w:t>
            </w:r>
          </w:p>
        </w:tc>
        <w:tc>
          <w:tcPr>
            <w:tcW w:w="531" w:type="pct"/>
            <w:vMerge w:val="restart"/>
            <w:tcBorders>
              <w:tl2br w:val="nil"/>
              <w:tr2bl w:val="nil"/>
            </w:tcBorders>
            <w:noWrap w:val="0"/>
            <w:vAlign w:val="center"/>
          </w:tcPr>
          <w:p>
            <w:pPr>
              <w:pStyle w:val="34"/>
              <w:shd w:val="clear" w:color="auto" w:fill="auto"/>
              <w:bidi w:val="0"/>
              <w:rPr>
                <w:rFonts w:hint="default"/>
                <w:color w:val="auto"/>
                <w:highlight w:val="none"/>
                <w:lang w:val="en-US" w:eastAsia="zh-CN"/>
              </w:rPr>
            </w:pPr>
            <w:r>
              <w:rPr>
                <w:rFonts w:hint="eastAsia"/>
                <w:color w:val="auto"/>
                <w:highlight w:val="none"/>
                <w:lang w:val="en-US" w:eastAsia="zh-CN"/>
              </w:rPr>
              <w:t>强化车间通风，加强维护管理</w:t>
            </w:r>
          </w:p>
        </w:tc>
        <w:tc>
          <w:tcPr>
            <w:tcW w:w="20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vertAlign w:val="baseline"/>
                <w:lang w:val="en-US" w:eastAsia="zh-CN"/>
              </w:rPr>
              <w:t>《饮食业油烟排放标准（试行）》（GB18483-2001）表2限值</w:t>
            </w:r>
          </w:p>
        </w:tc>
        <w:tc>
          <w:tcPr>
            <w:tcW w:w="609" w:type="pct"/>
            <w:tcBorders>
              <w:tl2br w:val="nil"/>
              <w:tr2bl w:val="nil"/>
            </w:tcBorders>
            <w:noWrap w:val="0"/>
            <w:vAlign w:val="center"/>
          </w:tcPr>
          <w:p>
            <w:pPr>
              <w:pStyle w:val="34"/>
              <w:shd w:val="clear" w:color="auto" w:fill="auto"/>
              <w:bidi w:val="0"/>
              <w:rPr>
                <w:rFonts w:hint="default"/>
                <w:color w:val="auto"/>
                <w:highlight w:val="none"/>
                <w:lang w:val="en-US" w:eastAsia="zh-CN"/>
              </w:rPr>
            </w:pPr>
            <w:r>
              <w:rPr>
                <w:rFonts w:hint="eastAsia"/>
                <w:color w:val="auto"/>
                <w:highlight w:val="none"/>
                <w:lang w:val="en-US" w:eastAsia="zh-CN"/>
              </w:rPr>
              <w:t>2.0</w:t>
            </w:r>
          </w:p>
        </w:tc>
        <w:tc>
          <w:tcPr>
            <w:tcW w:w="547" w:type="pct"/>
            <w:tcBorders>
              <w:tl2br w:val="nil"/>
              <w:tr2bl w:val="nil"/>
            </w:tcBorders>
            <w:noWrap w:val="0"/>
            <w:vAlign w:val="center"/>
          </w:tcPr>
          <w:p>
            <w:pPr>
              <w:pStyle w:val="34"/>
              <w:bidi w:val="0"/>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2×10</w:t>
            </w:r>
            <w:r>
              <w:rPr>
                <w:rFonts w:hint="default" w:ascii="Times New Roman" w:hAnsi="Times New Roman" w:cs="Times New Roman"/>
                <w:color w:val="auto"/>
                <w:highlight w:val="none"/>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74" w:type="pct"/>
            <w:vMerge w:val="continue"/>
            <w:tcBorders>
              <w:tl2br w:val="nil"/>
              <w:tr2bl w:val="nil"/>
            </w:tcBorders>
            <w:noWrap w:val="0"/>
            <w:vAlign w:val="center"/>
          </w:tcPr>
          <w:p>
            <w:pPr>
              <w:pStyle w:val="34"/>
              <w:shd w:val="clear" w:color="auto" w:fill="auto"/>
              <w:bidi w:val="0"/>
              <w:ind w:left="0" w:leftChars="0" w:right="0" w:rightChars="0" w:firstLine="0" w:firstLineChars="0"/>
              <w:jc w:val="center"/>
              <w:rPr>
                <w:rFonts w:hint="default" w:ascii="Times New Roman" w:hAnsi="Times New Roman" w:cs="Times New Roman"/>
                <w:color w:val="auto"/>
                <w:kern w:val="0"/>
                <w:sz w:val="21"/>
                <w:szCs w:val="21"/>
                <w:highlight w:val="none"/>
                <w:lang w:val="en-US" w:eastAsia="zh-CN" w:bidi="ar-SA"/>
              </w:rPr>
            </w:pPr>
          </w:p>
        </w:tc>
        <w:tc>
          <w:tcPr>
            <w:tcW w:w="486" w:type="pct"/>
            <w:tcBorders>
              <w:tl2br w:val="nil"/>
              <w:tr2bl w:val="nil"/>
            </w:tcBorders>
            <w:noWrap w:val="0"/>
            <w:vAlign w:val="center"/>
          </w:tcPr>
          <w:p>
            <w:pPr>
              <w:pStyle w:val="34"/>
              <w:shd w:val="clear" w:color="auto" w:fill="auto"/>
              <w:bidi w:val="0"/>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颗粒物</w:t>
            </w:r>
          </w:p>
        </w:tc>
        <w:tc>
          <w:tcPr>
            <w:tcW w:w="531" w:type="pct"/>
            <w:vMerge w:val="continue"/>
            <w:tcBorders>
              <w:tl2br w:val="nil"/>
              <w:tr2bl w:val="nil"/>
            </w:tcBorders>
            <w:noWrap w:val="0"/>
            <w:vAlign w:val="center"/>
          </w:tcPr>
          <w:p>
            <w:pPr>
              <w:pStyle w:val="34"/>
              <w:shd w:val="clear" w:color="auto" w:fill="auto"/>
              <w:bidi w:val="0"/>
              <w:rPr>
                <w:rFonts w:hint="eastAsia"/>
                <w:color w:val="auto"/>
                <w:highlight w:val="none"/>
                <w:lang w:val="en-US" w:eastAsia="zh-CN"/>
              </w:rPr>
            </w:pPr>
          </w:p>
        </w:tc>
        <w:tc>
          <w:tcPr>
            <w:tcW w:w="2050" w:type="pct"/>
            <w:tcBorders>
              <w:tl2br w:val="nil"/>
              <w:tr2bl w:val="nil"/>
            </w:tcBorders>
            <w:noWrap w:val="0"/>
            <w:vAlign w:val="center"/>
          </w:tcPr>
          <w:p>
            <w:pPr>
              <w:pStyle w:val="34"/>
              <w:shd w:val="clear" w:color="auto" w:fill="auto"/>
              <w:bidi w:val="0"/>
              <w:rPr>
                <w:rFonts w:hint="default"/>
                <w:color w:val="auto"/>
                <w:highlight w:val="none"/>
                <w:lang w:val="en-US" w:eastAsia="zh-CN"/>
              </w:rPr>
            </w:pPr>
            <w:r>
              <w:rPr>
                <w:rFonts w:hint="default"/>
                <w:color w:val="auto"/>
                <w:highlight w:val="none"/>
                <w:lang w:val="en-US" w:eastAsia="zh-CN"/>
              </w:rPr>
              <w:t>《大气污染物综合排放标准》（GB16297-1996）中表2无组织排放监控浓度限值</w:t>
            </w:r>
          </w:p>
        </w:tc>
        <w:tc>
          <w:tcPr>
            <w:tcW w:w="609" w:type="pct"/>
            <w:tcBorders>
              <w:tl2br w:val="nil"/>
              <w:tr2bl w:val="nil"/>
            </w:tcBorders>
            <w:noWrap w:val="0"/>
            <w:vAlign w:val="center"/>
          </w:tcPr>
          <w:p>
            <w:pPr>
              <w:pStyle w:val="34"/>
              <w:shd w:val="clear" w:color="auto" w:fill="auto"/>
              <w:bidi w:val="0"/>
              <w:rPr>
                <w:rFonts w:hint="default"/>
                <w:color w:val="auto"/>
                <w:highlight w:val="none"/>
                <w:lang w:val="en-US" w:eastAsia="zh-CN"/>
              </w:rPr>
            </w:pPr>
            <w:r>
              <w:rPr>
                <w:rFonts w:hint="eastAsia"/>
                <w:color w:val="auto"/>
                <w:highlight w:val="none"/>
                <w:lang w:val="en-US" w:eastAsia="zh-CN"/>
              </w:rPr>
              <w:t>1.0</w:t>
            </w:r>
          </w:p>
        </w:tc>
        <w:tc>
          <w:tcPr>
            <w:tcW w:w="547" w:type="pct"/>
            <w:tcBorders>
              <w:tl2br w:val="nil"/>
              <w:tr2bl w:val="nil"/>
            </w:tcBorders>
            <w:noWrap w:val="0"/>
            <w:vAlign w:val="center"/>
          </w:tcPr>
          <w:p>
            <w:pPr>
              <w:pStyle w:val="34"/>
              <w:bidi w:val="0"/>
              <w:ind w:left="0" w:leftChars="0" w:right="0" w:rightChars="0" w:firstLine="0" w:firstLineChars="0"/>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74" w:type="pct"/>
            <w:vMerge w:val="continue"/>
            <w:tcBorders>
              <w:tl2br w:val="nil"/>
              <w:tr2bl w:val="nil"/>
            </w:tcBorders>
            <w:noWrap w:val="0"/>
            <w:vAlign w:val="center"/>
          </w:tcPr>
          <w:p>
            <w:pPr>
              <w:pStyle w:val="34"/>
              <w:shd w:val="clear" w:color="auto" w:fill="auto"/>
              <w:bidi w:val="0"/>
              <w:ind w:left="0" w:leftChars="0" w:right="0" w:rightChars="0" w:firstLine="0" w:firstLineChars="0"/>
              <w:jc w:val="center"/>
              <w:rPr>
                <w:rFonts w:hint="default" w:ascii="Times New Roman" w:hAnsi="Times New Roman" w:cs="Times New Roman"/>
                <w:color w:val="auto"/>
                <w:kern w:val="0"/>
                <w:sz w:val="21"/>
                <w:szCs w:val="21"/>
                <w:highlight w:val="none"/>
                <w:lang w:val="en-US" w:eastAsia="zh-CN" w:bidi="ar-SA"/>
              </w:rPr>
            </w:pPr>
          </w:p>
        </w:tc>
        <w:tc>
          <w:tcPr>
            <w:tcW w:w="486" w:type="pc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NH</w:t>
            </w:r>
            <w:r>
              <w:rPr>
                <w:rFonts w:hint="default" w:ascii="Times New Roman" w:hAnsi="Times New Roman" w:cs="Times New Roman"/>
                <w:color w:val="auto"/>
                <w:highlight w:val="none"/>
                <w:vertAlign w:val="subscript"/>
                <w:lang w:val="en-US" w:eastAsia="zh-CN"/>
              </w:rPr>
              <w:t>3</w:t>
            </w:r>
          </w:p>
        </w:tc>
        <w:tc>
          <w:tcPr>
            <w:tcW w:w="531" w:type="pct"/>
            <w:vMerge w:val="continue"/>
            <w:tcBorders>
              <w:tl2br w:val="nil"/>
              <w:tr2bl w:val="nil"/>
            </w:tcBorders>
            <w:noWrap w:val="0"/>
            <w:vAlign w:val="center"/>
          </w:tcPr>
          <w:p>
            <w:pPr>
              <w:pStyle w:val="34"/>
              <w:shd w:val="clear" w:color="auto" w:fill="auto"/>
              <w:bidi w:val="0"/>
              <w:rPr>
                <w:rFonts w:hint="eastAsia"/>
                <w:color w:val="auto"/>
                <w:highlight w:val="none"/>
                <w:lang w:val="en-US" w:eastAsia="zh-CN"/>
              </w:rPr>
            </w:pPr>
          </w:p>
        </w:tc>
        <w:tc>
          <w:tcPr>
            <w:tcW w:w="2050" w:type="pct"/>
            <w:vMerge w:val="restart"/>
            <w:tcBorders>
              <w:tl2br w:val="nil"/>
              <w:tr2bl w:val="nil"/>
            </w:tcBorders>
            <w:noWrap w:val="0"/>
            <w:vAlign w:val="center"/>
          </w:tcPr>
          <w:p>
            <w:pPr>
              <w:pStyle w:val="34"/>
              <w:shd w:val="clear" w:color="auto" w:fill="auto"/>
              <w:bidi w:val="0"/>
              <w:rPr>
                <w:rFonts w:hint="default"/>
                <w:color w:val="auto"/>
                <w:highlight w:val="none"/>
                <w:lang w:val="en-US" w:eastAsia="zh-CN"/>
              </w:rPr>
            </w:pPr>
            <w:r>
              <w:rPr>
                <w:rFonts w:hint="default" w:ascii="Times New Roman" w:hAnsi="Times New Roman" w:eastAsia="宋体" w:cs="Times New Roman"/>
                <w:color w:val="auto"/>
                <w:highlight w:val="none"/>
                <w:lang w:val="en-US" w:eastAsia="zh-CN"/>
              </w:rPr>
              <w:t>《恶臭污染物排放标准》（GB14554-93）中表1新扩改建污染源二级标准</w:t>
            </w:r>
          </w:p>
        </w:tc>
        <w:tc>
          <w:tcPr>
            <w:tcW w:w="609" w:type="pct"/>
            <w:tcBorders>
              <w:tl2br w:val="nil"/>
              <w:tr2bl w:val="nil"/>
            </w:tcBorders>
            <w:noWrap w:val="0"/>
            <w:vAlign w:val="center"/>
          </w:tcPr>
          <w:p>
            <w:pPr>
              <w:pStyle w:val="34"/>
              <w:shd w:val="clear" w:color="auto" w:fill="auto"/>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highlight w:val="none"/>
                <w:lang w:val="en-US" w:eastAsia="zh-CN"/>
              </w:rPr>
              <w:t>1.5</w:t>
            </w:r>
          </w:p>
        </w:tc>
        <w:tc>
          <w:tcPr>
            <w:tcW w:w="547" w:type="pct"/>
            <w:tcBorders>
              <w:tl2br w:val="nil"/>
              <w:tr2bl w:val="nil"/>
            </w:tcBorders>
            <w:noWrap w:val="0"/>
            <w:vAlign w:val="center"/>
          </w:tcPr>
          <w:p>
            <w:pPr>
              <w:pStyle w:val="34"/>
              <w:bidi w:val="0"/>
              <w:ind w:left="0" w:leftChars="0" w:right="0" w:rightChars="0" w:firstLine="0" w:firstLineChars="0"/>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74" w:type="pct"/>
            <w:vMerge w:val="continue"/>
            <w:tcBorders>
              <w:tl2br w:val="nil"/>
              <w:tr2bl w:val="nil"/>
            </w:tcBorders>
            <w:noWrap w:val="0"/>
            <w:vAlign w:val="center"/>
          </w:tcPr>
          <w:p>
            <w:pPr>
              <w:pStyle w:val="34"/>
              <w:shd w:val="clear" w:color="auto" w:fill="auto"/>
              <w:bidi w:val="0"/>
              <w:ind w:left="0" w:leftChars="0" w:right="0" w:rightChars="0" w:firstLine="0" w:firstLineChars="0"/>
              <w:jc w:val="center"/>
              <w:rPr>
                <w:rFonts w:hint="default" w:ascii="Times New Roman" w:hAnsi="Times New Roman" w:cs="Times New Roman"/>
                <w:color w:val="auto"/>
                <w:kern w:val="0"/>
                <w:sz w:val="21"/>
                <w:szCs w:val="21"/>
                <w:highlight w:val="none"/>
                <w:lang w:val="en-US" w:eastAsia="zh-CN" w:bidi="ar-SA"/>
              </w:rPr>
            </w:pPr>
          </w:p>
        </w:tc>
        <w:tc>
          <w:tcPr>
            <w:tcW w:w="486" w:type="pc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H</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S</w:t>
            </w:r>
          </w:p>
        </w:tc>
        <w:tc>
          <w:tcPr>
            <w:tcW w:w="531" w:type="pct"/>
            <w:vMerge w:val="continue"/>
            <w:tcBorders>
              <w:tl2br w:val="nil"/>
              <w:tr2bl w:val="nil"/>
            </w:tcBorders>
            <w:noWrap w:val="0"/>
            <w:vAlign w:val="center"/>
          </w:tcPr>
          <w:p>
            <w:pPr>
              <w:pStyle w:val="34"/>
              <w:shd w:val="clear" w:color="auto" w:fill="auto"/>
              <w:bidi w:val="0"/>
              <w:rPr>
                <w:rFonts w:hint="eastAsia"/>
                <w:color w:val="auto"/>
                <w:highlight w:val="none"/>
                <w:lang w:val="en-US" w:eastAsia="zh-CN"/>
              </w:rPr>
            </w:pPr>
          </w:p>
        </w:tc>
        <w:tc>
          <w:tcPr>
            <w:tcW w:w="2050" w:type="pct"/>
            <w:vMerge w:val="continue"/>
            <w:tcBorders>
              <w:tl2br w:val="nil"/>
              <w:tr2bl w:val="nil"/>
            </w:tcBorders>
            <w:noWrap w:val="0"/>
            <w:vAlign w:val="center"/>
          </w:tcPr>
          <w:p>
            <w:pPr>
              <w:pStyle w:val="34"/>
              <w:shd w:val="clear" w:color="auto" w:fill="auto"/>
              <w:bidi w:val="0"/>
              <w:rPr>
                <w:rFonts w:hint="default"/>
                <w:color w:val="auto"/>
                <w:highlight w:val="none"/>
                <w:lang w:val="en-US" w:eastAsia="zh-CN"/>
              </w:rPr>
            </w:pPr>
          </w:p>
        </w:tc>
        <w:tc>
          <w:tcPr>
            <w:tcW w:w="609" w:type="pct"/>
            <w:tcBorders>
              <w:tl2br w:val="nil"/>
              <w:tr2bl w:val="nil"/>
            </w:tcBorders>
            <w:noWrap w:val="0"/>
            <w:vAlign w:val="center"/>
          </w:tcPr>
          <w:p>
            <w:pPr>
              <w:pStyle w:val="34"/>
              <w:shd w:val="clear" w:color="auto" w:fill="auto"/>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highlight w:val="none"/>
                <w:lang w:val="en-US" w:eastAsia="zh-CN"/>
              </w:rPr>
              <w:t>0.06</w:t>
            </w:r>
          </w:p>
        </w:tc>
        <w:tc>
          <w:tcPr>
            <w:tcW w:w="547" w:type="pct"/>
            <w:tcBorders>
              <w:tl2br w:val="nil"/>
              <w:tr2bl w:val="nil"/>
            </w:tcBorders>
            <w:noWrap w:val="0"/>
            <w:vAlign w:val="center"/>
          </w:tcPr>
          <w:p>
            <w:pPr>
              <w:pStyle w:val="34"/>
              <w:bidi w:val="0"/>
              <w:ind w:left="0" w:leftChars="0" w:right="0" w:rightChars="0" w:firstLine="0" w:firstLineChars="0"/>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74" w:type="pct"/>
            <w:vMerge w:val="continue"/>
            <w:tcBorders>
              <w:tl2br w:val="nil"/>
              <w:tr2bl w:val="nil"/>
            </w:tcBorders>
            <w:noWrap w:val="0"/>
            <w:vAlign w:val="center"/>
          </w:tcPr>
          <w:p>
            <w:pPr>
              <w:pStyle w:val="34"/>
              <w:shd w:val="clear" w:color="auto" w:fill="auto"/>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486" w:type="pct"/>
            <w:tcBorders>
              <w:tl2br w:val="nil"/>
              <w:tr2bl w:val="nil"/>
            </w:tcBorders>
            <w:noWrap w:val="0"/>
            <w:vAlign w:val="center"/>
          </w:tcPr>
          <w:p>
            <w:pPr>
              <w:pStyle w:val="34"/>
              <w:shd w:val="clear" w:color="auto" w:fill="auto"/>
              <w:bidi w:val="0"/>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非甲烷总烃</w:t>
            </w:r>
          </w:p>
        </w:tc>
        <w:tc>
          <w:tcPr>
            <w:tcW w:w="531" w:type="pct"/>
            <w:vMerge w:val="continue"/>
            <w:tcBorders>
              <w:tl2br w:val="nil"/>
              <w:tr2bl w:val="nil"/>
            </w:tcBorders>
            <w:noWrap w:val="0"/>
            <w:vAlign w:val="center"/>
          </w:tcPr>
          <w:p>
            <w:pPr>
              <w:pStyle w:val="34"/>
              <w:shd w:val="clear" w:color="auto" w:fill="auto"/>
              <w:bidi w:val="0"/>
              <w:rPr>
                <w:rFonts w:hint="default"/>
                <w:color w:val="auto"/>
                <w:highlight w:val="none"/>
                <w:lang w:val="en-US" w:eastAsia="zh-CN"/>
              </w:rPr>
            </w:pPr>
          </w:p>
        </w:tc>
        <w:tc>
          <w:tcPr>
            <w:tcW w:w="2050" w:type="pct"/>
            <w:vMerge w:val="restart"/>
            <w:tcBorders>
              <w:tl2br w:val="nil"/>
              <w:tr2bl w:val="nil"/>
            </w:tcBorders>
            <w:noWrap w:val="0"/>
            <w:vAlign w:val="center"/>
          </w:tcPr>
          <w:p>
            <w:pPr>
              <w:pStyle w:val="34"/>
              <w:shd w:val="clear" w:color="auto" w:fill="auto"/>
              <w:bidi w:val="0"/>
              <w:rPr>
                <w:rFonts w:hint="default"/>
                <w:color w:val="auto"/>
                <w:highlight w:val="none"/>
                <w:lang w:val="en-US" w:eastAsia="zh-CN"/>
              </w:rPr>
            </w:pPr>
            <w:r>
              <w:rPr>
                <w:rFonts w:hint="default"/>
                <w:color w:val="auto"/>
                <w:highlight w:val="none"/>
                <w:lang w:val="en-US" w:eastAsia="zh-CN"/>
              </w:rPr>
              <w:t>《大气污染物综合排放标准》（GB16297-1996）中表2无组织排放监控浓度限值</w:t>
            </w:r>
          </w:p>
        </w:tc>
        <w:tc>
          <w:tcPr>
            <w:tcW w:w="609" w:type="pct"/>
            <w:tcBorders>
              <w:tl2br w:val="nil"/>
              <w:tr2bl w:val="nil"/>
            </w:tcBorders>
            <w:noWrap w:val="0"/>
            <w:vAlign w:val="center"/>
          </w:tcPr>
          <w:p>
            <w:pPr>
              <w:pStyle w:val="34"/>
              <w:shd w:val="clear" w:color="auto" w:fill="auto"/>
              <w:bidi w:val="0"/>
              <w:rPr>
                <w:rFonts w:hint="default"/>
                <w:color w:val="auto"/>
                <w:highlight w:val="none"/>
                <w:lang w:val="en-US" w:eastAsia="zh-CN"/>
              </w:rPr>
            </w:pPr>
            <w:r>
              <w:rPr>
                <w:rFonts w:hint="eastAsia"/>
                <w:color w:val="auto"/>
                <w:highlight w:val="none"/>
                <w:lang w:val="en-US" w:eastAsia="zh-CN"/>
              </w:rPr>
              <w:t>4.0</w:t>
            </w:r>
          </w:p>
        </w:tc>
        <w:tc>
          <w:tcPr>
            <w:tcW w:w="547" w:type="pct"/>
            <w:tcBorders>
              <w:tl2br w:val="nil"/>
              <w:tr2bl w:val="nil"/>
            </w:tcBorders>
            <w:noWrap w:val="0"/>
            <w:vAlign w:val="center"/>
          </w:tcPr>
          <w:p>
            <w:pPr>
              <w:pStyle w:val="34"/>
              <w:bidi w:val="0"/>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74" w:type="pct"/>
            <w:vMerge w:val="continue"/>
            <w:tcBorders>
              <w:tl2br w:val="nil"/>
              <w:tr2bl w:val="nil"/>
            </w:tcBorders>
            <w:noWrap w:val="0"/>
            <w:vAlign w:val="center"/>
          </w:tcPr>
          <w:p>
            <w:pPr>
              <w:pStyle w:val="34"/>
              <w:shd w:val="clear" w:color="auto" w:fill="auto"/>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486" w:type="pct"/>
            <w:tcBorders>
              <w:tl2br w:val="nil"/>
              <w:tr2bl w:val="nil"/>
            </w:tcBorders>
            <w:noWrap w:val="0"/>
            <w:vAlign w:val="center"/>
          </w:tcPr>
          <w:p>
            <w:pPr>
              <w:pStyle w:val="34"/>
              <w:shd w:val="clear" w:color="auto" w:fill="auto"/>
              <w:bidi w:val="0"/>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甲醇</w:t>
            </w:r>
          </w:p>
        </w:tc>
        <w:tc>
          <w:tcPr>
            <w:tcW w:w="531" w:type="pct"/>
            <w:vMerge w:val="continue"/>
            <w:tcBorders>
              <w:tl2br w:val="nil"/>
              <w:tr2bl w:val="nil"/>
            </w:tcBorders>
            <w:noWrap w:val="0"/>
            <w:vAlign w:val="center"/>
          </w:tcPr>
          <w:p>
            <w:pPr>
              <w:pStyle w:val="34"/>
              <w:shd w:val="clear" w:color="auto" w:fill="auto"/>
              <w:bidi w:val="0"/>
              <w:rPr>
                <w:rFonts w:hint="default"/>
                <w:color w:val="auto"/>
                <w:highlight w:val="none"/>
                <w:lang w:val="en-US" w:eastAsia="zh-CN"/>
              </w:rPr>
            </w:pPr>
          </w:p>
        </w:tc>
        <w:tc>
          <w:tcPr>
            <w:tcW w:w="2050" w:type="pct"/>
            <w:vMerge w:val="continue"/>
            <w:tcBorders>
              <w:tl2br w:val="nil"/>
              <w:tr2bl w:val="nil"/>
            </w:tcBorders>
            <w:noWrap w:val="0"/>
            <w:vAlign w:val="center"/>
          </w:tcPr>
          <w:p>
            <w:pPr>
              <w:pStyle w:val="34"/>
              <w:shd w:val="clear" w:color="auto" w:fill="auto"/>
              <w:bidi w:val="0"/>
              <w:rPr>
                <w:rFonts w:hint="default"/>
                <w:color w:val="auto"/>
                <w:highlight w:val="none"/>
                <w:lang w:val="en-US" w:eastAsia="zh-CN"/>
              </w:rPr>
            </w:pPr>
          </w:p>
        </w:tc>
        <w:tc>
          <w:tcPr>
            <w:tcW w:w="609" w:type="pct"/>
            <w:tcBorders>
              <w:tl2br w:val="nil"/>
              <w:tr2bl w:val="nil"/>
            </w:tcBorders>
            <w:noWrap w:val="0"/>
            <w:vAlign w:val="center"/>
          </w:tcPr>
          <w:p>
            <w:pPr>
              <w:pStyle w:val="34"/>
              <w:shd w:val="clear" w:color="auto" w:fill="auto"/>
              <w:bidi w:val="0"/>
              <w:rPr>
                <w:rFonts w:hint="default"/>
                <w:color w:val="auto"/>
                <w:highlight w:val="none"/>
                <w:lang w:val="en-US" w:eastAsia="zh-CN"/>
              </w:rPr>
            </w:pPr>
            <w:r>
              <w:rPr>
                <w:rFonts w:hint="eastAsia"/>
                <w:color w:val="auto"/>
                <w:highlight w:val="none"/>
                <w:lang w:val="en-US" w:eastAsia="zh-CN"/>
              </w:rPr>
              <w:t>12</w:t>
            </w:r>
          </w:p>
        </w:tc>
        <w:tc>
          <w:tcPr>
            <w:tcW w:w="547" w:type="pct"/>
            <w:tcBorders>
              <w:tl2br w:val="nil"/>
              <w:tr2bl w:val="nil"/>
            </w:tcBorders>
            <w:noWrap w:val="0"/>
            <w:vAlign w:val="center"/>
          </w:tcPr>
          <w:p>
            <w:pPr>
              <w:pStyle w:val="34"/>
              <w:bidi w:val="0"/>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5×10</w:t>
            </w:r>
            <w:r>
              <w:rPr>
                <w:rFonts w:hint="eastAsia" w:cs="Times New Roman"/>
                <w:color w:val="auto"/>
                <w:kern w:val="0"/>
                <w:sz w:val="21"/>
                <w:szCs w:val="21"/>
                <w:highlight w:val="none"/>
                <w:vertAlign w:val="superscript"/>
                <w:lang w:val="en-US" w:eastAsia="zh-CN" w:bidi="ar-SA"/>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74" w:type="pct"/>
            <w:vMerge w:val="restart"/>
            <w:tcBorders>
              <w:tl2br w:val="nil"/>
              <w:tr2bl w:val="nil"/>
            </w:tcBorders>
            <w:noWrap w:val="0"/>
            <w:vAlign w:val="center"/>
          </w:tcPr>
          <w:p>
            <w:pPr>
              <w:pStyle w:val="34"/>
              <w:shd w:val="clear" w:color="auto" w:fill="auto"/>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0"/>
                <w:sz w:val="21"/>
                <w:szCs w:val="21"/>
                <w:highlight w:val="none"/>
                <w:lang w:val="en-US" w:eastAsia="zh-CN" w:bidi="ar-SA"/>
              </w:rPr>
              <w:t>水溶肥、生物有机肥生产车间</w:t>
            </w:r>
          </w:p>
        </w:tc>
        <w:tc>
          <w:tcPr>
            <w:tcW w:w="486" w:type="pct"/>
            <w:tcBorders>
              <w:tl2br w:val="nil"/>
              <w:tr2bl w:val="nil"/>
            </w:tcBorders>
            <w:noWrap w:val="0"/>
            <w:vAlign w:val="center"/>
          </w:tcPr>
          <w:p>
            <w:pPr>
              <w:pStyle w:val="34"/>
              <w:shd w:val="clear" w:color="auto" w:fill="auto"/>
              <w:bidi w:val="0"/>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颗粒物</w:t>
            </w:r>
          </w:p>
        </w:tc>
        <w:tc>
          <w:tcPr>
            <w:tcW w:w="531" w:type="pct"/>
            <w:vMerge w:val="continue"/>
            <w:tcBorders>
              <w:tl2br w:val="nil"/>
              <w:tr2bl w:val="nil"/>
            </w:tcBorders>
            <w:noWrap w:val="0"/>
            <w:vAlign w:val="center"/>
          </w:tcPr>
          <w:p>
            <w:pPr>
              <w:pStyle w:val="34"/>
              <w:shd w:val="clear" w:color="auto" w:fill="auto"/>
              <w:bidi w:val="0"/>
              <w:rPr>
                <w:rFonts w:hint="default"/>
                <w:color w:val="auto"/>
                <w:highlight w:val="none"/>
                <w:lang w:val="en-US" w:eastAsia="zh-CN"/>
              </w:rPr>
            </w:pPr>
          </w:p>
        </w:tc>
        <w:tc>
          <w:tcPr>
            <w:tcW w:w="2050" w:type="pct"/>
            <w:vMerge w:val="continue"/>
            <w:tcBorders>
              <w:tl2br w:val="nil"/>
              <w:tr2bl w:val="nil"/>
            </w:tcBorders>
            <w:noWrap w:val="0"/>
            <w:vAlign w:val="center"/>
          </w:tcPr>
          <w:p>
            <w:pPr>
              <w:pStyle w:val="34"/>
              <w:shd w:val="clear" w:color="auto" w:fill="auto"/>
              <w:bidi w:val="0"/>
              <w:rPr>
                <w:rFonts w:hint="default"/>
                <w:color w:val="auto"/>
                <w:highlight w:val="none"/>
                <w:lang w:val="en-US" w:eastAsia="zh-CN"/>
              </w:rPr>
            </w:pPr>
          </w:p>
        </w:tc>
        <w:tc>
          <w:tcPr>
            <w:tcW w:w="609" w:type="pct"/>
            <w:tcBorders>
              <w:tl2br w:val="nil"/>
              <w:tr2bl w:val="nil"/>
            </w:tcBorders>
            <w:noWrap w:val="0"/>
            <w:vAlign w:val="center"/>
          </w:tcPr>
          <w:p>
            <w:pPr>
              <w:pStyle w:val="34"/>
              <w:shd w:val="clear" w:color="auto" w:fill="auto"/>
              <w:bidi w:val="0"/>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1.0</w:t>
            </w:r>
          </w:p>
        </w:tc>
        <w:tc>
          <w:tcPr>
            <w:tcW w:w="547"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0.7403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74" w:type="pct"/>
            <w:vMerge w:val="continue"/>
            <w:tcBorders>
              <w:tl2br w:val="nil"/>
              <w:tr2bl w:val="nil"/>
            </w:tcBorders>
            <w:noWrap w:val="0"/>
            <w:vAlign w:val="center"/>
          </w:tcPr>
          <w:p>
            <w:pPr>
              <w:pStyle w:val="34"/>
              <w:shd w:val="clear" w:color="auto" w:fill="auto"/>
              <w:bidi w:val="0"/>
              <w:ind w:left="0" w:leftChars="0" w:right="0" w:rightChars="0" w:firstLine="0" w:firstLineChars="0"/>
              <w:jc w:val="center"/>
              <w:rPr>
                <w:rFonts w:hint="default" w:ascii="Times New Roman" w:hAnsi="Times New Roman" w:cs="Times New Roman"/>
                <w:color w:val="auto"/>
                <w:kern w:val="0"/>
                <w:sz w:val="21"/>
                <w:szCs w:val="21"/>
                <w:highlight w:val="none"/>
                <w:lang w:val="en-US" w:eastAsia="zh-CN" w:bidi="ar-SA"/>
              </w:rPr>
            </w:pPr>
          </w:p>
        </w:tc>
        <w:tc>
          <w:tcPr>
            <w:tcW w:w="486" w:type="pct"/>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r>
              <w:rPr>
                <w:rFonts w:hint="default" w:ascii="Times New Roman" w:hAnsi="Times New Roman" w:cs="Times New Roman"/>
                <w:color w:val="auto"/>
                <w:highlight w:val="none"/>
                <w:lang w:val="en-US" w:eastAsia="zh-CN"/>
              </w:rPr>
              <w:t>NH</w:t>
            </w:r>
            <w:r>
              <w:rPr>
                <w:rFonts w:hint="default" w:ascii="Times New Roman" w:hAnsi="Times New Roman" w:cs="Times New Roman"/>
                <w:color w:val="auto"/>
                <w:highlight w:val="none"/>
                <w:vertAlign w:val="subscript"/>
                <w:lang w:val="en-US" w:eastAsia="zh-CN"/>
              </w:rPr>
              <w:t>3</w:t>
            </w:r>
          </w:p>
        </w:tc>
        <w:tc>
          <w:tcPr>
            <w:tcW w:w="531" w:type="pct"/>
            <w:vMerge w:val="continue"/>
            <w:tcBorders>
              <w:tl2br w:val="nil"/>
              <w:tr2bl w:val="nil"/>
            </w:tcBorders>
            <w:noWrap w:val="0"/>
            <w:vAlign w:val="center"/>
          </w:tcPr>
          <w:p>
            <w:pPr>
              <w:pStyle w:val="34"/>
              <w:shd w:val="clear" w:color="auto" w:fill="auto"/>
              <w:bidi w:val="0"/>
              <w:rPr>
                <w:rFonts w:hint="default"/>
                <w:color w:val="auto"/>
                <w:highlight w:val="none"/>
                <w:lang w:val="en-US" w:eastAsia="zh-CN"/>
              </w:rPr>
            </w:pPr>
          </w:p>
        </w:tc>
        <w:tc>
          <w:tcPr>
            <w:tcW w:w="2050" w:type="pct"/>
            <w:vMerge w:val="restart"/>
            <w:tcBorders>
              <w:tl2br w:val="nil"/>
              <w:tr2bl w:val="nil"/>
            </w:tcBorders>
            <w:noWrap w:val="0"/>
            <w:vAlign w:val="center"/>
          </w:tcPr>
          <w:p>
            <w:pPr>
              <w:pStyle w:val="34"/>
              <w:shd w:val="clear" w:color="auto" w:fill="auto"/>
              <w:bidi w:val="0"/>
              <w:rPr>
                <w:rFonts w:hint="default"/>
                <w:color w:val="auto"/>
                <w:highlight w:val="none"/>
                <w:lang w:val="en-US" w:eastAsia="zh-CN"/>
              </w:rPr>
            </w:pPr>
            <w:r>
              <w:rPr>
                <w:rFonts w:hint="default" w:ascii="Times New Roman" w:hAnsi="Times New Roman" w:eastAsia="宋体" w:cs="Times New Roman"/>
                <w:color w:val="auto"/>
                <w:highlight w:val="none"/>
                <w:lang w:val="en-US" w:eastAsia="zh-CN"/>
              </w:rPr>
              <w:t>《恶臭污染物排放标准》（GB14554-93）中表1新扩改建污染源二级标准</w:t>
            </w:r>
          </w:p>
        </w:tc>
        <w:tc>
          <w:tcPr>
            <w:tcW w:w="609" w:type="pct"/>
            <w:tcBorders>
              <w:tl2br w:val="nil"/>
              <w:tr2bl w:val="nil"/>
            </w:tcBorders>
            <w:noWrap w:val="0"/>
            <w:vAlign w:val="center"/>
          </w:tcPr>
          <w:p>
            <w:pPr>
              <w:pStyle w:val="34"/>
              <w:shd w:val="clear" w:color="auto" w:fill="auto"/>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highlight w:val="none"/>
                <w:lang w:val="en-US" w:eastAsia="zh-CN"/>
              </w:rPr>
              <w:t>1.5</w:t>
            </w:r>
          </w:p>
        </w:tc>
        <w:tc>
          <w:tcPr>
            <w:tcW w:w="547" w:type="pct"/>
            <w:tcBorders>
              <w:tl2br w:val="nil"/>
              <w:tr2bl w:val="nil"/>
            </w:tcBorders>
            <w:noWrap w:val="0"/>
            <w:vAlign w:val="center"/>
          </w:tcPr>
          <w:p>
            <w:pPr>
              <w:pStyle w:val="34"/>
              <w:bidi w:val="0"/>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highlight w:val="none"/>
                <w:lang w:val="en-US" w:eastAsia="zh-CN"/>
              </w:rPr>
              <w:t>3.69×10</w:t>
            </w:r>
            <w:r>
              <w:rPr>
                <w:rFonts w:hint="eastAsia" w:cs="Times New Roman"/>
                <w:color w:val="auto"/>
                <w:highlight w:val="none"/>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74" w:type="pct"/>
            <w:vMerge w:val="continue"/>
            <w:tcBorders>
              <w:tl2br w:val="nil"/>
              <w:tr2bl w:val="nil"/>
            </w:tcBorders>
            <w:noWrap w:val="0"/>
            <w:vAlign w:val="center"/>
          </w:tcPr>
          <w:p>
            <w:pPr>
              <w:pStyle w:val="34"/>
              <w:shd w:val="clear" w:color="auto" w:fill="auto"/>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486" w:type="pct"/>
            <w:tcBorders>
              <w:tl2br w:val="nil"/>
              <w:tr2bl w:val="nil"/>
            </w:tcBorders>
            <w:noWrap w:val="0"/>
            <w:vAlign w:val="center"/>
          </w:tcPr>
          <w:p>
            <w:pPr>
              <w:pStyle w:val="34"/>
              <w:bidi w:val="0"/>
              <w:ind w:left="0" w:leftChars="0" w:right="0" w:rightChars="0" w:firstLine="0" w:firstLineChars="0"/>
              <w:jc w:val="center"/>
              <w:rPr>
                <w:rFonts w:hint="default"/>
                <w:color w:val="auto"/>
                <w:highlight w:val="none"/>
                <w:lang w:val="en-US" w:eastAsia="zh-CN"/>
              </w:rPr>
            </w:pPr>
            <w:r>
              <w:rPr>
                <w:rFonts w:hint="default" w:ascii="Times New Roman" w:hAnsi="Times New Roman" w:cs="Times New Roman"/>
                <w:color w:val="auto"/>
                <w:highlight w:val="none"/>
                <w:lang w:val="en-US" w:eastAsia="zh-CN"/>
              </w:rPr>
              <w:t>H</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S</w:t>
            </w:r>
          </w:p>
        </w:tc>
        <w:tc>
          <w:tcPr>
            <w:tcW w:w="531" w:type="pct"/>
            <w:vMerge w:val="continue"/>
            <w:tcBorders>
              <w:tl2br w:val="nil"/>
              <w:tr2bl w:val="nil"/>
            </w:tcBorders>
            <w:noWrap w:val="0"/>
            <w:vAlign w:val="center"/>
          </w:tcPr>
          <w:p>
            <w:pPr>
              <w:pStyle w:val="34"/>
              <w:shd w:val="clear" w:color="auto" w:fill="auto"/>
              <w:bidi w:val="0"/>
              <w:rPr>
                <w:rFonts w:hint="default"/>
                <w:color w:val="auto"/>
                <w:highlight w:val="none"/>
                <w:lang w:val="en-US" w:eastAsia="zh-CN"/>
              </w:rPr>
            </w:pPr>
          </w:p>
        </w:tc>
        <w:tc>
          <w:tcPr>
            <w:tcW w:w="2050" w:type="pct"/>
            <w:vMerge w:val="continue"/>
            <w:tcBorders>
              <w:tl2br w:val="nil"/>
              <w:tr2bl w:val="nil"/>
            </w:tcBorders>
            <w:noWrap w:val="0"/>
            <w:vAlign w:val="center"/>
          </w:tcPr>
          <w:p>
            <w:pPr>
              <w:pStyle w:val="34"/>
              <w:shd w:val="clear" w:color="auto" w:fill="auto"/>
              <w:bidi w:val="0"/>
              <w:rPr>
                <w:rFonts w:hint="default"/>
                <w:color w:val="auto"/>
                <w:highlight w:val="none"/>
                <w:lang w:val="en-US" w:eastAsia="zh-CN"/>
              </w:rPr>
            </w:pPr>
          </w:p>
        </w:tc>
        <w:tc>
          <w:tcPr>
            <w:tcW w:w="609" w:type="pct"/>
            <w:tcBorders>
              <w:tl2br w:val="nil"/>
              <w:tr2bl w:val="nil"/>
            </w:tcBorders>
            <w:noWrap w:val="0"/>
            <w:vAlign w:val="center"/>
          </w:tcPr>
          <w:p>
            <w:pPr>
              <w:pStyle w:val="34"/>
              <w:shd w:val="clear" w:color="auto" w:fill="auto"/>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highlight w:val="none"/>
                <w:lang w:val="en-US" w:eastAsia="zh-CN"/>
              </w:rPr>
              <w:t>0.06</w:t>
            </w:r>
          </w:p>
        </w:tc>
        <w:tc>
          <w:tcPr>
            <w:tcW w:w="547"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4.8×10</w:t>
            </w:r>
            <w:r>
              <w:rPr>
                <w:rFonts w:hint="default" w:ascii="Times New Roman" w:hAnsi="Times New Roman" w:cs="Times New Roman"/>
                <w:color w:val="auto"/>
                <w:highlight w:val="none"/>
                <w:vertAlign w:val="superscript"/>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7" w:hRule="atLeast"/>
          <w:jc w:val="center"/>
        </w:trPr>
        <w:tc>
          <w:tcPr>
            <w:tcW w:w="774" w:type="pct"/>
            <w:tcBorders>
              <w:tl2br w:val="nil"/>
              <w:tr2bl w:val="nil"/>
            </w:tcBorders>
            <w:noWrap w:val="0"/>
            <w:vAlign w:val="center"/>
          </w:tcPr>
          <w:p>
            <w:pPr>
              <w:pStyle w:val="34"/>
              <w:shd w:val="clear" w:color="auto" w:fill="auto"/>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olor w:val="auto"/>
                <w:highlight w:val="none"/>
                <w:lang w:val="en-US" w:eastAsia="zh-CN"/>
              </w:rPr>
              <w:t>储罐区</w:t>
            </w:r>
          </w:p>
        </w:tc>
        <w:tc>
          <w:tcPr>
            <w:tcW w:w="486" w:type="pct"/>
            <w:tcBorders>
              <w:tl2br w:val="nil"/>
              <w:tr2bl w:val="nil"/>
            </w:tcBorders>
            <w:noWrap w:val="0"/>
            <w:vAlign w:val="center"/>
          </w:tcPr>
          <w:p>
            <w:pPr>
              <w:pStyle w:val="34"/>
              <w:shd w:val="clear" w:color="auto" w:fill="auto"/>
              <w:bidi w:val="0"/>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非甲烷总烃</w:t>
            </w:r>
          </w:p>
        </w:tc>
        <w:tc>
          <w:tcPr>
            <w:tcW w:w="531" w:type="pct"/>
            <w:vMerge w:val="continue"/>
            <w:tcBorders>
              <w:tl2br w:val="nil"/>
              <w:tr2bl w:val="nil"/>
            </w:tcBorders>
            <w:noWrap w:val="0"/>
            <w:vAlign w:val="center"/>
          </w:tcPr>
          <w:p>
            <w:pPr>
              <w:pStyle w:val="34"/>
              <w:shd w:val="clear" w:color="auto" w:fill="auto"/>
              <w:bidi w:val="0"/>
              <w:rPr>
                <w:rFonts w:hint="default"/>
                <w:color w:val="auto"/>
                <w:highlight w:val="none"/>
                <w:lang w:val="en-US" w:eastAsia="zh-CN"/>
              </w:rPr>
            </w:pPr>
          </w:p>
        </w:tc>
        <w:tc>
          <w:tcPr>
            <w:tcW w:w="2050" w:type="pct"/>
            <w:tcBorders>
              <w:tl2br w:val="nil"/>
              <w:tr2bl w:val="nil"/>
            </w:tcBorders>
            <w:noWrap w:val="0"/>
            <w:vAlign w:val="center"/>
          </w:tcPr>
          <w:p>
            <w:pPr>
              <w:pStyle w:val="34"/>
              <w:shd w:val="clear" w:color="auto" w:fill="auto"/>
              <w:bidi w:val="0"/>
              <w:rPr>
                <w:rFonts w:hint="default"/>
                <w:color w:val="auto"/>
                <w:highlight w:val="none"/>
                <w:lang w:val="en-US" w:eastAsia="zh-CN"/>
              </w:rPr>
            </w:pPr>
            <w:r>
              <w:rPr>
                <w:rFonts w:hint="default"/>
                <w:color w:val="auto"/>
                <w:highlight w:val="none"/>
                <w:lang w:val="en-US" w:eastAsia="zh-CN"/>
              </w:rPr>
              <w:t>《大气污染物综合排放标准》（GB16297-1996）中表2无组织排放监控浓度限值</w:t>
            </w:r>
          </w:p>
        </w:tc>
        <w:tc>
          <w:tcPr>
            <w:tcW w:w="609" w:type="pct"/>
            <w:tcBorders>
              <w:tl2br w:val="nil"/>
              <w:tr2bl w:val="nil"/>
            </w:tcBorders>
            <w:noWrap w:val="0"/>
            <w:vAlign w:val="center"/>
          </w:tcPr>
          <w:p>
            <w:pPr>
              <w:pStyle w:val="34"/>
              <w:shd w:val="clear" w:color="auto" w:fill="auto"/>
              <w:bidi w:val="0"/>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4.0</w:t>
            </w:r>
          </w:p>
        </w:tc>
        <w:tc>
          <w:tcPr>
            <w:tcW w:w="547"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0.232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74" w:type="pct"/>
            <w:vMerge w:val="restar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highlight w:val="none"/>
                <w:lang w:val="en-US" w:eastAsia="zh-CN"/>
              </w:rPr>
              <w:t>无组织排放合计</w:t>
            </w:r>
          </w:p>
        </w:tc>
        <w:tc>
          <w:tcPr>
            <w:tcW w:w="48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颗粒物</w:t>
            </w:r>
          </w:p>
        </w:tc>
        <w:tc>
          <w:tcPr>
            <w:tcW w:w="3739" w:type="pct"/>
            <w:gridSpan w:val="4"/>
            <w:tcBorders>
              <w:tl2br w:val="nil"/>
              <w:tr2bl w:val="nil"/>
            </w:tcBorders>
            <w:noWrap w:val="0"/>
            <w:vAlign w:val="center"/>
          </w:tcPr>
          <w:p>
            <w:pPr>
              <w:pStyle w:val="34"/>
              <w:bidi w:val="0"/>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0.9403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74"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48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highlight w:val="none"/>
                <w:lang w:val="en-US" w:eastAsia="zh-CN"/>
              </w:rPr>
              <w:t>非甲烷总烃</w:t>
            </w:r>
          </w:p>
        </w:tc>
        <w:tc>
          <w:tcPr>
            <w:tcW w:w="3739" w:type="pct"/>
            <w:gridSpan w:val="4"/>
            <w:tcBorders>
              <w:tl2br w:val="nil"/>
              <w:tr2bl w:val="nil"/>
            </w:tcBorders>
            <w:noWrap w:val="0"/>
            <w:vAlign w:val="center"/>
          </w:tcPr>
          <w:p>
            <w:pPr>
              <w:pStyle w:val="34"/>
              <w:bidi w:val="0"/>
              <w:rPr>
                <w:rFonts w:hint="default"/>
                <w:color w:val="auto"/>
                <w:lang w:val="en-US" w:eastAsia="zh-CN"/>
              </w:rPr>
            </w:pPr>
            <w:r>
              <w:rPr>
                <w:rFonts w:hint="eastAsia"/>
                <w:color w:val="auto"/>
                <w:lang w:val="en-US" w:eastAsia="zh-CN"/>
              </w:rPr>
              <w:t>1.032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74" w:type="pct"/>
            <w:vMerge w:val="continue"/>
            <w:tcBorders>
              <w:tl2br w:val="nil"/>
              <w:tr2bl w:val="nil"/>
            </w:tcBorders>
            <w:noWrap w:val="0"/>
            <w:vAlign w:val="center"/>
          </w:tcPr>
          <w:p>
            <w:pPr>
              <w:pStyle w:val="34"/>
              <w:shd w:val="clear" w:color="auto" w:fill="auto"/>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486" w:type="pct"/>
            <w:tcBorders>
              <w:tl2br w:val="nil"/>
              <w:tr2bl w:val="nil"/>
            </w:tcBorders>
            <w:noWrap w:val="0"/>
            <w:vAlign w:val="center"/>
          </w:tcPr>
          <w:p>
            <w:pPr>
              <w:pStyle w:val="34"/>
              <w:shd w:val="clear" w:color="auto" w:fill="auto"/>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油烟</w:t>
            </w:r>
          </w:p>
        </w:tc>
        <w:tc>
          <w:tcPr>
            <w:tcW w:w="3739" w:type="pct"/>
            <w:gridSpan w:val="4"/>
            <w:tcBorders>
              <w:tl2br w:val="nil"/>
              <w:tr2bl w:val="nil"/>
            </w:tcBorders>
            <w:noWrap w:val="0"/>
            <w:vAlign w:val="center"/>
          </w:tcPr>
          <w:p>
            <w:pPr>
              <w:pStyle w:val="34"/>
              <w:bidi w:val="0"/>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2×10</w:t>
            </w:r>
            <w:r>
              <w:rPr>
                <w:rFonts w:hint="default" w:ascii="Times New Roman" w:hAnsi="Times New Roman" w:cs="Times New Roman"/>
                <w:color w:val="auto"/>
                <w:highlight w:val="none"/>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74" w:type="pct"/>
            <w:vMerge w:val="continue"/>
            <w:tcBorders>
              <w:tl2br w:val="nil"/>
              <w:tr2bl w:val="nil"/>
            </w:tcBorders>
            <w:noWrap w:val="0"/>
            <w:vAlign w:val="center"/>
          </w:tcPr>
          <w:p>
            <w:pPr>
              <w:pStyle w:val="34"/>
              <w:shd w:val="clear" w:color="auto" w:fill="auto"/>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486" w:type="pct"/>
            <w:tcBorders>
              <w:tl2br w:val="nil"/>
              <w:tr2bl w:val="nil"/>
            </w:tcBorders>
            <w:noWrap w:val="0"/>
            <w:vAlign w:val="center"/>
          </w:tcPr>
          <w:p>
            <w:pPr>
              <w:pStyle w:val="34"/>
              <w:shd w:val="clear" w:color="auto" w:fill="auto"/>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甲醇</w:t>
            </w:r>
          </w:p>
        </w:tc>
        <w:tc>
          <w:tcPr>
            <w:tcW w:w="3739" w:type="pct"/>
            <w:gridSpan w:val="4"/>
            <w:tcBorders>
              <w:tl2br w:val="nil"/>
              <w:tr2bl w:val="nil"/>
            </w:tcBorders>
            <w:noWrap w:val="0"/>
            <w:vAlign w:val="center"/>
          </w:tcPr>
          <w:p>
            <w:pPr>
              <w:pStyle w:val="34"/>
              <w:bidi w:val="0"/>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5×10</w:t>
            </w:r>
            <w:r>
              <w:rPr>
                <w:rFonts w:hint="eastAsia" w:cs="Times New Roman"/>
                <w:color w:val="auto"/>
                <w:kern w:val="0"/>
                <w:sz w:val="21"/>
                <w:szCs w:val="21"/>
                <w:highlight w:val="none"/>
                <w:vertAlign w:val="superscript"/>
                <w:lang w:val="en-US" w:eastAsia="zh-CN" w:bidi="ar-SA"/>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74"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sz w:val="21"/>
                <w:szCs w:val="21"/>
                <w:highlight w:val="none"/>
                <w:lang w:val="en-US" w:eastAsia="zh-CN"/>
              </w:rPr>
            </w:pPr>
          </w:p>
        </w:tc>
        <w:tc>
          <w:tcPr>
            <w:tcW w:w="48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NH</w:t>
            </w:r>
            <w:r>
              <w:rPr>
                <w:rFonts w:hint="default" w:ascii="Times New Roman" w:hAnsi="Times New Roman" w:cs="Times New Roman"/>
                <w:color w:val="auto"/>
                <w:highlight w:val="none"/>
                <w:vertAlign w:val="subscript"/>
                <w:lang w:val="en-US" w:eastAsia="zh-CN"/>
              </w:rPr>
              <w:t>3</w:t>
            </w:r>
          </w:p>
        </w:tc>
        <w:tc>
          <w:tcPr>
            <w:tcW w:w="3739" w:type="pct"/>
            <w:gridSpan w:val="4"/>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0.17169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74"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sz w:val="21"/>
                <w:szCs w:val="21"/>
                <w:highlight w:val="none"/>
                <w:lang w:val="en-US" w:eastAsia="zh-CN"/>
              </w:rPr>
            </w:pPr>
          </w:p>
        </w:tc>
        <w:tc>
          <w:tcPr>
            <w:tcW w:w="48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H</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S</w:t>
            </w:r>
          </w:p>
        </w:tc>
        <w:tc>
          <w:tcPr>
            <w:tcW w:w="3739" w:type="pct"/>
            <w:gridSpan w:val="4"/>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0.014048</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（4）非正常工况排放原因</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本项目非正常工况下，污染源排放量核算见下表。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5.2.1-23    污染源非正常排放量核算表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2"/>
        <w:gridCol w:w="1187"/>
        <w:gridCol w:w="982"/>
        <w:gridCol w:w="1389"/>
        <w:gridCol w:w="1239"/>
        <w:gridCol w:w="1271"/>
        <w:gridCol w:w="19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污染源</w:t>
            </w:r>
          </w:p>
        </w:tc>
        <w:tc>
          <w:tcPr>
            <w:tcW w:w="67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非正常排放原因</w:t>
            </w:r>
          </w:p>
        </w:tc>
        <w:tc>
          <w:tcPr>
            <w:tcW w:w="5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污染物</w:t>
            </w:r>
          </w:p>
        </w:tc>
        <w:tc>
          <w:tcPr>
            <w:tcW w:w="78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非正常排放速率（kg/h）</w:t>
            </w:r>
          </w:p>
        </w:tc>
        <w:tc>
          <w:tcPr>
            <w:tcW w:w="69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单次持续时间（h）</w:t>
            </w:r>
          </w:p>
        </w:tc>
        <w:tc>
          <w:tcPr>
            <w:tcW w:w="7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年发生频次（次）</w:t>
            </w:r>
          </w:p>
        </w:tc>
        <w:tc>
          <w:tcPr>
            <w:tcW w:w="10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应对措施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DA001</w:t>
            </w:r>
          </w:p>
        </w:tc>
        <w:tc>
          <w:tcPr>
            <w:tcW w:w="67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olor w:val="auto"/>
                <w:highlight w:val="none"/>
                <w:lang w:val="en-US" w:eastAsia="zh-CN"/>
              </w:rPr>
              <w:t>净电除油系统、二级碱液喷淋塔、除湿装置及活性炭吸附箱故障</w:t>
            </w:r>
          </w:p>
        </w:tc>
        <w:tc>
          <w:tcPr>
            <w:tcW w:w="5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非甲烷总烃</w:t>
            </w:r>
          </w:p>
        </w:tc>
        <w:tc>
          <w:tcPr>
            <w:tcW w:w="784" w:type="pct"/>
            <w:vAlign w:val="center"/>
          </w:tcPr>
          <w:p>
            <w:pPr>
              <w:pStyle w:val="34"/>
              <w:bidi w:val="0"/>
              <w:ind w:left="0" w:leftChars="0" w:right="0" w:rightChars="0" w:firstLine="0" w:firstLineChars="0"/>
              <w:rPr>
                <w:rFonts w:hint="default" w:ascii="Times New Roman" w:hAnsi="Times New Roman" w:eastAsia="宋体" w:cs="Times New Roman"/>
                <w:color w:val="auto"/>
                <w:sz w:val="21"/>
                <w:szCs w:val="21"/>
                <w:vertAlign w:val="baseline"/>
                <w:lang w:val="en-US" w:eastAsia="zh-CN"/>
              </w:rPr>
            </w:pPr>
            <w:r>
              <w:rPr>
                <w:rFonts w:hint="eastAsia" w:cs="Times New Roman"/>
                <w:color w:val="auto"/>
                <w:kern w:val="0"/>
                <w:sz w:val="21"/>
                <w:szCs w:val="21"/>
                <w:lang w:val="en-US" w:eastAsia="zh-CN" w:bidi="ar-SA"/>
              </w:rPr>
              <w:t>2.1</w:t>
            </w:r>
          </w:p>
        </w:tc>
        <w:tc>
          <w:tcPr>
            <w:tcW w:w="69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7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1081"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加强环保设施维护，保障其稳定正常运行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7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5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NH</w:t>
            </w:r>
            <w:r>
              <w:rPr>
                <w:rFonts w:hint="eastAsia" w:ascii="Times New Roman" w:hAnsi="Times New Roman" w:eastAsia="宋体" w:cs="Times New Roman"/>
                <w:color w:val="auto"/>
                <w:sz w:val="21"/>
                <w:szCs w:val="21"/>
                <w:vertAlign w:val="subscript"/>
                <w:lang w:val="en-US" w:eastAsia="zh-CN"/>
              </w:rPr>
              <w:t>3</w:t>
            </w:r>
          </w:p>
        </w:tc>
        <w:tc>
          <w:tcPr>
            <w:tcW w:w="784" w:type="pct"/>
            <w:vAlign w:val="center"/>
          </w:tcPr>
          <w:p>
            <w:pPr>
              <w:pStyle w:val="34"/>
              <w:bidi w:val="0"/>
              <w:ind w:left="0" w:leftChars="0" w:right="0" w:rightChars="0" w:firstLine="0" w:firstLineChars="0"/>
              <w:rPr>
                <w:rFonts w:hint="default" w:ascii="Times New Roman" w:hAnsi="Times New Roman" w:eastAsia="宋体" w:cs="Times New Roman"/>
                <w:color w:val="auto"/>
                <w:sz w:val="21"/>
                <w:szCs w:val="21"/>
                <w:vertAlign w:val="baseline"/>
                <w:lang w:val="en-US" w:eastAsia="zh-CN"/>
              </w:rPr>
            </w:pPr>
            <w:r>
              <w:rPr>
                <w:rFonts w:hint="eastAsia"/>
                <w:color w:val="auto"/>
                <w:lang w:val="en-US" w:eastAsia="zh-CN"/>
              </w:rPr>
              <w:t>0.28</w:t>
            </w:r>
          </w:p>
        </w:tc>
        <w:tc>
          <w:tcPr>
            <w:tcW w:w="69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7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108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7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5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H</w:t>
            </w:r>
            <w:r>
              <w:rPr>
                <w:rFonts w:hint="eastAsia" w:ascii="Times New Roman" w:hAnsi="Times New Roman" w:eastAsia="宋体" w:cs="Times New Roman"/>
                <w:color w:val="auto"/>
                <w:sz w:val="21"/>
                <w:szCs w:val="21"/>
                <w:vertAlign w:val="subscript"/>
                <w:lang w:val="en-US" w:eastAsia="zh-CN"/>
              </w:rPr>
              <w:t>2</w:t>
            </w:r>
            <w:r>
              <w:rPr>
                <w:rFonts w:hint="eastAsia" w:ascii="Times New Roman" w:hAnsi="Times New Roman" w:eastAsia="宋体" w:cs="Times New Roman"/>
                <w:color w:val="auto"/>
                <w:sz w:val="21"/>
                <w:szCs w:val="21"/>
                <w:vertAlign w:val="baseline"/>
                <w:lang w:val="en-US" w:eastAsia="zh-CN"/>
              </w:rPr>
              <w:t>S</w:t>
            </w:r>
          </w:p>
        </w:tc>
        <w:tc>
          <w:tcPr>
            <w:tcW w:w="784" w:type="pct"/>
            <w:vAlign w:val="center"/>
          </w:tcPr>
          <w:p>
            <w:pPr>
              <w:pStyle w:val="34"/>
              <w:bidi w:val="0"/>
              <w:ind w:left="0" w:leftChars="0" w:right="0" w:rightChars="0" w:firstLine="0" w:firstLineChars="0"/>
              <w:rPr>
                <w:rFonts w:hint="default" w:ascii="Times New Roman" w:hAnsi="Times New Roman" w:eastAsia="宋体" w:cs="Times New Roman"/>
                <w:color w:val="auto"/>
                <w:sz w:val="21"/>
                <w:szCs w:val="21"/>
                <w:vertAlign w:val="baseline"/>
                <w:lang w:val="en-US" w:eastAsia="zh-CN"/>
              </w:rPr>
            </w:pPr>
            <w:r>
              <w:rPr>
                <w:rFonts w:hint="eastAsia"/>
                <w:color w:val="auto"/>
                <w:lang w:val="en-US" w:eastAsia="zh-CN"/>
              </w:rPr>
              <w:t>0.02</w:t>
            </w:r>
          </w:p>
        </w:tc>
        <w:tc>
          <w:tcPr>
            <w:tcW w:w="69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7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108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7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5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油脂烟气</w:t>
            </w:r>
          </w:p>
        </w:tc>
        <w:tc>
          <w:tcPr>
            <w:tcW w:w="78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7.47×10</w:t>
            </w:r>
            <w:r>
              <w:rPr>
                <w:rFonts w:hint="eastAsia" w:ascii="Times New Roman" w:hAnsi="Times New Roman" w:eastAsia="宋体" w:cs="Times New Roman"/>
                <w:color w:val="auto"/>
                <w:sz w:val="21"/>
                <w:szCs w:val="21"/>
                <w:vertAlign w:val="superscript"/>
                <w:lang w:val="en-US" w:eastAsia="zh-CN"/>
              </w:rPr>
              <w:t>-3</w:t>
            </w:r>
          </w:p>
        </w:tc>
        <w:tc>
          <w:tcPr>
            <w:tcW w:w="69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7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108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7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5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color w:val="auto"/>
                <w:highlight w:val="none"/>
                <w:lang w:val="en-US" w:eastAsia="zh-CN"/>
              </w:rPr>
              <w:t>颗粒物</w:t>
            </w:r>
          </w:p>
        </w:tc>
        <w:tc>
          <w:tcPr>
            <w:tcW w:w="78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color w:val="auto"/>
                <w:lang w:val="en-US" w:eastAsia="zh-CN"/>
              </w:rPr>
              <w:t>0.31</w:t>
            </w:r>
          </w:p>
        </w:tc>
        <w:tc>
          <w:tcPr>
            <w:tcW w:w="69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08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DA002</w:t>
            </w:r>
          </w:p>
        </w:tc>
        <w:tc>
          <w:tcPr>
            <w:tcW w:w="67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color w:val="auto"/>
                <w:highlight w:val="none"/>
                <w:lang w:val="en-US" w:eastAsia="zh-CN"/>
              </w:rPr>
              <w:t>布袋除尘器、活性炭吸附装置故障</w:t>
            </w:r>
          </w:p>
        </w:tc>
        <w:tc>
          <w:tcPr>
            <w:tcW w:w="5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olor w:val="auto"/>
                <w:highlight w:val="none"/>
                <w:lang w:val="en-US" w:eastAsia="zh-CN"/>
              </w:rPr>
              <w:t>颗粒物</w:t>
            </w:r>
          </w:p>
        </w:tc>
        <w:tc>
          <w:tcPr>
            <w:tcW w:w="78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1.16</w:t>
            </w:r>
          </w:p>
        </w:tc>
        <w:tc>
          <w:tcPr>
            <w:tcW w:w="69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7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108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7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554" w:type="pct"/>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NH</w:t>
            </w:r>
            <w:r>
              <w:rPr>
                <w:rFonts w:hint="eastAsia"/>
                <w:color w:val="auto"/>
                <w:highlight w:val="none"/>
                <w:vertAlign w:val="subscript"/>
                <w:lang w:val="en-US" w:eastAsia="zh-CN"/>
              </w:rPr>
              <w:t>3</w:t>
            </w:r>
          </w:p>
        </w:tc>
        <w:tc>
          <w:tcPr>
            <w:tcW w:w="784" w:type="pct"/>
            <w:vAlign w:val="center"/>
          </w:tcPr>
          <w:p>
            <w:pPr>
              <w:pStyle w:val="34"/>
              <w:bidi w:val="0"/>
              <w:ind w:left="0" w:leftChars="0" w:right="0" w:rightChars="0" w:firstLine="0" w:firstLineChars="0"/>
              <w:rPr>
                <w:rFonts w:hint="eastAsia" w:ascii="Times New Roman" w:hAnsi="Times New Roman" w:eastAsia="宋体" w:cs="Times New Roman"/>
                <w:color w:val="auto"/>
                <w:kern w:val="0"/>
                <w:sz w:val="21"/>
                <w:szCs w:val="21"/>
                <w:lang w:val="en-US" w:eastAsia="zh-CN" w:bidi="ar-SA"/>
              </w:rPr>
            </w:pPr>
            <w:r>
              <w:rPr>
                <w:rFonts w:hint="eastAsia"/>
                <w:color w:val="auto"/>
                <w:lang w:val="en-US" w:eastAsia="zh-CN"/>
              </w:rPr>
              <w:t>5.77×10</w:t>
            </w:r>
            <w:r>
              <w:rPr>
                <w:rFonts w:hint="eastAsia"/>
                <w:color w:val="auto"/>
                <w:vertAlign w:val="superscript"/>
                <w:lang w:val="en-US" w:eastAsia="zh-CN"/>
              </w:rPr>
              <w:t>-3</w:t>
            </w:r>
          </w:p>
        </w:tc>
        <w:tc>
          <w:tcPr>
            <w:tcW w:w="69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1</w:t>
            </w:r>
          </w:p>
        </w:tc>
        <w:tc>
          <w:tcPr>
            <w:tcW w:w="7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1</w:t>
            </w:r>
          </w:p>
        </w:tc>
        <w:tc>
          <w:tcPr>
            <w:tcW w:w="108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7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554" w:type="pct"/>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t>
            </w:r>
            <w:r>
              <w:rPr>
                <w:rFonts w:hint="eastAsia" w:ascii="Times New Roman" w:hAnsi="Times New Roman" w:eastAsia="宋体" w:cs="Times New Roman"/>
                <w:color w:val="auto"/>
                <w:kern w:val="0"/>
                <w:sz w:val="21"/>
                <w:szCs w:val="21"/>
                <w:highlight w:val="none"/>
                <w:vertAlign w:val="subscript"/>
                <w:lang w:val="en-US" w:eastAsia="zh-CN" w:bidi="ar-SA"/>
              </w:rPr>
              <w:t>2</w:t>
            </w:r>
            <w:r>
              <w:rPr>
                <w:rFonts w:hint="eastAsia" w:ascii="Times New Roman" w:hAnsi="Times New Roman" w:eastAsia="宋体" w:cs="Times New Roman"/>
                <w:color w:val="auto"/>
                <w:kern w:val="0"/>
                <w:sz w:val="21"/>
                <w:szCs w:val="21"/>
                <w:highlight w:val="none"/>
                <w:lang w:val="en-US" w:eastAsia="zh-CN" w:bidi="ar-SA"/>
              </w:rPr>
              <w:t>S</w:t>
            </w:r>
          </w:p>
        </w:tc>
        <w:tc>
          <w:tcPr>
            <w:tcW w:w="784" w:type="pct"/>
            <w:vAlign w:val="center"/>
          </w:tcPr>
          <w:p>
            <w:pPr>
              <w:pStyle w:val="34"/>
              <w:bidi w:val="0"/>
              <w:ind w:left="0" w:leftChars="0" w:right="0" w:rightChars="0" w:firstLine="0" w:firstLineChars="0"/>
              <w:rPr>
                <w:rFonts w:hint="eastAsia" w:ascii="Times New Roman" w:hAnsi="Times New Roman" w:eastAsia="宋体" w:cs="Times New Roman"/>
                <w:color w:val="auto"/>
                <w:kern w:val="0"/>
                <w:sz w:val="21"/>
                <w:szCs w:val="21"/>
                <w:lang w:val="en-US" w:eastAsia="zh-CN" w:bidi="ar-SA"/>
              </w:rPr>
            </w:pPr>
            <w:r>
              <w:rPr>
                <w:rFonts w:hint="eastAsia" w:eastAsia="宋体"/>
                <w:color w:val="auto"/>
                <w:lang w:val="en-US" w:eastAsia="zh-CN"/>
              </w:rPr>
              <w:t>7.5×10</w:t>
            </w:r>
            <w:r>
              <w:rPr>
                <w:rFonts w:hint="eastAsia" w:eastAsia="宋体"/>
                <w:color w:val="auto"/>
                <w:vertAlign w:val="superscript"/>
                <w:lang w:val="en-US" w:eastAsia="zh-CN"/>
              </w:rPr>
              <w:t>-5</w:t>
            </w:r>
          </w:p>
        </w:tc>
        <w:tc>
          <w:tcPr>
            <w:tcW w:w="69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1</w:t>
            </w:r>
          </w:p>
        </w:tc>
        <w:tc>
          <w:tcPr>
            <w:tcW w:w="7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1</w:t>
            </w:r>
          </w:p>
        </w:tc>
        <w:tc>
          <w:tcPr>
            <w:tcW w:w="108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5.2.1.13 大气环境影响评价结论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（1）正常工况下，本项目各污染物所有关注点和网络点短时浓度和全时段浓度贡献值的最大落地浓度占标率均小于 100%，满足《环境影响评价技术导则 大气环境》（HJ2.2-2018）环境影响可接受的要求。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（2）正常工况下，本项目各污染物的年均浓度贡献值的最大落地浓度占标率均小于 30%，满足《环境影响评价技术导则 大气环境》（HJ2.2-2018）环境影响可接受的要求。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（3）正常工况下，本项目排放的颗粒物、氨、硫化氢、甲醇和NMHC 等污染物落地浓度贡献值叠加区域在建及拟建项目的环境影响及现状背景浓度后的叠加保证率日均浓度和年均浓度均满足《环境空气质量标准》（GB3095-2012）中的二级标准浓度限值要求。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项目排放的特征污染物非甲烷总烃在预测网格内落地浓度贡献值叠加现状背景值后的小时浓度满足《大气污染物综合排放标准详解》中的浓度限值要求。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项目排放的特征污染物 甲醇、NH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、H</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S 在预测网格内落地浓度贡献值叠加现状背景值后的小时浓度最大值占标率均满足《环境影响评价技术导则 大气环境》（HJ2.2-2018）附录 D 中的参考浓度限值要求。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（4）根据区域环境质量变化评价中预测结果，超标污染物 PM</w:t>
      </w:r>
      <w:r>
        <w:rPr>
          <w:rFonts w:hint="eastAsia" w:ascii="Times New Roman" w:hAnsi="Times New Roman" w:eastAsia="宋体" w:cs="Times New Roman"/>
          <w:color w:val="auto"/>
          <w:sz w:val="24"/>
          <w:szCs w:val="24"/>
          <w:vertAlign w:val="subscript"/>
          <w:lang w:val="en-US" w:eastAsia="zh-CN"/>
        </w:rPr>
        <w:t>10</w:t>
      </w:r>
      <w:r>
        <w:rPr>
          <w:rFonts w:hint="eastAsia" w:ascii="Times New Roman" w:hAnsi="Times New Roman" w:eastAsia="宋体" w:cs="Times New Roman"/>
          <w:color w:val="auto"/>
          <w:sz w:val="24"/>
          <w:szCs w:val="24"/>
          <w:lang w:val="en-US" w:eastAsia="zh-CN"/>
        </w:rPr>
        <w:t xml:space="preserve"> 年均浓度变化率 k= —89.77%﹤—20%；因此可判定项目建设后区域环境质量可以得到整体改善。</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综上所述，在各环保设施正常运行的情况下，项目排放的废气污染物对周围大气环境及环境敏感点的影响是可以接受的。 </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5.2.1.14 大气环境影响评价自查表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大气环境影响评价自查表见下表。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5.2.1-24     建设项目大气环境影响评价自查表</w:t>
      </w:r>
    </w:p>
    <w:tbl>
      <w:tblPr>
        <w:tblStyle w:val="21"/>
        <w:tblW w:w="502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02"/>
        <w:gridCol w:w="1057"/>
        <w:gridCol w:w="226"/>
        <w:gridCol w:w="349"/>
        <w:gridCol w:w="363"/>
        <w:gridCol w:w="280"/>
        <w:gridCol w:w="345"/>
        <w:gridCol w:w="375"/>
        <w:gridCol w:w="379"/>
        <w:gridCol w:w="186"/>
        <w:gridCol w:w="262"/>
        <w:gridCol w:w="278"/>
        <w:gridCol w:w="264"/>
        <w:gridCol w:w="246"/>
        <w:gridCol w:w="156"/>
        <w:gridCol w:w="609"/>
        <w:gridCol w:w="591"/>
        <w:gridCol w:w="1275"/>
        <w:gridCol w:w="9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26" w:type="pct"/>
            <w:gridSpan w:val="4"/>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工作内容</w:t>
            </w:r>
          </w:p>
        </w:tc>
        <w:tc>
          <w:tcPr>
            <w:tcW w:w="3773" w:type="pct"/>
            <w:gridSpan w:val="15"/>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8" w:type="pct"/>
            <w:vMerge w:val="restart"/>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评价等级与范</w:t>
            </w:r>
          </w:p>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围</w:t>
            </w:r>
          </w:p>
        </w:tc>
        <w:tc>
          <w:tcPr>
            <w:tcW w:w="937" w:type="pct"/>
            <w:gridSpan w:val="3"/>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评价等级</w:t>
            </w:r>
          </w:p>
        </w:tc>
        <w:tc>
          <w:tcPr>
            <w:tcW w:w="1260" w:type="pct"/>
            <w:gridSpan w:val="7"/>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一级</w:t>
            </w:r>
            <w:r>
              <w:rPr>
                <w:rFonts w:hint="default" w:ascii="Times New Roman" w:hAnsi="Times New Roman" w:eastAsia="宋体" w:cs="Times New Roman"/>
                <w:color w:val="auto"/>
                <w:sz w:val="21"/>
                <w:szCs w:val="21"/>
              </w:rPr>
              <w:sym w:font="Wingdings 2" w:char="0052"/>
            </w:r>
          </w:p>
        </w:tc>
        <w:tc>
          <w:tcPr>
            <w:tcW w:w="1232" w:type="pct"/>
            <w:gridSpan w:val="6"/>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二级</w:t>
            </w:r>
            <w:r>
              <w:rPr>
                <w:rFonts w:hint="default" w:ascii="Times New Roman" w:hAnsi="Times New Roman" w:eastAsia="宋体" w:cs="Times New Roman"/>
                <w:color w:val="auto"/>
                <w:sz w:val="21"/>
                <w:szCs w:val="21"/>
              </w:rPr>
              <w:sym w:font="Wingdings 2" w:char="00A3"/>
            </w:r>
          </w:p>
        </w:tc>
        <w:tc>
          <w:tcPr>
            <w:tcW w:w="1280" w:type="pct"/>
            <w:gridSpan w:val="2"/>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8" w:type="pct"/>
            <w:vMerge w:val="continue"/>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937" w:type="pct"/>
            <w:gridSpan w:val="3"/>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评价范围</w:t>
            </w:r>
          </w:p>
        </w:tc>
        <w:tc>
          <w:tcPr>
            <w:tcW w:w="1260" w:type="pct"/>
            <w:gridSpan w:val="7"/>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边长=50km</w:t>
            </w:r>
            <w:r>
              <w:rPr>
                <w:rFonts w:hint="default" w:ascii="Times New Roman" w:hAnsi="Times New Roman" w:eastAsia="宋体" w:cs="Times New Roman"/>
                <w:color w:val="auto"/>
                <w:sz w:val="21"/>
                <w:szCs w:val="21"/>
              </w:rPr>
              <w:sym w:font="Wingdings 2" w:char="00A3"/>
            </w:r>
          </w:p>
        </w:tc>
        <w:tc>
          <w:tcPr>
            <w:tcW w:w="1232" w:type="pct"/>
            <w:gridSpan w:val="6"/>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边长5～50km</w:t>
            </w:r>
            <w:r>
              <w:rPr>
                <w:rFonts w:hint="default" w:ascii="Times New Roman" w:hAnsi="Times New Roman" w:eastAsia="宋体" w:cs="Times New Roman"/>
                <w:color w:val="auto"/>
                <w:sz w:val="21"/>
                <w:szCs w:val="21"/>
              </w:rPr>
              <w:sym w:font="Wingdings" w:char="00A8"/>
            </w:r>
          </w:p>
        </w:tc>
        <w:tc>
          <w:tcPr>
            <w:tcW w:w="1280" w:type="pct"/>
            <w:gridSpan w:val="2"/>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边长=5km</w:t>
            </w:r>
            <w:r>
              <w:rPr>
                <w:rFonts w:hint="default" w:ascii="Times New Roman" w:hAnsi="Times New Roman" w:eastAsia="宋体" w:cs="Times New Roman"/>
                <w:color w:val="auto"/>
                <w:sz w:val="21"/>
                <w:szCs w:val="21"/>
              </w:rPr>
              <w:sym w:font="Wingdings" w:char="00FE"/>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8" w:type="pct"/>
            <w:vMerge w:val="restart"/>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评价因子</w:t>
            </w:r>
          </w:p>
        </w:tc>
        <w:tc>
          <w:tcPr>
            <w:tcW w:w="937" w:type="pct"/>
            <w:gridSpan w:val="3"/>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rPr>
              <w:t>X</w:t>
            </w:r>
            <w:r>
              <w:rPr>
                <w:rFonts w:hint="default" w:ascii="Times New Roman" w:hAnsi="Times New Roman" w:eastAsia="宋体" w:cs="Times New Roman"/>
                <w:color w:val="auto"/>
                <w:sz w:val="21"/>
                <w:szCs w:val="21"/>
              </w:rPr>
              <w:t>排放量</w:t>
            </w:r>
          </w:p>
        </w:tc>
        <w:tc>
          <w:tcPr>
            <w:tcW w:w="1260" w:type="pct"/>
            <w:gridSpan w:val="7"/>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≥2000t/a⎕</w:t>
            </w:r>
          </w:p>
        </w:tc>
        <w:tc>
          <w:tcPr>
            <w:tcW w:w="1232" w:type="pct"/>
            <w:gridSpan w:val="6"/>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500～2000t/a⎕</w:t>
            </w:r>
          </w:p>
        </w:tc>
        <w:tc>
          <w:tcPr>
            <w:tcW w:w="1280" w:type="pct"/>
            <w:gridSpan w:val="2"/>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＜500t/a</w:t>
            </w:r>
            <w:r>
              <w:rPr>
                <w:rFonts w:hint="default" w:ascii="Times New Roman" w:hAnsi="Times New Roman" w:eastAsia="宋体" w:cs="Times New Roman"/>
                <w:color w:val="auto"/>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8" w:type="pct"/>
            <w:vMerge w:val="continue"/>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937" w:type="pct"/>
            <w:gridSpan w:val="3"/>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评价因子</w:t>
            </w:r>
          </w:p>
        </w:tc>
        <w:tc>
          <w:tcPr>
            <w:tcW w:w="2493" w:type="pct"/>
            <w:gridSpan w:val="13"/>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基本污染物（SO</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z w:val="21"/>
                <w:szCs w:val="21"/>
                <w:vertAlign w:val="subscript"/>
              </w:rPr>
              <w:t>10</w:t>
            </w: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z w:val="21"/>
                <w:szCs w:val="21"/>
                <w:vertAlign w:val="subscript"/>
              </w:rPr>
              <w:t>2.5</w:t>
            </w:r>
          </w:p>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CO、O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）其他污染物（</w:t>
            </w:r>
            <w:r>
              <w:rPr>
                <w:rFonts w:hint="default" w:ascii="Times New Roman" w:hAnsi="Times New Roman" w:eastAsia="宋体" w:cs="Times New Roman"/>
                <w:color w:val="auto"/>
                <w:sz w:val="21"/>
                <w:szCs w:val="21"/>
                <w:lang w:val="en-US" w:eastAsia="zh-CN"/>
              </w:rPr>
              <w:t>甲醇、非甲烷总烃、TSP、</w:t>
            </w: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、H</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S）</w:t>
            </w:r>
          </w:p>
        </w:tc>
        <w:tc>
          <w:tcPr>
            <w:tcW w:w="1280" w:type="pct"/>
            <w:gridSpan w:val="2"/>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包括二次PM</w:t>
            </w:r>
            <w:r>
              <w:rPr>
                <w:rFonts w:hint="default" w:ascii="Times New Roman" w:hAnsi="Times New Roman" w:eastAsia="宋体" w:cs="Times New Roman"/>
                <w:color w:val="auto"/>
                <w:sz w:val="21"/>
                <w:szCs w:val="21"/>
                <w:vertAlign w:val="subscript"/>
              </w:rPr>
              <w:t>2.5</w:t>
            </w:r>
            <w:r>
              <w:rPr>
                <w:rFonts w:hint="default" w:ascii="Times New Roman" w:hAnsi="Times New Roman" w:eastAsia="宋体" w:cs="Times New Roman"/>
                <w:color w:val="auto"/>
                <w:sz w:val="21"/>
                <w:szCs w:val="21"/>
                <w:vertAlign w:val="baseline"/>
              </w:rPr>
              <w:sym w:font="Wingdings" w:char="00A8"/>
            </w:r>
          </w:p>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不包括二次PM</w:t>
            </w:r>
            <w:r>
              <w:rPr>
                <w:rFonts w:hint="default" w:ascii="Times New Roman" w:hAnsi="Times New Roman" w:eastAsia="宋体" w:cs="Times New Roman"/>
                <w:color w:val="auto"/>
                <w:sz w:val="21"/>
                <w:szCs w:val="21"/>
                <w:vertAlign w:val="subscript"/>
              </w:rPr>
              <w:t>2.5</w:t>
            </w:r>
            <w:r>
              <w:rPr>
                <w:rFonts w:hint="default" w:ascii="Times New Roman" w:hAnsi="Times New Roman" w:eastAsia="宋体" w:cs="Times New Roman"/>
                <w:color w:val="auto"/>
                <w:sz w:val="21"/>
                <w:szCs w:val="21"/>
                <w:vertAlign w:val="baseline"/>
              </w:rPr>
              <w:sym w:font="Wingdings" w:char="00FE"/>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8" w:type="pct"/>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评价标准</w:t>
            </w:r>
          </w:p>
        </w:tc>
        <w:tc>
          <w:tcPr>
            <w:tcW w:w="937" w:type="pct"/>
            <w:gridSpan w:val="3"/>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评价标准</w:t>
            </w:r>
          </w:p>
        </w:tc>
        <w:tc>
          <w:tcPr>
            <w:tcW w:w="1260" w:type="pct"/>
            <w:gridSpan w:val="7"/>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国家标准</w:t>
            </w:r>
            <w:r>
              <w:rPr>
                <w:rFonts w:hint="default" w:ascii="Times New Roman" w:hAnsi="Times New Roman" w:eastAsia="宋体" w:cs="Times New Roman"/>
                <w:color w:val="auto"/>
                <w:sz w:val="21"/>
                <w:szCs w:val="21"/>
              </w:rPr>
              <w:sym w:font="Wingdings" w:char="00FE"/>
            </w:r>
          </w:p>
        </w:tc>
        <w:tc>
          <w:tcPr>
            <w:tcW w:w="311" w:type="pct"/>
            <w:gridSpan w:val="2"/>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地方标准</w:t>
            </w:r>
          </w:p>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21" w:type="pct"/>
            <w:gridSpan w:val="4"/>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附录</w:t>
            </w:r>
          </w:p>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w:t>
            </w:r>
            <w:r>
              <w:rPr>
                <w:rFonts w:hint="default" w:ascii="Times New Roman" w:hAnsi="Times New Roman" w:eastAsia="宋体" w:cs="Times New Roman"/>
                <w:color w:val="auto"/>
                <w:sz w:val="21"/>
                <w:szCs w:val="21"/>
              </w:rPr>
              <w:sym w:font="Wingdings" w:char="00FE"/>
            </w:r>
          </w:p>
        </w:tc>
        <w:tc>
          <w:tcPr>
            <w:tcW w:w="1280" w:type="pct"/>
            <w:gridSpan w:val="2"/>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其他标准</w:t>
            </w:r>
            <w:r>
              <w:rPr>
                <w:rFonts w:hint="default" w:ascii="Times New Roman" w:hAnsi="Times New Roman" w:eastAsia="宋体" w:cs="Times New Roman"/>
                <w:color w:val="auto"/>
                <w:sz w:val="21"/>
                <w:szCs w:val="21"/>
              </w:rPr>
              <w:sym w:font="Wingdings" w:char="00FE"/>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8" w:type="pct"/>
            <w:vMerge w:val="restart"/>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现状评价</w:t>
            </w:r>
          </w:p>
        </w:tc>
        <w:tc>
          <w:tcPr>
            <w:tcW w:w="937" w:type="pct"/>
            <w:gridSpan w:val="3"/>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环境功能区</w:t>
            </w:r>
          </w:p>
        </w:tc>
        <w:tc>
          <w:tcPr>
            <w:tcW w:w="1260" w:type="pct"/>
            <w:gridSpan w:val="7"/>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一类区⎕</w:t>
            </w:r>
          </w:p>
        </w:tc>
        <w:tc>
          <w:tcPr>
            <w:tcW w:w="1232" w:type="pct"/>
            <w:gridSpan w:val="6"/>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二类区</w:t>
            </w:r>
            <w:r>
              <w:rPr>
                <w:rFonts w:hint="default" w:ascii="Times New Roman" w:hAnsi="Times New Roman" w:eastAsia="宋体" w:cs="Times New Roman"/>
                <w:color w:val="auto"/>
                <w:sz w:val="21"/>
                <w:szCs w:val="21"/>
              </w:rPr>
              <w:sym w:font="Wingdings" w:char="00FE"/>
            </w:r>
          </w:p>
        </w:tc>
        <w:tc>
          <w:tcPr>
            <w:tcW w:w="1280" w:type="pct"/>
            <w:gridSpan w:val="2"/>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一类区和二类区⎕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8" w:type="pct"/>
            <w:vMerge w:val="continue"/>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937" w:type="pct"/>
            <w:gridSpan w:val="3"/>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评价基准年</w:t>
            </w:r>
          </w:p>
        </w:tc>
        <w:tc>
          <w:tcPr>
            <w:tcW w:w="3773" w:type="pct"/>
            <w:gridSpan w:val="15"/>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r>
              <w:rPr>
                <w:rFonts w:hint="default" w:ascii="Times New Roman" w:hAnsi="Times New Roman" w:eastAsia="宋体" w:cs="Times New Roman"/>
                <w:color w:val="auto"/>
                <w:sz w:val="21"/>
                <w:szCs w:val="21"/>
                <w:lang w:val="en-US" w:eastAsia="zh-CN"/>
              </w:rPr>
              <w:t>2</w:t>
            </w:r>
            <w:r>
              <w:rPr>
                <w:rFonts w:hint="eastAsia"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8" w:type="pct"/>
            <w:vMerge w:val="continue"/>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937" w:type="pct"/>
            <w:gridSpan w:val="3"/>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环境空气质量现状调查数据来源</w:t>
            </w:r>
          </w:p>
        </w:tc>
        <w:tc>
          <w:tcPr>
            <w:tcW w:w="1260" w:type="pct"/>
            <w:gridSpan w:val="7"/>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长期例行监测数据⎕</w:t>
            </w:r>
          </w:p>
        </w:tc>
        <w:tc>
          <w:tcPr>
            <w:tcW w:w="1232" w:type="pct"/>
            <w:gridSpan w:val="6"/>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主管部门发布的数据</w:t>
            </w:r>
            <w:r>
              <w:rPr>
                <w:rFonts w:hint="default" w:ascii="Times New Roman" w:hAnsi="Times New Roman" w:eastAsia="宋体" w:cs="Times New Roman"/>
                <w:color w:val="auto"/>
                <w:sz w:val="21"/>
                <w:szCs w:val="21"/>
              </w:rPr>
              <w:sym w:font="Wingdings" w:char="00FE"/>
            </w:r>
          </w:p>
        </w:tc>
        <w:tc>
          <w:tcPr>
            <w:tcW w:w="1280" w:type="pct"/>
            <w:gridSpan w:val="2"/>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现状补充监测</w:t>
            </w:r>
            <w:r>
              <w:rPr>
                <w:rFonts w:hint="default" w:ascii="Times New Roman" w:hAnsi="Times New Roman" w:eastAsia="宋体" w:cs="Times New Roman"/>
                <w:color w:val="auto"/>
                <w:sz w:val="21"/>
                <w:szCs w:val="21"/>
              </w:rPr>
              <w:sym w:font="Wingdings" w:char="00FE"/>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8" w:type="pct"/>
            <w:vMerge w:val="continue"/>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937" w:type="pct"/>
            <w:gridSpan w:val="3"/>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现状评价</w:t>
            </w:r>
          </w:p>
        </w:tc>
        <w:tc>
          <w:tcPr>
            <w:tcW w:w="1572" w:type="pct"/>
            <w:gridSpan w:val="9"/>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达标区⎕</w:t>
            </w:r>
          </w:p>
        </w:tc>
        <w:tc>
          <w:tcPr>
            <w:tcW w:w="2201" w:type="pct"/>
            <w:gridSpan w:val="6"/>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不达标区</w:t>
            </w:r>
            <w:r>
              <w:rPr>
                <w:rFonts w:hint="default" w:ascii="Times New Roman" w:hAnsi="Times New Roman" w:eastAsia="宋体" w:cs="Times New Roman"/>
                <w:color w:val="auto"/>
                <w:sz w:val="21"/>
                <w:szCs w:val="21"/>
              </w:rPr>
              <w:sym w:font="Wingdings" w:char="00FE"/>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8" w:type="pct"/>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污染源调</w:t>
            </w:r>
          </w:p>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查</w:t>
            </w:r>
          </w:p>
        </w:tc>
        <w:tc>
          <w:tcPr>
            <w:tcW w:w="606" w:type="pct"/>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调查内容</w:t>
            </w:r>
          </w:p>
        </w:tc>
        <w:tc>
          <w:tcPr>
            <w:tcW w:w="1333" w:type="pct"/>
            <w:gridSpan w:val="7"/>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本项目正常排放源</w:t>
            </w:r>
            <w:r>
              <w:rPr>
                <w:rFonts w:hint="default" w:ascii="Times New Roman" w:hAnsi="Times New Roman" w:eastAsia="宋体" w:cs="Times New Roman"/>
                <w:color w:val="auto"/>
                <w:sz w:val="21"/>
                <w:szCs w:val="21"/>
              </w:rPr>
              <w:sym w:font="Wingdings" w:char="00FE"/>
            </w:r>
          </w:p>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本项目非正常排放源</w:t>
            </w:r>
            <w:r>
              <w:rPr>
                <w:rFonts w:hint="default" w:ascii="Times New Roman" w:hAnsi="Times New Roman" w:eastAsia="宋体" w:cs="Times New Roman"/>
                <w:color w:val="auto"/>
                <w:sz w:val="21"/>
                <w:szCs w:val="21"/>
              </w:rPr>
              <w:sym w:font="Wingdings" w:char="00FE"/>
            </w:r>
          </w:p>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现有污染源⎕</w:t>
            </w:r>
          </w:p>
        </w:tc>
        <w:tc>
          <w:tcPr>
            <w:tcW w:w="801" w:type="pct"/>
            <w:gridSpan w:val="6"/>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拟替代的污染源</w:t>
            </w:r>
            <w:r>
              <w:rPr>
                <w:rFonts w:hint="default" w:ascii="Times New Roman" w:hAnsi="Times New Roman" w:eastAsia="宋体" w:cs="Times New Roman"/>
                <w:color w:val="auto"/>
                <w:sz w:val="21"/>
                <w:szCs w:val="21"/>
              </w:rPr>
              <w:sym w:font="Wingdings" w:char="00FE"/>
            </w:r>
          </w:p>
        </w:tc>
        <w:tc>
          <w:tcPr>
            <w:tcW w:w="1422" w:type="pct"/>
            <w:gridSpan w:val="3"/>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其他在建、拟建项目污染源</w:t>
            </w:r>
          </w:p>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sym w:font="Wingdings" w:char="00FE"/>
            </w:r>
          </w:p>
        </w:tc>
        <w:tc>
          <w:tcPr>
            <w:tcW w:w="547" w:type="pct"/>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区域污染源</w:t>
            </w:r>
            <w:r>
              <w:rPr>
                <w:rFonts w:hint="default" w:ascii="Times New Roman" w:hAnsi="Times New Roman" w:eastAsia="宋体" w:cs="Times New Roman"/>
                <w:color w:val="auto"/>
                <w:sz w:val="21"/>
                <w:szCs w:val="21"/>
              </w:rPr>
              <w:sym w:font="Wingdings" w:char="00FE"/>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8" w:type="pct"/>
            <w:vMerge w:val="restart"/>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大气环境影响预测与评价</w:t>
            </w:r>
          </w:p>
        </w:tc>
        <w:tc>
          <w:tcPr>
            <w:tcW w:w="606" w:type="pct"/>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预测模型</w:t>
            </w:r>
          </w:p>
        </w:tc>
        <w:tc>
          <w:tcPr>
            <w:tcW w:w="330" w:type="pct"/>
            <w:gridSpan w:val="2"/>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AERMOD</w:t>
            </w:r>
            <w:r>
              <w:rPr>
                <w:rFonts w:hint="default" w:ascii="Times New Roman" w:hAnsi="Times New Roman" w:eastAsia="宋体" w:cs="Times New Roman"/>
                <w:color w:val="auto"/>
                <w:sz w:val="21"/>
                <w:szCs w:val="21"/>
              </w:rPr>
              <w:sym w:font="Wingdings" w:char="00FE"/>
            </w:r>
          </w:p>
        </w:tc>
        <w:tc>
          <w:tcPr>
            <w:tcW w:w="369" w:type="pct"/>
            <w:gridSpan w:val="2"/>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ADMS</w:t>
            </w:r>
          </w:p>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632" w:type="pct"/>
            <w:gridSpan w:val="3"/>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AUSTAL20</w:t>
            </w:r>
          </w:p>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w:t>
            </w:r>
          </w:p>
        </w:tc>
        <w:tc>
          <w:tcPr>
            <w:tcW w:w="801" w:type="pct"/>
            <w:gridSpan w:val="6"/>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EDMS/AED</w:t>
            </w:r>
          </w:p>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w:t>
            </w:r>
          </w:p>
        </w:tc>
        <w:tc>
          <w:tcPr>
            <w:tcW w:w="689" w:type="pct"/>
            <w:gridSpan w:val="2"/>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CALPUFF⎕</w:t>
            </w:r>
          </w:p>
        </w:tc>
        <w:tc>
          <w:tcPr>
            <w:tcW w:w="733" w:type="pct"/>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网格模型⎕</w:t>
            </w:r>
          </w:p>
        </w:tc>
        <w:tc>
          <w:tcPr>
            <w:tcW w:w="547" w:type="pct"/>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w:t>
            </w:r>
            <w:r>
              <w:rPr>
                <w:rFonts w:hint="default" w:ascii="Times New Roman" w:hAnsi="Times New Roman" w:eastAsia="宋体" w:cs="Times New Roman"/>
                <w:color w:val="auto"/>
                <w:sz w:val="21"/>
                <w:szCs w:val="21"/>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8" w:type="pct"/>
            <w:vMerge w:val="continue"/>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606" w:type="pct"/>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预测范围</w:t>
            </w:r>
          </w:p>
        </w:tc>
        <w:tc>
          <w:tcPr>
            <w:tcW w:w="1115" w:type="pct"/>
            <w:gridSpan w:val="6"/>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边长≥50km⎕</w:t>
            </w:r>
          </w:p>
        </w:tc>
        <w:tc>
          <w:tcPr>
            <w:tcW w:w="1708" w:type="pct"/>
            <w:gridSpan w:val="9"/>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边长5～50km</w:t>
            </w:r>
            <w:r>
              <w:rPr>
                <w:rFonts w:hint="default" w:ascii="Times New Roman" w:hAnsi="Times New Roman" w:eastAsia="宋体" w:cs="Times New Roman"/>
                <w:color w:val="auto"/>
                <w:sz w:val="21"/>
                <w:szCs w:val="21"/>
              </w:rPr>
              <w:sym w:font="Wingdings" w:char="00FE"/>
            </w:r>
          </w:p>
        </w:tc>
        <w:tc>
          <w:tcPr>
            <w:tcW w:w="1280" w:type="pct"/>
            <w:gridSpan w:val="2"/>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边长=5km</w:t>
            </w:r>
            <w:r>
              <w:rPr>
                <w:rFonts w:hint="default" w:ascii="Times New Roman" w:hAnsi="Times New Roman" w:eastAsia="宋体" w:cs="Times New Roman"/>
                <w:color w:val="auto"/>
                <w:sz w:val="21"/>
                <w:szCs w:val="21"/>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8" w:type="pct"/>
            <w:vMerge w:val="continue"/>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606" w:type="pct"/>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预测因子</w:t>
            </w:r>
          </w:p>
        </w:tc>
        <w:tc>
          <w:tcPr>
            <w:tcW w:w="1903" w:type="pct"/>
            <w:gridSpan w:val="11"/>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预测因子（</w:t>
            </w:r>
            <w:r>
              <w:rPr>
                <w:rFonts w:hint="default" w:ascii="Times New Roman" w:hAnsi="Times New Roman" w:eastAsia="宋体" w:cs="Times New Roman"/>
                <w:color w:val="auto"/>
                <w:sz w:val="21"/>
                <w:szCs w:val="21"/>
                <w:lang w:val="en-US" w:eastAsia="zh-CN"/>
              </w:rPr>
              <w:t>甲醇、非甲烷总烃、TSP、</w:t>
            </w: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、H</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S）</w:t>
            </w:r>
          </w:p>
        </w:tc>
        <w:tc>
          <w:tcPr>
            <w:tcW w:w="2201" w:type="pct"/>
            <w:gridSpan w:val="6"/>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包括二次PM</w:t>
            </w:r>
            <w:r>
              <w:rPr>
                <w:rFonts w:hint="default" w:ascii="Times New Roman" w:hAnsi="Times New Roman" w:eastAsia="宋体" w:cs="Times New Roman"/>
                <w:color w:val="auto"/>
                <w:sz w:val="21"/>
                <w:szCs w:val="21"/>
                <w:vertAlign w:val="subscript"/>
              </w:rPr>
              <w:t>2.5</w:t>
            </w:r>
            <w:r>
              <w:rPr>
                <w:rFonts w:hint="default" w:ascii="Times New Roman" w:hAnsi="Times New Roman" w:eastAsia="宋体" w:cs="Times New Roman"/>
                <w:color w:val="auto"/>
                <w:sz w:val="21"/>
                <w:szCs w:val="21"/>
              </w:rPr>
              <w:t>⎕不包括二次PM</w:t>
            </w:r>
            <w:r>
              <w:rPr>
                <w:rFonts w:hint="default" w:ascii="Times New Roman" w:hAnsi="Times New Roman" w:eastAsia="宋体" w:cs="Times New Roman"/>
                <w:color w:val="auto"/>
                <w:sz w:val="21"/>
                <w:szCs w:val="21"/>
                <w:vertAlign w:val="subscript"/>
              </w:rPr>
              <w:t>2.5</w:t>
            </w:r>
            <w:r>
              <w:rPr>
                <w:rFonts w:hint="default" w:ascii="Times New Roman" w:hAnsi="Times New Roman" w:eastAsia="宋体" w:cs="Times New Roman"/>
                <w:color w:val="auto"/>
                <w:sz w:val="21"/>
                <w:szCs w:val="21"/>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8" w:type="pct"/>
            <w:vMerge w:val="continue"/>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606" w:type="pct"/>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正常排放短期浓度贡献值</w:t>
            </w:r>
          </w:p>
        </w:tc>
        <w:tc>
          <w:tcPr>
            <w:tcW w:w="1903" w:type="pct"/>
            <w:gridSpan w:val="11"/>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C本项目最大占标率≤100%</w:t>
            </w:r>
            <w:r>
              <w:rPr>
                <w:rFonts w:hint="default" w:ascii="Times New Roman" w:hAnsi="Times New Roman" w:eastAsia="宋体" w:cs="Times New Roman"/>
                <w:color w:val="auto"/>
                <w:sz w:val="21"/>
                <w:szCs w:val="21"/>
              </w:rPr>
              <w:sym w:font="Wingdings" w:char="00FE"/>
            </w:r>
          </w:p>
        </w:tc>
        <w:tc>
          <w:tcPr>
            <w:tcW w:w="2201" w:type="pct"/>
            <w:gridSpan w:val="6"/>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C本项目最大占标率＞100%⎕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8" w:type="pct"/>
            <w:vMerge w:val="continue"/>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606" w:type="pct"/>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正常排放年</w:t>
            </w:r>
          </w:p>
        </w:tc>
        <w:tc>
          <w:tcPr>
            <w:tcW w:w="330" w:type="pct"/>
            <w:gridSpan w:val="2"/>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一类区</w:t>
            </w:r>
          </w:p>
        </w:tc>
        <w:tc>
          <w:tcPr>
            <w:tcW w:w="1572" w:type="pct"/>
            <w:gridSpan w:val="9"/>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C本项目最大占标率</w:t>
            </w:r>
          </w:p>
        </w:tc>
        <w:tc>
          <w:tcPr>
            <w:tcW w:w="2201" w:type="pct"/>
            <w:gridSpan w:val="6"/>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C本项目最大占标率＞10%⎕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8" w:type="pct"/>
            <w:vMerge w:val="restart"/>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606" w:type="pct"/>
            <w:vMerge w:val="restart"/>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均浓度贡献值</w:t>
            </w:r>
          </w:p>
        </w:tc>
        <w:tc>
          <w:tcPr>
            <w:tcW w:w="330" w:type="pct"/>
            <w:gridSpan w:val="2"/>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1572" w:type="pct"/>
            <w:gridSpan w:val="9"/>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2201" w:type="pct"/>
            <w:gridSpan w:val="6"/>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8" w:type="pct"/>
            <w:vMerge w:val="continue"/>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606" w:type="pct"/>
            <w:vMerge w:val="continue"/>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330" w:type="pct"/>
            <w:gridSpan w:val="2"/>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二类区</w:t>
            </w:r>
          </w:p>
        </w:tc>
        <w:tc>
          <w:tcPr>
            <w:tcW w:w="1572" w:type="pct"/>
            <w:gridSpan w:val="9"/>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C本项目最大占标率</w:t>
            </w:r>
          </w:p>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w:t>
            </w:r>
            <w:r>
              <w:rPr>
                <w:rFonts w:hint="default" w:ascii="Times New Roman" w:hAnsi="Times New Roman" w:eastAsia="宋体" w:cs="Times New Roman"/>
                <w:color w:val="auto"/>
                <w:sz w:val="21"/>
                <w:szCs w:val="21"/>
              </w:rPr>
              <w:sym w:font="Wingdings 2" w:char="0052"/>
            </w:r>
          </w:p>
        </w:tc>
        <w:tc>
          <w:tcPr>
            <w:tcW w:w="2201" w:type="pct"/>
            <w:gridSpan w:val="6"/>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C本项目最大占标率＞30%⎕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8" w:type="pct"/>
            <w:vMerge w:val="continue"/>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606" w:type="pct"/>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非正常排放</w:t>
            </w:r>
          </w:p>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1h浓度贡献值</w:t>
            </w:r>
          </w:p>
        </w:tc>
        <w:tc>
          <w:tcPr>
            <w:tcW w:w="539" w:type="pct"/>
            <w:gridSpan w:val="3"/>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非正常持续时长（</w:t>
            </w: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）h</w:t>
            </w:r>
          </w:p>
        </w:tc>
        <w:tc>
          <w:tcPr>
            <w:tcW w:w="1945" w:type="pct"/>
            <w:gridSpan w:val="11"/>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C本项目最大占标率</w:t>
            </w:r>
          </w:p>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r>
              <w:rPr>
                <w:rFonts w:hint="default" w:ascii="Times New Roman" w:hAnsi="Times New Roman" w:eastAsia="宋体" w:cs="Times New Roman"/>
                <w:color w:val="auto"/>
                <w:sz w:val="21"/>
                <w:szCs w:val="21"/>
              </w:rPr>
              <w:sym w:font="Wingdings" w:char="00FE"/>
            </w:r>
          </w:p>
        </w:tc>
        <w:tc>
          <w:tcPr>
            <w:tcW w:w="1619" w:type="pct"/>
            <w:gridSpan w:val="3"/>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C本项目最大占标率＞</w:t>
            </w:r>
          </w:p>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8" w:type="pct"/>
            <w:vMerge w:val="continue"/>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606" w:type="pct"/>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保证率日平均浓度和年平均浓度叠加值</w:t>
            </w:r>
          </w:p>
        </w:tc>
        <w:tc>
          <w:tcPr>
            <w:tcW w:w="1751" w:type="pct"/>
            <w:gridSpan w:val="10"/>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C叠加达标</w:t>
            </w:r>
            <w:r>
              <w:rPr>
                <w:rFonts w:hint="default" w:ascii="Times New Roman" w:hAnsi="Times New Roman" w:eastAsia="宋体" w:cs="Times New Roman"/>
                <w:color w:val="auto"/>
                <w:sz w:val="21"/>
                <w:szCs w:val="21"/>
              </w:rPr>
              <w:sym w:font="Wingdings" w:char="00FE"/>
            </w:r>
          </w:p>
        </w:tc>
        <w:tc>
          <w:tcPr>
            <w:tcW w:w="2353" w:type="pct"/>
            <w:gridSpan w:val="7"/>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C叠加不达标⎕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8" w:type="pct"/>
            <w:vMerge w:val="continue"/>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736" w:type="pct"/>
            <w:gridSpan w:val="2"/>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区域环境质量整体变化情况</w:t>
            </w:r>
          </w:p>
        </w:tc>
        <w:tc>
          <w:tcPr>
            <w:tcW w:w="1621" w:type="pct"/>
            <w:gridSpan w:val="9"/>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k≤-20%</w:t>
            </w:r>
            <w:r>
              <w:rPr>
                <w:rFonts w:hint="default" w:ascii="Times New Roman" w:hAnsi="Times New Roman" w:eastAsia="宋体" w:cs="Times New Roman"/>
                <w:color w:val="auto"/>
                <w:sz w:val="21"/>
                <w:szCs w:val="21"/>
              </w:rPr>
              <w:sym w:font="Wingdings" w:char="00FE"/>
            </w:r>
          </w:p>
        </w:tc>
        <w:tc>
          <w:tcPr>
            <w:tcW w:w="2353" w:type="pct"/>
            <w:gridSpan w:val="7"/>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k＞-20%⎕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8" w:type="pct"/>
            <w:vMerge w:val="restart"/>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环境监测计划</w:t>
            </w:r>
          </w:p>
        </w:tc>
        <w:tc>
          <w:tcPr>
            <w:tcW w:w="736" w:type="pct"/>
            <w:gridSpan w:val="2"/>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污染源监测</w:t>
            </w:r>
          </w:p>
        </w:tc>
        <w:tc>
          <w:tcPr>
            <w:tcW w:w="1621" w:type="pct"/>
            <w:gridSpan w:val="9"/>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监测因子（</w:t>
            </w:r>
            <w:r>
              <w:rPr>
                <w:rFonts w:hint="default" w:ascii="Times New Roman" w:hAnsi="Times New Roman" w:eastAsia="宋体" w:cs="Times New Roman"/>
                <w:color w:val="auto"/>
                <w:sz w:val="21"/>
                <w:szCs w:val="21"/>
                <w:lang w:val="en-US" w:eastAsia="zh-CN"/>
              </w:rPr>
              <w:t>甲醇、非甲烷总烃、TSP、油脂烟气、</w:t>
            </w: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、H</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S</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硫酸雾</w:t>
            </w:r>
            <w:r>
              <w:rPr>
                <w:rFonts w:hint="default" w:ascii="Times New Roman" w:hAnsi="Times New Roman" w:eastAsia="宋体" w:cs="Times New Roman"/>
                <w:color w:val="auto"/>
                <w:sz w:val="21"/>
                <w:szCs w:val="21"/>
              </w:rPr>
              <w:t>）</w:t>
            </w:r>
          </w:p>
        </w:tc>
        <w:tc>
          <w:tcPr>
            <w:tcW w:w="1073" w:type="pct"/>
            <w:gridSpan w:val="5"/>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有组织废气监测</w:t>
            </w:r>
            <w:r>
              <w:rPr>
                <w:rFonts w:hint="default" w:ascii="Times New Roman" w:hAnsi="Times New Roman" w:eastAsia="宋体" w:cs="Times New Roman"/>
                <w:color w:val="auto"/>
                <w:sz w:val="21"/>
                <w:szCs w:val="21"/>
              </w:rPr>
              <w:sym w:font="Wingdings" w:char="00FE"/>
            </w:r>
            <w:r>
              <w:rPr>
                <w:rFonts w:hint="default" w:ascii="Times New Roman" w:hAnsi="Times New Roman" w:eastAsia="宋体" w:cs="Times New Roman"/>
                <w:color w:val="auto"/>
                <w:sz w:val="21"/>
                <w:szCs w:val="21"/>
              </w:rPr>
              <w:t>无组织废气监测</w:t>
            </w:r>
            <w:r>
              <w:rPr>
                <w:rFonts w:hint="default" w:ascii="Times New Roman" w:hAnsi="Times New Roman" w:eastAsia="宋体" w:cs="Times New Roman"/>
                <w:color w:val="auto"/>
                <w:sz w:val="21"/>
                <w:szCs w:val="21"/>
              </w:rPr>
              <w:sym w:font="Wingdings" w:char="00FE"/>
            </w:r>
          </w:p>
        </w:tc>
        <w:tc>
          <w:tcPr>
            <w:tcW w:w="1280" w:type="pct"/>
            <w:gridSpan w:val="2"/>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8" w:type="pct"/>
            <w:vMerge w:val="continue"/>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736" w:type="pct"/>
            <w:gridSpan w:val="2"/>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环境质量监测</w:t>
            </w:r>
          </w:p>
        </w:tc>
        <w:tc>
          <w:tcPr>
            <w:tcW w:w="1621" w:type="pct"/>
            <w:gridSpan w:val="9"/>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监测因子（</w:t>
            </w:r>
            <w:r>
              <w:rPr>
                <w:rFonts w:hint="default" w:ascii="Times New Roman" w:hAnsi="Times New Roman" w:eastAsia="宋体" w:cs="Times New Roman"/>
                <w:color w:val="auto"/>
                <w:sz w:val="21"/>
                <w:szCs w:val="21"/>
                <w:lang w:val="en-US" w:eastAsia="zh-CN"/>
              </w:rPr>
              <w:t>甲醇、非甲烷总烃、TSP、油脂烟气、</w:t>
            </w: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、H</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S</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硫酸雾</w:t>
            </w:r>
            <w:r>
              <w:rPr>
                <w:rFonts w:hint="default" w:ascii="Times New Roman" w:hAnsi="Times New Roman" w:eastAsia="宋体" w:cs="Times New Roman"/>
                <w:color w:val="auto"/>
                <w:sz w:val="21"/>
                <w:szCs w:val="21"/>
              </w:rPr>
              <w:t>）</w:t>
            </w:r>
          </w:p>
        </w:tc>
        <w:tc>
          <w:tcPr>
            <w:tcW w:w="1073" w:type="pct"/>
            <w:gridSpan w:val="5"/>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监测点位数（</w:t>
            </w: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w:t>
            </w:r>
          </w:p>
        </w:tc>
        <w:tc>
          <w:tcPr>
            <w:tcW w:w="1280" w:type="pct"/>
            <w:gridSpan w:val="2"/>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8" w:type="pct"/>
            <w:vMerge w:val="restart"/>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评价结论</w:t>
            </w:r>
          </w:p>
        </w:tc>
        <w:tc>
          <w:tcPr>
            <w:tcW w:w="736" w:type="pct"/>
            <w:gridSpan w:val="2"/>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环境影响</w:t>
            </w:r>
          </w:p>
        </w:tc>
        <w:tc>
          <w:tcPr>
            <w:tcW w:w="3974" w:type="pct"/>
            <w:gridSpan w:val="16"/>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可以接受</w:t>
            </w:r>
            <w:r>
              <w:rPr>
                <w:rFonts w:hint="default" w:ascii="Times New Roman" w:hAnsi="Times New Roman" w:eastAsia="宋体" w:cs="Times New Roman"/>
                <w:color w:val="auto"/>
                <w:sz w:val="21"/>
                <w:szCs w:val="21"/>
              </w:rPr>
              <w:sym w:font="Wingdings" w:char="00FE"/>
            </w:r>
            <w:r>
              <w:rPr>
                <w:rFonts w:hint="default" w:ascii="Times New Roman" w:hAnsi="Times New Roman" w:eastAsia="宋体" w:cs="Times New Roman"/>
                <w:color w:val="auto"/>
                <w:sz w:val="21"/>
                <w:szCs w:val="21"/>
              </w:rPr>
              <w:t>不可以接受⎕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8" w:type="pct"/>
            <w:vMerge w:val="continue"/>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736" w:type="pct"/>
            <w:gridSpan w:val="2"/>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大气环境防护距离</w:t>
            </w:r>
          </w:p>
        </w:tc>
        <w:tc>
          <w:tcPr>
            <w:tcW w:w="3974" w:type="pct"/>
            <w:gridSpan w:val="16"/>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距厂界最远（</w:t>
            </w:r>
            <w:r>
              <w:rPr>
                <w:rFonts w:hint="default" w:ascii="Times New Roman" w:hAnsi="Times New Roman" w:eastAsia="宋体" w:cs="Times New Roman"/>
                <w:color w:val="auto"/>
                <w:sz w:val="21"/>
                <w:szCs w:val="21"/>
                <w:lang w:val="en-US" w:eastAsia="zh-CN"/>
              </w:rPr>
              <w:t>0</w:t>
            </w:r>
            <w:r>
              <w:rPr>
                <w:rFonts w:hint="default" w:ascii="Times New Roman" w:hAnsi="Times New Roman" w:eastAsia="宋体" w:cs="Times New Roman"/>
                <w:color w:val="auto"/>
                <w:sz w:val="21"/>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8" w:type="pct"/>
            <w:vMerge w:val="continue"/>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736" w:type="pct"/>
            <w:gridSpan w:val="2"/>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污染源年排放量</w:t>
            </w:r>
          </w:p>
        </w:tc>
        <w:tc>
          <w:tcPr>
            <w:tcW w:w="769" w:type="pct"/>
            <w:gridSpan w:val="4"/>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油脂烟气</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0.00845</w:t>
            </w:r>
            <w:r>
              <w:rPr>
                <w:rFonts w:hint="default" w:ascii="Times New Roman" w:hAnsi="Times New Roman" w:eastAsia="宋体" w:cs="Times New Roman"/>
                <w:color w:val="auto"/>
                <w:sz w:val="21"/>
                <w:szCs w:val="21"/>
              </w:rPr>
              <w:t>）t/a</w:t>
            </w:r>
          </w:p>
        </w:tc>
        <w:tc>
          <w:tcPr>
            <w:tcW w:w="541" w:type="pct"/>
            <w:gridSpan w:val="3"/>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甲醇</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0.005</w:t>
            </w:r>
            <w:r>
              <w:rPr>
                <w:rFonts w:hint="default" w:ascii="Times New Roman" w:hAnsi="Times New Roman" w:eastAsia="宋体" w:cs="Times New Roman"/>
                <w:color w:val="auto"/>
                <w:sz w:val="21"/>
                <w:szCs w:val="21"/>
              </w:rPr>
              <w:t>）t/a</w:t>
            </w:r>
          </w:p>
        </w:tc>
        <w:tc>
          <w:tcPr>
            <w:tcW w:w="604" w:type="pct"/>
            <w:gridSpan w:val="4"/>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r>
              <w:rPr>
                <w:rFonts w:hint="eastAsia" w:ascii="Times New Roman" w:hAnsi="Times New Roman" w:eastAsia="宋体" w:cs="Times New Roman"/>
                <w:color w:val="auto"/>
                <w:sz w:val="21"/>
                <w:szCs w:val="21"/>
                <w:lang w:val="en-US" w:eastAsia="zh-CN"/>
              </w:rPr>
              <w:t>1.0303</w:t>
            </w:r>
            <w:r>
              <w:rPr>
                <w:rFonts w:hint="default" w:ascii="Times New Roman" w:hAnsi="Times New Roman" w:eastAsia="宋体" w:cs="Times New Roman"/>
                <w:color w:val="auto"/>
                <w:sz w:val="21"/>
                <w:szCs w:val="21"/>
              </w:rPr>
              <w:t>）t/a</w:t>
            </w:r>
          </w:p>
        </w:tc>
        <w:tc>
          <w:tcPr>
            <w:tcW w:w="779" w:type="pct"/>
            <w:gridSpan w:val="3"/>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NH</w:t>
            </w:r>
            <w:r>
              <w:rPr>
                <w:rFonts w:hint="default" w:ascii="Times New Roman" w:hAnsi="Times New Roman" w:eastAsia="宋体" w:cs="Times New Roman"/>
                <w:color w:val="auto"/>
                <w:sz w:val="21"/>
                <w:szCs w:val="21"/>
                <w:vertAlign w:val="subscript"/>
                <w:lang w:val="en-US" w:eastAsia="zh-CN"/>
              </w:rPr>
              <w:t>3</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0.26669</w:t>
            </w:r>
            <w:r>
              <w:rPr>
                <w:rFonts w:hint="default" w:ascii="Times New Roman" w:hAnsi="Times New Roman" w:eastAsia="宋体" w:cs="Times New Roman"/>
                <w:color w:val="auto"/>
                <w:sz w:val="21"/>
                <w:szCs w:val="21"/>
              </w:rPr>
              <w:t>）t/a</w:t>
            </w:r>
          </w:p>
        </w:tc>
        <w:tc>
          <w:tcPr>
            <w:tcW w:w="733" w:type="pct"/>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H</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lang w:val="en-US" w:eastAsia="zh-CN"/>
              </w:rPr>
              <w:t>S</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0.144048</w:t>
            </w:r>
            <w:r>
              <w:rPr>
                <w:rFonts w:hint="default" w:ascii="Times New Roman" w:hAnsi="Times New Roman" w:eastAsia="宋体" w:cs="Times New Roman"/>
                <w:color w:val="auto"/>
                <w:sz w:val="21"/>
                <w:szCs w:val="21"/>
              </w:rPr>
              <w:t>）t/a</w:t>
            </w:r>
          </w:p>
        </w:tc>
        <w:tc>
          <w:tcPr>
            <w:tcW w:w="547" w:type="pct"/>
            <w:tcBorders>
              <w:tl2br w:val="nil"/>
              <w:tr2bl w:val="nil"/>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VOC（</w:t>
            </w:r>
            <w:r>
              <w:rPr>
                <w:rFonts w:hint="eastAsia" w:ascii="Times New Roman" w:hAnsi="Times New Roman" w:eastAsia="宋体" w:cs="Times New Roman"/>
                <w:color w:val="auto"/>
                <w:sz w:val="21"/>
                <w:szCs w:val="21"/>
                <w:lang w:val="en-US" w:eastAsia="zh-CN"/>
              </w:rPr>
              <w:t>1.562</w:t>
            </w:r>
            <w:r>
              <w:rPr>
                <w:rFonts w:hint="default" w:ascii="Times New Roman" w:hAnsi="Times New Roman" w:eastAsia="宋体" w:cs="Times New Roman"/>
                <w:color w:val="auto"/>
                <w:sz w:val="21"/>
                <w:szCs w:val="21"/>
              </w:rPr>
              <w:t>）t/a</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5.2.2 运营期水环境影响预测与评价</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5.2.2.1 地表水环境影响分析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（1）正常工况</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本项目建设后生产废水产生量为 2604.9m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 xml:space="preserve"> /a，经收集后回用于水溶肥生产线，不外排。生活污水直接排入园区污水管网，最终流向园区污水处理厂。本项目产生的生产废水不外排，生活污水不直接排入地表水体，对区域地表水环境影响较小。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本项目废水类别、污染物及污染治理设施信息见下表。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5.2.2-1   项目废水类别、污染物及污染治理设施信息表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9"/>
        <w:gridCol w:w="1950"/>
        <w:gridCol w:w="893"/>
        <w:gridCol w:w="1138"/>
        <w:gridCol w:w="911"/>
        <w:gridCol w:w="643"/>
        <w:gridCol w:w="1225"/>
        <w:gridCol w:w="977"/>
        <w:gridCol w:w="5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废水类别</w:t>
            </w:r>
          </w:p>
        </w:tc>
        <w:tc>
          <w:tcPr>
            <w:tcW w:w="110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污染物种类</w:t>
            </w:r>
          </w:p>
        </w:tc>
        <w:tc>
          <w:tcPr>
            <w:tcW w:w="504"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排放去向</w:t>
            </w:r>
          </w:p>
        </w:tc>
        <w:tc>
          <w:tcPr>
            <w:tcW w:w="642"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排放规律</w:t>
            </w:r>
          </w:p>
        </w:tc>
        <w:tc>
          <w:tcPr>
            <w:tcW w:w="1568"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污染物治理设施</w:t>
            </w:r>
          </w:p>
        </w:tc>
        <w:tc>
          <w:tcPr>
            <w:tcW w:w="551"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排放口编号</w:t>
            </w:r>
          </w:p>
        </w:tc>
        <w:tc>
          <w:tcPr>
            <w:tcW w:w="327"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排放口类型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0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50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5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编号</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名称</w:t>
            </w:r>
          </w:p>
        </w:tc>
        <w:tc>
          <w:tcPr>
            <w:tcW w:w="6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工艺</w:t>
            </w:r>
          </w:p>
        </w:tc>
        <w:tc>
          <w:tcPr>
            <w:tcW w:w="55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32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生产废水</w:t>
            </w:r>
          </w:p>
        </w:tc>
        <w:tc>
          <w:tcPr>
            <w:tcW w:w="11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pH、COD</w:t>
            </w:r>
            <w:r>
              <w:rPr>
                <w:rFonts w:hint="eastAsia" w:ascii="Times New Roman" w:hAnsi="Times New Roman" w:eastAsia="宋体" w:cs="Times New Roman"/>
                <w:color w:val="auto"/>
                <w:sz w:val="21"/>
                <w:szCs w:val="21"/>
                <w:vertAlign w:val="subscript"/>
                <w:lang w:val="en-US" w:eastAsia="zh-CN"/>
              </w:rPr>
              <w:t>Cr</w:t>
            </w:r>
            <w:r>
              <w:rPr>
                <w:rFonts w:hint="eastAsia" w:ascii="Times New Roman" w:hAnsi="Times New Roman" w:eastAsia="宋体" w:cs="Times New Roman"/>
                <w:color w:val="auto"/>
                <w:sz w:val="21"/>
                <w:szCs w:val="21"/>
                <w:vertAlign w:val="baseline"/>
                <w:lang w:val="en-US" w:eastAsia="zh-CN"/>
              </w:rPr>
              <w:t>、BOD</w:t>
            </w:r>
            <w:r>
              <w:rPr>
                <w:rFonts w:hint="eastAsia" w:ascii="Times New Roman" w:hAnsi="Times New Roman" w:eastAsia="宋体" w:cs="Times New Roman"/>
                <w:color w:val="auto"/>
                <w:sz w:val="21"/>
                <w:szCs w:val="21"/>
                <w:vertAlign w:val="subscript"/>
                <w:lang w:val="en-US" w:eastAsia="zh-CN"/>
              </w:rPr>
              <w:t>5</w:t>
            </w:r>
            <w:r>
              <w:rPr>
                <w:rFonts w:hint="eastAsia" w:ascii="Times New Roman" w:hAnsi="Times New Roman" w:eastAsia="宋体" w:cs="Times New Roman"/>
                <w:color w:val="auto"/>
                <w:sz w:val="21"/>
                <w:szCs w:val="21"/>
                <w:vertAlign w:val="baseline"/>
                <w:lang w:val="en-US" w:eastAsia="zh-CN"/>
              </w:rPr>
              <w:t>、悬浮物、氨氮、动植物油</w:t>
            </w:r>
          </w:p>
        </w:tc>
        <w:tc>
          <w:tcPr>
            <w:tcW w:w="5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回用于生产线，不外排</w:t>
            </w:r>
          </w:p>
        </w:tc>
        <w:tc>
          <w:tcPr>
            <w:tcW w:w="642"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排放期间流量不稳定且无规律，但不属于冲击型排放</w:t>
            </w:r>
          </w:p>
        </w:tc>
        <w:tc>
          <w:tcPr>
            <w:tcW w:w="5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6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5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3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生活污水</w:t>
            </w:r>
          </w:p>
        </w:tc>
        <w:tc>
          <w:tcPr>
            <w:tcW w:w="11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COD</w:t>
            </w:r>
            <w:r>
              <w:rPr>
                <w:rFonts w:hint="eastAsia" w:ascii="Times New Roman" w:hAnsi="Times New Roman" w:eastAsia="宋体" w:cs="Times New Roman"/>
                <w:color w:val="auto"/>
                <w:sz w:val="21"/>
                <w:szCs w:val="21"/>
                <w:vertAlign w:val="subscript"/>
                <w:lang w:val="en-US" w:eastAsia="zh-CN"/>
              </w:rPr>
              <w:t>Cr</w:t>
            </w:r>
            <w:r>
              <w:rPr>
                <w:rFonts w:hint="eastAsia" w:ascii="Times New Roman" w:hAnsi="Times New Roman" w:eastAsia="宋体" w:cs="Times New Roman"/>
                <w:color w:val="auto"/>
                <w:sz w:val="21"/>
                <w:szCs w:val="21"/>
                <w:vertAlign w:val="baseline"/>
                <w:lang w:val="en-US" w:eastAsia="zh-CN"/>
              </w:rPr>
              <w:t>、BOD</w:t>
            </w:r>
            <w:r>
              <w:rPr>
                <w:rFonts w:hint="eastAsia" w:ascii="Times New Roman" w:hAnsi="Times New Roman" w:eastAsia="宋体" w:cs="Times New Roman"/>
                <w:color w:val="auto"/>
                <w:sz w:val="21"/>
                <w:szCs w:val="21"/>
                <w:vertAlign w:val="subscript"/>
                <w:lang w:val="en-US" w:eastAsia="zh-CN"/>
              </w:rPr>
              <w:t>5</w:t>
            </w:r>
            <w:r>
              <w:rPr>
                <w:rFonts w:hint="eastAsia" w:ascii="Times New Roman" w:hAnsi="Times New Roman" w:eastAsia="宋体" w:cs="Times New Roman"/>
                <w:color w:val="auto"/>
                <w:sz w:val="21"/>
                <w:szCs w:val="21"/>
                <w:vertAlign w:val="baseline"/>
                <w:lang w:val="en-US" w:eastAsia="zh-CN"/>
              </w:rPr>
              <w:t>、悬浮物、氨氮</w:t>
            </w:r>
          </w:p>
        </w:tc>
        <w:tc>
          <w:tcPr>
            <w:tcW w:w="5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园区污水处理厂</w:t>
            </w:r>
          </w:p>
        </w:tc>
        <w:tc>
          <w:tcPr>
            <w:tcW w:w="64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51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6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5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32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（2）非正常工况</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非正常工况主要是生产线故障停修时，废水回用不了生产线。本项目设置一座事故应急池，事故应急池容积 400m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，可保证超过一个月的废水暂存；若生产线一个月内不能正常运行，企业应立即停产，直至生产线正常运行。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非正常工况主要是生产线故障停修时，导致废水回用不了生产线。</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为避免高浓度有机废水外排，导致污染周围环节，本项目设置 1 座 400m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 xml:space="preserve"> 事故应急池，大于项目日废水产生量，因此一旦出现生产线设施不能正常运行、水泵停止运转等非正常工况时，应将厂区生产废水暂存于事故应急池，待事故排除后将事故应急池内污水泵入生产线回用。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采取以上措施后，可杜绝因非正常工况的出现，项目产生的生产废水回用于水溶肥及生物有机肥生产线，不外排，不会对水环境产生不利影响。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地表水环境影响评价自查表见表</w:t>
      </w:r>
      <w:r>
        <w:rPr>
          <w:rFonts w:hint="default" w:ascii="Times New Roman" w:hAnsi="Times New Roman" w:eastAsia="宋体" w:cs="Times New Roman"/>
          <w:color w:val="auto"/>
          <w:sz w:val="24"/>
          <w:szCs w:val="24"/>
          <w:lang w:val="en-US" w:eastAsia="zh-CN"/>
        </w:rPr>
        <w:t xml:space="preserve"> 5.2.2-</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w:t>
      </w:r>
    </w:p>
    <w:p>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Ansi="黑体" w:eastAsia="黑体"/>
          <w:color w:val="auto"/>
        </w:rPr>
      </w:pPr>
      <w:r>
        <w:rPr>
          <w:rFonts w:hint="default" w:ascii="Times New Roman" w:hAnsi="Times New Roman" w:eastAsia="宋体" w:cs="Times New Roman"/>
          <w:b/>
          <w:bCs/>
          <w:color w:val="auto"/>
        </w:rPr>
        <w:t>表</w:t>
      </w:r>
      <w:r>
        <w:rPr>
          <w:rFonts w:hint="default" w:ascii="Times New Roman" w:hAnsi="Times New Roman" w:eastAsia="宋体" w:cs="Times New Roman"/>
          <w:b/>
          <w:bCs/>
          <w:color w:val="auto"/>
          <w:lang w:val="en-US" w:eastAsia="zh-CN"/>
        </w:rPr>
        <w:t xml:space="preserve"> 5.2.2-</w:t>
      </w:r>
      <w:r>
        <w:rPr>
          <w:rFonts w:hint="eastAsia" w:ascii="Times New Roman" w:hAnsi="Times New Roman" w:eastAsia="宋体" w:cs="Times New Roman"/>
          <w:b/>
          <w:bCs/>
          <w:color w:val="auto"/>
          <w:lang w:val="en-US" w:eastAsia="zh-CN"/>
        </w:rPr>
        <w:t>2</w:t>
      </w:r>
      <w:r>
        <w:rPr>
          <w:rFonts w:hint="default" w:ascii="Times New Roman" w:hAnsi="Times New Roman" w:eastAsia="宋体" w:cs="Times New Roman"/>
          <w:b/>
          <w:bCs/>
          <w:color w:val="auto"/>
        </w:rPr>
        <w:t xml:space="preserve">        地表水环境影响评价自查表</w:t>
      </w:r>
    </w:p>
    <w:tbl>
      <w:tblPr>
        <w:tblStyle w:val="21"/>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57"/>
        <w:gridCol w:w="1472"/>
        <w:gridCol w:w="1130"/>
        <w:gridCol w:w="519"/>
        <w:gridCol w:w="28"/>
        <w:gridCol w:w="28"/>
        <w:gridCol w:w="703"/>
        <w:gridCol w:w="1059"/>
        <w:gridCol w:w="287"/>
        <w:gridCol w:w="136"/>
        <w:gridCol w:w="138"/>
        <w:gridCol w:w="992"/>
        <w:gridCol w:w="313"/>
        <w:gridCol w:w="354"/>
        <w:gridCol w:w="123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089" w:type="pct"/>
            <w:gridSpan w:val="2"/>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工作内容</w:t>
            </w:r>
          </w:p>
        </w:tc>
        <w:tc>
          <w:tcPr>
            <w:tcW w:w="3910" w:type="pct"/>
            <w:gridSpan w:val="13"/>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自查项目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restart"/>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影响识别</w:t>
            </w:r>
          </w:p>
        </w:tc>
        <w:tc>
          <w:tcPr>
            <w:tcW w:w="831" w:type="pc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影响类型</w:t>
            </w:r>
          </w:p>
        </w:tc>
        <w:tc>
          <w:tcPr>
            <w:tcW w:w="3910" w:type="pct"/>
            <w:gridSpan w:val="13"/>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水污染影响型</w:t>
            </w:r>
            <w:r>
              <w:rPr>
                <w:rFonts w:hint="default" w:ascii="Times New Roman" w:hAnsi="Times New Roman" w:eastAsia="宋体" w:cs="Times New Roman"/>
                <w:color w:val="auto"/>
                <w:sz w:val="21"/>
                <w:szCs w:val="21"/>
              </w:rPr>
              <w:sym w:font="Wingdings 2" w:char="0052"/>
            </w:r>
            <w:r>
              <w:rPr>
                <w:rFonts w:hint="default" w:ascii="Times New Roman" w:hAnsi="Times New Roman" w:eastAsia="宋体" w:cs="Times New Roman"/>
                <w:color w:val="auto"/>
                <w:sz w:val="21"/>
                <w:szCs w:val="21"/>
              </w:rPr>
              <w:t>；水文要素影响型</w:t>
            </w:r>
            <w:r>
              <w:rPr>
                <w:rFonts w:hint="default" w:ascii="Times New Roman" w:hAnsi="Times New Roman" w:eastAsia="宋体" w:cs="Times New Roman"/>
                <w:color w:val="auto"/>
                <w:sz w:val="21"/>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水环境保护目标</w:t>
            </w:r>
          </w:p>
        </w:tc>
        <w:tc>
          <w:tcPr>
            <w:tcW w:w="3910" w:type="pct"/>
            <w:gridSpan w:val="13"/>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饮用水水源保护区</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；饮用水取水口；涉水的自然保护区</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；重要湿地；</w:t>
            </w:r>
          </w:p>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重点保护与</w:t>
            </w:r>
            <w:r>
              <w:rPr>
                <w:rFonts w:hint="eastAsia" w:ascii="Times New Roman" w:hAnsi="Times New Roman" w:cs="Times New Roman"/>
                <w:color w:val="auto"/>
                <w:sz w:val="21"/>
                <w:szCs w:val="21"/>
                <w:lang w:eastAsia="zh-CN"/>
              </w:rPr>
              <w:t>珍稀</w:t>
            </w:r>
            <w:r>
              <w:rPr>
                <w:rFonts w:hint="default" w:ascii="Times New Roman" w:hAnsi="Times New Roman" w:eastAsia="宋体" w:cs="Times New Roman"/>
                <w:color w:val="auto"/>
                <w:sz w:val="21"/>
                <w:szCs w:val="21"/>
              </w:rPr>
              <w:t>水生生物的栖息地</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；重要水生生物的自然产卵场及索饵场、越冬场和洄游通道、天然渔场等渔业水体</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；涉水的风景名胜区</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；其他</w:t>
            </w:r>
            <w:r>
              <w:rPr>
                <w:rFonts w:hint="default" w:ascii="Times New Roman" w:hAnsi="Times New Roman" w:eastAsia="宋体" w:cs="Times New Roman"/>
                <w:color w:val="auto"/>
                <w:sz w:val="21"/>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vMerge w:val="restar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影响途径</w:t>
            </w:r>
          </w:p>
        </w:tc>
        <w:tc>
          <w:tcPr>
            <w:tcW w:w="1958" w:type="pct"/>
            <w:gridSpan w:val="6"/>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水污染影响型</w:t>
            </w:r>
          </w:p>
        </w:tc>
        <w:tc>
          <w:tcPr>
            <w:tcW w:w="1951" w:type="pct"/>
            <w:gridSpan w:val="7"/>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水文要素影响型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1958" w:type="pct"/>
            <w:gridSpan w:val="6"/>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直接排放</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；间接排放</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；其他</w:t>
            </w:r>
            <w:r>
              <w:rPr>
                <w:rFonts w:hint="default" w:ascii="Times New Roman" w:hAnsi="Times New Roman" w:eastAsia="宋体" w:cs="Times New Roman"/>
                <w:color w:val="auto"/>
                <w:sz w:val="21"/>
                <w:szCs w:val="21"/>
              </w:rPr>
              <w:sym w:font="Wingdings 2" w:char="0052"/>
            </w:r>
          </w:p>
        </w:tc>
        <w:tc>
          <w:tcPr>
            <w:tcW w:w="1951" w:type="pct"/>
            <w:gridSpan w:val="7"/>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水温</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；径流</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；水域面积</w:t>
            </w:r>
            <w:r>
              <w:rPr>
                <w:rFonts w:hint="default" w:ascii="Times New Roman" w:hAnsi="Times New Roman" w:eastAsia="宋体" w:cs="Times New Roman"/>
                <w:color w:val="auto"/>
                <w:sz w:val="21"/>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影响因子</w:t>
            </w:r>
          </w:p>
        </w:tc>
        <w:tc>
          <w:tcPr>
            <w:tcW w:w="1958" w:type="pct"/>
            <w:gridSpan w:val="6"/>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持久性污染物</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；有毒有害污染物</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；非持久性污染物</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；pH值</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；热污染</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；富营养化</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；其他</w:t>
            </w:r>
            <w:r>
              <w:rPr>
                <w:rFonts w:hint="default" w:ascii="Times New Roman" w:hAnsi="Times New Roman" w:eastAsia="宋体" w:cs="Times New Roman"/>
                <w:color w:val="auto"/>
                <w:sz w:val="21"/>
                <w:szCs w:val="21"/>
              </w:rPr>
              <w:sym w:font="Wingdings 2" w:char="0052"/>
            </w:r>
          </w:p>
        </w:tc>
        <w:tc>
          <w:tcPr>
            <w:tcW w:w="1951" w:type="pct"/>
            <w:gridSpan w:val="7"/>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水温</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；水位（水深）</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；流速</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；流量</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；其他</w:t>
            </w:r>
            <w:r>
              <w:rPr>
                <w:rFonts w:hint="default" w:ascii="Times New Roman" w:hAnsi="Times New Roman" w:eastAsia="宋体" w:cs="Times New Roman"/>
                <w:color w:val="auto"/>
                <w:sz w:val="21"/>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089" w:type="pct"/>
            <w:gridSpan w:val="2"/>
            <w:vMerge w:val="restar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评价等级</w:t>
            </w:r>
          </w:p>
        </w:tc>
        <w:tc>
          <w:tcPr>
            <w:tcW w:w="1958" w:type="pct"/>
            <w:gridSpan w:val="6"/>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水污染影响型</w:t>
            </w:r>
          </w:p>
        </w:tc>
        <w:tc>
          <w:tcPr>
            <w:tcW w:w="1951" w:type="pct"/>
            <w:gridSpan w:val="7"/>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水文要素影响型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089" w:type="pct"/>
            <w:gridSpan w:val="2"/>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1958" w:type="pct"/>
            <w:gridSpan w:val="6"/>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一级</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；二级</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；三级A</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；三级B</w:t>
            </w:r>
            <w:r>
              <w:rPr>
                <w:rFonts w:hint="default" w:ascii="Times New Roman" w:hAnsi="Times New Roman" w:eastAsia="宋体" w:cs="Times New Roman"/>
                <w:color w:val="auto"/>
                <w:sz w:val="21"/>
                <w:szCs w:val="21"/>
              </w:rPr>
              <w:sym w:font="Wingdings 2" w:char="0052"/>
            </w:r>
          </w:p>
        </w:tc>
        <w:tc>
          <w:tcPr>
            <w:tcW w:w="1951" w:type="pct"/>
            <w:gridSpan w:val="7"/>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一级</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；二级</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；三级</w:t>
            </w:r>
            <w:r>
              <w:rPr>
                <w:rFonts w:hint="default" w:ascii="Times New Roman" w:hAnsi="Times New Roman" w:eastAsia="宋体" w:cs="Times New Roman"/>
                <w:color w:val="auto"/>
                <w:sz w:val="21"/>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restart"/>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现状调查</w:t>
            </w:r>
          </w:p>
        </w:tc>
        <w:tc>
          <w:tcPr>
            <w:tcW w:w="831" w:type="pct"/>
            <w:vMerge w:val="restar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区域污染源</w:t>
            </w:r>
          </w:p>
        </w:tc>
        <w:tc>
          <w:tcPr>
            <w:tcW w:w="1958" w:type="pct"/>
            <w:gridSpan w:val="6"/>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调查项目</w:t>
            </w:r>
          </w:p>
        </w:tc>
        <w:tc>
          <w:tcPr>
            <w:tcW w:w="1951" w:type="pct"/>
            <w:gridSpan w:val="7"/>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数据来源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947" w:type="pct"/>
            <w:gridSpan w:val="3"/>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已建</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；在建</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；拟建</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；其他</w:t>
            </w:r>
            <w:r>
              <w:rPr>
                <w:rFonts w:hint="default" w:ascii="Times New Roman" w:hAnsi="Times New Roman" w:eastAsia="宋体" w:cs="Times New Roman"/>
                <w:color w:val="auto"/>
                <w:sz w:val="21"/>
                <w:szCs w:val="21"/>
              </w:rPr>
              <w:sym w:font="Wingdings 2" w:char="00A3"/>
            </w:r>
          </w:p>
        </w:tc>
        <w:tc>
          <w:tcPr>
            <w:tcW w:w="1011" w:type="pct"/>
            <w:gridSpan w:val="3"/>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拟替代的污染源</w:t>
            </w:r>
            <w:r>
              <w:rPr>
                <w:rFonts w:hint="default" w:ascii="Times New Roman" w:hAnsi="Times New Roman" w:eastAsia="宋体" w:cs="Times New Roman"/>
                <w:color w:val="auto"/>
                <w:sz w:val="21"/>
                <w:szCs w:val="21"/>
              </w:rPr>
              <w:sym w:font="Wingdings 2" w:char="00A3"/>
            </w:r>
          </w:p>
        </w:tc>
        <w:tc>
          <w:tcPr>
            <w:tcW w:w="1951" w:type="pct"/>
            <w:gridSpan w:val="7"/>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排污许可证</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；环评</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；环保验收</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；即有实施</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；现场监测</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；入河排放口数据</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；其他</w:t>
            </w:r>
            <w:r>
              <w:rPr>
                <w:rFonts w:hint="default" w:ascii="Times New Roman" w:hAnsi="Times New Roman" w:eastAsia="宋体" w:cs="Times New Roman"/>
                <w:color w:val="auto"/>
                <w:sz w:val="21"/>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vMerge w:val="restar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受影响水体水环境质量</w:t>
            </w:r>
          </w:p>
        </w:tc>
        <w:tc>
          <w:tcPr>
            <w:tcW w:w="1958" w:type="pct"/>
            <w:gridSpan w:val="6"/>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调查时期</w:t>
            </w:r>
          </w:p>
        </w:tc>
        <w:tc>
          <w:tcPr>
            <w:tcW w:w="1951" w:type="pct"/>
            <w:gridSpan w:val="7"/>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数据来源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1958" w:type="pct"/>
            <w:gridSpan w:val="6"/>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丰水期</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；平水期</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；枯水期</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；冰封期</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；春季</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；夏季</w:t>
            </w:r>
            <w:r>
              <w:rPr>
                <w:rFonts w:hint="default" w:ascii="Times New Roman" w:hAnsi="Times New Roman" w:eastAsia="宋体" w:cs="Times New Roman"/>
                <w:color w:val="auto"/>
                <w:sz w:val="21"/>
                <w:szCs w:val="21"/>
              </w:rPr>
              <w:sym w:font="Wingdings 2" w:char="0052"/>
            </w:r>
            <w:r>
              <w:rPr>
                <w:rFonts w:hint="default" w:ascii="Times New Roman" w:hAnsi="Times New Roman" w:eastAsia="宋体" w:cs="Times New Roman"/>
                <w:color w:val="auto"/>
                <w:sz w:val="21"/>
                <w:szCs w:val="21"/>
              </w:rPr>
              <w:t>；秋季</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；冬季</w:t>
            </w:r>
            <w:r>
              <w:rPr>
                <w:rFonts w:hint="default" w:ascii="Times New Roman" w:hAnsi="Times New Roman" w:eastAsia="宋体" w:cs="Times New Roman"/>
                <w:color w:val="auto"/>
                <w:sz w:val="21"/>
                <w:szCs w:val="21"/>
              </w:rPr>
              <w:sym w:font="Wingdings 2" w:char="00A3"/>
            </w:r>
          </w:p>
        </w:tc>
        <w:tc>
          <w:tcPr>
            <w:tcW w:w="1951" w:type="pct"/>
            <w:gridSpan w:val="7"/>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生态环境保护主管部门</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；补充监测</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；其他</w:t>
            </w:r>
            <w:r>
              <w:rPr>
                <w:rFonts w:hint="default" w:ascii="Times New Roman" w:hAnsi="Times New Roman" w:eastAsia="宋体" w:cs="Times New Roman"/>
                <w:color w:val="auto"/>
                <w:sz w:val="21"/>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区域水资源开发利用状况</w:t>
            </w:r>
          </w:p>
        </w:tc>
        <w:tc>
          <w:tcPr>
            <w:tcW w:w="3910" w:type="pct"/>
            <w:gridSpan w:val="13"/>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未开发</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；开发量40%以下</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；开发量40%以上</w:t>
            </w:r>
            <w:r>
              <w:rPr>
                <w:rFonts w:hint="default" w:ascii="Times New Roman" w:hAnsi="Times New Roman" w:eastAsia="宋体" w:cs="Times New Roman"/>
                <w:color w:val="auto"/>
                <w:sz w:val="21"/>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vMerge w:val="restar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水文情势调查</w:t>
            </w:r>
          </w:p>
        </w:tc>
        <w:tc>
          <w:tcPr>
            <w:tcW w:w="1958" w:type="pct"/>
            <w:gridSpan w:val="6"/>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调查时期</w:t>
            </w:r>
          </w:p>
        </w:tc>
        <w:tc>
          <w:tcPr>
            <w:tcW w:w="1951" w:type="pct"/>
            <w:gridSpan w:val="7"/>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数据来源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1958" w:type="pct"/>
            <w:gridSpan w:val="6"/>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丰水期</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；平水期</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；枯水期</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；冰封期</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；春季</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；夏季</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；秋季</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；冬季</w:t>
            </w:r>
            <w:r>
              <w:rPr>
                <w:rFonts w:hint="default" w:ascii="Times New Roman" w:hAnsi="Times New Roman" w:eastAsia="宋体" w:cs="Times New Roman"/>
                <w:color w:val="auto"/>
                <w:sz w:val="21"/>
                <w:szCs w:val="21"/>
              </w:rPr>
              <w:sym w:font="Wingdings 2" w:char="00A3"/>
            </w:r>
          </w:p>
        </w:tc>
        <w:tc>
          <w:tcPr>
            <w:tcW w:w="1951" w:type="pct"/>
            <w:gridSpan w:val="7"/>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水行政主管部门</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；补充监测</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；其他</w:t>
            </w:r>
            <w:r>
              <w:rPr>
                <w:rFonts w:hint="default" w:ascii="Times New Roman" w:hAnsi="Times New Roman" w:eastAsia="宋体" w:cs="Times New Roman"/>
                <w:color w:val="auto"/>
                <w:sz w:val="21"/>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vMerge w:val="restar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补充监测</w:t>
            </w:r>
          </w:p>
        </w:tc>
        <w:tc>
          <w:tcPr>
            <w:tcW w:w="1958" w:type="pct"/>
            <w:gridSpan w:val="6"/>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监测时间</w:t>
            </w:r>
          </w:p>
        </w:tc>
        <w:tc>
          <w:tcPr>
            <w:tcW w:w="1254" w:type="pct"/>
            <w:gridSpan w:val="6"/>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监测因子</w:t>
            </w:r>
          </w:p>
        </w:tc>
        <w:tc>
          <w:tcPr>
            <w:tcW w:w="697" w:type="pct"/>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监测断面或点位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1958" w:type="pct"/>
            <w:gridSpan w:val="6"/>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丰水期</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；平水期</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；枯水期</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；冰封期</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；春季</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；夏季</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；秋季</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；冬季</w:t>
            </w:r>
            <w:r>
              <w:rPr>
                <w:rFonts w:hint="default" w:ascii="Times New Roman" w:hAnsi="Times New Roman" w:eastAsia="宋体" w:cs="Times New Roman"/>
                <w:color w:val="auto"/>
                <w:sz w:val="21"/>
                <w:szCs w:val="21"/>
              </w:rPr>
              <w:sym w:font="Wingdings 2" w:char="00A3"/>
            </w:r>
          </w:p>
        </w:tc>
        <w:tc>
          <w:tcPr>
            <w:tcW w:w="1254" w:type="pct"/>
            <w:gridSpan w:val="6"/>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697" w:type="pct"/>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监测断面或点位个数（/）个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restart"/>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现状评价</w:t>
            </w:r>
          </w:p>
        </w:tc>
        <w:tc>
          <w:tcPr>
            <w:tcW w:w="831" w:type="pc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评价范围</w:t>
            </w:r>
          </w:p>
        </w:tc>
        <w:tc>
          <w:tcPr>
            <w:tcW w:w="3910" w:type="pct"/>
            <w:gridSpan w:val="13"/>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河流：长度（/）km；湖库、河口及近岸海域：面积（/）km</w:t>
            </w:r>
            <w:r>
              <w:rPr>
                <w:rFonts w:hint="default" w:ascii="Times New Roman" w:hAnsi="Times New Roman" w:eastAsia="宋体" w:cs="Times New Roman"/>
                <w:color w:val="auto"/>
                <w:sz w:val="21"/>
                <w:szCs w:val="21"/>
                <w:vertAlign w:val="superscript"/>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评价因子</w:t>
            </w:r>
          </w:p>
        </w:tc>
        <w:tc>
          <w:tcPr>
            <w:tcW w:w="3910" w:type="pct"/>
            <w:gridSpan w:val="13"/>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评价标准</w:t>
            </w:r>
          </w:p>
        </w:tc>
        <w:tc>
          <w:tcPr>
            <w:tcW w:w="3910" w:type="pct"/>
            <w:gridSpan w:val="13"/>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河流、湖库、河口：Ⅰ类</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；Ⅱ类</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；Ⅲ类</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；Ⅳ类</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；Ⅴ类</w:t>
            </w:r>
            <w:r>
              <w:rPr>
                <w:rFonts w:hint="default" w:ascii="Times New Roman" w:hAnsi="Times New Roman" w:eastAsia="宋体" w:cs="Times New Roman"/>
                <w:color w:val="auto"/>
                <w:sz w:val="21"/>
                <w:szCs w:val="21"/>
              </w:rPr>
              <w:sym w:font="Wingdings 2" w:char="00A3"/>
            </w:r>
          </w:p>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近岸海域：第一类</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；第二类</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；第三类</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；第四类</w:t>
            </w:r>
            <w:r>
              <w:rPr>
                <w:rFonts w:hint="default" w:ascii="Times New Roman" w:hAnsi="Times New Roman" w:eastAsia="宋体" w:cs="Times New Roman"/>
                <w:color w:val="auto"/>
                <w:sz w:val="21"/>
                <w:szCs w:val="21"/>
              </w:rPr>
              <w:sym w:font="Wingdings 2" w:char="00A3"/>
            </w:r>
          </w:p>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规划年评价标准（/）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评价时期</w:t>
            </w:r>
          </w:p>
        </w:tc>
        <w:tc>
          <w:tcPr>
            <w:tcW w:w="3910" w:type="pct"/>
            <w:gridSpan w:val="13"/>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丰水期</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；平水期</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；枯水期</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；冰封期</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；春季</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；夏季</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；秋季</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；冬季</w:t>
            </w:r>
            <w:r>
              <w:rPr>
                <w:rFonts w:hint="default" w:ascii="Times New Roman" w:hAnsi="Times New Roman" w:eastAsia="宋体" w:cs="Times New Roman"/>
                <w:color w:val="auto"/>
                <w:sz w:val="21"/>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评价结论</w:t>
            </w:r>
          </w:p>
        </w:tc>
        <w:tc>
          <w:tcPr>
            <w:tcW w:w="3012" w:type="pct"/>
            <w:gridSpan w:val="11"/>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水环境功能区或水功能区、近岸海域环境功能区水质达标状况</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：达标</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；不达标</w:t>
            </w:r>
            <w:r>
              <w:rPr>
                <w:rFonts w:hint="default" w:ascii="Times New Roman" w:hAnsi="Times New Roman" w:eastAsia="宋体" w:cs="Times New Roman"/>
                <w:color w:val="auto"/>
                <w:sz w:val="21"/>
                <w:szCs w:val="21"/>
              </w:rPr>
              <w:sym w:font="Wingdings 2" w:char="00A3"/>
            </w:r>
          </w:p>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水环境控制单元或断面水质达标状况</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;达标</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；不达标</w:t>
            </w:r>
            <w:r>
              <w:rPr>
                <w:rFonts w:hint="default" w:ascii="Times New Roman" w:hAnsi="Times New Roman" w:eastAsia="宋体" w:cs="Times New Roman"/>
                <w:color w:val="auto"/>
                <w:sz w:val="21"/>
                <w:szCs w:val="21"/>
              </w:rPr>
              <w:sym w:font="Wingdings 2" w:char="00A3"/>
            </w:r>
          </w:p>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水环境保护目标质量状况</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：达标</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；不达标</w:t>
            </w:r>
            <w:r>
              <w:rPr>
                <w:rFonts w:hint="default" w:ascii="Times New Roman" w:hAnsi="Times New Roman" w:eastAsia="宋体" w:cs="Times New Roman"/>
                <w:color w:val="auto"/>
                <w:sz w:val="21"/>
                <w:szCs w:val="21"/>
              </w:rPr>
              <w:sym w:font="Wingdings 2" w:char="00A3"/>
            </w:r>
          </w:p>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对照断面、控制断面等代表性断面的水质状况</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:达标</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；不达标</w:t>
            </w:r>
            <w:r>
              <w:rPr>
                <w:rFonts w:hint="default" w:ascii="Times New Roman" w:hAnsi="Times New Roman" w:eastAsia="宋体" w:cs="Times New Roman"/>
                <w:color w:val="auto"/>
                <w:sz w:val="21"/>
                <w:szCs w:val="21"/>
              </w:rPr>
              <w:sym w:font="Wingdings 2" w:char="00A3"/>
            </w:r>
          </w:p>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底泥污染评价</w:t>
            </w:r>
            <w:r>
              <w:rPr>
                <w:rFonts w:hint="default" w:ascii="Times New Roman" w:hAnsi="Times New Roman" w:eastAsia="宋体" w:cs="Times New Roman"/>
                <w:color w:val="auto"/>
                <w:sz w:val="21"/>
                <w:szCs w:val="21"/>
              </w:rPr>
              <w:sym w:font="Wingdings 2" w:char="00A3"/>
            </w:r>
          </w:p>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水资源与开发利用程度及其水文情势评价</w:t>
            </w:r>
            <w:r>
              <w:rPr>
                <w:rFonts w:hint="default" w:ascii="Times New Roman" w:hAnsi="Times New Roman" w:eastAsia="宋体" w:cs="Times New Roman"/>
                <w:color w:val="auto"/>
                <w:sz w:val="21"/>
                <w:szCs w:val="21"/>
              </w:rPr>
              <w:sym w:font="Wingdings 2" w:char="00A3"/>
            </w:r>
          </w:p>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水环境质量回顾评价</w:t>
            </w:r>
            <w:r>
              <w:rPr>
                <w:rFonts w:hint="default" w:ascii="Times New Roman" w:hAnsi="Times New Roman" w:eastAsia="宋体" w:cs="Times New Roman"/>
                <w:color w:val="auto"/>
                <w:sz w:val="21"/>
                <w:szCs w:val="21"/>
              </w:rPr>
              <w:sym w:font="Wingdings 2" w:char="00A3"/>
            </w:r>
          </w:p>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流域（区域）水资源（包括水能资源）与开发利用总体状况、生态流量管理要求与现状满足程度、建设项目占用水域空间的水流状况与河湖演变状况</w:t>
            </w:r>
            <w:r>
              <w:rPr>
                <w:rFonts w:hint="default" w:ascii="Times New Roman" w:hAnsi="Times New Roman" w:eastAsia="宋体" w:cs="Times New Roman"/>
                <w:color w:val="auto"/>
                <w:sz w:val="21"/>
                <w:szCs w:val="21"/>
              </w:rPr>
              <w:sym w:font="Wingdings 2" w:char="00A3"/>
            </w:r>
          </w:p>
        </w:tc>
        <w:tc>
          <w:tcPr>
            <w:tcW w:w="898" w:type="pct"/>
            <w:gridSpan w:val="2"/>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达标区</w:t>
            </w:r>
            <w:r>
              <w:rPr>
                <w:rFonts w:hint="default" w:ascii="Times New Roman" w:hAnsi="Times New Roman" w:eastAsia="宋体" w:cs="Times New Roman"/>
                <w:color w:val="auto"/>
                <w:sz w:val="21"/>
                <w:szCs w:val="21"/>
              </w:rPr>
              <w:sym w:font="Wingdings 2" w:char="00A3"/>
            </w:r>
          </w:p>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不达标区</w:t>
            </w:r>
            <w:r>
              <w:rPr>
                <w:rFonts w:hint="default" w:ascii="Times New Roman" w:hAnsi="Times New Roman" w:eastAsia="宋体" w:cs="Times New Roman"/>
                <w:color w:val="auto"/>
                <w:sz w:val="21"/>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restart"/>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影响预测</w:t>
            </w:r>
          </w:p>
        </w:tc>
        <w:tc>
          <w:tcPr>
            <w:tcW w:w="831" w:type="pc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预测范围</w:t>
            </w:r>
          </w:p>
        </w:tc>
        <w:tc>
          <w:tcPr>
            <w:tcW w:w="3910" w:type="pct"/>
            <w:gridSpan w:val="13"/>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vertAlign w:val="superscript"/>
              </w:rPr>
            </w:pPr>
            <w:r>
              <w:rPr>
                <w:rFonts w:hint="default" w:ascii="Times New Roman" w:hAnsi="Times New Roman" w:eastAsia="宋体" w:cs="Times New Roman"/>
                <w:color w:val="auto"/>
                <w:sz w:val="21"/>
                <w:szCs w:val="21"/>
              </w:rPr>
              <w:t>河流：长度（/）km；湖库、河口及近岸海域：面积（/）km</w:t>
            </w:r>
            <w:r>
              <w:rPr>
                <w:rFonts w:hint="default" w:ascii="Times New Roman" w:hAnsi="Times New Roman" w:eastAsia="宋体" w:cs="Times New Roman"/>
                <w:color w:val="auto"/>
                <w:sz w:val="21"/>
                <w:szCs w:val="21"/>
                <w:vertAlign w:val="superscript"/>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预测因子</w:t>
            </w:r>
          </w:p>
        </w:tc>
        <w:tc>
          <w:tcPr>
            <w:tcW w:w="3910" w:type="pct"/>
            <w:gridSpan w:val="13"/>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预测时期</w:t>
            </w:r>
          </w:p>
        </w:tc>
        <w:tc>
          <w:tcPr>
            <w:tcW w:w="3910" w:type="pct"/>
            <w:gridSpan w:val="13"/>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丰水期</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；平水期</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；枯水期</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；冰封期</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；春季</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；夏季</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；秋季</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；冬季</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；设计水文条件</w:t>
            </w:r>
            <w:r>
              <w:rPr>
                <w:rFonts w:hint="default" w:ascii="Times New Roman" w:hAnsi="Times New Roman" w:eastAsia="宋体" w:cs="Times New Roman"/>
                <w:color w:val="auto"/>
                <w:sz w:val="21"/>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预测情景</w:t>
            </w:r>
          </w:p>
        </w:tc>
        <w:tc>
          <w:tcPr>
            <w:tcW w:w="3910" w:type="pct"/>
            <w:gridSpan w:val="13"/>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建设期</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；生产运行期</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；服务期满后</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w:t>
            </w:r>
          </w:p>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正常工况</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；非正常工况</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w:t>
            </w:r>
          </w:p>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污染控制和减缓措施方案</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w:t>
            </w:r>
          </w:p>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区（流）域环境质量改善目标要求情景</w:t>
            </w:r>
            <w:r>
              <w:rPr>
                <w:rFonts w:hint="default" w:ascii="Times New Roman" w:hAnsi="Times New Roman" w:eastAsia="宋体" w:cs="Times New Roman"/>
                <w:color w:val="auto"/>
                <w:sz w:val="21"/>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预测方法</w:t>
            </w:r>
          </w:p>
        </w:tc>
        <w:tc>
          <w:tcPr>
            <w:tcW w:w="3910" w:type="pct"/>
            <w:gridSpan w:val="13"/>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数值解</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；解析解</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；其他</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；导则推荐模式</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；其他</w:t>
            </w:r>
            <w:r>
              <w:rPr>
                <w:rFonts w:hint="default" w:ascii="Times New Roman" w:hAnsi="Times New Roman" w:eastAsia="宋体" w:cs="Times New Roman"/>
                <w:color w:val="auto"/>
                <w:sz w:val="21"/>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restart"/>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影响评价</w:t>
            </w:r>
          </w:p>
        </w:tc>
        <w:tc>
          <w:tcPr>
            <w:tcW w:w="831" w:type="pc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水污染物控制和水环境影响减缓措施有效性评价</w:t>
            </w:r>
          </w:p>
        </w:tc>
        <w:tc>
          <w:tcPr>
            <w:tcW w:w="3910" w:type="pct"/>
            <w:gridSpan w:val="13"/>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区（流）域水环境质量改善目标</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；替代消减源</w:t>
            </w:r>
            <w:r>
              <w:rPr>
                <w:rFonts w:hint="default" w:ascii="Times New Roman" w:hAnsi="Times New Roman" w:eastAsia="宋体" w:cs="Times New Roman"/>
                <w:color w:val="auto"/>
                <w:sz w:val="21"/>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vMerge w:val="restar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污染源排放量核算</w:t>
            </w:r>
          </w:p>
        </w:tc>
        <w:tc>
          <w:tcPr>
            <w:tcW w:w="931" w:type="pct"/>
            <w:gridSpan w:val="2"/>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污染物名称</w:t>
            </w:r>
          </w:p>
        </w:tc>
        <w:tc>
          <w:tcPr>
            <w:tcW w:w="1266" w:type="pct"/>
            <w:gridSpan w:val="6"/>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排放量/（t/a）</w:t>
            </w:r>
          </w:p>
        </w:tc>
        <w:tc>
          <w:tcPr>
            <w:tcW w:w="1712" w:type="pct"/>
            <w:gridSpan w:val="5"/>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排放浓度/（mg/L）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931" w:type="pct"/>
            <w:gridSpan w:val="2"/>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266" w:type="pct"/>
            <w:gridSpan w:val="6"/>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712" w:type="pct"/>
            <w:gridSpan w:val="5"/>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vMerge w:val="restar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替代源排放情况</w:t>
            </w:r>
          </w:p>
        </w:tc>
        <w:tc>
          <w:tcPr>
            <w:tcW w:w="638" w:type="pct"/>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污染源名称</w:t>
            </w:r>
          </w:p>
        </w:tc>
        <w:tc>
          <w:tcPr>
            <w:tcW w:w="722" w:type="pct"/>
            <w:gridSpan w:val="4"/>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排污许可证号</w:t>
            </w:r>
          </w:p>
        </w:tc>
        <w:tc>
          <w:tcPr>
            <w:tcW w:w="760" w:type="pct"/>
            <w:gridSpan w:val="2"/>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污染物名称</w:t>
            </w:r>
          </w:p>
        </w:tc>
        <w:tc>
          <w:tcPr>
            <w:tcW w:w="715" w:type="pct"/>
            <w:gridSpan w:val="3"/>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排放量/（t/a）</w:t>
            </w:r>
          </w:p>
        </w:tc>
        <w:tc>
          <w:tcPr>
            <w:tcW w:w="1073" w:type="pct"/>
            <w:gridSpan w:val="3"/>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排放浓度/（mg/L）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638" w:type="pct"/>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722" w:type="pct"/>
            <w:gridSpan w:val="4"/>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760" w:type="pct"/>
            <w:gridSpan w:val="2"/>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715" w:type="pct"/>
            <w:gridSpan w:val="3"/>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073" w:type="pct"/>
            <w:gridSpan w:val="3"/>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生态流量确定</w:t>
            </w:r>
          </w:p>
        </w:tc>
        <w:tc>
          <w:tcPr>
            <w:tcW w:w="3910" w:type="pct"/>
            <w:gridSpan w:val="13"/>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生态流量：一般水期（/）m³/s；鱼类繁殖期（/）m³/s；其他（/）m³/s</w:t>
            </w:r>
          </w:p>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生态水位：一般水期（/）m；鱼类繁殖期（/）m；其他（/）m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restart"/>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防治措施</w:t>
            </w:r>
          </w:p>
        </w:tc>
        <w:tc>
          <w:tcPr>
            <w:tcW w:w="831" w:type="pc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环保措施</w:t>
            </w:r>
          </w:p>
        </w:tc>
        <w:tc>
          <w:tcPr>
            <w:tcW w:w="3910" w:type="pct"/>
            <w:gridSpan w:val="13"/>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污水处理设施</w:t>
            </w:r>
            <w:r>
              <w:rPr>
                <w:rFonts w:hint="default" w:ascii="Times New Roman" w:hAnsi="Times New Roman" w:eastAsia="宋体" w:cs="Times New Roman"/>
                <w:color w:val="auto"/>
                <w:sz w:val="21"/>
                <w:szCs w:val="21"/>
              </w:rPr>
              <w:sym w:font="Wingdings 2" w:char="0052"/>
            </w:r>
            <w:r>
              <w:rPr>
                <w:rFonts w:hint="default" w:ascii="Times New Roman" w:hAnsi="Times New Roman" w:eastAsia="宋体" w:cs="Times New Roman"/>
                <w:color w:val="auto"/>
                <w:sz w:val="21"/>
                <w:szCs w:val="21"/>
              </w:rPr>
              <w:t>；水文减缓设施</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；生态流量保障设施</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；区域削减</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；依托其他工程措施</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；其他</w:t>
            </w:r>
            <w:r>
              <w:rPr>
                <w:rFonts w:hint="default" w:ascii="Times New Roman" w:hAnsi="Times New Roman" w:eastAsia="宋体" w:cs="Times New Roman"/>
                <w:color w:val="auto"/>
                <w:sz w:val="21"/>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vMerge w:val="restar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监测计划</w:t>
            </w:r>
          </w:p>
        </w:tc>
        <w:tc>
          <w:tcPr>
            <w:tcW w:w="963" w:type="pct"/>
            <w:gridSpan w:val="4"/>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312" w:type="pct"/>
            <w:gridSpan w:val="5"/>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环境质量</w:t>
            </w:r>
          </w:p>
        </w:tc>
        <w:tc>
          <w:tcPr>
            <w:tcW w:w="1635" w:type="pct"/>
            <w:gridSpan w:val="4"/>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963" w:type="pct"/>
            <w:gridSpan w:val="4"/>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监测方式</w:t>
            </w:r>
          </w:p>
        </w:tc>
        <w:tc>
          <w:tcPr>
            <w:tcW w:w="1312" w:type="pct"/>
            <w:gridSpan w:val="5"/>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手动</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；自动</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；无监测</w:t>
            </w:r>
            <w:r>
              <w:rPr>
                <w:rFonts w:hint="default" w:ascii="Times New Roman" w:hAnsi="Times New Roman" w:eastAsia="宋体" w:cs="Times New Roman"/>
                <w:color w:val="auto"/>
                <w:sz w:val="21"/>
                <w:szCs w:val="21"/>
              </w:rPr>
              <w:sym w:font="Wingdings 2" w:char="00A3"/>
            </w:r>
          </w:p>
        </w:tc>
        <w:tc>
          <w:tcPr>
            <w:tcW w:w="1635" w:type="pct"/>
            <w:gridSpan w:val="4"/>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手动</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；自动</w:t>
            </w: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；无监测</w:t>
            </w:r>
            <w:r>
              <w:rPr>
                <w:rFonts w:hint="default" w:ascii="Times New Roman" w:hAnsi="Times New Roman" w:eastAsia="宋体" w:cs="Times New Roman"/>
                <w:color w:val="auto"/>
                <w:sz w:val="21"/>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963" w:type="pct"/>
            <w:gridSpan w:val="4"/>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监测点位</w:t>
            </w:r>
          </w:p>
        </w:tc>
        <w:tc>
          <w:tcPr>
            <w:tcW w:w="1312" w:type="pct"/>
            <w:gridSpan w:val="5"/>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635" w:type="pct"/>
            <w:gridSpan w:val="4"/>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963" w:type="pct"/>
            <w:gridSpan w:val="4"/>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监测因子</w:t>
            </w:r>
          </w:p>
        </w:tc>
        <w:tc>
          <w:tcPr>
            <w:tcW w:w="1312" w:type="pct"/>
            <w:gridSpan w:val="5"/>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635" w:type="pct"/>
            <w:gridSpan w:val="4"/>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kinsoku/>
              <w:wordWrap/>
              <w:overflowPunct/>
              <w:topLinePunct/>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p>
        </w:tc>
        <w:tc>
          <w:tcPr>
            <w:tcW w:w="831" w:type="pct"/>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污染物排放清单</w:t>
            </w:r>
          </w:p>
        </w:tc>
        <w:tc>
          <w:tcPr>
            <w:tcW w:w="3910" w:type="pct"/>
            <w:gridSpan w:val="13"/>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089" w:type="pct"/>
            <w:gridSpan w:val="2"/>
            <w:tcBorders>
              <w:tl2br w:val="nil"/>
              <w:tr2bl w:val="nil"/>
            </w:tcBorders>
            <w:noWrap w:val="0"/>
            <w:vAlign w:val="center"/>
          </w:tcPr>
          <w:p>
            <w:pPr>
              <w:keepNext w:val="0"/>
              <w:keepLines w:val="0"/>
              <w:pageBreakBefore w:val="0"/>
              <w:kinsoku/>
              <w:wordWrap/>
              <w:overflowPunct/>
              <w:topLinePunct/>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评价结论</w:t>
            </w:r>
          </w:p>
        </w:tc>
        <w:tc>
          <w:tcPr>
            <w:tcW w:w="3910" w:type="pct"/>
            <w:gridSpan w:val="13"/>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可以接受</w:t>
            </w:r>
            <w:r>
              <w:rPr>
                <w:rFonts w:hint="default" w:ascii="Times New Roman" w:hAnsi="Times New Roman" w:eastAsia="宋体" w:cs="Times New Roman"/>
                <w:color w:val="auto"/>
                <w:sz w:val="21"/>
                <w:szCs w:val="21"/>
              </w:rPr>
              <w:sym w:font="Wingdings 2" w:char="0052"/>
            </w:r>
            <w:r>
              <w:rPr>
                <w:rFonts w:hint="default" w:ascii="Times New Roman" w:hAnsi="Times New Roman" w:eastAsia="宋体" w:cs="Times New Roman"/>
                <w:color w:val="auto"/>
                <w:sz w:val="21"/>
                <w:szCs w:val="21"/>
              </w:rPr>
              <w:t>；不可以接受</w:t>
            </w:r>
            <w:r>
              <w:rPr>
                <w:rFonts w:hint="default" w:ascii="Times New Roman" w:hAnsi="Times New Roman" w:eastAsia="宋体" w:cs="Times New Roman"/>
                <w:color w:val="auto"/>
                <w:sz w:val="21"/>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000" w:type="pct"/>
            <w:gridSpan w:val="15"/>
            <w:tcBorders>
              <w:tl2br w:val="nil"/>
              <w:tr2bl w:val="nil"/>
            </w:tcBorders>
            <w:noWrap w:val="0"/>
            <w:vAlign w:val="center"/>
          </w:tcPr>
          <w:p>
            <w:pPr>
              <w:pStyle w:val="46"/>
              <w:keepNext w:val="0"/>
              <w:keepLines w:val="0"/>
              <w:pageBreakBefore w:val="0"/>
              <w:kinsoku/>
              <w:wordWrap/>
              <w:overflowPunct/>
              <w:topLinePunct/>
              <w:autoSpaceDE/>
              <w:autoSpaceDN/>
              <w:bidi w:val="0"/>
              <w:adjustRightInd/>
              <w:spacing w:after="0"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注：“□”为勾选项，填“√”；“（）”为内容填写项</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5.2.2.2 地下水环境影响分析与评价</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4"/>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5.2.2.2.1 正常情况下地下水环境影响分析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正常情况下，项目动植物油熔炼废水和皂脚酸化废水经收集后回用于水溶肥及生物有机肥生产线，生活污水直接排入园区污水管网，最终流向园区污水处理厂；且项目工艺生产装置区、储运设施、事故水池、污水管道、危废暂存库均设计有完善的防渗措施，同时在工艺生产装置区及储运设施、危废暂存库地面均设有一定坡度的废水收集管沟及事故水池，因此，在正常情况下，本项目对所在区域及周边的地下水环境影响较小。</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4"/>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5.2.2.2.2 非正常情况下地下水环境影响分析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本次地下水环境影响预测主要考虑废水管道等非正常状况下下渗的废水达到含水层后对评价区地下水质的影响范围及程度。</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5"/>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5.2.2.2.2.1 区域水文地质调查</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snapToGrid/>
          <w:color w:val="auto"/>
          <w:spacing w:val="0"/>
          <w:w w:val="100"/>
          <w:kern w:val="0"/>
          <w:position w:val="0"/>
          <w:sz w:val="24"/>
          <w:szCs w:val="24"/>
          <w:highlight w:val="none"/>
        </w:rPr>
      </w:pPr>
      <w:r>
        <w:rPr>
          <w:rFonts w:hint="default" w:ascii="Times New Roman" w:hAnsi="Times New Roman" w:eastAsia="宋体" w:cs="Times New Roman"/>
          <w:snapToGrid/>
          <w:color w:val="auto"/>
          <w:spacing w:val="0"/>
          <w:w w:val="100"/>
          <w:kern w:val="0"/>
          <w:position w:val="0"/>
          <w:sz w:val="24"/>
          <w:szCs w:val="24"/>
          <w:highlight w:val="none"/>
        </w:rPr>
        <w:t>1、地层特性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snapToGrid/>
          <w:color w:val="auto"/>
          <w:spacing w:val="0"/>
          <w:w w:val="100"/>
          <w:kern w:val="0"/>
          <w:position w:val="0"/>
          <w:sz w:val="24"/>
          <w:szCs w:val="24"/>
          <w:highlight w:val="none"/>
        </w:rPr>
      </w:pPr>
      <w:r>
        <w:rPr>
          <w:rFonts w:hint="eastAsia" w:ascii="Times New Roman" w:hAnsi="Times New Roman" w:eastAsia="宋体" w:cs="Times New Roman"/>
          <w:color w:val="auto"/>
          <w:kern w:val="0"/>
          <w:sz w:val="24"/>
          <w:szCs w:val="24"/>
          <w:lang w:val="en-US" w:eastAsia="zh-CN"/>
        </w:rPr>
        <w:t>该区域位于天山北麓山前平原之上，在大地构造上跨越了两大单元，北天山地向斜褶皱带和准噶尔凹陷区。由于更新世以前及中晚期燕山运动，喜马拉雅山运动，使山前凹陷带中的中新生界地层发生褶皱，形成轴向于天山平行的一系列背斜和向斜。南部山区的隆起，趁机中心向北推移，在凹陷中心沉积了巨厚的第四系沉积物。</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snapToGrid/>
          <w:color w:val="auto"/>
          <w:spacing w:val="0"/>
          <w:w w:val="100"/>
          <w:kern w:val="0"/>
          <w:position w:val="0"/>
          <w:sz w:val="24"/>
          <w:szCs w:val="24"/>
          <w:highlight w:val="none"/>
          <w:lang w:val="en-US" w:eastAsia="zh-CN"/>
        </w:rPr>
        <w:t>2、</w:t>
      </w:r>
      <w:r>
        <w:rPr>
          <w:rFonts w:hint="eastAsia" w:ascii="Times New Roman" w:hAnsi="Times New Roman" w:eastAsia="宋体" w:cs="Times New Roman"/>
          <w:color w:val="auto"/>
          <w:kern w:val="0"/>
          <w:sz w:val="24"/>
          <w:szCs w:val="24"/>
          <w:lang w:val="en-US" w:eastAsia="zh-CN"/>
        </w:rPr>
        <w:t>区域地层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区内出露的地层主要为古生界、中生界和新生界。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古生界、中生界出露于县域南部山区，主要为志留系、泥盆系、石炭系、三叠系、白垩系，主要岩性为凝灰岩、灰岩、砂岩、砂砾岩等。</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第三系：出露于山前丘陵地区，属下第三系玛纳斯组及上第三系小渠子组，为一套紫红色砂岩和灰绿色泥岩、砂岩互层，层理明显，与上覆第四系为角度不整合接触。</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第四系：广泛分布于山前倾斜平原及沙漠区，属 Q1-Q4 的冰水沉积物、冲洪积物及风积物，主要岩性为卵砾石、砂砾石、砂及亚砂土、亚粘土。山前倾斜平原内由南向北地层颗粒总体呈现出由粗变细的变化规律，即由近山前的卵砾石渐变为细土平原区的砂、亚砂土。受第四系基地构造影响，区内第四系沉积厚度变化很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snapToGrid/>
          <w:color w:val="auto"/>
          <w:spacing w:val="0"/>
          <w:w w:val="100"/>
          <w:kern w:val="0"/>
          <w:position w:val="0"/>
          <w:sz w:val="24"/>
          <w:szCs w:val="24"/>
          <w:highlight w:val="none"/>
          <w:lang w:val="en-US" w:eastAsia="zh-CN"/>
        </w:rPr>
      </w:pPr>
      <w:r>
        <w:rPr>
          <w:rFonts w:hint="eastAsia" w:ascii="Times New Roman" w:hAnsi="Times New Roman" w:eastAsia="宋体" w:cs="Times New Roman"/>
          <w:color w:val="auto"/>
          <w:kern w:val="0"/>
          <w:sz w:val="24"/>
          <w:szCs w:val="24"/>
          <w:lang w:val="en-US" w:eastAsia="zh-CN"/>
        </w:rPr>
        <w:t>项目区出露地层为第四系地层，包括第四系全新统冲积层（Qhal）、第四系上更新统新疆群（Q3xn）。</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snapToGrid/>
          <w:color w:val="auto"/>
          <w:spacing w:val="0"/>
          <w:w w:val="100"/>
          <w:kern w:val="0"/>
          <w:position w:val="0"/>
          <w:sz w:val="24"/>
          <w:szCs w:val="24"/>
          <w:highlight w:val="none"/>
          <w:lang w:val="en-US" w:eastAsia="zh-CN"/>
        </w:rPr>
      </w:pPr>
      <w:r>
        <w:rPr>
          <w:rFonts w:hint="eastAsia" w:ascii="Times New Roman" w:hAnsi="Times New Roman" w:eastAsia="宋体" w:cs="Times New Roman"/>
          <w:snapToGrid/>
          <w:color w:val="auto"/>
          <w:spacing w:val="0"/>
          <w:w w:val="100"/>
          <w:kern w:val="0"/>
          <w:position w:val="0"/>
          <w:sz w:val="24"/>
          <w:szCs w:val="24"/>
          <w:highlight w:val="none"/>
          <w:lang w:val="en-US" w:eastAsia="zh-CN"/>
        </w:rPr>
        <w:t>3、区域水文地质特征</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依据含水层介质类型，将呼图壁县地下水类型分为基岩裂隙水、碎屑岩类裂隙孔隙水及第四系松散岩类孔隙水。呼图壁县平原区广泛分布巨厚的第四系松散堆积物，属第四系松散岩类孔隙含水层。</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（1）含水层分布</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按含水层结构划分为单一结构潜水含水层和多层结构潜水-承压含水层。</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单一结构潜水含水层分布于乌伊公路以南，含水层岩性为卵砾石、砂砾石。从扇顶至扇缘含水层由厚变薄，含水层颗粒由粗变细，富水性自南向北具有明显的弱-强-弱的变化规律。沿乌伊公路两侧宽约 5-13 公里范围内为强富水带，饱水带厚度为 600-700m，水位埋深约 20-40m，单井涌水量一般为 800-5000m</w:t>
      </w:r>
      <w:r>
        <w:rPr>
          <w:rFonts w:hint="eastAsia" w:ascii="Times New Roman" w:hAnsi="Times New Roman" w:eastAsia="宋体" w:cs="Times New Roman"/>
          <w:snapToGrid w:val="0"/>
          <w:color w:val="auto"/>
          <w:spacing w:val="0"/>
          <w:kern w:val="24"/>
          <w:sz w:val="24"/>
          <w:szCs w:val="24"/>
          <w:vertAlign w:val="superscript"/>
          <w:lang w:val="en-US" w:eastAsia="zh-CN"/>
        </w:rPr>
        <w:t>3</w:t>
      </w:r>
      <w:r>
        <w:rPr>
          <w:rFonts w:hint="eastAsia" w:ascii="Times New Roman" w:hAnsi="Times New Roman" w:eastAsia="宋体" w:cs="Times New Roman"/>
          <w:snapToGrid w:val="0"/>
          <w:color w:val="auto"/>
          <w:spacing w:val="0"/>
          <w:kern w:val="24"/>
          <w:sz w:val="24"/>
          <w:szCs w:val="24"/>
          <w:lang w:val="en-US" w:eastAsia="zh-CN"/>
        </w:rPr>
        <w:t xml:space="preserve"> /d，最大可达 7776m</w:t>
      </w:r>
      <w:r>
        <w:rPr>
          <w:rFonts w:hint="eastAsia" w:ascii="Times New Roman" w:hAnsi="Times New Roman" w:eastAsia="宋体" w:cs="Times New Roman"/>
          <w:snapToGrid w:val="0"/>
          <w:color w:val="auto"/>
          <w:spacing w:val="0"/>
          <w:kern w:val="24"/>
          <w:sz w:val="24"/>
          <w:szCs w:val="24"/>
          <w:vertAlign w:val="superscript"/>
          <w:lang w:val="en-US" w:eastAsia="zh-CN"/>
        </w:rPr>
        <w:t>3</w:t>
      </w:r>
      <w:r>
        <w:rPr>
          <w:rFonts w:hint="eastAsia" w:ascii="Times New Roman" w:hAnsi="Times New Roman" w:eastAsia="宋体" w:cs="Times New Roman"/>
          <w:snapToGrid w:val="0"/>
          <w:color w:val="auto"/>
          <w:spacing w:val="0"/>
          <w:kern w:val="24"/>
          <w:sz w:val="24"/>
          <w:szCs w:val="24"/>
          <w:lang w:val="en-US" w:eastAsia="zh-CN"/>
        </w:rPr>
        <w:t>/d，渗透系数为 35-137m/d。</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多层结构潜水-承压含水层分布于乌伊公路以北，该含水层上部为潜水含水层，在泉水溢出带一带，由于细颗粒地层在纵向上分布的不连续性，上层潜水和承压水通过自然、人工“天窗”发生水力联系，组成混合含水岩组。富水性较好的潜水含水层底板埋深 80-100m，单井涌水量 100-300m</w:t>
      </w:r>
      <w:r>
        <w:rPr>
          <w:rFonts w:hint="eastAsia" w:ascii="Times New Roman" w:hAnsi="Times New Roman" w:eastAsia="宋体" w:cs="Times New Roman"/>
          <w:snapToGrid w:val="0"/>
          <w:color w:val="auto"/>
          <w:spacing w:val="0"/>
          <w:kern w:val="24"/>
          <w:sz w:val="24"/>
          <w:szCs w:val="24"/>
          <w:vertAlign w:val="superscript"/>
          <w:lang w:val="en-US" w:eastAsia="zh-CN"/>
        </w:rPr>
        <w:t>3</w:t>
      </w:r>
      <w:r>
        <w:rPr>
          <w:rFonts w:hint="eastAsia" w:ascii="Times New Roman" w:hAnsi="Times New Roman" w:eastAsia="宋体" w:cs="Times New Roman"/>
          <w:snapToGrid w:val="0"/>
          <w:color w:val="auto"/>
          <w:spacing w:val="0"/>
          <w:kern w:val="24"/>
          <w:sz w:val="24"/>
          <w:szCs w:val="24"/>
          <w:lang w:val="en-US" w:eastAsia="zh-CN"/>
        </w:rPr>
        <w:t>/d，渗透系数 10-30m/d。细土平原带潜水含水岩组由细砂、中粗砂、含砾粗砂组成，富水性极不均一，除局部地段外，大部分地区水量贫乏，水质较差，水位埋深 5-15m，一般单井涌水量＜43.2m</w:t>
      </w:r>
      <w:r>
        <w:rPr>
          <w:rFonts w:hint="eastAsia" w:ascii="Times New Roman" w:hAnsi="Times New Roman" w:eastAsia="宋体" w:cs="Times New Roman"/>
          <w:snapToGrid w:val="0"/>
          <w:color w:val="auto"/>
          <w:spacing w:val="0"/>
          <w:kern w:val="24"/>
          <w:sz w:val="24"/>
          <w:szCs w:val="24"/>
          <w:vertAlign w:val="superscript"/>
          <w:lang w:val="en-US" w:eastAsia="zh-CN"/>
        </w:rPr>
        <w:t>3</w:t>
      </w:r>
      <w:r>
        <w:rPr>
          <w:rFonts w:hint="eastAsia" w:ascii="Times New Roman" w:hAnsi="Times New Roman" w:eastAsia="宋体" w:cs="Times New Roman"/>
          <w:snapToGrid w:val="0"/>
          <w:color w:val="auto"/>
          <w:spacing w:val="0"/>
          <w:kern w:val="24"/>
          <w:sz w:val="24"/>
          <w:szCs w:val="24"/>
          <w:lang w:val="en-US" w:eastAsia="zh-CN"/>
        </w:rPr>
        <w:t>/d，渗透系数＜2.0m/d。沙漠边缘带潜水埋深＞15m，含水层由粉砂、细砂组成，富水性较弱，单井涌水量＜8.64m</w:t>
      </w:r>
      <w:r>
        <w:rPr>
          <w:rFonts w:hint="eastAsia" w:ascii="Times New Roman" w:hAnsi="Times New Roman" w:eastAsia="宋体" w:cs="Times New Roman"/>
          <w:snapToGrid w:val="0"/>
          <w:color w:val="auto"/>
          <w:spacing w:val="0"/>
          <w:kern w:val="24"/>
          <w:sz w:val="24"/>
          <w:szCs w:val="24"/>
          <w:vertAlign w:val="superscript"/>
          <w:lang w:val="en-US" w:eastAsia="zh-CN"/>
        </w:rPr>
        <w:t>3</w:t>
      </w:r>
      <w:r>
        <w:rPr>
          <w:rFonts w:hint="eastAsia" w:ascii="Times New Roman" w:hAnsi="Times New Roman" w:eastAsia="宋体" w:cs="Times New Roman"/>
          <w:snapToGrid w:val="0"/>
          <w:color w:val="auto"/>
          <w:spacing w:val="0"/>
          <w:kern w:val="24"/>
          <w:sz w:val="24"/>
          <w:szCs w:val="24"/>
          <w:lang w:val="en-US" w:eastAsia="zh-CN"/>
        </w:rPr>
        <w:t>/d，渗透系数 1.5m/d.该含水岩组下部为多层结构承压含水层，沿二十里店-种牛场-西树窝子-祁家湖一线以北，宽 1-3km 的地段为承压不自流区，承压不自流区以北、唐家梁-芳草湖总场以南为自流区。据资料显示，在 300m 深度内含水层总厚度 50-100m 含水层岩性主要为含砾中粗砂、中砂、细砂，承压水-22.61-+44.8m。承压水顶板埋深在二十里店-西树窝子-祁家湖一线以北宽 2-10km 范围内小于 100m。</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（2）地下水补给、径流、排泄</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区域地下水补给主要接受渠系入渗补给、田间灌溉入渗补给、净水回归入渗、大气降水入渗、水库渗漏补给和上游地下水侧向径流补给。地下水总体流动方向为由南东向北西。呼图壁河冲洪积扇中上部含水层岩性主要为卵砾石、砂砾石，透水性强，水动力条件好，含水层厚度大，潜水水力坡度平均为 2-3.5‰；向下游（溢出带附近）含水层岩性颗粒由粗变 1 细，透水性减弱，水动力条件变差，水力坡度增加至 5-8‰；北部平原以承压含水层为主，含水层颗粒更细，水力坡度变缓，一般为 2‰左右。区域地下水排泄方式主要有人工开采、泉水溢出、潜水蒸发、北西边界侧向流出。</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 xml:space="preserve">（3）地下水开采 </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细土平原区潜水-承压水区主要分布于大丰镇和五工台镇的北部及园户村镇、不土逼县城、种牛场一带（第吸水溢出带）。该区潜水底板埋深为 80-120m，单晶涌水量 36-144m</w:t>
      </w:r>
      <w:r>
        <w:rPr>
          <w:rFonts w:hint="eastAsia" w:ascii="Times New Roman" w:hAnsi="Times New Roman" w:eastAsia="宋体" w:cs="Times New Roman"/>
          <w:snapToGrid w:val="0"/>
          <w:color w:val="auto"/>
          <w:spacing w:val="0"/>
          <w:kern w:val="24"/>
          <w:sz w:val="24"/>
          <w:szCs w:val="24"/>
          <w:vertAlign w:val="superscript"/>
          <w:lang w:val="en-US" w:eastAsia="zh-CN"/>
        </w:rPr>
        <w:t>3</w:t>
      </w:r>
      <w:r>
        <w:rPr>
          <w:rFonts w:hint="eastAsia" w:ascii="Times New Roman" w:hAnsi="Times New Roman" w:eastAsia="宋体" w:cs="Times New Roman"/>
          <w:snapToGrid w:val="0"/>
          <w:color w:val="auto"/>
          <w:spacing w:val="0"/>
          <w:kern w:val="24"/>
          <w:sz w:val="24"/>
          <w:szCs w:val="24"/>
          <w:lang w:val="en-US" w:eastAsia="zh-CN"/>
        </w:rPr>
        <w:t>/h，地下水水头距地表-11.2-+48m，宜井深度 80-200m。</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snapToGrid/>
          <w:color w:val="auto"/>
          <w:spacing w:val="0"/>
          <w:w w:val="100"/>
          <w:kern w:val="0"/>
          <w:position w:val="0"/>
          <w:sz w:val="24"/>
          <w:szCs w:val="24"/>
          <w:highlight w:val="none"/>
        </w:rPr>
      </w:pPr>
      <w:r>
        <w:rPr>
          <w:rFonts w:hint="eastAsia" w:ascii="Times New Roman" w:hAnsi="Times New Roman" w:eastAsia="宋体" w:cs="Times New Roman"/>
          <w:snapToGrid w:val="0"/>
          <w:color w:val="auto"/>
          <w:spacing w:val="0"/>
          <w:kern w:val="24"/>
          <w:sz w:val="24"/>
          <w:szCs w:val="24"/>
          <w:lang w:val="en-US" w:eastAsia="zh-CN"/>
        </w:rPr>
        <w:t>细土平原承压水区主要分布在二十里店-种牛场-西树窝子-乱山子-祁家湖一带以北的广大地带，该区地下水主要为承压自流水区，含水层顶板埋深一般在 50-120m 之间，水头距地表-24-+14m，含水层厚度 50-100m，单井出水量 36-115m</w:t>
      </w:r>
      <w:r>
        <w:rPr>
          <w:rFonts w:hint="eastAsia" w:ascii="Times New Roman" w:hAnsi="Times New Roman" w:eastAsia="宋体" w:cs="Times New Roman"/>
          <w:snapToGrid w:val="0"/>
          <w:color w:val="auto"/>
          <w:spacing w:val="0"/>
          <w:kern w:val="24"/>
          <w:sz w:val="24"/>
          <w:szCs w:val="24"/>
          <w:vertAlign w:val="superscript"/>
          <w:lang w:val="en-US" w:eastAsia="zh-CN"/>
        </w:rPr>
        <w:t>3</w:t>
      </w:r>
      <w:r>
        <w:rPr>
          <w:rFonts w:hint="eastAsia" w:ascii="Times New Roman" w:hAnsi="Times New Roman" w:eastAsia="宋体" w:cs="Times New Roman"/>
          <w:snapToGrid w:val="0"/>
          <w:color w:val="auto"/>
          <w:spacing w:val="0"/>
          <w:kern w:val="24"/>
          <w:sz w:val="24"/>
          <w:szCs w:val="24"/>
          <w:lang w:val="en-US" w:eastAsia="zh-CN"/>
        </w:rPr>
        <w:t>/h。区内含水层富水性相对较弱。</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outlineLvl w:val="5"/>
        <w:rPr>
          <w:rFonts w:hint="default" w:ascii="Times New Roman" w:hAnsi="Times New Roman" w:eastAsia="宋体" w:cs="Times New Roman"/>
          <w:snapToGrid/>
          <w:color w:val="auto"/>
          <w:spacing w:val="0"/>
          <w:w w:val="100"/>
          <w:kern w:val="0"/>
          <w:position w:val="0"/>
          <w:sz w:val="24"/>
          <w:highlight w:val="none"/>
        </w:rPr>
      </w:pPr>
      <w:r>
        <w:rPr>
          <w:rFonts w:hint="eastAsia" w:ascii="Times New Roman" w:hAnsi="Times New Roman" w:eastAsia="宋体" w:cs="Times New Roman"/>
          <w:b/>
          <w:bCs/>
          <w:color w:val="auto"/>
          <w:sz w:val="24"/>
          <w:szCs w:val="24"/>
          <w:lang w:val="en-US" w:eastAsia="zh-CN"/>
        </w:rPr>
        <w:t>5.2.2.2.2.2 评价区域水文地质调查</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1、地质概况</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本项目场地地层主要由杂填土、粉质粘土、粉土构成，现分述如下：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杂填土：层厚 0.3-0.9m，主要成分以粉土为主，含有少量砾石颗粒，松散，欠固结，稍湿。</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粉质粘土：埋深 0.3-5.7m，层厚约 0.1-5.0m，整个场地分布均匀。</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③ 粉土：为第 ② 粉质粘土的夹层，局部夹粉砂和粉质粘土的薄层。埋深 1.2-4.0m，层厚 0.5-2.2m。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粉土：埋深约 1.6-6.0m，层厚 2.2-24.3m，该层局部夹有粉砂和粉质粘土薄层。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default" w:ascii="Times New Roman" w:hAnsi="Times New Roman" w:eastAsia="宋体" w:cs="Times New Roman"/>
          <w:snapToGrid/>
          <w:color w:val="auto"/>
          <w:spacing w:val="0"/>
          <w:w w:val="100"/>
          <w:kern w:val="0"/>
          <w:position w:val="0"/>
          <w:sz w:val="24"/>
          <w:highlight w:val="none"/>
        </w:rPr>
      </w:pPr>
      <w:r>
        <w:rPr>
          <w:rFonts w:hint="eastAsia" w:ascii="Times New Roman" w:hAnsi="Times New Roman" w:eastAsia="宋体" w:cs="Times New Roman"/>
          <w:color w:val="auto"/>
          <w:sz w:val="24"/>
          <w:szCs w:val="24"/>
          <w:lang w:val="en-US" w:eastAsia="zh-CN"/>
        </w:rPr>
        <w:t>⑤ 埋深约 24.3-26.3m，局部夹有粉砂和粉质粘土薄层，勘察期间未揭穿，最大揭露深度 29.5m。</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default" w:ascii="Times New Roman" w:hAnsi="Times New Roman" w:eastAsia="宋体" w:cs="Times New Roman"/>
          <w:snapToGrid/>
          <w:color w:val="auto"/>
          <w:spacing w:val="0"/>
          <w:w w:val="100"/>
          <w:kern w:val="0"/>
          <w:position w:val="0"/>
          <w:sz w:val="24"/>
          <w:highlight w:val="none"/>
          <w:lang w:val="en-US" w:eastAsia="zh-CN"/>
        </w:rPr>
      </w:pPr>
      <w:r>
        <w:rPr>
          <w:rFonts w:hint="eastAsia" w:ascii="Times New Roman" w:hAnsi="Times New Roman" w:eastAsia="宋体" w:cs="Times New Roman"/>
          <w:snapToGrid/>
          <w:color w:val="auto"/>
          <w:spacing w:val="0"/>
          <w:w w:val="100"/>
          <w:kern w:val="0"/>
          <w:position w:val="0"/>
          <w:sz w:val="24"/>
          <w:highlight w:val="none"/>
          <w:lang w:val="en-US" w:eastAsia="zh-CN"/>
        </w:rPr>
        <w:t>2、评价区域水文地质</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评价区位于西戈壁地区，处于承压自流水分布区。</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default"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（1）潜水含水层</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潜水含水层分布于较厚的第四系粉土层中，含水层底板埋深约 120m，根据评价区水文地质调查，区域范围内潜水埋深在 28-50m，水位高程在 405-455m，受地形影响较大。根据收集的资料显示，该含水层渗透系数约 2.08m/d。</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（2）承压含水层</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据以往勘探资料分析，350m 以内可揭露 3 个主要含水层（组），第一含水层为承压自流水含水层，埋深 120～155m，静水位埋深 5.4m 至高于地面 15m，岩性以粗砂、中细砂为主，含少量砾石。渗透系数 0.2-2.7m/d，单井涌水量 1.88-15.10L/s；第二层为自流水含水层，埋深 180-215m，水头高度+15m～+20m，岩性以砂砾石、粗砂、细砂为主，单井涌水量 30L/s；第三层为自流水含水层，含水层埋深为 255-330m，水头高度大于+30m，岩性以中细砂为主，单井涌水量大于 45L/s。</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（3）隔水层</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潜水与承压含水层间存在一层较薄黏土层，构成隔水层，埋深大于 120m。</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（4）地下水补径排关系</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受地形影响，地下水径流方向为南、东南向北流动，主要接受大气降水、融雪、灌溉、地下水径流补给，以人工开采、灌溉等排泄方式为主。</w:t>
      </w:r>
    </w:p>
    <w:p>
      <w:pPr>
        <w:keepNext w:val="0"/>
        <w:keepLines w:val="0"/>
        <w:pageBreakBefore w:val="0"/>
        <w:widowControl w:val="0"/>
        <w:kinsoku/>
        <w:wordWrap/>
        <w:overflowPunct w:val="0"/>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snapToGrid w:val="0"/>
          <w:color w:val="auto"/>
          <w:spacing w:val="0"/>
          <w:kern w:val="24"/>
          <w:sz w:val="24"/>
          <w:szCs w:val="24"/>
          <w:lang w:val="en-US" w:eastAsia="zh-CN"/>
        </w:rPr>
      </w:pPr>
      <w:r>
        <w:rPr>
          <w:rFonts w:hint="eastAsia" w:ascii="Times New Roman" w:hAnsi="Times New Roman" w:eastAsia="宋体" w:cs="Times New Roman"/>
          <w:snapToGrid w:val="0"/>
          <w:color w:val="auto"/>
          <w:spacing w:val="0"/>
          <w:kern w:val="24"/>
          <w:sz w:val="24"/>
          <w:szCs w:val="24"/>
          <w:lang w:val="en-US" w:eastAsia="zh-CN"/>
        </w:rPr>
        <w:t>（5）水源地</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default" w:ascii="Times New Roman" w:hAnsi="Times New Roman" w:eastAsia="宋体" w:cs="Times New Roman"/>
          <w:snapToGrid/>
          <w:color w:val="auto"/>
          <w:spacing w:val="0"/>
          <w:w w:val="100"/>
          <w:kern w:val="0"/>
          <w:position w:val="0"/>
          <w:sz w:val="24"/>
          <w:highlight w:val="none"/>
        </w:rPr>
      </w:pPr>
      <w:r>
        <w:rPr>
          <w:rFonts w:hint="eastAsia" w:ascii="Times New Roman" w:hAnsi="Times New Roman" w:eastAsia="宋体" w:cs="Times New Roman"/>
          <w:snapToGrid w:val="0"/>
          <w:color w:val="auto"/>
          <w:spacing w:val="0"/>
          <w:kern w:val="24"/>
          <w:sz w:val="24"/>
          <w:szCs w:val="24"/>
          <w:lang w:val="en-US" w:eastAsia="zh-CN"/>
        </w:rPr>
        <w:t>本次评价范围内无集中式供水水源地，无村庄饮用水井。距离本项目最近的水井为项目西北侧约 2.16km 的灌溉井，取水层位为第四系孔隙水，水位埋深约 40m。</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5"/>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5.2.2.2.2.3 地下水影响预测分析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按《环境影响评价技术导则 地下水环境》（HJ610-2016）相关要求，本次地下水环境影响评价级別为二级，根据建设项目自身性质及其对地下水环境影响的特点，为预测和评价建设项目投产后对地下水环境可能造成的影响和危害，并针对这种影响和危害提出防治对策，从而达到预防与控制环境恶化，保护地下水资源的目的，本次工作将采用解析法进行预测与评价。在正常状况下，本项目对场地地下包气带及地下水污染的可能性较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项目建设期及服务期满后用水量及污水产生量都很小，对地下水流场及水质影响极弱，因此报告仅对生产运行期可能对地下水环境水质造成的影响进行预测。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本次模拟预测，根据项目运行期污染源分析的情景设计，在选定优先控制污染物的基础上，对地下水污染物的运移距离、超标范围进行模拟预测，污染情景的源强数据通过工程分析类比调查子以确定。</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项目排水主要是生活污水，水质简单，水量较小，项目废水不与地表水发生直接水力联系，不会对周围地表水环境产生不利影响。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（1）预测因子的筛选</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根据本项目污染源特点分析可知，项目生产废水会用会水溶肥生产线，生活污水排放至园区下水管网，不外排，不会对地下水环境产生较大影响。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（2）预测情景设定</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1）正常状况</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施工期对地下水环境的影响主要为施工期生产废水和生活污水。其中生产废水主要来源于工程前期土建施工的砂石料系统冲洗水、施工机械设备冲洗水、混凝土搅拌、浇注和养护用水，废水中SS为主要污染物，应施工现场设置沉淀池，废水经沉淀后悬浮物大幅度下沉，上清液回用于施工现场，既提高了水重复利用率，又可做到废水不外排；施工期厂内不设置食堂，施工生活污水主要为化粪池产生的废液，采用防渗化粪池，并定期清理。采取这些措施以后，可将施工期产生的废污水对环境的影响降到最低程度，且施工期用水量小，施工周期短，故对地下水环境影响极小，故本次不进行施工期地下水环境影响预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运营期正常工况下，本项目中生产车间和储罐区、危废暂存间、公辅设施等均采取重点/一般防渗设计，渗透系数能够满足《危险废物贮存污染控制标准》（GB18597-2023）的分区防渗要求。原料、物料及污水输送管线也是必须经过防腐、防渗等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评价要求项目在设计防渗、防腐措施的基础上，在运营期间加强管理，防止废水废液的跑冒滴漏，及时发现问题，及时维修，避免污泥堆放不当，就可以避免建设项目对地下水的污染影响。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因此，正常工况下不应有污染物发生渗漏至地下水的情景发生。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一般厂区事故排放分为短期大量排放及长期少量排放两类。短期大量排放（如突发性事故引起的管线破裂或管线阻塞而造成溢流），一般能及时发现，并可通过一定方法加以控制，因此，一般短期排放不会造成地下水污染；而长期较少量排放（如装置区构筑物无组织泄漏等），一般较难发现，长期泄漏可对地下水产生一定影响。因此，在设计、施工和运行过程中，必须严格控制厂区无组织泄漏，地面进行硬化防渗处理，在设计、施工过程严把质量关，运行过程中强化监控，严格管理，杜绝厂区存在长期事故性泄漏排放的存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通过项目的建设内容、生产工艺和原料的特性综合考虑，在非正常状况下项目可能造成地下水污染的主要情景为：收集的含油废水下泄，生产废水泄漏进入地下含水层。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（3）预测模型选取</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场地上层由粉土、粉质粘土覆盖，分布均匀；其下为砂土作为主要含水层，可概化成一个含水层来考虑。从保守角度出发，考虑当项目运转出现事故时，含有污染质的废水直接渗漏到含水层。从安全角度，本次模拟计算忽略污染物在包气带的运移过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事故情况下，污染物在含水层的迁移，可概化为示踪剂瞬时注入一维无限长多孔介质主体的一维稳定流动一维水动力弥散模型，当取平行于地面方向为 x 轴，流速方向为正时，则求取污染物浓度的分布模型选取《环境影响评价技术导则 地下水环境》（HJ 610-2016）附录 D 中 D.1：</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color w:val="auto"/>
        </w:rPr>
        <w:drawing>
          <wp:inline distT="0" distB="0" distL="114300" distR="114300">
            <wp:extent cx="1814195" cy="575945"/>
            <wp:effectExtent l="0" t="0" r="14605" b="14605"/>
            <wp:docPr id="6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0"/>
                    <pic:cNvPicPr>
                      <a:picLocks noChangeAspect="1"/>
                    </pic:cNvPicPr>
                  </pic:nvPicPr>
                  <pic:blipFill>
                    <a:blip r:embed="rId80"/>
                    <a:stretch>
                      <a:fillRect/>
                    </a:stretch>
                  </pic:blipFill>
                  <pic:spPr>
                    <a:xfrm>
                      <a:off x="0" y="0"/>
                      <a:ext cx="1814195" cy="57594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式中：C（x，t）-t时刻 x 处的示踪剂浓度，mg/L；</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x—距污染物注入点的距离，m；</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t—时间，d；</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m—注入的示踪剂质量，kg;</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w—横截面面积，m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n</w:t>
      </w:r>
      <w:r>
        <w:rPr>
          <w:rFonts w:hint="eastAsia" w:ascii="Times New Roman" w:hAnsi="Times New Roman" w:eastAsia="宋体" w:cs="Times New Roman"/>
          <w:color w:val="auto"/>
          <w:sz w:val="24"/>
          <w:szCs w:val="24"/>
          <w:vertAlign w:val="subscript"/>
          <w:lang w:val="en-US" w:eastAsia="zh-CN"/>
        </w:rPr>
        <w:t>e</w:t>
      </w:r>
      <w:r>
        <w:rPr>
          <w:rFonts w:hint="eastAsia" w:ascii="Times New Roman" w:hAnsi="Times New Roman" w:eastAsia="宋体" w:cs="Times New Roman"/>
          <w:color w:val="auto"/>
          <w:sz w:val="24"/>
          <w:szCs w:val="24"/>
          <w:lang w:val="en-US" w:eastAsia="zh-CN"/>
        </w:rPr>
        <w:t>—有效孔隙度，无量纲；</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u—水流速度，m/d；采用经验公式u=KI/η</w:t>
      </w:r>
      <w:r>
        <w:rPr>
          <w:rFonts w:hint="eastAsia" w:ascii="Times New Roman" w:hAnsi="Times New Roman" w:eastAsia="宋体" w:cs="Times New Roman"/>
          <w:color w:val="auto"/>
          <w:sz w:val="24"/>
          <w:szCs w:val="24"/>
          <w:vertAlign w:val="subscript"/>
          <w:lang w:val="en-US" w:eastAsia="zh-CN"/>
        </w:rPr>
        <w:t>e</w:t>
      </w:r>
      <w:r>
        <w:rPr>
          <w:rFonts w:hint="eastAsia" w:ascii="Times New Roman" w:hAnsi="Times New Roman" w:eastAsia="宋体" w:cs="Times New Roman"/>
          <w:color w:val="auto"/>
          <w:sz w:val="24"/>
          <w:szCs w:val="24"/>
          <w:lang w:val="en-US" w:eastAsia="zh-CN"/>
        </w:rPr>
        <w:t>，η</w:t>
      </w:r>
      <w:r>
        <w:rPr>
          <w:rFonts w:hint="eastAsia" w:ascii="Times New Roman" w:hAnsi="Times New Roman" w:eastAsia="宋体" w:cs="Times New Roman"/>
          <w:color w:val="auto"/>
          <w:sz w:val="24"/>
          <w:szCs w:val="24"/>
          <w:vertAlign w:val="subscript"/>
          <w:lang w:val="en-US" w:eastAsia="zh-CN"/>
        </w:rPr>
        <w:t>e</w:t>
      </w:r>
      <w:r>
        <w:rPr>
          <w:rFonts w:hint="eastAsia" w:ascii="Times New Roman" w:hAnsi="Times New Roman" w:eastAsia="宋体" w:cs="Times New Roman"/>
          <w:color w:val="auto"/>
          <w:sz w:val="24"/>
          <w:szCs w:val="24"/>
          <w:vertAlign w:val="baseline"/>
          <w:lang w:val="en-US" w:eastAsia="zh-CN"/>
        </w:rPr>
        <w:t xml:space="preserve"> </w:t>
      </w:r>
      <w:r>
        <w:rPr>
          <w:rFonts w:hint="eastAsia" w:ascii="Times New Roman" w:hAnsi="Times New Roman" w:eastAsia="宋体" w:cs="Times New Roman"/>
          <w:color w:val="auto"/>
          <w:sz w:val="24"/>
          <w:szCs w:val="24"/>
          <w:lang w:val="en-US" w:eastAsia="zh-CN"/>
        </w:rPr>
        <w:t>为含水层的有效孔隙率；K 为含水层渗透系数；I 为地下水水力坡度；</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D</w:t>
      </w:r>
      <w:r>
        <w:rPr>
          <w:rFonts w:hint="eastAsia" w:ascii="Times New Roman" w:hAnsi="Times New Roman" w:eastAsia="宋体" w:cs="Times New Roman"/>
          <w:color w:val="auto"/>
          <w:sz w:val="24"/>
          <w:szCs w:val="24"/>
          <w:vertAlign w:val="subscript"/>
          <w:lang w:val="en-US" w:eastAsia="zh-CN"/>
        </w:rPr>
        <w:t>L</w:t>
      </w:r>
      <w:r>
        <w:rPr>
          <w:rFonts w:hint="eastAsia" w:ascii="Times New Roman" w:hAnsi="Times New Roman" w:eastAsia="宋体" w:cs="Times New Roman"/>
          <w:color w:val="auto"/>
          <w:sz w:val="24"/>
          <w:szCs w:val="24"/>
          <w:lang w:val="en-US" w:eastAsia="zh-CN"/>
        </w:rPr>
        <w:t>—弥散系数，m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/d，取 1.63m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/d；</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π—圆周率，取 3.14。</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（4）参数选取</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1）注入的示踪剂质量 m</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含油废水意外泄漏量按 100t 计算，渗漏量按泄漏总量的 10% 计算，其中又有 1% 的漏液穿过包气带进入到地下水。含油废水泄漏后立即收集处理，则进入地下水的污染物的量为：脂类物质 1t。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2）横截面面积 w</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横截面面积取 0.5m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3）水流速度u</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根据区域水文地质条件，含水层渗透系数采用 2.7m/d；地下水水利坡度 I 取0.5%；为含水层的有效孔隙度取经验值 0.1。则水流速度为u=（2.7m/d×0.5%）/0.35=0.135m/d。</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4）有效孔隙度 n：有效孔隙度取经验值 0.1。</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（5）运移参数</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根据厂区周边的地形地貌、水文地质条件和周边的地下水环境敏感目标等综合因素考虑，本次评价工作的评价范围为</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根据地下水流向为自</w:t>
      </w:r>
      <w:r>
        <w:rPr>
          <w:rFonts w:hint="eastAsia" w:ascii="Times New Roman" w:hAnsi="Times New Roman" w:eastAsia="宋体" w:cs="Times New Roman"/>
          <w:color w:val="auto"/>
          <w:sz w:val="24"/>
          <w:szCs w:val="24"/>
          <w:lang w:val="en-US" w:eastAsia="zh-CN"/>
        </w:rPr>
        <w:t>西南</w:t>
      </w:r>
      <w:r>
        <w:rPr>
          <w:rFonts w:hint="default" w:ascii="Times New Roman" w:hAnsi="Times New Roman" w:eastAsia="宋体" w:cs="Times New Roman"/>
          <w:color w:val="auto"/>
          <w:sz w:val="24"/>
          <w:szCs w:val="24"/>
          <w:lang w:val="en-US" w:eastAsia="zh-CN"/>
        </w:rPr>
        <w:t>向</w:t>
      </w:r>
      <w:r>
        <w:rPr>
          <w:rFonts w:hint="eastAsia" w:ascii="Times New Roman" w:hAnsi="Times New Roman" w:eastAsia="宋体" w:cs="Times New Roman"/>
          <w:color w:val="auto"/>
          <w:sz w:val="24"/>
          <w:szCs w:val="24"/>
          <w:lang w:val="en-US" w:eastAsia="zh-CN"/>
        </w:rPr>
        <w:t>东北</w:t>
      </w:r>
      <w:r>
        <w:rPr>
          <w:rFonts w:hint="default" w:ascii="Times New Roman" w:hAnsi="Times New Roman" w:eastAsia="宋体" w:cs="Times New Roman"/>
          <w:color w:val="auto"/>
          <w:sz w:val="24"/>
          <w:szCs w:val="24"/>
          <w:lang w:val="en-US" w:eastAsia="zh-CN"/>
        </w:rPr>
        <w:t>，选取下游</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2km、上游</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1km、两侧各取</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1km</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为评价范围，故本项目地下水评价范围为</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6km</w:t>
      </w:r>
      <w:r>
        <w:rPr>
          <w:rFonts w:hint="eastAsia"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lang w:val="en-US" w:eastAsia="zh-CN"/>
        </w:rPr>
        <w:t>，包括了地下水流向的上游、下游和侧向范围。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预测范围与评价范围一致。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预测时间为 100 天和1000 天。</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2）预测因子及预测标准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根据工程分析，本项目废水中特征污染物为</w:t>
      </w:r>
      <w:r>
        <w:rPr>
          <w:rFonts w:hint="default" w:ascii="Times New Roman" w:hAnsi="Times New Roman" w:eastAsia="宋体" w:cs="Times New Roman"/>
          <w:color w:val="auto"/>
          <w:sz w:val="24"/>
          <w:szCs w:val="24"/>
          <w:lang w:val="en-US" w:eastAsia="zh-CN"/>
        </w:rPr>
        <w:t>COD</w:t>
      </w:r>
      <w:r>
        <w:rPr>
          <w:rFonts w:hint="eastAsia" w:ascii="Times New Roman" w:hAnsi="Times New Roman" w:eastAsia="宋体" w:cs="Times New Roman"/>
          <w:color w:val="auto"/>
          <w:sz w:val="24"/>
          <w:szCs w:val="24"/>
          <w:lang w:val="en-US" w:eastAsia="zh-CN"/>
        </w:rPr>
        <w:t>、氨氮等。根据《环境影响评价技术导则 地下水环境》（</w:t>
      </w:r>
      <w:r>
        <w:rPr>
          <w:rFonts w:hint="default" w:ascii="Times New Roman" w:hAnsi="Times New Roman" w:eastAsia="宋体" w:cs="Times New Roman"/>
          <w:color w:val="auto"/>
          <w:sz w:val="24"/>
          <w:szCs w:val="24"/>
          <w:lang w:val="en-US" w:eastAsia="zh-CN"/>
        </w:rPr>
        <w:t>HJ610-2016</w:t>
      </w:r>
      <w:r>
        <w:rPr>
          <w:rFonts w:hint="eastAsia" w:ascii="Times New Roman" w:hAnsi="Times New Roman" w:eastAsia="宋体" w:cs="Times New Roman"/>
          <w:color w:val="auto"/>
          <w:sz w:val="24"/>
          <w:szCs w:val="24"/>
          <w:lang w:val="en-US" w:eastAsia="zh-CN"/>
        </w:rPr>
        <w:t>）中</w:t>
      </w:r>
      <w:r>
        <w:rPr>
          <w:rFonts w:hint="default" w:ascii="Times New Roman" w:hAnsi="Times New Roman" w:eastAsia="宋体" w:cs="Times New Roman"/>
          <w:color w:val="auto"/>
          <w:sz w:val="24"/>
          <w:szCs w:val="24"/>
          <w:lang w:val="en-US" w:eastAsia="zh-CN"/>
        </w:rPr>
        <w:t>9.5</w:t>
      </w:r>
      <w:r>
        <w:rPr>
          <w:rFonts w:hint="eastAsia" w:ascii="Times New Roman" w:hAnsi="Times New Roman" w:eastAsia="宋体" w:cs="Times New Roman"/>
          <w:color w:val="auto"/>
          <w:sz w:val="24"/>
          <w:szCs w:val="24"/>
          <w:lang w:val="en-US" w:eastAsia="zh-CN"/>
        </w:rPr>
        <w:t>要求：“</w:t>
      </w:r>
      <w:r>
        <w:rPr>
          <w:rFonts w:hint="default" w:ascii="Times New Roman" w:hAnsi="Times New Roman" w:eastAsia="宋体" w:cs="Times New Roman"/>
          <w:color w:val="auto"/>
          <w:sz w:val="24"/>
          <w:szCs w:val="24"/>
          <w:lang w:val="en-US" w:eastAsia="zh-CN"/>
        </w:rPr>
        <w:t>a</w:t>
      </w:r>
      <w:r>
        <w:rPr>
          <w:rFonts w:hint="eastAsia" w:ascii="Times New Roman" w:hAnsi="Times New Roman" w:eastAsia="宋体" w:cs="Times New Roman"/>
          <w:color w:val="auto"/>
          <w:sz w:val="24"/>
          <w:szCs w:val="24"/>
          <w:lang w:val="en-US" w:eastAsia="zh-CN"/>
        </w:rPr>
        <w:t>）根据</w:t>
      </w:r>
      <w:r>
        <w:rPr>
          <w:rFonts w:hint="default" w:ascii="Times New Roman" w:hAnsi="Times New Roman" w:eastAsia="宋体" w:cs="Times New Roman"/>
          <w:color w:val="auto"/>
          <w:sz w:val="24"/>
          <w:szCs w:val="24"/>
          <w:lang w:val="en-US" w:eastAsia="zh-CN"/>
        </w:rPr>
        <w:t>5.3.2</w:t>
      </w:r>
      <w:r>
        <w:rPr>
          <w:rFonts w:hint="eastAsia" w:ascii="Times New Roman" w:hAnsi="Times New Roman" w:eastAsia="宋体" w:cs="Times New Roman"/>
          <w:color w:val="auto"/>
          <w:sz w:val="24"/>
          <w:szCs w:val="24"/>
          <w:lang w:val="en-US" w:eastAsia="zh-CN"/>
        </w:rPr>
        <w:t>识别出的特征因子，按照重金属、持久性有机污染物和其他类别进行分类，并对每一类别中的各项因子采用标准指数法进行排序，分别取标准指数最大的因子作为预测因子。”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由于本项目废水污染物主要为</w:t>
      </w:r>
      <w:r>
        <w:rPr>
          <w:rFonts w:hint="default" w:ascii="Times New Roman" w:hAnsi="Times New Roman" w:eastAsia="宋体" w:cs="Times New Roman"/>
          <w:color w:val="auto"/>
          <w:sz w:val="24"/>
          <w:szCs w:val="24"/>
          <w:lang w:val="en-US" w:eastAsia="zh-CN"/>
        </w:rPr>
        <w:t>COD</w:t>
      </w:r>
      <w:r>
        <w:rPr>
          <w:rFonts w:hint="eastAsia" w:ascii="Times New Roman" w:hAnsi="Times New Roman" w:eastAsia="宋体" w:cs="Times New Roman"/>
          <w:color w:val="auto"/>
          <w:sz w:val="24"/>
          <w:szCs w:val="24"/>
          <w:lang w:val="en-US" w:eastAsia="zh-CN"/>
        </w:rPr>
        <w:t>、氨氮等，废水中</w:t>
      </w:r>
      <w:r>
        <w:rPr>
          <w:rFonts w:hint="default" w:ascii="Times New Roman" w:hAnsi="Times New Roman" w:eastAsia="宋体" w:cs="Times New Roman"/>
          <w:color w:val="auto"/>
          <w:sz w:val="24"/>
          <w:szCs w:val="24"/>
          <w:lang w:val="en-US" w:eastAsia="zh-CN"/>
        </w:rPr>
        <w:t>COD</w:t>
      </w:r>
      <w:r>
        <w:rPr>
          <w:rFonts w:hint="eastAsia" w:ascii="Times New Roman" w:hAnsi="Times New Roman" w:eastAsia="宋体" w:cs="Times New Roman"/>
          <w:color w:val="auto"/>
          <w:sz w:val="24"/>
          <w:szCs w:val="24"/>
          <w:lang w:val="en-US" w:eastAsia="zh-CN"/>
        </w:rPr>
        <w:t>浓度较高。以高锰酸钾溶液为氧化剂测得的化学耗氧量，称为高锰酸盐指数；以酸性重铬酸钾法测得的值称为化学需氧量（</w:t>
      </w:r>
      <w:r>
        <w:rPr>
          <w:rFonts w:hint="default" w:ascii="Times New Roman" w:hAnsi="Times New Roman" w:eastAsia="宋体" w:cs="Times New Roman"/>
          <w:color w:val="auto"/>
          <w:sz w:val="24"/>
          <w:szCs w:val="24"/>
          <w:lang w:val="en-US" w:eastAsia="zh-CN"/>
        </w:rPr>
        <w:t>COD</w:t>
      </w:r>
      <w:r>
        <w:rPr>
          <w:rFonts w:hint="eastAsia" w:ascii="Times New Roman" w:hAnsi="Times New Roman" w:eastAsia="宋体" w:cs="Times New Roman"/>
          <w:color w:val="auto"/>
          <w:sz w:val="24"/>
          <w:szCs w:val="24"/>
          <w:lang w:val="en-US" w:eastAsia="zh-CN"/>
        </w:rPr>
        <w:t>），两者都是氧化剂，氧化水中的有机污染物，通过计算氧化剂的消耗量，计算水中含有有机物耗氧量的多少。但在地下水中，一般都用高锰酸盐指数法，因此，模拟和预测污染物在地下水中的迁移扩散时，用高锰酸盐指数代替</w:t>
      </w:r>
      <w:r>
        <w:rPr>
          <w:rFonts w:hint="default" w:ascii="Times New Roman" w:hAnsi="Times New Roman" w:eastAsia="宋体" w:cs="Times New Roman"/>
          <w:color w:val="auto"/>
          <w:sz w:val="24"/>
          <w:szCs w:val="24"/>
          <w:lang w:val="en-US" w:eastAsia="zh-CN"/>
        </w:rPr>
        <w:t>COD</w:t>
      </w:r>
      <w:r>
        <w:rPr>
          <w:rFonts w:hint="eastAsia" w:ascii="Times New Roman" w:hAnsi="Times New Roman" w:eastAsia="宋体" w:cs="Times New Roman"/>
          <w:color w:val="auto"/>
          <w:sz w:val="24"/>
          <w:szCs w:val="24"/>
          <w:lang w:val="en-US" w:eastAsia="zh-CN"/>
        </w:rPr>
        <w:t>，本次评价参照国内学者胡大琼（云南省水文水资源局普洱分局）《高锰酸盐指数与化学需氧量相关关系探讨》一文得出的高锰酸盐指数与化学需氧量线性归一化方程 CODCr=5.79+2.72COD</w:t>
      </w:r>
      <w:r>
        <w:rPr>
          <w:rFonts w:hint="eastAsia" w:ascii="Times New Roman" w:hAnsi="Times New Roman" w:eastAsia="宋体" w:cs="Times New Roman"/>
          <w:color w:val="auto"/>
          <w:sz w:val="24"/>
          <w:szCs w:val="24"/>
          <w:vertAlign w:val="subscript"/>
          <w:lang w:val="en-US" w:eastAsia="zh-CN"/>
        </w:rPr>
        <w:t>Mn</w:t>
      </w:r>
      <w:r>
        <w:rPr>
          <w:rFonts w:hint="eastAsia" w:ascii="Times New Roman" w:hAnsi="Times New Roman" w:eastAsia="宋体" w:cs="Times New Roman"/>
          <w:color w:val="auto"/>
          <w:sz w:val="24"/>
          <w:szCs w:val="24"/>
          <w:lang w:val="en-US" w:eastAsia="zh-CN"/>
        </w:rPr>
        <w:t xml:space="preserve"> 进行换算。本项目 COD 浓度为65600</w:t>
      </w:r>
      <w:r>
        <w:rPr>
          <w:rFonts w:hint="default" w:ascii="Times New Roman" w:hAnsi="Times New Roman" w:eastAsia="宋体" w:cs="Times New Roman"/>
          <w:color w:val="auto"/>
          <w:sz w:val="24"/>
          <w:szCs w:val="24"/>
          <w:lang w:val="en-US" w:eastAsia="zh-CN"/>
        </w:rPr>
        <w:t>mg/L</w:t>
      </w:r>
      <w:r>
        <w:rPr>
          <w:rFonts w:hint="eastAsia" w:ascii="Times New Roman" w:hAnsi="Times New Roman" w:eastAsia="宋体" w:cs="Times New Roman"/>
          <w:color w:val="auto"/>
          <w:sz w:val="24"/>
          <w:szCs w:val="24"/>
          <w:lang w:val="en-US" w:eastAsia="zh-CN"/>
        </w:rPr>
        <w:t>，因此模拟预测时高锰酸盐指数浓度为 24115</w:t>
      </w:r>
      <w:r>
        <w:rPr>
          <w:rFonts w:hint="default" w:ascii="Times New Roman" w:hAnsi="Times New Roman" w:eastAsia="宋体" w:cs="Times New Roman"/>
          <w:color w:val="auto"/>
          <w:sz w:val="24"/>
          <w:szCs w:val="24"/>
          <w:lang w:val="en-US" w:eastAsia="zh-CN"/>
        </w:rPr>
        <w:t>mg/L</w:t>
      </w:r>
      <w:r>
        <w:rPr>
          <w:rFonts w:hint="eastAsia" w:ascii="Times New Roman" w:hAnsi="Times New Roman" w:eastAsia="宋体" w:cs="Times New Roman"/>
          <w:color w:val="auto"/>
          <w:sz w:val="24"/>
          <w:szCs w:val="24"/>
          <w:lang w:val="en-US" w:eastAsia="zh-CN"/>
        </w:rPr>
        <w:t>来计算。</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本项目废水中污染因子主要浓度情况见表6.2.2-1。</w:t>
      </w:r>
    </w:p>
    <w:p>
      <w:pPr>
        <w:pStyle w:val="33"/>
        <w:bidi w:val="0"/>
        <w:rPr>
          <w:color w:val="auto"/>
          <w:highlight w:val="none"/>
        </w:rPr>
      </w:pPr>
      <w:r>
        <w:rPr>
          <w:rFonts w:hint="eastAsia"/>
          <w:color w:val="auto"/>
          <w:highlight w:val="none"/>
          <w:lang w:val="en-US" w:eastAsia="zh-CN"/>
        </w:rPr>
        <w:t>表6.2.2-1        主要因子一览表</w:t>
      </w:r>
    </w:p>
    <w:tbl>
      <w:tblPr>
        <w:tblStyle w:val="22"/>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3"/>
        <w:gridCol w:w="1813"/>
        <w:gridCol w:w="1815"/>
        <w:gridCol w:w="1815"/>
        <w:gridCol w:w="18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13" w:type="dxa"/>
            <w:tcBorders>
              <w:tl2br w:val="nil"/>
              <w:tr2bl w:val="nil"/>
            </w:tcBorders>
            <w:noWrap w:val="0"/>
            <w:vAlign w:val="center"/>
          </w:tcPr>
          <w:p>
            <w:pPr>
              <w:pStyle w:val="34"/>
              <w:bidi w:val="0"/>
              <w:jc w:val="center"/>
              <w:rPr>
                <w:rFonts w:hint="eastAsia"/>
                <w:b/>
                <w:bCs/>
                <w:color w:val="auto"/>
                <w:highlight w:val="none"/>
                <w:lang w:val="en-US" w:eastAsia="zh-CN"/>
              </w:rPr>
            </w:pPr>
            <w:r>
              <w:rPr>
                <w:rFonts w:hint="eastAsia"/>
                <w:b/>
                <w:bCs/>
                <w:color w:val="auto"/>
                <w:highlight w:val="none"/>
                <w:lang w:val="en-US" w:eastAsia="zh-CN"/>
              </w:rPr>
              <w:t>分类</w:t>
            </w:r>
          </w:p>
        </w:tc>
        <w:tc>
          <w:tcPr>
            <w:tcW w:w="1813" w:type="dxa"/>
            <w:tcBorders>
              <w:tl2br w:val="nil"/>
              <w:tr2bl w:val="nil"/>
            </w:tcBorders>
            <w:noWrap w:val="0"/>
            <w:vAlign w:val="center"/>
          </w:tcPr>
          <w:p>
            <w:pPr>
              <w:pStyle w:val="34"/>
              <w:bidi w:val="0"/>
              <w:jc w:val="center"/>
              <w:rPr>
                <w:rFonts w:hint="eastAsia"/>
                <w:b/>
                <w:bCs/>
                <w:color w:val="auto"/>
                <w:highlight w:val="none"/>
                <w:lang w:val="en-US" w:eastAsia="zh-CN"/>
              </w:rPr>
            </w:pPr>
            <w:r>
              <w:rPr>
                <w:rFonts w:hint="eastAsia"/>
                <w:b/>
                <w:bCs/>
                <w:color w:val="auto"/>
                <w:highlight w:val="none"/>
                <w:lang w:val="en-US" w:eastAsia="zh-CN"/>
              </w:rPr>
              <w:t>污染物种类</w:t>
            </w:r>
          </w:p>
        </w:tc>
        <w:tc>
          <w:tcPr>
            <w:tcW w:w="1815" w:type="dxa"/>
            <w:tcBorders>
              <w:tl2br w:val="nil"/>
              <w:tr2bl w:val="nil"/>
            </w:tcBorders>
            <w:noWrap w:val="0"/>
            <w:vAlign w:val="center"/>
          </w:tcPr>
          <w:p>
            <w:pPr>
              <w:pStyle w:val="34"/>
              <w:bidi w:val="0"/>
              <w:jc w:val="center"/>
              <w:rPr>
                <w:rFonts w:hint="eastAsia"/>
                <w:b/>
                <w:bCs/>
                <w:color w:val="auto"/>
                <w:highlight w:val="none"/>
                <w:lang w:val="en-US" w:eastAsia="zh-CN"/>
              </w:rPr>
            </w:pPr>
            <w:r>
              <w:rPr>
                <w:rFonts w:hint="eastAsia"/>
                <w:b/>
                <w:bCs/>
                <w:color w:val="auto"/>
                <w:highlight w:val="none"/>
                <w:lang w:val="en-US" w:eastAsia="zh-CN"/>
              </w:rPr>
              <w:t>浓度（</w:t>
            </w:r>
            <w:r>
              <w:rPr>
                <w:rFonts w:hint="default"/>
                <w:b/>
                <w:bCs/>
                <w:color w:val="auto"/>
                <w:highlight w:val="none"/>
                <w:lang w:val="en-US" w:eastAsia="zh-CN"/>
              </w:rPr>
              <w:t>mg/L</w:t>
            </w:r>
            <w:r>
              <w:rPr>
                <w:rFonts w:hint="eastAsia"/>
                <w:b/>
                <w:bCs/>
                <w:color w:val="auto"/>
                <w:highlight w:val="none"/>
                <w:lang w:val="en-US" w:eastAsia="zh-CN"/>
              </w:rPr>
              <w:t>）</w:t>
            </w:r>
          </w:p>
        </w:tc>
        <w:tc>
          <w:tcPr>
            <w:tcW w:w="1815" w:type="dxa"/>
            <w:tcBorders>
              <w:tl2br w:val="nil"/>
              <w:tr2bl w:val="nil"/>
            </w:tcBorders>
            <w:noWrap w:val="0"/>
            <w:vAlign w:val="center"/>
          </w:tcPr>
          <w:p>
            <w:pPr>
              <w:pStyle w:val="34"/>
              <w:bidi w:val="0"/>
              <w:jc w:val="center"/>
              <w:rPr>
                <w:rFonts w:hint="eastAsia"/>
                <w:b/>
                <w:bCs/>
                <w:color w:val="auto"/>
                <w:highlight w:val="none"/>
                <w:lang w:val="en-US" w:eastAsia="zh-CN"/>
              </w:rPr>
            </w:pPr>
            <w:r>
              <w:rPr>
                <w:rFonts w:hint="eastAsia"/>
                <w:b/>
                <w:bCs/>
                <w:color w:val="auto"/>
                <w:highlight w:val="none"/>
                <w:lang w:val="en-US" w:eastAsia="zh-CN"/>
              </w:rPr>
              <w:t>质量标准</w:t>
            </w:r>
          </w:p>
        </w:tc>
        <w:tc>
          <w:tcPr>
            <w:tcW w:w="1815" w:type="dxa"/>
            <w:tcBorders>
              <w:tl2br w:val="nil"/>
              <w:tr2bl w:val="nil"/>
            </w:tcBorders>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占标率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13" w:type="dxa"/>
            <w:vMerge w:val="restar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其他</w:t>
            </w:r>
          </w:p>
        </w:tc>
        <w:tc>
          <w:tcPr>
            <w:tcW w:w="1813" w:type="dxa"/>
            <w:tcBorders>
              <w:tl2br w:val="nil"/>
              <w:tr2bl w:val="nil"/>
            </w:tcBorders>
            <w:noWrap w:val="0"/>
            <w:vAlign w:val="center"/>
          </w:tcPr>
          <w:p>
            <w:pPr>
              <w:pStyle w:val="34"/>
              <w:bidi w:val="0"/>
              <w:rPr>
                <w:rFonts w:hint="eastAsia"/>
                <w:color w:val="auto"/>
                <w:lang w:val="en-US" w:eastAsia="zh-CN"/>
              </w:rPr>
            </w:pPr>
            <w:r>
              <w:rPr>
                <w:rFonts w:hint="eastAsia"/>
                <w:color w:val="auto"/>
                <w:lang w:val="en-US" w:eastAsia="zh-CN"/>
              </w:rPr>
              <w:t>高锰酸盐指数</w:t>
            </w:r>
          </w:p>
        </w:tc>
        <w:tc>
          <w:tcPr>
            <w:tcW w:w="1815" w:type="dxa"/>
            <w:tcBorders>
              <w:tl2br w:val="nil"/>
              <w:tr2bl w:val="nil"/>
            </w:tcBorders>
            <w:noWrap w:val="0"/>
            <w:vAlign w:val="center"/>
          </w:tcPr>
          <w:p>
            <w:pPr>
              <w:pStyle w:val="34"/>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24115</w:t>
            </w:r>
          </w:p>
        </w:tc>
        <w:tc>
          <w:tcPr>
            <w:tcW w:w="1815" w:type="dxa"/>
            <w:tcBorders>
              <w:tl2br w:val="nil"/>
              <w:tr2bl w:val="nil"/>
            </w:tcBorders>
            <w:noWrap w:val="0"/>
            <w:vAlign w:val="center"/>
          </w:tcPr>
          <w:p>
            <w:pPr>
              <w:pStyle w:val="34"/>
              <w:bidi w:val="0"/>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highlight w:val="none"/>
                <w:lang w:val="en-US" w:eastAsia="zh-CN"/>
              </w:rPr>
              <w:t>3</w:t>
            </w:r>
          </w:p>
        </w:tc>
        <w:tc>
          <w:tcPr>
            <w:tcW w:w="1815" w:type="dxa"/>
            <w:tcBorders>
              <w:tl2br w:val="nil"/>
              <w:tr2bl w:val="nil"/>
            </w:tcBorders>
            <w:noWrap w:val="0"/>
            <w:vAlign w:val="center"/>
          </w:tcPr>
          <w:p>
            <w:pPr>
              <w:pStyle w:val="34"/>
              <w:bidi w:val="0"/>
              <w:rPr>
                <w:rFonts w:hint="default"/>
                <w:color w:val="auto"/>
                <w:highlight w:val="none"/>
                <w:lang w:val="en-US" w:eastAsia="zh-CN"/>
              </w:rPr>
            </w:pPr>
            <w:r>
              <w:rPr>
                <w:rFonts w:hint="eastAsia"/>
                <w:color w:val="auto"/>
                <w:highlight w:val="none"/>
                <w:lang w:val="en-US" w:eastAsia="zh-CN"/>
              </w:rPr>
              <w:t>8038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13" w:type="dxa"/>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1813" w:type="dxa"/>
            <w:tcBorders>
              <w:tl2br w:val="nil"/>
              <w:tr2bl w:val="nil"/>
            </w:tcBorders>
            <w:noWrap w:val="0"/>
            <w:vAlign w:val="center"/>
          </w:tcPr>
          <w:p>
            <w:pPr>
              <w:pStyle w:val="34"/>
              <w:bidi w:val="0"/>
              <w:rPr>
                <w:rFonts w:hint="eastAsia"/>
                <w:color w:val="auto"/>
                <w:lang w:val="en-US" w:eastAsia="zh-CN"/>
              </w:rPr>
            </w:pPr>
            <w:r>
              <w:rPr>
                <w:rFonts w:hint="eastAsia"/>
                <w:color w:val="auto"/>
                <w:lang w:val="en-US" w:eastAsia="zh-CN"/>
              </w:rPr>
              <w:t>氨氮</w:t>
            </w:r>
          </w:p>
        </w:tc>
        <w:tc>
          <w:tcPr>
            <w:tcW w:w="1815" w:type="dxa"/>
            <w:tcBorders>
              <w:tl2br w:val="nil"/>
              <w:tr2bl w:val="nil"/>
            </w:tcBorders>
            <w:noWrap w:val="0"/>
            <w:vAlign w:val="center"/>
          </w:tcPr>
          <w:p>
            <w:pPr>
              <w:pStyle w:val="34"/>
              <w:bidi w:val="0"/>
              <w:rPr>
                <w:rFonts w:hint="default"/>
                <w:color w:val="auto"/>
                <w:highlight w:val="none"/>
                <w:lang w:val="en-US" w:eastAsia="zh-CN"/>
              </w:rPr>
            </w:pPr>
            <w:r>
              <w:rPr>
                <w:rFonts w:hint="eastAsia"/>
                <w:color w:val="auto"/>
                <w:highlight w:val="none"/>
                <w:lang w:val="en-US" w:eastAsia="zh-CN"/>
              </w:rPr>
              <w:t>400</w:t>
            </w:r>
          </w:p>
        </w:tc>
        <w:tc>
          <w:tcPr>
            <w:tcW w:w="1815" w:type="dxa"/>
            <w:tcBorders>
              <w:tl2br w:val="nil"/>
              <w:tr2bl w:val="nil"/>
            </w:tcBorders>
            <w:noWrap w:val="0"/>
            <w:vAlign w:val="center"/>
          </w:tcPr>
          <w:p>
            <w:pPr>
              <w:pStyle w:val="34"/>
              <w:bidi w:val="0"/>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0.5</w:t>
            </w:r>
          </w:p>
        </w:tc>
        <w:tc>
          <w:tcPr>
            <w:tcW w:w="1815" w:type="dxa"/>
            <w:tcBorders>
              <w:tl2br w:val="nil"/>
              <w:tr2bl w:val="nil"/>
            </w:tcBorders>
            <w:noWrap w:val="0"/>
            <w:vAlign w:val="center"/>
          </w:tcPr>
          <w:p>
            <w:pPr>
              <w:pStyle w:val="34"/>
              <w:bidi w:val="0"/>
              <w:rPr>
                <w:rFonts w:hint="default"/>
                <w:color w:val="auto"/>
                <w:highlight w:val="none"/>
                <w:lang w:val="en-US" w:eastAsia="zh-CN"/>
              </w:rPr>
            </w:pPr>
            <w:r>
              <w:rPr>
                <w:rFonts w:hint="eastAsia"/>
                <w:color w:val="auto"/>
                <w:highlight w:val="none"/>
                <w:lang w:val="en-US" w:eastAsia="zh-CN"/>
              </w:rPr>
              <w:t>800</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根据上表，污水中主要污染物为其他类污染物，高锰酸盐指数占标率最大，因此按照地下水导则要求，选取高锰酸盐指数作为地下水污染预测因子。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3）预测源强及渗漏时间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根据本项目工程分析，污染物主要为各类脂类，主要来源于皂脚酸化水解及动植物油脂精炼过程产生的含油脂废水，污染物浓度按水解废水计，即 COD 浓度为65600mg/L，氨氮浓度为 400mg/L。渗漏时间取 0.5d。</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（5）预测结果及分析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在采用上述预测模型及参数情况下，计算出泄漏点不同距离处不同时刻高锰酸盐指数距离渗漏点下游的浓度变化趋势。预测结果见表 5.2.2-3、5.2.2-4。</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5.2.2-3   预测结果一览表</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69"/>
        <w:gridCol w:w="2569"/>
        <w:gridCol w:w="28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距泄露点的距离</w:t>
            </w:r>
          </w:p>
        </w:tc>
        <w:tc>
          <w:tcPr>
            <w:tcW w:w="1451" w:type="pct"/>
            <w:tcBorders>
              <w:tl2br w:val="nil"/>
              <w:tr2bl w:val="nil"/>
            </w:tcBorders>
            <w:noWrap w:val="0"/>
            <w:vAlign w:val="center"/>
          </w:tcPr>
          <w:p>
            <w:pPr>
              <w:pStyle w:val="34"/>
              <w:bidi w:val="0"/>
              <w:jc w:val="center"/>
              <w:rPr>
                <w:rFonts w:hint="default"/>
                <w:b/>
                <w:bCs/>
                <w:color w:val="auto"/>
                <w:sz w:val="21"/>
                <w:szCs w:val="21"/>
                <w:highlight w:val="none"/>
                <w:lang w:val="en-US" w:eastAsia="zh-CN"/>
              </w:rPr>
            </w:pPr>
            <w:r>
              <w:rPr>
                <w:rFonts w:hint="default"/>
                <w:b/>
                <w:bCs/>
                <w:color w:val="auto"/>
                <w:sz w:val="21"/>
                <w:szCs w:val="21"/>
                <w:highlight w:val="none"/>
                <w:lang w:val="en-US" w:eastAsia="zh-CN"/>
              </w:rPr>
              <w:t>100d</w:t>
            </w:r>
          </w:p>
        </w:tc>
        <w:tc>
          <w:tcPr>
            <w:tcW w:w="1589" w:type="pct"/>
            <w:tcBorders>
              <w:tl2br w:val="nil"/>
              <w:tr2bl w:val="nil"/>
            </w:tcBorders>
            <w:noWrap w:val="0"/>
            <w:vAlign w:val="center"/>
          </w:tcPr>
          <w:p>
            <w:pPr>
              <w:pStyle w:val="34"/>
              <w:bidi w:val="0"/>
              <w:jc w:val="center"/>
              <w:rPr>
                <w:rFonts w:hint="default"/>
                <w:b/>
                <w:bCs/>
                <w:color w:val="auto"/>
                <w:sz w:val="21"/>
                <w:szCs w:val="21"/>
                <w:highlight w:val="none"/>
                <w:lang w:val="en-US" w:eastAsia="zh-CN"/>
              </w:rPr>
            </w:pPr>
            <w:r>
              <w:rPr>
                <w:rFonts w:hint="default"/>
                <w:b/>
                <w:bCs/>
                <w:color w:val="auto"/>
                <w:sz w:val="21"/>
                <w:szCs w:val="21"/>
                <w:highlight w:val="none"/>
                <w:lang w:val="en-US" w:eastAsia="zh-CN"/>
              </w:rPr>
              <w:t>1000d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color w:val="auto"/>
                <w:sz w:val="21"/>
                <w:szCs w:val="21"/>
                <w:highlight w:val="none"/>
                <w:lang w:val="en-US" w:eastAsia="zh-CN"/>
              </w:rPr>
            </w:pPr>
            <w:r>
              <w:rPr>
                <w:rFonts w:hint="eastAsia"/>
                <w:color w:val="auto"/>
                <w:sz w:val="21"/>
                <w:szCs w:val="21"/>
                <w:highlight w:val="none"/>
                <w:lang w:val="en-US" w:eastAsia="zh-CN"/>
              </w:rPr>
              <w:t>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8.02E+02</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8.02E+02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color w:val="auto"/>
                <w:sz w:val="21"/>
                <w:szCs w:val="21"/>
                <w:highlight w:val="none"/>
                <w:lang w:val="en-US" w:eastAsia="zh-CN"/>
              </w:rPr>
            </w:pPr>
            <w:r>
              <w:rPr>
                <w:rFonts w:hint="eastAsia"/>
                <w:color w:val="auto"/>
                <w:sz w:val="21"/>
                <w:szCs w:val="21"/>
                <w:highlight w:val="none"/>
                <w:lang w:val="en-US" w:eastAsia="zh-CN"/>
              </w:rPr>
              <w:t>50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2.47E+01</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7.89E+02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color w:val="auto"/>
                <w:sz w:val="21"/>
                <w:szCs w:val="21"/>
                <w:highlight w:val="none"/>
                <w:lang w:val="en-US" w:eastAsia="zh-CN"/>
              </w:rPr>
            </w:pPr>
            <w:r>
              <w:rPr>
                <w:rFonts w:hint="eastAsia"/>
                <w:color w:val="auto"/>
                <w:sz w:val="21"/>
                <w:szCs w:val="21"/>
                <w:highlight w:val="none"/>
                <w:lang w:val="en-US" w:eastAsia="zh-CN"/>
              </w:rPr>
              <w:t>100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4.10E-04</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6.91E+02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150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9.79E-13</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4.34E+02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200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1.57E+02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250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2.90E+01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300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2.23E+00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350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6.41E-02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400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1.04E-03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450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7.43E-06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500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2.30E-08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550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3.30E-11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600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650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700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750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800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850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900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950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1000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1050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1100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1150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1200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1250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1300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1350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1400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1450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9" w:type="pct"/>
            <w:tcBorders>
              <w:tl2br w:val="nil"/>
              <w:tr2bl w:val="nil"/>
            </w:tcBorders>
            <w:noWrap w:val="0"/>
            <w:vAlign w:val="center"/>
          </w:tcPr>
          <w:p>
            <w:pPr>
              <w:pStyle w:val="34"/>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1500</w:t>
            </w:r>
          </w:p>
        </w:tc>
        <w:tc>
          <w:tcPr>
            <w:tcW w:w="1451"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c>
          <w:tcPr>
            <w:tcW w:w="1589" w:type="pct"/>
            <w:tcBorders>
              <w:tl2br w:val="nil"/>
              <w:tr2bl w:val="nil"/>
            </w:tcBorders>
            <w:noWrap w:val="0"/>
            <w:vAlign w:val="center"/>
          </w:tcPr>
          <w:p>
            <w:pPr>
              <w:pStyle w:val="34"/>
              <w:bidi w:val="0"/>
              <w:rPr>
                <w:rFonts w:hint="default"/>
                <w:color w:val="auto"/>
                <w:sz w:val="21"/>
                <w:szCs w:val="21"/>
                <w:lang w:val="en-US" w:eastAsia="zh-CN"/>
              </w:rPr>
            </w:pPr>
            <w:r>
              <w:rPr>
                <w:rFonts w:hint="eastAsia"/>
                <w:color w:val="auto"/>
                <w:sz w:val="21"/>
                <w:szCs w:val="21"/>
                <w:lang w:val="en-US" w:eastAsia="zh-CN"/>
              </w:rPr>
              <w:t>0.00E+00</w:t>
            </w:r>
          </w:p>
        </w:tc>
      </w:tr>
    </w:tbl>
    <w:p>
      <w:pPr>
        <w:pStyle w:val="33"/>
        <w:bidi w:val="0"/>
        <w:rPr>
          <w:color w:val="auto"/>
          <w:highlight w:val="none"/>
        </w:rPr>
      </w:pPr>
      <w:r>
        <w:rPr>
          <w:rFonts w:hint="eastAsia"/>
          <w:color w:val="auto"/>
          <w:highlight w:val="none"/>
          <w:lang w:val="en-US" w:eastAsia="zh-CN"/>
        </w:rPr>
        <w:t>表5.2.2</w:t>
      </w:r>
      <w:r>
        <w:rPr>
          <w:rFonts w:hint="default"/>
          <w:color w:val="auto"/>
          <w:highlight w:val="none"/>
          <w:lang w:val="en-US" w:eastAsia="zh-CN"/>
        </w:rPr>
        <w:t>-</w:t>
      </w:r>
      <w:r>
        <w:rPr>
          <w:rFonts w:hint="eastAsia"/>
          <w:color w:val="auto"/>
          <w:highlight w:val="none"/>
          <w:lang w:val="en-US" w:eastAsia="zh-CN"/>
        </w:rPr>
        <w:t xml:space="preserve">4     </w:t>
      </w:r>
      <w:r>
        <w:rPr>
          <w:rFonts w:hint="default"/>
          <w:color w:val="auto"/>
          <w:highlight w:val="none"/>
          <w:lang w:val="en-US" w:eastAsia="zh-CN"/>
        </w:rPr>
        <w:t xml:space="preserve"> </w:t>
      </w:r>
      <w:r>
        <w:rPr>
          <w:rFonts w:hint="eastAsia"/>
          <w:color w:val="auto"/>
          <w:highlight w:val="none"/>
          <w:lang w:val="en-US" w:eastAsia="zh-CN"/>
        </w:rPr>
        <w:t>地下水环境影响分析一览表</w:t>
      </w:r>
    </w:p>
    <w:tbl>
      <w:tblPr>
        <w:tblStyle w:val="22"/>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23"/>
        <w:gridCol w:w="3024"/>
        <w:gridCol w:w="30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3" w:hRule="atLeast"/>
          <w:jc w:val="center"/>
        </w:trPr>
        <w:tc>
          <w:tcPr>
            <w:tcW w:w="3023" w:type="dxa"/>
            <w:tcBorders>
              <w:tl2br w:val="nil"/>
              <w:tr2bl w:val="nil"/>
            </w:tcBorders>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预测时间</w:t>
            </w:r>
          </w:p>
        </w:tc>
        <w:tc>
          <w:tcPr>
            <w:tcW w:w="3024" w:type="dxa"/>
            <w:tcBorders>
              <w:tl2br w:val="nil"/>
              <w:tr2bl w:val="nil"/>
            </w:tcBorders>
            <w:noWrap w:val="0"/>
            <w:vAlign w:val="center"/>
          </w:tcPr>
          <w:p>
            <w:pPr>
              <w:pStyle w:val="34"/>
              <w:bidi w:val="0"/>
              <w:jc w:val="center"/>
              <w:rPr>
                <w:rFonts w:hint="default"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超标距离</w:t>
            </w:r>
            <w:r>
              <w:rPr>
                <w:rFonts w:hint="default" w:ascii="Times New Roman" w:hAnsi="Times New Roman" w:eastAsia="宋体" w:cs="Times New Roman"/>
                <w:b/>
                <w:bCs/>
                <w:color w:val="auto"/>
                <w:highlight w:val="none"/>
                <w:lang w:val="en-US" w:eastAsia="zh-CN"/>
              </w:rPr>
              <w:t>m</w:t>
            </w:r>
          </w:p>
        </w:tc>
        <w:tc>
          <w:tcPr>
            <w:tcW w:w="3024" w:type="dxa"/>
            <w:tcBorders>
              <w:tl2br w:val="nil"/>
              <w:tr2bl w:val="nil"/>
            </w:tcBorders>
            <w:noWrap w:val="0"/>
            <w:vAlign w:val="center"/>
          </w:tcPr>
          <w:p>
            <w:pPr>
              <w:pStyle w:val="34"/>
              <w:bidi w:val="0"/>
              <w:jc w:val="center"/>
              <w:rPr>
                <w:rFonts w:hint="default"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影响距离</w:t>
            </w:r>
            <w:r>
              <w:rPr>
                <w:rFonts w:hint="default" w:ascii="Times New Roman" w:hAnsi="Times New Roman" w:eastAsia="宋体" w:cs="Times New Roman"/>
                <w:b/>
                <w:bCs/>
                <w:color w:val="auto"/>
                <w:highlight w:val="none"/>
                <w:lang w:val="en-US" w:eastAsia="zh-CN"/>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23" w:type="dxa"/>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highlight w:val="none"/>
                <w:lang w:val="en-US" w:eastAsia="zh-CN"/>
              </w:rPr>
              <w:t>100d</w:t>
            </w:r>
          </w:p>
        </w:tc>
        <w:tc>
          <w:tcPr>
            <w:tcW w:w="3024" w:type="dxa"/>
            <w:tcBorders>
              <w:tl2br w:val="nil"/>
              <w:tr2bl w:val="nil"/>
            </w:tcBorders>
            <w:noWrap w:val="0"/>
            <w:vAlign w:val="center"/>
          </w:tcPr>
          <w:p>
            <w:pPr>
              <w:pStyle w:val="34"/>
              <w:bidi w:val="0"/>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88</w:t>
            </w:r>
          </w:p>
        </w:tc>
        <w:tc>
          <w:tcPr>
            <w:tcW w:w="3024" w:type="dxa"/>
            <w:tcBorders>
              <w:tl2br w:val="nil"/>
              <w:tr2bl w:val="nil"/>
            </w:tcBorders>
            <w:noWrap w:val="0"/>
            <w:vAlign w:val="center"/>
          </w:tcPr>
          <w:p>
            <w:pPr>
              <w:pStyle w:val="34"/>
              <w:bidi w:val="0"/>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3023" w:type="dxa"/>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highlight w:val="none"/>
                <w:lang w:val="en-US" w:eastAsia="zh-CN"/>
              </w:rPr>
              <w:t>10</w:t>
            </w:r>
            <w:r>
              <w:rPr>
                <w:rFonts w:hint="eastAsia"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lang w:val="en-US" w:eastAsia="zh-CN"/>
              </w:rPr>
              <w:t>0d</w:t>
            </w:r>
          </w:p>
        </w:tc>
        <w:tc>
          <w:tcPr>
            <w:tcW w:w="3024" w:type="dxa"/>
            <w:tcBorders>
              <w:tl2br w:val="nil"/>
              <w:tr2bl w:val="nil"/>
            </w:tcBorders>
            <w:noWrap w:val="0"/>
            <w:vAlign w:val="center"/>
          </w:tcPr>
          <w:p>
            <w:pPr>
              <w:pStyle w:val="34"/>
              <w:bidi w:val="0"/>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438</w:t>
            </w:r>
          </w:p>
        </w:tc>
        <w:tc>
          <w:tcPr>
            <w:tcW w:w="3024" w:type="dxa"/>
            <w:tcBorders>
              <w:tl2br w:val="nil"/>
              <w:tr2bl w:val="nil"/>
            </w:tcBorders>
            <w:noWrap w:val="0"/>
            <w:vAlign w:val="center"/>
          </w:tcPr>
          <w:p>
            <w:pPr>
              <w:pStyle w:val="34"/>
              <w:bidi w:val="0"/>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508</w:t>
            </w:r>
          </w:p>
        </w:tc>
      </w:tr>
    </w:tbl>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szCs w:val="24"/>
          <w:lang w:val="en-US" w:eastAsia="zh-CN"/>
        </w:rPr>
      </w:pPr>
      <w:r>
        <w:rPr>
          <w:color w:val="auto"/>
        </w:rPr>
        <w:drawing>
          <wp:inline distT="0" distB="0" distL="114300" distR="114300">
            <wp:extent cx="4584065" cy="2755265"/>
            <wp:effectExtent l="0" t="0" r="6985" b="6985"/>
            <wp:docPr id="6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0"/>
                    <pic:cNvPicPr>
                      <a:picLocks noChangeAspect="1"/>
                    </pic:cNvPicPr>
                  </pic:nvPicPr>
                  <pic:blipFill>
                    <a:blip r:embed="rId81"/>
                    <a:stretch>
                      <a:fillRect/>
                    </a:stretch>
                  </pic:blipFill>
                  <pic:spPr>
                    <a:xfrm>
                      <a:off x="0" y="0"/>
                      <a:ext cx="4584065" cy="27552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图 5.2.2-4   非正常工况下高锰酸盐指数下渗100d随距离变化图</w:t>
      </w:r>
    </w:p>
    <w:p>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color w:val="auto"/>
          <w:highlight w:val="none"/>
          <w:lang w:val="en-US" w:eastAsia="zh-CN"/>
        </w:rPr>
      </w:pPr>
      <w:r>
        <w:rPr>
          <w:color w:val="auto"/>
        </w:rPr>
        <w:drawing>
          <wp:inline distT="0" distB="0" distL="114300" distR="114300">
            <wp:extent cx="4584065" cy="2755265"/>
            <wp:effectExtent l="0" t="0" r="6985" b="6985"/>
            <wp:docPr id="6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1"/>
                    <pic:cNvPicPr>
                      <a:picLocks noChangeAspect="1"/>
                    </pic:cNvPicPr>
                  </pic:nvPicPr>
                  <pic:blipFill>
                    <a:blip r:embed="rId82"/>
                    <a:stretch>
                      <a:fillRect/>
                    </a:stretch>
                  </pic:blipFill>
                  <pic:spPr>
                    <a:xfrm>
                      <a:off x="0" y="0"/>
                      <a:ext cx="4584065" cy="27552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图 5.2.2-5   非正常工况下高锰酸盐指数下渗1000d随距离变化图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根据预测结果可知，当污水处理设施出现破损或破裂，发生污水渗漏的非正常状况下，高锰酸盐指数发生渗漏后 100d 内的最大超标距离不超过 88m，预测最远影响距离为 109m；1000d 内的最大超标距离不超过 438m，预测最远影响距离为508m。</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综上所述，正常状况下，项目产生污染物不会对地下水环境造成影响；非正常状况下，如果项目防渗处理措施为非正常运行，污染物进入地下水后对地下水造成污染。因此，需要建设单位加强设施的维护和管理，防止管道、阀门的跑冒滴漏和非正常状况情况发生，严格按照相关技术规范中的防渗措施要求对厂区进行分区防渗处理。</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5.2.2.3 地下水环境影响分析结论</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4"/>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5.2.2.3.1地下水水质影响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污染物对地下水的影响主要是由于降雨或废水排放等通过垂直渗透进入包气带，进入包气带的污染物在物理、化学和生物作用下经吸附、转化、迁移和分解后输入地下水。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正常工况下，厂区建设期间采取了必要防护措施，运营期间在严格按照设计要求落实好环保、防渗措施的情况下，基本不会对当地浅层地下水造成影响。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非正常情况下，根据污染物事故泄漏预测可知，污染物在地下水中的运移速度较快，扩散范围较小，对周边的居民点的影响较小。根据污染物跑冒滴漏预测可知，管网跑冒滴漏时，污染物对地下水影响范围较大，为降低跑冒滴漏引起的污水下渗对地下水的影响，应将污水管道采取严格的防腐防渗措施，有效控制地下水的污染。</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企业正式营运中，应通过加强管理监督，维护和完善防渗系统，严格执行防渗措施，建立和完善雨污水的收集、排放系统，尤其要加强生产管理和环保管理，最大限度减轻对地下水环境的影响。</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4"/>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5.2.2.3.2地下水水量影响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评价区域地下水涵养量主要补给途径为大气降水，项目地下水入渗量通过绿化洒水等进行补给，同时，项目的人工绿地也会增加绿化区地下水的涵养量。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项目生产用水和生活用水均由自来水管网提供，不涉及到地下水的取用。项目生产废水回用于生产，生活污水经园区污水管网排入园区污水处理厂处理。由于项目不取用地下水，因此对地下水水量影响较小。 </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4"/>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5.2.2.3.3地下水影响分析结论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综上所述，建设单位应切实落实好建设项目的废水集中收集预处理工作，做好厂内的地面硬化防渗，包括生产装置区和危废暂存间的地面防渗工作，特别是污水处理设施构筑物的防沉降措施。若废水发生非正常排放（包括消防水以及泄漏的物料等）不会排到环境水体当中，本项目建设有相应的事故废水收集暂存系统，及配套泵、管线，收集装置区发生重大事故进行事故应急处理时产生的废水，再对收集后的废水进行化验分析后根据废水的受污染程度逐渐加入正常污水中稀释处理。因此也不会对地下水造成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综上所述，只要做好严格的防渗和管理措施，本项目的建设对地下水环境影响较小。</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5.2.3 运营期声环境影响预测与评价</w:t>
      </w:r>
    </w:p>
    <w:p>
      <w:pPr>
        <w:pStyle w:val="5"/>
        <w:keepNext w:val="0"/>
        <w:keepLines w:val="0"/>
        <w:pageBreakBefore w:val="0"/>
        <w:widowControl w:val="0"/>
        <w:kinsoku/>
        <w:wordWrap/>
        <w:overflowPunct/>
        <w:topLinePunct/>
        <w:autoSpaceDE/>
        <w:autoSpaceDN/>
        <w:bidi w:val="0"/>
        <w:adjustRightInd/>
        <w:snapToGrid/>
        <w:spacing w:line="560" w:lineRule="exac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5.2.3.1 预测因子</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拟建项目预测因子为等效连续A声级。</w:t>
      </w:r>
    </w:p>
    <w:p>
      <w:pPr>
        <w:keepNext w:val="0"/>
        <w:keepLines w:val="0"/>
        <w:pageBreakBefore w:val="0"/>
        <w:widowControl w:val="0"/>
        <w:kinsoku/>
        <w:wordWrap/>
        <w:overflowPunct/>
        <w:topLinePunct/>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5.2.3.2 评价标准</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本次噪声执行《工业企业厂界环境噪声排放标准》（GB12348-2008）</w:t>
      </w:r>
      <w:r>
        <w:rPr>
          <w:rFonts w:hint="eastAsia"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类标准，即昼间</w:t>
      </w: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6</w:t>
      </w:r>
      <w:r>
        <w:rPr>
          <w:rFonts w:hint="eastAsia"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rPr>
        <w:t>dB（A），夜间</w:t>
      </w: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5</w:t>
      </w:r>
      <w:r>
        <w:rPr>
          <w:rFonts w:hint="eastAsia"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rPr>
        <w:t>dB（A）。</w:t>
      </w:r>
    </w:p>
    <w:p>
      <w:pPr>
        <w:keepNext w:val="0"/>
        <w:keepLines w:val="0"/>
        <w:pageBreakBefore w:val="0"/>
        <w:widowControl w:val="0"/>
        <w:kinsoku/>
        <w:wordWrap/>
        <w:overflowPunct/>
        <w:topLinePunct/>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5.2.3.3 预测内容</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 xml:space="preserve">项目厂界周边 200m 范围内无噪声敏感点，因此，本次评价不再进行环境敏感点的噪声影响评价。 </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拟建项目运行期噪声源稳定，且为连续声源，预测方案将分别预测正常运行条件下，项目厂界的昼间和夜间噪声。</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根据厂区平面布置情况，分别在厂区东西南北四个厂界设置噪声预测点进行预测，拟建工程为新建，按照导则要求，对厂界噪声贡献值进行评价。</w:t>
      </w:r>
    </w:p>
    <w:p>
      <w:pPr>
        <w:keepNext w:val="0"/>
        <w:keepLines w:val="0"/>
        <w:pageBreakBefore w:val="0"/>
        <w:widowControl w:val="0"/>
        <w:kinsoku/>
        <w:wordWrap/>
        <w:overflowPunct/>
        <w:topLinePunct/>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5.2.3.4 噪声源强</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rPr>
          <w:rFonts w:hint="eastAsia"/>
          <w:color w:val="auto"/>
        </w:rPr>
        <w:sectPr>
          <w:pgSz w:w="12240" w:h="15840"/>
          <w:pgMar w:top="1440" w:right="1800" w:bottom="1440" w:left="1800" w:header="720" w:footer="720" w:gutter="0"/>
          <w:pgBorders>
            <w:top w:val="none" w:sz="0" w:space="0"/>
            <w:left w:val="none" w:sz="0" w:space="0"/>
            <w:bottom w:val="none" w:sz="0" w:space="0"/>
            <w:right w:val="none" w:sz="0" w:space="0"/>
          </w:pgBorders>
          <w:pgNumType w:fmt="numberInDash"/>
          <w:cols w:space="720" w:num="1"/>
          <w:docGrid w:linePitch="286" w:charSpace="0"/>
        </w:sectPr>
      </w:pPr>
      <w:r>
        <w:rPr>
          <w:rFonts w:hint="default" w:ascii="Times New Roman" w:hAnsi="Times New Roman" w:eastAsia="宋体" w:cs="Times New Roman"/>
          <w:color w:val="auto"/>
          <w:sz w:val="24"/>
          <w:szCs w:val="24"/>
        </w:rPr>
        <w:t>本项目噪声源主要是设备噪声</w:t>
      </w:r>
      <w:r>
        <w:rPr>
          <w:rFonts w:hint="eastAsia" w:ascii="Times New Roman" w:hAnsi="Times New Roman" w:eastAsia="宋体" w:cs="Times New Roman"/>
          <w:color w:val="auto"/>
          <w:sz w:val="24"/>
          <w:szCs w:val="24"/>
          <w:lang w:val="en-US" w:eastAsia="zh-CN"/>
        </w:rPr>
        <w:t>及</w:t>
      </w:r>
      <w:r>
        <w:rPr>
          <w:rFonts w:hint="default" w:ascii="Times New Roman" w:hAnsi="Times New Roman" w:eastAsia="宋体" w:cs="Times New Roman"/>
          <w:color w:val="auto"/>
          <w:sz w:val="24"/>
          <w:szCs w:val="24"/>
        </w:rPr>
        <w:t>运输车辆。噪声源强</w:t>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"_bookmark94"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见表</w:t>
      </w:r>
      <w:r>
        <w:rPr>
          <w:rFonts w:hint="default" w:ascii="Times New Roman" w:hAnsi="Times New Roman" w:eastAsia="宋体" w:cs="Times New Roman"/>
          <w:color w:val="auto"/>
          <w:sz w:val="24"/>
          <w:szCs w:val="24"/>
          <w:lang w:val="en-US" w:eastAsia="zh-CN"/>
        </w:rPr>
        <w:t xml:space="preserve"> 5.2.3</w:t>
      </w:r>
      <w:r>
        <w:rPr>
          <w:rFonts w:hint="default" w:ascii="Times New Roman" w:hAnsi="Times New Roman" w:eastAsia="宋体" w:cs="Times New Roman"/>
          <w:color w:val="auto"/>
          <w:sz w:val="24"/>
          <w:szCs w:val="24"/>
        </w:rPr>
        <w:t>-1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t>。</w:t>
      </w:r>
    </w:p>
    <w:p>
      <w:pPr>
        <w:pStyle w:val="26"/>
        <w:keepNext w:val="0"/>
        <w:keepLines w:val="0"/>
        <w:pageBreakBefore w:val="0"/>
        <w:widowControl w:val="0"/>
        <w:kinsoku/>
        <w:wordWrap/>
        <w:overflowPunct/>
        <w:topLinePunct/>
        <w:autoSpaceDE/>
        <w:autoSpaceDN/>
        <w:bidi w:val="0"/>
        <w:adjustRightInd w:val="0"/>
        <w:snapToGrid w:val="0"/>
        <w:spacing w:line="240" w:lineRule="auto"/>
        <w:ind w:left="0" w:leftChars="0" w:firstLine="0" w:firstLineChars="0"/>
        <w:jc w:val="center"/>
        <w:textAlignment w:val="auto"/>
        <w:rPr>
          <w:rFonts w:hint="eastAsia"/>
          <w:color w:val="auto"/>
          <w:lang w:val="en-US" w:eastAsia="zh-CN"/>
        </w:rPr>
      </w:pPr>
      <w:r>
        <w:rPr>
          <w:rFonts w:hint="default" w:ascii="Times New Roman" w:hAnsi="Times New Roman" w:eastAsia="宋体" w:cs="Times New Roman"/>
          <w:b/>
          <w:bCs/>
          <w:color w:val="auto"/>
          <w:lang w:val="en-US" w:eastAsia="zh-CN"/>
        </w:rPr>
        <w:t>表 5.2.3-1   拟建项目噪声源强调查清单（室内声源）</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
        <w:gridCol w:w="1087"/>
        <w:gridCol w:w="1211"/>
        <w:gridCol w:w="2155"/>
        <w:gridCol w:w="931"/>
        <w:gridCol w:w="994"/>
        <w:gridCol w:w="441"/>
        <w:gridCol w:w="330"/>
        <w:gridCol w:w="504"/>
        <w:gridCol w:w="823"/>
        <w:gridCol w:w="923"/>
        <w:gridCol w:w="570"/>
        <w:gridCol w:w="1169"/>
        <w:gridCol w:w="899"/>
        <w:gridCol w:w="6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序号</w:t>
            </w:r>
          </w:p>
        </w:tc>
        <w:tc>
          <w:tcPr>
            <w:tcW w:w="412"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建筑物名称</w:t>
            </w:r>
          </w:p>
        </w:tc>
        <w:tc>
          <w:tcPr>
            <w:tcW w:w="459"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声源</w:t>
            </w:r>
            <w:r>
              <w:rPr>
                <w:rFonts w:hint="default" w:ascii="Times New Roman" w:hAnsi="Times New Roman" w:eastAsia="宋体" w:cs="Times New Roman"/>
                <w:b/>
                <w:bCs/>
                <w:color w:val="auto"/>
                <w:sz w:val="21"/>
                <w:szCs w:val="21"/>
                <w:vertAlign w:val="baseline"/>
                <w:lang w:val="en-US" w:eastAsia="zh-CN"/>
              </w:rPr>
              <w:t>名称</w:t>
            </w:r>
          </w:p>
        </w:tc>
        <w:tc>
          <w:tcPr>
            <w:tcW w:w="817"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规格型号</w:t>
            </w:r>
          </w:p>
        </w:tc>
        <w:tc>
          <w:tcPr>
            <w:tcW w:w="353"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rPr>
              <w:t>声功率级/dB(A</w:t>
            </w:r>
          </w:p>
        </w:tc>
        <w:tc>
          <w:tcPr>
            <w:tcW w:w="377" w:type="pct"/>
            <w:vMerge w:val="restar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cs="Times New Roman"/>
                <w:b/>
                <w:bCs/>
                <w:color w:val="auto"/>
                <w:sz w:val="21"/>
                <w:szCs w:val="21"/>
              </w:rPr>
              <w:t>声源控制措施</w:t>
            </w:r>
          </w:p>
        </w:tc>
        <w:tc>
          <w:tcPr>
            <w:tcW w:w="483" w:type="pct"/>
            <w:gridSpan w:val="3"/>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cs="Times New Roman"/>
                <w:b/>
                <w:bCs/>
                <w:color w:val="auto"/>
                <w:sz w:val="21"/>
                <w:szCs w:val="21"/>
                <w:lang w:val="en-US"/>
              </w:rPr>
            </w:pPr>
            <w:r>
              <w:rPr>
                <w:rFonts w:hint="eastAsia" w:cs="Times New Roman"/>
                <w:b/>
                <w:bCs/>
                <w:color w:val="auto"/>
                <w:sz w:val="21"/>
                <w:szCs w:val="21"/>
                <w:lang w:val="en-US" w:eastAsia="zh-CN"/>
              </w:rPr>
              <w:t>空间相对位置/m</w:t>
            </w:r>
          </w:p>
        </w:tc>
        <w:tc>
          <w:tcPr>
            <w:tcW w:w="312" w:type="pct"/>
            <w:vMerge w:val="restar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cs="Times New Roman"/>
                <w:b/>
                <w:bCs/>
                <w:color w:val="auto"/>
                <w:sz w:val="21"/>
                <w:szCs w:val="21"/>
              </w:rPr>
              <w:t>距室内边界距离/m</w:t>
            </w:r>
          </w:p>
        </w:tc>
        <w:tc>
          <w:tcPr>
            <w:tcW w:w="350" w:type="pct"/>
            <w:vMerge w:val="restar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室内边界声级/</w:t>
            </w:r>
          </w:p>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cs="Times New Roman"/>
                <w:b/>
                <w:bCs/>
                <w:color w:val="auto"/>
                <w:sz w:val="21"/>
                <w:szCs w:val="21"/>
              </w:rPr>
              <w:t>dB(A)</w:t>
            </w:r>
          </w:p>
        </w:tc>
        <w:tc>
          <w:tcPr>
            <w:tcW w:w="216" w:type="pct"/>
            <w:vMerge w:val="restar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cs="Times New Roman"/>
                <w:b/>
                <w:bCs/>
                <w:color w:val="auto"/>
                <w:sz w:val="21"/>
                <w:szCs w:val="21"/>
              </w:rPr>
              <w:t>运行时段</w:t>
            </w:r>
          </w:p>
        </w:tc>
        <w:tc>
          <w:tcPr>
            <w:tcW w:w="443" w:type="pct"/>
            <w:vMerge w:val="restar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cs="Times New Roman"/>
                <w:b/>
                <w:bCs/>
                <w:color w:val="auto"/>
                <w:sz w:val="21"/>
                <w:szCs w:val="21"/>
              </w:rPr>
              <w:t>建筑物插入损失/dB(A)</w:t>
            </w:r>
          </w:p>
        </w:tc>
        <w:tc>
          <w:tcPr>
            <w:tcW w:w="601" w:type="pct"/>
            <w:gridSpan w:val="2"/>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cs="Times New Roman"/>
                <w:b/>
                <w:bCs/>
                <w:color w:val="auto"/>
                <w:sz w:val="21"/>
                <w:szCs w:val="21"/>
              </w:rPr>
            </w:pPr>
            <w:r>
              <w:rPr>
                <w:rFonts w:hint="eastAsia"/>
                <w:b/>
                <w:bCs/>
                <w:color w:val="auto"/>
                <w:sz w:val="21"/>
                <w:szCs w:val="21"/>
              </w:rPr>
              <w:t>建筑物外噪声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p>
        </w:tc>
        <w:tc>
          <w:tcPr>
            <w:tcW w:w="4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21"/>
                <w:szCs w:val="21"/>
                <w:vertAlign w:val="baseline"/>
                <w:lang w:val="en-US" w:eastAsia="zh-CN"/>
              </w:rPr>
            </w:pPr>
          </w:p>
        </w:tc>
        <w:tc>
          <w:tcPr>
            <w:tcW w:w="45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21"/>
                <w:szCs w:val="21"/>
                <w:vertAlign w:val="baseline"/>
                <w:lang w:val="en-US" w:eastAsia="zh-CN"/>
              </w:rPr>
            </w:pPr>
          </w:p>
        </w:tc>
        <w:tc>
          <w:tcPr>
            <w:tcW w:w="81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rPr>
            </w:pPr>
          </w:p>
        </w:tc>
        <w:tc>
          <w:tcPr>
            <w:tcW w:w="377" w:type="pct"/>
            <w:vMerge w:val="continue"/>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cs="Times New Roman"/>
                <w:b/>
                <w:bCs/>
                <w:color w:val="auto"/>
                <w:sz w:val="21"/>
                <w:szCs w:val="21"/>
              </w:rPr>
            </w:pPr>
          </w:p>
        </w:tc>
        <w:tc>
          <w:tcPr>
            <w:tcW w:w="167" w:type="pc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b/>
                <w:bCs/>
                <w:color w:val="auto"/>
                <w:kern w:val="0"/>
                <w:sz w:val="21"/>
                <w:szCs w:val="21"/>
                <w:lang w:val="en-US" w:eastAsia="zh-CN" w:bidi="ar-SA"/>
              </w:rPr>
            </w:pPr>
            <w:r>
              <w:rPr>
                <w:rFonts w:hint="eastAsia"/>
                <w:b/>
                <w:bCs/>
                <w:color w:val="auto"/>
                <w:sz w:val="21"/>
                <w:szCs w:val="21"/>
              </w:rPr>
              <w:t>x</w:t>
            </w:r>
          </w:p>
        </w:tc>
        <w:tc>
          <w:tcPr>
            <w:tcW w:w="125" w:type="pc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b/>
                <w:bCs/>
                <w:color w:val="auto"/>
                <w:kern w:val="0"/>
                <w:sz w:val="21"/>
                <w:szCs w:val="21"/>
                <w:lang w:val="en-US" w:eastAsia="zh-CN" w:bidi="ar-SA"/>
              </w:rPr>
            </w:pPr>
            <w:r>
              <w:rPr>
                <w:rFonts w:hint="eastAsia"/>
                <w:b/>
                <w:bCs/>
                <w:color w:val="auto"/>
                <w:sz w:val="21"/>
                <w:szCs w:val="21"/>
              </w:rPr>
              <w:t>y</w:t>
            </w:r>
          </w:p>
        </w:tc>
        <w:tc>
          <w:tcPr>
            <w:tcW w:w="190" w:type="pc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b/>
                <w:bCs/>
                <w:color w:val="auto"/>
                <w:kern w:val="0"/>
                <w:sz w:val="21"/>
                <w:szCs w:val="21"/>
                <w:lang w:val="en-US" w:eastAsia="zh-CN" w:bidi="ar-SA"/>
              </w:rPr>
            </w:pPr>
            <w:r>
              <w:rPr>
                <w:rFonts w:hint="eastAsia"/>
                <w:b/>
                <w:bCs/>
                <w:color w:val="auto"/>
                <w:sz w:val="21"/>
                <w:szCs w:val="21"/>
              </w:rPr>
              <w:t>z</w:t>
            </w:r>
          </w:p>
        </w:tc>
        <w:tc>
          <w:tcPr>
            <w:tcW w:w="312" w:type="pct"/>
            <w:vMerge w:val="continue"/>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cs="Times New Roman"/>
                <w:b/>
                <w:bCs/>
                <w:color w:val="auto"/>
                <w:sz w:val="21"/>
                <w:szCs w:val="21"/>
              </w:rPr>
            </w:pPr>
          </w:p>
        </w:tc>
        <w:tc>
          <w:tcPr>
            <w:tcW w:w="350" w:type="pct"/>
            <w:vMerge w:val="continue"/>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cs="Times New Roman"/>
                <w:b/>
                <w:bCs/>
                <w:color w:val="auto"/>
                <w:sz w:val="21"/>
                <w:szCs w:val="21"/>
              </w:rPr>
            </w:pPr>
          </w:p>
        </w:tc>
        <w:tc>
          <w:tcPr>
            <w:tcW w:w="216" w:type="pct"/>
            <w:vMerge w:val="continue"/>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cs="Times New Roman"/>
                <w:b/>
                <w:bCs/>
                <w:color w:val="auto"/>
                <w:sz w:val="21"/>
                <w:szCs w:val="21"/>
              </w:rPr>
            </w:pPr>
          </w:p>
        </w:tc>
        <w:tc>
          <w:tcPr>
            <w:tcW w:w="443" w:type="pct"/>
            <w:vMerge w:val="continue"/>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cs="Times New Roman"/>
                <w:b/>
                <w:bCs/>
                <w:color w:val="auto"/>
                <w:sz w:val="21"/>
                <w:szCs w:val="21"/>
              </w:rPr>
            </w:pPr>
          </w:p>
        </w:tc>
        <w:tc>
          <w:tcPr>
            <w:tcW w:w="341" w:type="pc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b/>
                <w:bCs/>
                <w:color w:val="auto"/>
                <w:kern w:val="0"/>
                <w:sz w:val="21"/>
                <w:szCs w:val="21"/>
                <w:lang w:val="en-US" w:eastAsia="zh-CN" w:bidi="ar-SA"/>
              </w:rPr>
            </w:pPr>
            <w:r>
              <w:rPr>
                <w:rFonts w:hint="eastAsia"/>
                <w:b/>
                <w:bCs/>
                <w:color w:val="auto"/>
                <w:sz w:val="21"/>
                <w:szCs w:val="21"/>
              </w:rPr>
              <w:t>声压级dB(A)</w:t>
            </w:r>
          </w:p>
        </w:tc>
        <w:tc>
          <w:tcPr>
            <w:tcW w:w="260" w:type="pc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b/>
                <w:bCs/>
                <w:color w:val="auto"/>
                <w:kern w:val="0"/>
                <w:sz w:val="21"/>
                <w:szCs w:val="21"/>
                <w:lang w:val="en-US" w:eastAsia="zh-CN" w:bidi="ar-SA"/>
              </w:rPr>
            </w:pPr>
            <w:r>
              <w:rPr>
                <w:rFonts w:hint="eastAsia"/>
                <w:b/>
                <w:bCs/>
                <w:color w:val="auto"/>
                <w:sz w:val="21"/>
                <w:szCs w:val="21"/>
              </w:rPr>
              <w:t>建筑物外距离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412"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油脂</w:t>
            </w:r>
            <w:r>
              <w:rPr>
                <w:rFonts w:hint="default" w:ascii="Times New Roman" w:hAnsi="Times New Roman" w:eastAsia="宋体" w:cs="Times New Roman"/>
                <w:color w:val="auto"/>
                <w:sz w:val="21"/>
                <w:szCs w:val="21"/>
                <w:vertAlign w:val="baseline"/>
                <w:lang w:val="en-US" w:eastAsia="zh-CN"/>
              </w:rPr>
              <w:t>回收</w:t>
            </w:r>
            <w:r>
              <w:rPr>
                <w:rFonts w:hint="eastAsia" w:ascii="Times New Roman" w:hAnsi="Times New Roman" w:eastAsia="宋体" w:cs="Times New Roman"/>
                <w:color w:val="auto"/>
                <w:sz w:val="21"/>
                <w:szCs w:val="21"/>
                <w:vertAlign w:val="baseline"/>
                <w:lang w:val="en-US" w:eastAsia="zh-CN"/>
              </w:rPr>
              <w:t>车间</w:t>
            </w: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熔炼釜</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RLF180</w:t>
            </w:r>
          </w:p>
        </w:tc>
        <w:tc>
          <w:tcPr>
            <w:tcW w:w="353"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lang w:val="en-US" w:eastAsia="zh-CN"/>
              </w:rPr>
              <w:t>75-90</w:t>
            </w:r>
          </w:p>
        </w:tc>
        <w:tc>
          <w:tcPr>
            <w:tcW w:w="377"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rPr>
              <w:t>基础减振、厂房隔音</w:t>
            </w:r>
          </w:p>
        </w:tc>
        <w:tc>
          <w:tcPr>
            <w:tcW w:w="167"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33</w:t>
            </w:r>
          </w:p>
        </w:tc>
        <w:tc>
          <w:tcPr>
            <w:tcW w:w="125"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7</w:t>
            </w:r>
          </w:p>
        </w:tc>
        <w:tc>
          <w:tcPr>
            <w:tcW w:w="190"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1.5</w:t>
            </w: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350"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lang w:val="en-US" w:eastAsia="zh-CN"/>
              </w:rPr>
              <w:t>75-90</w:t>
            </w:r>
          </w:p>
        </w:tc>
        <w:tc>
          <w:tcPr>
            <w:tcW w:w="216"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rPr>
              <w:t>全天</w:t>
            </w:r>
          </w:p>
        </w:tc>
        <w:tc>
          <w:tcPr>
            <w:tcW w:w="443" w:type="pc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rPr>
              <w:t>25</w:t>
            </w:r>
          </w:p>
        </w:tc>
        <w:tc>
          <w:tcPr>
            <w:tcW w:w="341" w:type="pct"/>
            <w:vMerge w:val="restar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50-65</w:t>
            </w:r>
          </w:p>
        </w:tc>
        <w:tc>
          <w:tcPr>
            <w:tcW w:w="260" w:type="pct"/>
            <w:vMerge w:val="restar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4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油箱</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1500×1250×1250</w:t>
            </w: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2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9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35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43" w:type="pc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rPr>
              <w:t>25</w:t>
            </w:r>
          </w:p>
        </w:tc>
        <w:tc>
          <w:tcPr>
            <w:tcW w:w="341" w:type="pct"/>
            <w:vMerge w:val="continue"/>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cs="Times New Roman"/>
                <w:color w:val="auto"/>
                <w:sz w:val="21"/>
                <w:szCs w:val="21"/>
              </w:rPr>
            </w:pPr>
          </w:p>
        </w:tc>
        <w:tc>
          <w:tcPr>
            <w:tcW w:w="260" w:type="pct"/>
            <w:vMerge w:val="continue"/>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w:t>
            </w:r>
          </w:p>
        </w:tc>
        <w:tc>
          <w:tcPr>
            <w:tcW w:w="4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储气罐</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CCG80</w:t>
            </w: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2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9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35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43" w:type="pc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rPr>
              <w:t>25</w:t>
            </w:r>
          </w:p>
        </w:tc>
        <w:tc>
          <w:tcPr>
            <w:tcW w:w="341" w:type="pct"/>
            <w:vMerge w:val="continue"/>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cs="Times New Roman"/>
                <w:color w:val="auto"/>
                <w:sz w:val="21"/>
                <w:szCs w:val="21"/>
              </w:rPr>
            </w:pPr>
          </w:p>
        </w:tc>
        <w:tc>
          <w:tcPr>
            <w:tcW w:w="260" w:type="pct"/>
            <w:vMerge w:val="continue"/>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w:t>
            </w:r>
          </w:p>
        </w:tc>
        <w:tc>
          <w:tcPr>
            <w:tcW w:w="4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废气冷凝机</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FQLN50</w:t>
            </w: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2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9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w:t>
            </w:r>
          </w:p>
        </w:tc>
        <w:tc>
          <w:tcPr>
            <w:tcW w:w="35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43" w:type="pc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25</w:t>
            </w:r>
          </w:p>
        </w:tc>
        <w:tc>
          <w:tcPr>
            <w:tcW w:w="341" w:type="pct"/>
            <w:vMerge w:val="continue"/>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cs="Times New Roman"/>
                <w:color w:val="auto"/>
                <w:sz w:val="21"/>
                <w:szCs w:val="21"/>
                <w:lang w:val="en-US" w:eastAsia="zh-CN"/>
              </w:rPr>
            </w:pPr>
          </w:p>
        </w:tc>
        <w:tc>
          <w:tcPr>
            <w:tcW w:w="260" w:type="pct"/>
            <w:vMerge w:val="continue"/>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w:t>
            </w:r>
          </w:p>
        </w:tc>
        <w:tc>
          <w:tcPr>
            <w:tcW w:w="4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水喷射泵</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PSB-320</w:t>
            </w: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2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9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35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43" w:type="pct"/>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25</w:t>
            </w:r>
          </w:p>
        </w:tc>
        <w:tc>
          <w:tcPr>
            <w:tcW w:w="341" w:type="pct"/>
            <w:vMerge w:val="continue"/>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cs="Times New Roman"/>
                <w:color w:val="auto"/>
                <w:sz w:val="21"/>
                <w:szCs w:val="21"/>
                <w:lang w:val="en-US" w:eastAsia="zh-CN"/>
              </w:rPr>
            </w:pPr>
          </w:p>
        </w:tc>
        <w:tc>
          <w:tcPr>
            <w:tcW w:w="260" w:type="pct"/>
            <w:vMerge w:val="continue"/>
            <w:tcBorders>
              <w:tl2br w:val="nil"/>
              <w:tr2bl w:val="nil"/>
            </w:tcBorders>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w:t>
            </w:r>
          </w:p>
        </w:tc>
        <w:tc>
          <w:tcPr>
            <w:tcW w:w="4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粗脂酸罐</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60m</w:t>
            </w:r>
            <w:r>
              <w:rPr>
                <w:rFonts w:hint="default" w:ascii="Times New Roman" w:hAnsi="Times New Roman" w:eastAsia="宋体" w:cs="Times New Roman"/>
                <w:color w:val="auto"/>
                <w:sz w:val="21"/>
                <w:szCs w:val="21"/>
                <w:vertAlign w:val="superscript"/>
                <w:lang w:val="en-US" w:eastAsia="zh-CN"/>
              </w:rPr>
              <w:t>3</w:t>
            </w: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2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9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35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4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c>
          <w:tcPr>
            <w:tcW w:w="34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w:t>
            </w:r>
          </w:p>
        </w:tc>
        <w:tc>
          <w:tcPr>
            <w:tcW w:w="4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油脂废水罐</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50m</w:t>
            </w:r>
            <w:r>
              <w:rPr>
                <w:rFonts w:hint="default" w:ascii="Times New Roman" w:hAnsi="Times New Roman" w:eastAsia="宋体" w:cs="Times New Roman"/>
                <w:color w:val="auto"/>
                <w:sz w:val="21"/>
                <w:szCs w:val="21"/>
                <w:vertAlign w:val="superscript"/>
                <w:lang w:val="en-US" w:eastAsia="zh-CN"/>
              </w:rPr>
              <w:t>3</w:t>
            </w: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2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9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35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4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c>
          <w:tcPr>
            <w:tcW w:w="34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8</w:t>
            </w:r>
          </w:p>
        </w:tc>
        <w:tc>
          <w:tcPr>
            <w:tcW w:w="4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中转泵</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5.5kW</w:t>
            </w: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2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9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35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4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w:t>
            </w:r>
          </w:p>
        </w:tc>
        <w:tc>
          <w:tcPr>
            <w:tcW w:w="34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9</w:t>
            </w:r>
          </w:p>
        </w:tc>
        <w:tc>
          <w:tcPr>
            <w:tcW w:w="4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水解进料泵</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5.5kW</w:t>
            </w: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2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9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35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4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w:t>
            </w:r>
          </w:p>
        </w:tc>
        <w:tc>
          <w:tcPr>
            <w:tcW w:w="34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w:t>
            </w:r>
          </w:p>
        </w:tc>
        <w:tc>
          <w:tcPr>
            <w:tcW w:w="4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水解槽</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1.2×1.2×4</w:t>
            </w: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2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9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35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4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c>
          <w:tcPr>
            <w:tcW w:w="34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11</w:t>
            </w:r>
          </w:p>
        </w:tc>
        <w:tc>
          <w:tcPr>
            <w:tcW w:w="4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尾气回收器</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Φ800×5000</w:t>
            </w: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2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9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35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4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c>
          <w:tcPr>
            <w:tcW w:w="34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w:t>
            </w:r>
          </w:p>
        </w:tc>
        <w:tc>
          <w:tcPr>
            <w:tcW w:w="4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中转泵</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4kW</w:t>
            </w: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2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9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35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4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w:t>
            </w:r>
          </w:p>
        </w:tc>
        <w:tc>
          <w:tcPr>
            <w:tcW w:w="34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13</w:t>
            </w:r>
          </w:p>
        </w:tc>
        <w:tc>
          <w:tcPr>
            <w:tcW w:w="4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回流塔</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Φ500×2000</w:t>
            </w: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2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9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w:t>
            </w:r>
          </w:p>
        </w:tc>
        <w:tc>
          <w:tcPr>
            <w:tcW w:w="35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4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c>
          <w:tcPr>
            <w:tcW w:w="34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14</w:t>
            </w:r>
          </w:p>
        </w:tc>
        <w:tc>
          <w:tcPr>
            <w:tcW w:w="4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分馏一塔</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Φ1200×7900</w:t>
            </w: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2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9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35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4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c>
          <w:tcPr>
            <w:tcW w:w="34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15</w:t>
            </w:r>
          </w:p>
        </w:tc>
        <w:tc>
          <w:tcPr>
            <w:tcW w:w="4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主循环泵</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11kW</w:t>
            </w: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2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9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35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4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w:t>
            </w:r>
          </w:p>
        </w:tc>
        <w:tc>
          <w:tcPr>
            <w:tcW w:w="34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16</w:t>
            </w:r>
          </w:p>
        </w:tc>
        <w:tc>
          <w:tcPr>
            <w:tcW w:w="4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再沸器</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13m</w:t>
            </w:r>
            <w:r>
              <w:rPr>
                <w:rFonts w:hint="default" w:ascii="Times New Roman" w:hAnsi="Times New Roman" w:eastAsia="宋体" w:cs="Times New Roman"/>
                <w:color w:val="auto"/>
                <w:sz w:val="21"/>
                <w:szCs w:val="21"/>
                <w:vertAlign w:val="superscript"/>
                <w:lang w:val="en-US" w:eastAsia="zh-CN"/>
              </w:rPr>
              <w:t>3</w:t>
            </w: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2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9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35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4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w:t>
            </w:r>
          </w:p>
        </w:tc>
        <w:tc>
          <w:tcPr>
            <w:tcW w:w="34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17</w:t>
            </w:r>
          </w:p>
        </w:tc>
        <w:tc>
          <w:tcPr>
            <w:tcW w:w="4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循环泵</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34kW</w:t>
            </w: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2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9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35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4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w:t>
            </w:r>
          </w:p>
        </w:tc>
        <w:tc>
          <w:tcPr>
            <w:tcW w:w="34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18</w:t>
            </w:r>
          </w:p>
        </w:tc>
        <w:tc>
          <w:tcPr>
            <w:tcW w:w="4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冷淋器</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25m</w:t>
            </w:r>
            <w:r>
              <w:rPr>
                <w:rFonts w:hint="default" w:ascii="Times New Roman" w:hAnsi="Times New Roman" w:eastAsia="宋体" w:cs="Times New Roman"/>
                <w:color w:val="auto"/>
                <w:sz w:val="21"/>
                <w:szCs w:val="21"/>
                <w:vertAlign w:val="superscript"/>
                <w:lang w:val="en-US" w:eastAsia="zh-CN"/>
              </w:rPr>
              <w:t>2</w:t>
            </w: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2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9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35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4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c>
          <w:tcPr>
            <w:tcW w:w="34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19</w:t>
            </w:r>
          </w:p>
        </w:tc>
        <w:tc>
          <w:tcPr>
            <w:tcW w:w="4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冷水塔</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36kW</w:t>
            </w: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2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9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35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4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c>
          <w:tcPr>
            <w:tcW w:w="34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c>
          <w:tcPr>
            <w:tcW w:w="4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热水泵</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15kW</w:t>
            </w: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2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9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35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4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w:t>
            </w:r>
          </w:p>
        </w:tc>
        <w:tc>
          <w:tcPr>
            <w:tcW w:w="34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21</w:t>
            </w:r>
          </w:p>
        </w:tc>
        <w:tc>
          <w:tcPr>
            <w:tcW w:w="412"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水溶肥及有机肥</w:t>
            </w:r>
            <w:r>
              <w:rPr>
                <w:rFonts w:hint="eastAsia" w:ascii="Times New Roman" w:hAnsi="Times New Roman" w:eastAsia="宋体" w:cs="Times New Roman"/>
                <w:color w:val="auto"/>
                <w:sz w:val="21"/>
                <w:szCs w:val="21"/>
                <w:vertAlign w:val="baseline"/>
                <w:lang w:val="en-US" w:eastAsia="zh-CN"/>
              </w:rPr>
              <w:t>车间</w:t>
            </w: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溶解槽</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10m</w:t>
            </w:r>
            <w:r>
              <w:rPr>
                <w:rFonts w:hint="default" w:ascii="Times New Roman" w:hAnsi="Times New Roman" w:eastAsia="宋体" w:cs="Times New Roman"/>
                <w:color w:val="auto"/>
                <w:sz w:val="21"/>
                <w:szCs w:val="21"/>
                <w:vertAlign w:val="superscript"/>
                <w:lang w:val="en-US" w:eastAsia="zh-CN"/>
              </w:rPr>
              <w:t>3</w:t>
            </w: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2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9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w:t>
            </w:r>
          </w:p>
        </w:tc>
        <w:tc>
          <w:tcPr>
            <w:tcW w:w="35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4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c>
          <w:tcPr>
            <w:tcW w:w="34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22</w:t>
            </w:r>
          </w:p>
        </w:tc>
        <w:tc>
          <w:tcPr>
            <w:tcW w:w="4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混合搅拌器</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7.5kW</w:t>
            </w: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2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9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35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4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w:t>
            </w:r>
          </w:p>
        </w:tc>
        <w:tc>
          <w:tcPr>
            <w:tcW w:w="34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23</w:t>
            </w:r>
          </w:p>
        </w:tc>
        <w:tc>
          <w:tcPr>
            <w:tcW w:w="4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造粒机</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35t/d</w:t>
            </w: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2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9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35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4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w:t>
            </w:r>
          </w:p>
        </w:tc>
        <w:tc>
          <w:tcPr>
            <w:tcW w:w="34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24</w:t>
            </w:r>
          </w:p>
        </w:tc>
        <w:tc>
          <w:tcPr>
            <w:tcW w:w="4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卧式破碎机</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卧式80-35</w:t>
            </w: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2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9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35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4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w:t>
            </w:r>
          </w:p>
        </w:tc>
        <w:tc>
          <w:tcPr>
            <w:tcW w:w="34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w:t>
            </w:r>
          </w:p>
        </w:tc>
        <w:tc>
          <w:tcPr>
            <w:tcW w:w="4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冷却机</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Φ2.4×24筒体材料816mm，ZQ850型减速机，抄板材料88mm</w:t>
            </w: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2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9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35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4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c>
          <w:tcPr>
            <w:tcW w:w="34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26</w:t>
            </w:r>
          </w:p>
        </w:tc>
        <w:tc>
          <w:tcPr>
            <w:tcW w:w="4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筛分机</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35t/d</w:t>
            </w: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2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9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35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4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w:t>
            </w:r>
          </w:p>
        </w:tc>
        <w:tc>
          <w:tcPr>
            <w:tcW w:w="34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27</w:t>
            </w:r>
          </w:p>
        </w:tc>
        <w:tc>
          <w:tcPr>
            <w:tcW w:w="4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自动包装秤</w:t>
            </w:r>
          </w:p>
        </w:tc>
        <w:tc>
          <w:tcPr>
            <w:tcW w:w="81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DCS-50双称含空压机</w:t>
            </w:r>
          </w:p>
        </w:tc>
        <w:tc>
          <w:tcPr>
            <w:tcW w:w="35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2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9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35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4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c>
          <w:tcPr>
            <w:tcW w:w="34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bl>
    <w:p>
      <w:pPr>
        <w:pStyle w:val="26"/>
        <w:rPr>
          <w:rFonts w:hint="eastAsia"/>
          <w:color w:val="auto"/>
          <w:lang w:val="en-US" w:eastAsia="zh-CN"/>
        </w:rPr>
        <w:sectPr>
          <w:pgSz w:w="15840" w:h="12240" w:orient="landscape"/>
          <w:pgMar w:top="1800" w:right="1440" w:bottom="1800" w:left="1440" w:header="720" w:footer="720" w:gutter="0"/>
          <w:pgBorders>
            <w:top w:val="none" w:sz="0" w:space="0"/>
            <w:left w:val="none" w:sz="0" w:space="0"/>
            <w:bottom w:val="none" w:sz="0" w:space="0"/>
            <w:right w:val="none" w:sz="0" w:space="0"/>
          </w:pgBorders>
          <w:pgNumType w:fmt="numberInDash"/>
          <w:cols w:space="720" w:num="1"/>
          <w:docGrid w:linePitch="286" w:charSpace="0"/>
        </w:sectPr>
      </w:pPr>
      <w:r>
        <w:rPr>
          <w:rFonts w:hint="eastAsia"/>
          <w:color w:val="auto"/>
          <w:lang w:val="en-US" w:eastAsia="zh-CN"/>
        </w:rPr>
        <w:t xml:space="preserve"> </w:t>
      </w:r>
    </w:p>
    <w:p>
      <w:pPr>
        <w:keepNext w:val="0"/>
        <w:keepLines w:val="0"/>
        <w:pageBreakBefore w:val="0"/>
        <w:widowControl w:val="0"/>
        <w:kinsoku/>
        <w:wordWrap/>
        <w:overflowPunct/>
        <w:topLinePunct/>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5.2.3.5 预测模式</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本项目运营期噪声预测采用《环境影响评价技术导则 声环境》（HJ2.4-2021）中推荐的工业噪声预测模式，主要针对本项目噪声源对场界的影响进行预测</w:t>
      </w:r>
      <w:r>
        <w:rPr>
          <w:rFonts w:hint="default" w:ascii="Times New Roman" w:hAnsi="Times New Roman" w:eastAsia="宋体" w:cs="Times New Roman"/>
          <w:color w:val="auto"/>
          <w:sz w:val="24"/>
          <w:szCs w:val="24"/>
          <w:lang w:eastAsia="zh-CN"/>
        </w:rPr>
        <w:t>。</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val="en-US" w:eastAsia="zh-CN"/>
        </w:rPr>
        <w:t>）单个室外的点声源在户外传播衰减的计算</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 xml:space="preserve">单个室外的点声源A声级的计算公式为： </w:t>
      </w:r>
    </w:p>
    <w:p>
      <w:pPr>
        <w:keepNext w:val="0"/>
        <w:keepLines w:val="0"/>
        <w:pageBreakBefore w:val="0"/>
        <w:widowControl w:val="0"/>
        <w:kinsoku/>
        <w:wordWrap/>
        <w:overflowPunct/>
        <w:topLinePunct/>
        <w:autoSpaceDE/>
        <w:autoSpaceDN/>
        <w:bidi w:val="0"/>
        <w:adjustRightInd/>
        <w:snapToGrid/>
        <w:spacing w:line="560" w:lineRule="exact"/>
        <w:ind w:firstLine="0" w:firstLineChars="0"/>
        <w:jc w:val="center"/>
        <w:textAlignment w:val="auto"/>
        <w:outlineLvl w:val="9"/>
        <w:rPr>
          <w:rFonts w:hint="eastAsia"/>
          <w:color w:val="auto"/>
        </w:rPr>
      </w:pPr>
      <w:r>
        <w:rPr>
          <w:rFonts w:hint="eastAsia"/>
          <w:color w:val="auto"/>
          <w:lang w:val="en-US" w:eastAsia="zh-CN"/>
        </w:rPr>
        <w:t>L</w:t>
      </w:r>
      <w:r>
        <w:rPr>
          <w:rFonts w:hint="eastAsia"/>
          <w:color w:val="auto"/>
          <w:vertAlign w:val="subscript"/>
          <w:lang w:val="en-US" w:eastAsia="zh-CN"/>
        </w:rPr>
        <w:t>p</w:t>
      </w:r>
      <w:r>
        <w:rPr>
          <w:rFonts w:hint="eastAsia"/>
          <w:color w:val="auto"/>
          <w:lang w:val="en-US" w:eastAsia="zh-CN"/>
        </w:rPr>
        <w:t>(r)=L</w:t>
      </w:r>
      <w:r>
        <w:rPr>
          <w:rFonts w:hint="eastAsia"/>
          <w:color w:val="auto"/>
          <w:vertAlign w:val="subscript"/>
          <w:lang w:val="en-US" w:eastAsia="zh-CN"/>
        </w:rPr>
        <w:t>p</w:t>
      </w:r>
      <w:r>
        <w:rPr>
          <w:rFonts w:hint="eastAsia"/>
          <w:color w:val="auto"/>
          <w:lang w:val="en-US" w:eastAsia="zh-CN"/>
        </w:rPr>
        <w:t>(r0)-(A</w:t>
      </w:r>
      <w:r>
        <w:rPr>
          <w:rFonts w:hint="eastAsia"/>
          <w:color w:val="auto"/>
          <w:vertAlign w:val="subscript"/>
          <w:lang w:val="en-US" w:eastAsia="zh-CN"/>
        </w:rPr>
        <w:t>div</w:t>
      </w:r>
      <w:r>
        <w:rPr>
          <w:rFonts w:hint="eastAsia"/>
          <w:color w:val="auto"/>
          <w:lang w:val="en-US" w:eastAsia="zh-CN"/>
        </w:rPr>
        <w:t>+A</w:t>
      </w:r>
      <w:r>
        <w:rPr>
          <w:rFonts w:hint="eastAsia"/>
          <w:color w:val="auto"/>
          <w:vertAlign w:val="subscript"/>
          <w:lang w:val="en-US" w:eastAsia="zh-CN"/>
        </w:rPr>
        <w:t>bar</w:t>
      </w:r>
      <w:r>
        <w:rPr>
          <w:rFonts w:hint="eastAsia"/>
          <w:color w:val="auto"/>
          <w:lang w:val="en-US" w:eastAsia="zh-CN"/>
        </w:rPr>
        <w:t>+A</w:t>
      </w:r>
      <w:r>
        <w:rPr>
          <w:rFonts w:hint="eastAsia"/>
          <w:color w:val="auto"/>
          <w:vertAlign w:val="subscript"/>
          <w:lang w:val="en-US" w:eastAsia="zh-CN"/>
        </w:rPr>
        <w:t>atm</w:t>
      </w:r>
      <w:r>
        <w:rPr>
          <w:rFonts w:hint="eastAsia"/>
          <w:color w:val="auto"/>
          <w:lang w:val="en-US" w:eastAsia="zh-CN"/>
        </w:rPr>
        <w:t>+A</w:t>
      </w:r>
      <w:r>
        <w:rPr>
          <w:rFonts w:hint="eastAsia"/>
          <w:color w:val="auto"/>
          <w:vertAlign w:val="subscript"/>
          <w:lang w:val="en-US" w:eastAsia="zh-CN"/>
        </w:rPr>
        <w:t>gr</w:t>
      </w:r>
      <w:r>
        <w:rPr>
          <w:rFonts w:hint="eastAsia"/>
          <w:color w:val="auto"/>
          <w:lang w:val="en-US" w:eastAsia="zh-CN"/>
        </w:rPr>
        <w:t>+A</w:t>
      </w:r>
      <w:r>
        <w:rPr>
          <w:rFonts w:hint="eastAsia"/>
          <w:color w:val="auto"/>
          <w:vertAlign w:val="subscript"/>
          <w:lang w:val="en-US" w:eastAsia="zh-CN"/>
        </w:rPr>
        <w:t>misc</w:t>
      </w:r>
      <w:r>
        <w:rPr>
          <w:rFonts w:hint="eastAsia"/>
          <w:color w:val="auto"/>
          <w:lang w:val="en-US" w:eastAsia="zh-CN"/>
        </w:rPr>
        <w:t>)</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式中：L</w:t>
      </w:r>
      <w:r>
        <w:rPr>
          <w:rFonts w:hint="default" w:ascii="Times New Roman" w:hAnsi="Times New Roman" w:eastAsia="宋体" w:cs="Times New Roman"/>
          <w:color w:val="auto"/>
          <w:sz w:val="24"/>
          <w:szCs w:val="24"/>
          <w:vertAlign w:val="subscript"/>
          <w:lang w:val="en-US" w:eastAsia="zh-CN"/>
        </w:rPr>
        <w:t>p</w:t>
      </w:r>
      <w:r>
        <w:rPr>
          <w:rFonts w:hint="default" w:ascii="Times New Roman" w:hAnsi="Times New Roman" w:eastAsia="宋体" w:cs="Times New Roman"/>
          <w:color w:val="auto"/>
          <w:sz w:val="24"/>
          <w:szCs w:val="24"/>
          <w:lang w:val="en-US" w:eastAsia="zh-CN"/>
        </w:rPr>
        <w:t>(r)——距声源r处的 A 声级，dB；</w:t>
      </w:r>
    </w:p>
    <w:p>
      <w:pPr>
        <w:keepNext w:val="0"/>
        <w:keepLines w:val="0"/>
        <w:pageBreakBefore w:val="0"/>
        <w:widowControl w:val="0"/>
        <w:kinsoku/>
        <w:wordWrap/>
        <w:overflowPunct/>
        <w:topLinePunct/>
        <w:autoSpaceDE/>
        <w:autoSpaceDN/>
        <w:bidi w:val="0"/>
        <w:adjustRightInd/>
        <w:snapToGrid/>
        <w:spacing w:line="560" w:lineRule="exact"/>
        <w:ind w:firstLine="1200" w:firstLineChars="5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L</w:t>
      </w:r>
      <w:r>
        <w:rPr>
          <w:rFonts w:hint="default" w:ascii="Times New Roman" w:hAnsi="Times New Roman" w:eastAsia="宋体" w:cs="Times New Roman"/>
          <w:color w:val="auto"/>
          <w:sz w:val="24"/>
          <w:szCs w:val="24"/>
          <w:vertAlign w:val="subscript"/>
          <w:lang w:val="en-US" w:eastAsia="zh-CN"/>
        </w:rPr>
        <w:t>p</w:t>
      </w:r>
      <w:r>
        <w:rPr>
          <w:rFonts w:hint="default" w:ascii="Times New Roman" w:hAnsi="Times New Roman" w:eastAsia="宋体" w:cs="Times New Roman"/>
          <w:color w:val="auto"/>
          <w:sz w:val="24"/>
          <w:szCs w:val="24"/>
          <w:lang w:val="en-US" w:eastAsia="zh-CN"/>
        </w:rPr>
        <w:t>(r0)——参考位置 r0 处的 A 声级，dB；</w:t>
      </w:r>
    </w:p>
    <w:p>
      <w:pPr>
        <w:keepNext w:val="0"/>
        <w:keepLines w:val="0"/>
        <w:pageBreakBefore w:val="0"/>
        <w:widowControl w:val="0"/>
        <w:kinsoku/>
        <w:wordWrap/>
        <w:overflowPunct/>
        <w:topLinePunct/>
        <w:autoSpaceDE/>
        <w:autoSpaceDN/>
        <w:bidi w:val="0"/>
        <w:adjustRightInd/>
        <w:snapToGrid/>
        <w:spacing w:line="560" w:lineRule="exact"/>
        <w:ind w:firstLine="1200" w:firstLineChars="5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A</w:t>
      </w:r>
      <w:r>
        <w:rPr>
          <w:rFonts w:hint="default" w:ascii="Times New Roman" w:hAnsi="Times New Roman" w:eastAsia="宋体" w:cs="Times New Roman"/>
          <w:color w:val="auto"/>
          <w:sz w:val="24"/>
          <w:szCs w:val="24"/>
          <w:vertAlign w:val="subscript"/>
          <w:lang w:val="en-US" w:eastAsia="zh-CN"/>
        </w:rPr>
        <w:t>div</w:t>
      </w:r>
      <w:r>
        <w:rPr>
          <w:rFonts w:hint="default" w:ascii="Times New Roman" w:hAnsi="Times New Roman" w:eastAsia="宋体" w:cs="Times New Roman"/>
          <w:color w:val="auto"/>
          <w:sz w:val="24"/>
          <w:szCs w:val="24"/>
          <w:lang w:val="en-US" w:eastAsia="zh-CN"/>
        </w:rPr>
        <w:t>——声波几何发散引起的 A 声级衰减量，dB；</w:t>
      </w:r>
    </w:p>
    <w:p>
      <w:pPr>
        <w:keepNext w:val="0"/>
        <w:keepLines w:val="0"/>
        <w:pageBreakBefore w:val="0"/>
        <w:widowControl w:val="0"/>
        <w:kinsoku/>
        <w:wordWrap/>
        <w:overflowPunct/>
        <w:topLinePunct/>
        <w:autoSpaceDE/>
        <w:autoSpaceDN/>
        <w:bidi w:val="0"/>
        <w:adjustRightInd/>
        <w:snapToGrid/>
        <w:spacing w:line="560" w:lineRule="exact"/>
        <w:ind w:firstLine="1200" w:firstLineChars="5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A</w:t>
      </w:r>
      <w:r>
        <w:rPr>
          <w:rFonts w:hint="default" w:ascii="Times New Roman" w:hAnsi="Times New Roman" w:eastAsia="宋体" w:cs="Times New Roman"/>
          <w:color w:val="auto"/>
          <w:sz w:val="24"/>
          <w:szCs w:val="24"/>
          <w:vertAlign w:val="subscript"/>
          <w:lang w:val="en-US" w:eastAsia="zh-CN"/>
        </w:rPr>
        <w:t>bar</w:t>
      </w:r>
      <w:r>
        <w:rPr>
          <w:rFonts w:hint="default" w:ascii="Times New Roman" w:hAnsi="Times New Roman" w:eastAsia="宋体" w:cs="Times New Roman"/>
          <w:color w:val="auto"/>
          <w:sz w:val="24"/>
          <w:szCs w:val="24"/>
          <w:lang w:val="en-US" w:eastAsia="zh-CN"/>
        </w:rPr>
        <w:t>——遮挡物引起的 A 声级衰减量，dB；</w:t>
      </w:r>
    </w:p>
    <w:p>
      <w:pPr>
        <w:keepNext w:val="0"/>
        <w:keepLines w:val="0"/>
        <w:pageBreakBefore w:val="0"/>
        <w:widowControl w:val="0"/>
        <w:kinsoku/>
        <w:wordWrap/>
        <w:overflowPunct/>
        <w:topLinePunct/>
        <w:autoSpaceDE/>
        <w:autoSpaceDN/>
        <w:bidi w:val="0"/>
        <w:adjustRightInd/>
        <w:snapToGrid/>
        <w:spacing w:line="560" w:lineRule="exact"/>
        <w:ind w:firstLine="1200" w:firstLineChars="5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A</w:t>
      </w:r>
      <w:r>
        <w:rPr>
          <w:rFonts w:hint="default" w:ascii="Times New Roman" w:hAnsi="Times New Roman" w:eastAsia="宋体" w:cs="Times New Roman"/>
          <w:color w:val="auto"/>
          <w:sz w:val="24"/>
          <w:szCs w:val="24"/>
          <w:vertAlign w:val="subscript"/>
          <w:lang w:val="en-US" w:eastAsia="zh-CN"/>
        </w:rPr>
        <w:t>atm</w:t>
      </w:r>
      <w:r>
        <w:rPr>
          <w:rFonts w:hint="default" w:ascii="Times New Roman" w:hAnsi="Times New Roman" w:eastAsia="宋体" w:cs="Times New Roman"/>
          <w:color w:val="auto"/>
          <w:sz w:val="24"/>
          <w:szCs w:val="24"/>
          <w:lang w:val="en-US" w:eastAsia="zh-CN"/>
        </w:rPr>
        <w:t>——大气吸收引起的 A 声级衰减量，dB；</w:t>
      </w:r>
    </w:p>
    <w:p>
      <w:pPr>
        <w:keepNext w:val="0"/>
        <w:keepLines w:val="0"/>
        <w:pageBreakBefore w:val="0"/>
        <w:widowControl w:val="0"/>
        <w:kinsoku/>
        <w:wordWrap/>
        <w:overflowPunct/>
        <w:topLinePunct/>
        <w:autoSpaceDE/>
        <w:autoSpaceDN/>
        <w:bidi w:val="0"/>
        <w:adjustRightInd/>
        <w:snapToGrid/>
        <w:spacing w:line="560" w:lineRule="exact"/>
        <w:ind w:firstLine="1200" w:firstLineChars="5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A</w:t>
      </w:r>
      <w:r>
        <w:rPr>
          <w:rFonts w:hint="default" w:ascii="Times New Roman" w:hAnsi="Times New Roman" w:eastAsia="宋体" w:cs="Times New Roman"/>
          <w:color w:val="auto"/>
          <w:sz w:val="24"/>
          <w:szCs w:val="24"/>
          <w:vertAlign w:val="subscript"/>
          <w:lang w:val="en-US" w:eastAsia="zh-CN"/>
        </w:rPr>
        <w:t>gr</w:t>
      </w:r>
      <w:r>
        <w:rPr>
          <w:rFonts w:hint="default" w:ascii="Times New Roman" w:hAnsi="Times New Roman" w:eastAsia="宋体" w:cs="Times New Roman"/>
          <w:color w:val="auto"/>
          <w:sz w:val="24"/>
          <w:szCs w:val="24"/>
          <w:lang w:val="en-US" w:eastAsia="zh-CN"/>
        </w:rPr>
        <w:t>——地面效应引起的衰减量，dB；</w:t>
      </w:r>
    </w:p>
    <w:p>
      <w:pPr>
        <w:keepNext w:val="0"/>
        <w:keepLines w:val="0"/>
        <w:pageBreakBefore w:val="0"/>
        <w:widowControl w:val="0"/>
        <w:kinsoku/>
        <w:wordWrap/>
        <w:overflowPunct/>
        <w:topLinePunct/>
        <w:autoSpaceDE/>
        <w:autoSpaceDN/>
        <w:bidi w:val="0"/>
        <w:adjustRightInd/>
        <w:snapToGrid/>
        <w:spacing w:line="560" w:lineRule="exact"/>
        <w:ind w:firstLine="1200" w:firstLineChars="5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A</w:t>
      </w:r>
      <w:r>
        <w:rPr>
          <w:rFonts w:hint="default" w:ascii="Times New Roman" w:hAnsi="Times New Roman" w:eastAsia="宋体" w:cs="Times New Roman"/>
          <w:color w:val="auto"/>
          <w:sz w:val="24"/>
          <w:szCs w:val="24"/>
          <w:vertAlign w:val="subscript"/>
          <w:lang w:val="en-US" w:eastAsia="zh-CN"/>
        </w:rPr>
        <w:t>misc</w:t>
      </w:r>
      <w:r>
        <w:rPr>
          <w:rFonts w:hint="default" w:ascii="Times New Roman" w:hAnsi="Times New Roman" w:eastAsia="宋体" w:cs="Times New Roman"/>
          <w:color w:val="auto"/>
          <w:sz w:val="24"/>
          <w:szCs w:val="24"/>
          <w:lang w:val="en-US" w:eastAsia="zh-CN"/>
        </w:rPr>
        <w:t>——其他多方面效应引起的衰减，dB。</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）声级叠加</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eastAsia"/>
          <w:color w:val="auto"/>
        </w:rPr>
      </w:pPr>
      <w:r>
        <w:rPr>
          <w:rFonts w:hint="default" w:ascii="Times New Roman" w:hAnsi="Times New Roman" w:eastAsia="宋体" w:cs="Times New Roman"/>
          <w:color w:val="auto"/>
          <w:sz w:val="24"/>
          <w:szCs w:val="24"/>
          <w:lang w:val="en-US" w:eastAsia="zh-CN"/>
        </w:rPr>
        <w:t>多声源叠加模式：</w:t>
      </w:r>
    </w:p>
    <w:p>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outlineLvl w:val="9"/>
        <w:rPr>
          <w:rFonts w:hint="eastAsia"/>
          <w:color w:val="auto"/>
          <w:lang w:val="en-US" w:eastAsia="zh-CN"/>
        </w:rPr>
      </w:pPr>
      <w:r>
        <w:rPr>
          <w:rFonts w:hint="eastAsia"/>
          <w:color w:val="auto"/>
        </w:rPr>
        <w:drawing>
          <wp:inline distT="0" distB="0" distL="114300" distR="114300">
            <wp:extent cx="1429385" cy="419100"/>
            <wp:effectExtent l="0" t="0" r="18415" b="0"/>
            <wp:docPr id="6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1"/>
                    <pic:cNvPicPr>
                      <a:picLocks noChangeAspect="1"/>
                    </pic:cNvPicPr>
                  </pic:nvPicPr>
                  <pic:blipFill>
                    <a:blip r:embed="rId83"/>
                    <a:stretch>
                      <a:fillRect/>
                    </a:stretch>
                  </pic:blipFill>
                  <pic:spPr>
                    <a:xfrm>
                      <a:off x="0" y="0"/>
                      <a:ext cx="1429385" cy="419100"/>
                    </a:xfrm>
                    <a:prstGeom prst="rect">
                      <a:avLst/>
                    </a:prstGeom>
                    <a:noFill/>
                    <a:ln>
                      <a:noFill/>
                    </a:ln>
                  </pic:spPr>
                </pic:pic>
              </a:graphicData>
            </a:graphic>
          </wp:inline>
        </w:drawing>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式中：L</w:t>
      </w:r>
      <w:r>
        <w:rPr>
          <w:rFonts w:hint="default" w:ascii="Times New Roman" w:hAnsi="Times New Roman" w:eastAsia="宋体" w:cs="Times New Roman"/>
          <w:color w:val="auto"/>
          <w:sz w:val="24"/>
          <w:szCs w:val="24"/>
          <w:vertAlign w:val="subscript"/>
          <w:lang w:val="en-US" w:eastAsia="zh-CN"/>
        </w:rPr>
        <w:t>0</w:t>
      </w:r>
      <w:r>
        <w:rPr>
          <w:rFonts w:hint="default" w:ascii="Times New Roman" w:hAnsi="Times New Roman" w:eastAsia="宋体" w:cs="Times New Roman"/>
          <w:color w:val="auto"/>
          <w:sz w:val="24"/>
          <w:szCs w:val="24"/>
          <w:lang w:val="en-US" w:eastAsia="zh-CN"/>
        </w:rPr>
        <w:t>——叠加后总声压级，dB(A)；</w:t>
      </w:r>
    </w:p>
    <w:p>
      <w:pPr>
        <w:keepNext w:val="0"/>
        <w:keepLines w:val="0"/>
        <w:pageBreakBefore w:val="0"/>
        <w:widowControl w:val="0"/>
        <w:kinsoku/>
        <w:wordWrap/>
        <w:overflowPunct/>
        <w:topLinePunct/>
        <w:autoSpaceDE/>
        <w:autoSpaceDN/>
        <w:bidi w:val="0"/>
        <w:adjustRightInd/>
        <w:snapToGrid/>
        <w:spacing w:line="560" w:lineRule="exact"/>
        <w:ind w:firstLine="1200" w:firstLineChars="5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n——声源级数；</w:t>
      </w:r>
    </w:p>
    <w:p>
      <w:pPr>
        <w:keepNext w:val="0"/>
        <w:keepLines w:val="0"/>
        <w:pageBreakBefore w:val="0"/>
        <w:widowControl w:val="0"/>
        <w:kinsoku/>
        <w:wordWrap/>
        <w:overflowPunct/>
        <w:topLinePunct/>
        <w:autoSpaceDE/>
        <w:autoSpaceDN/>
        <w:bidi w:val="0"/>
        <w:adjustRightInd/>
        <w:snapToGrid/>
        <w:spacing w:line="560" w:lineRule="exact"/>
        <w:ind w:firstLine="1200" w:firstLineChars="5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L</w:t>
      </w:r>
      <w:r>
        <w:rPr>
          <w:rFonts w:hint="default" w:ascii="Times New Roman" w:hAnsi="Times New Roman" w:eastAsia="宋体" w:cs="Times New Roman"/>
          <w:color w:val="auto"/>
          <w:sz w:val="24"/>
          <w:szCs w:val="24"/>
          <w:vertAlign w:val="subscript"/>
          <w:lang w:val="en-US" w:eastAsia="zh-CN"/>
        </w:rPr>
        <w:t>i</w:t>
      </w:r>
      <w:r>
        <w:rPr>
          <w:rFonts w:hint="default" w:ascii="Times New Roman" w:hAnsi="Times New Roman" w:eastAsia="宋体" w:cs="Times New Roman"/>
          <w:color w:val="auto"/>
          <w:sz w:val="24"/>
          <w:szCs w:val="24"/>
          <w:lang w:val="en-US" w:eastAsia="zh-CN"/>
        </w:rPr>
        <w:t>——各声源对某点的声压值，dB(A)。</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val="en-US" w:eastAsia="zh-CN"/>
        </w:rPr>
        <w:t>）参数的确定</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影响声波传播的参量包括建设项目所处区域的年平均风速、主导风向、年平均气温、年平均相对湿度，声源和预测点间的地形、高差，声源和预测点间障碍物（如建筑物、围墙等，若声源位于室内，还包括门、窗等）的位置及长、宽、高等数据，声源和预测点间树林、灌木等的分布情况及地面覆盖情况（如草地、水面、水泥地面、土质地面等）。</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拟建项目噪声环境影响预测基础数据见表 5.2.3-2。</w:t>
      </w:r>
    </w:p>
    <w:p>
      <w:pPr>
        <w:pStyle w:val="33"/>
        <w:keepNext w:val="0"/>
        <w:keepLines w:val="0"/>
        <w:pageBreakBefore w:val="0"/>
        <w:widowControl w:val="0"/>
        <w:kinsoku/>
        <w:wordWrap/>
        <w:overflowPunct/>
        <w:topLinePunct/>
        <w:autoSpaceDE/>
        <w:autoSpaceDN/>
        <w:bidi w:val="0"/>
        <w:adjustRightInd w:val="0"/>
        <w:snapToGrid w:val="0"/>
        <w:ind w:left="0"/>
        <w:textAlignment w:val="baseline"/>
        <w:outlineLvl w:val="9"/>
        <w:rPr>
          <w:color w:val="auto"/>
          <w:sz w:val="24"/>
          <w:szCs w:val="24"/>
          <w:lang w:val="en-US" w:eastAsia="zh-CN"/>
        </w:rPr>
      </w:pPr>
      <w:r>
        <w:rPr>
          <w:color w:val="auto"/>
          <w:sz w:val="24"/>
          <w:szCs w:val="24"/>
          <w:lang w:val="en-US" w:eastAsia="zh-CN"/>
        </w:rPr>
        <w:t>表</w:t>
      </w:r>
      <w:r>
        <w:rPr>
          <w:rFonts w:hint="eastAsia"/>
          <w:color w:val="auto"/>
          <w:sz w:val="24"/>
          <w:szCs w:val="24"/>
          <w:lang w:val="en-US" w:eastAsia="zh-CN"/>
        </w:rPr>
        <w:t xml:space="preserve"> 5.2.3-2       </w:t>
      </w:r>
      <w:r>
        <w:rPr>
          <w:color w:val="auto"/>
          <w:sz w:val="24"/>
          <w:szCs w:val="24"/>
          <w:lang w:val="en-US" w:eastAsia="zh-CN"/>
        </w:rPr>
        <w:t>项目噪声环境影响预测基础数据表</w:t>
      </w:r>
    </w:p>
    <w:tbl>
      <w:tblPr>
        <w:tblStyle w:val="21"/>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661"/>
        <w:gridCol w:w="1662"/>
        <w:gridCol w:w="1662"/>
        <w:gridCol w:w="1663"/>
        <w:gridCol w:w="166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1" w:hRule="atLeast"/>
          <w:jc w:val="center"/>
        </w:trPr>
        <w:tc>
          <w:tcPr>
            <w:tcW w:w="999"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jc w:val="center"/>
              <w:textAlignment w:val="baseline"/>
              <w:outlineLvl w:val="9"/>
              <w:rPr>
                <w:b/>
                <w:bCs/>
                <w:color w:val="auto"/>
                <w:sz w:val="21"/>
                <w:szCs w:val="21"/>
              </w:rPr>
            </w:pPr>
            <w:r>
              <w:rPr>
                <w:b/>
                <w:bCs/>
                <w:color w:val="auto"/>
                <w:sz w:val="21"/>
                <w:szCs w:val="21"/>
              </w:rPr>
              <w:t>序号</w:t>
            </w:r>
          </w:p>
        </w:tc>
        <w:tc>
          <w:tcPr>
            <w:tcW w:w="999"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jc w:val="center"/>
              <w:textAlignment w:val="baseline"/>
              <w:outlineLvl w:val="9"/>
              <w:rPr>
                <w:b/>
                <w:bCs/>
                <w:color w:val="auto"/>
                <w:sz w:val="21"/>
                <w:szCs w:val="21"/>
              </w:rPr>
            </w:pPr>
            <w:r>
              <w:rPr>
                <w:b/>
                <w:bCs/>
                <w:color w:val="auto"/>
                <w:sz w:val="21"/>
                <w:szCs w:val="21"/>
              </w:rPr>
              <w:t>名称</w:t>
            </w:r>
          </w:p>
        </w:tc>
        <w:tc>
          <w:tcPr>
            <w:tcW w:w="999"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jc w:val="center"/>
              <w:textAlignment w:val="baseline"/>
              <w:outlineLvl w:val="9"/>
              <w:rPr>
                <w:b/>
                <w:bCs/>
                <w:color w:val="auto"/>
                <w:sz w:val="21"/>
                <w:szCs w:val="21"/>
              </w:rPr>
            </w:pPr>
            <w:r>
              <w:rPr>
                <w:b/>
                <w:bCs/>
                <w:color w:val="auto"/>
                <w:sz w:val="21"/>
                <w:szCs w:val="21"/>
              </w:rPr>
              <w:t>单位</w:t>
            </w:r>
          </w:p>
        </w:tc>
        <w:tc>
          <w:tcPr>
            <w:tcW w:w="1000"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jc w:val="center"/>
              <w:textAlignment w:val="baseline"/>
              <w:outlineLvl w:val="9"/>
              <w:rPr>
                <w:b/>
                <w:bCs/>
                <w:color w:val="auto"/>
                <w:sz w:val="21"/>
                <w:szCs w:val="21"/>
              </w:rPr>
            </w:pPr>
            <w:r>
              <w:rPr>
                <w:b/>
                <w:bCs/>
                <w:color w:val="auto"/>
                <w:sz w:val="21"/>
                <w:szCs w:val="21"/>
              </w:rPr>
              <w:t>数据</w:t>
            </w:r>
          </w:p>
        </w:tc>
        <w:tc>
          <w:tcPr>
            <w:tcW w:w="1000"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jc w:val="center"/>
              <w:textAlignment w:val="baseline"/>
              <w:outlineLvl w:val="9"/>
              <w:rPr>
                <w:b/>
                <w:bCs/>
                <w:color w:val="auto"/>
                <w:sz w:val="21"/>
                <w:szCs w:val="21"/>
              </w:rPr>
            </w:pPr>
            <w:r>
              <w:rPr>
                <w:b/>
                <w:bCs/>
                <w:color w:val="auto"/>
                <w:sz w:val="21"/>
                <w:szCs w:val="21"/>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0" w:hRule="atLeast"/>
          <w:jc w:val="center"/>
        </w:trPr>
        <w:tc>
          <w:tcPr>
            <w:tcW w:w="999"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jc w:val="center"/>
              <w:textAlignment w:val="baseline"/>
              <w:outlineLvl w:val="9"/>
              <w:rPr>
                <w:color w:val="auto"/>
                <w:sz w:val="21"/>
                <w:szCs w:val="21"/>
              </w:rPr>
            </w:pPr>
            <w:r>
              <w:rPr>
                <w:color w:val="auto"/>
                <w:sz w:val="21"/>
                <w:szCs w:val="21"/>
              </w:rPr>
              <w:t>1</w:t>
            </w:r>
          </w:p>
        </w:tc>
        <w:tc>
          <w:tcPr>
            <w:tcW w:w="999"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jc w:val="center"/>
              <w:textAlignment w:val="baseline"/>
              <w:outlineLvl w:val="9"/>
              <w:rPr>
                <w:color w:val="auto"/>
                <w:sz w:val="21"/>
                <w:szCs w:val="21"/>
              </w:rPr>
            </w:pPr>
            <w:r>
              <w:rPr>
                <w:color w:val="auto"/>
                <w:sz w:val="21"/>
                <w:szCs w:val="21"/>
              </w:rPr>
              <w:t>年平均风速</w:t>
            </w:r>
          </w:p>
        </w:tc>
        <w:tc>
          <w:tcPr>
            <w:tcW w:w="999"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jc w:val="center"/>
              <w:textAlignment w:val="baseline"/>
              <w:outlineLvl w:val="9"/>
              <w:rPr>
                <w:color w:val="auto"/>
                <w:sz w:val="21"/>
                <w:szCs w:val="21"/>
              </w:rPr>
            </w:pPr>
            <w:r>
              <w:rPr>
                <w:color w:val="auto"/>
                <w:sz w:val="21"/>
                <w:szCs w:val="21"/>
              </w:rPr>
              <w:t>m/s</w:t>
            </w:r>
          </w:p>
        </w:tc>
        <w:tc>
          <w:tcPr>
            <w:tcW w:w="1000"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jc w:val="center"/>
              <w:textAlignment w:val="baseline"/>
              <w:outlineLvl w:val="9"/>
              <w:rPr>
                <w:rFonts w:hint="default" w:eastAsia="宋体"/>
                <w:color w:val="auto"/>
                <w:sz w:val="21"/>
                <w:szCs w:val="21"/>
                <w:lang w:val="en-US" w:eastAsia="zh-CN"/>
              </w:rPr>
            </w:pPr>
            <w:r>
              <w:rPr>
                <w:rFonts w:hint="eastAsia"/>
                <w:color w:val="auto"/>
                <w:sz w:val="21"/>
                <w:szCs w:val="21"/>
                <w:lang w:val="en-US" w:eastAsia="zh-CN"/>
              </w:rPr>
              <w:t>1.9</w:t>
            </w:r>
          </w:p>
        </w:tc>
        <w:tc>
          <w:tcPr>
            <w:tcW w:w="1000"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jc w:val="center"/>
              <w:textAlignment w:val="baseline"/>
              <w:outlineLvl w:val="9"/>
              <w:rPr>
                <w:rFonts w:hint="eastAsia" w:eastAsia="宋体"/>
                <w:color w:val="auto"/>
                <w:sz w:val="21"/>
                <w:szCs w:val="21"/>
                <w:lang w:val="en-US" w:eastAsia="zh-CN"/>
              </w:rPr>
            </w:pPr>
            <w:r>
              <w:rPr>
                <w:rFonts w:hint="eastAsia"/>
                <w:color w:val="auto"/>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0" w:hRule="atLeast"/>
          <w:jc w:val="center"/>
        </w:trPr>
        <w:tc>
          <w:tcPr>
            <w:tcW w:w="999"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jc w:val="center"/>
              <w:textAlignment w:val="baseline"/>
              <w:outlineLvl w:val="9"/>
              <w:rPr>
                <w:color w:val="auto"/>
                <w:sz w:val="21"/>
                <w:szCs w:val="21"/>
              </w:rPr>
            </w:pPr>
            <w:r>
              <w:rPr>
                <w:color w:val="auto"/>
                <w:sz w:val="21"/>
                <w:szCs w:val="21"/>
              </w:rPr>
              <w:t>2</w:t>
            </w:r>
          </w:p>
        </w:tc>
        <w:tc>
          <w:tcPr>
            <w:tcW w:w="999"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jc w:val="center"/>
              <w:textAlignment w:val="baseline"/>
              <w:outlineLvl w:val="9"/>
              <w:rPr>
                <w:color w:val="auto"/>
                <w:sz w:val="21"/>
                <w:szCs w:val="21"/>
              </w:rPr>
            </w:pPr>
            <w:r>
              <w:rPr>
                <w:color w:val="auto"/>
                <w:sz w:val="21"/>
                <w:szCs w:val="21"/>
              </w:rPr>
              <w:t>主导风向</w:t>
            </w:r>
          </w:p>
        </w:tc>
        <w:tc>
          <w:tcPr>
            <w:tcW w:w="999"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jc w:val="center"/>
              <w:textAlignment w:val="baseline"/>
              <w:outlineLvl w:val="9"/>
              <w:rPr>
                <w:color w:val="auto"/>
                <w:sz w:val="21"/>
                <w:szCs w:val="21"/>
              </w:rPr>
            </w:pPr>
            <w:r>
              <w:rPr>
                <w:color w:val="auto"/>
                <w:sz w:val="21"/>
                <w:szCs w:val="21"/>
              </w:rPr>
              <w:t>/</w:t>
            </w:r>
          </w:p>
        </w:tc>
        <w:tc>
          <w:tcPr>
            <w:tcW w:w="1000"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jc w:val="center"/>
              <w:textAlignment w:val="baseline"/>
              <w:outlineLvl w:val="9"/>
              <w:rPr>
                <w:rFonts w:hint="default"/>
                <w:color w:val="auto"/>
                <w:sz w:val="21"/>
                <w:szCs w:val="21"/>
                <w:lang w:val="en-US"/>
              </w:rPr>
            </w:pPr>
            <w:r>
              <w:rPr>
                <w:rFonts w:hint="eastAsia"/>
                <w:color w:val="auto"/>
                <w:sz w:val="21"/>
                <w:szCs w:val="21"/>
                <w:lang w:val="en-US" w:eastAsia="zh-CN"/>
              </w:rPr>
              <w:t>西北风</w:t>
            </w:r>
          </w:p>
        </w:tc>
        <w:tc>
          <w:tcPr>
            <w:tcW w:w="1000"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jc w:val="center"/>
              <w:textAlignment w:val="baseline"/>
              <w:outlineLvl w:val="9"/>
              <w:rPr>
                <w:rFonts w:hint="eastAsia" w:eastAsia="宋体"/>
                <w:color w:val="auto"/>
                <w:sz w:val="21"/>
                <w:szCs w:val="21"/>
                <w:lang w:val="en-US" w:eastAsia="zh-CN"/>
              </w:rPr>
            </w:pPr>
            <w:r>
              <w:rPr>
                <w:rFonts w:hint="eastAsia"/>
                <w:color w:val="auto"/>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1" w:hRule="atLeast"/>
          <w:jc w:val="center"/>
        </w:trPr>
        <w:tc>
          <w:tcPr>
            <w:tcW w:w="999"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jc w:val="center"/>
              <w:textAlignment w:val="baseline"/>
              <w:outlineLvl w:val="9"/>
              <w:rPr>
                <w:color w:val="auto"/>
                <w:sz w:val="21"/>
                <w:szCs w:val="21"/>
              </w:rPr>
            </w:pPr>
            <w:r>
              <w:rPr>
                <w:color w:val="auto"/>
                <w:sz w:val="21"/>
                <w:szCs w:val="21"/>
              </w:rPr>
              <w:t>3</w:t>
            </w:r>
          </w:p>
        </w:tc>
        <w:tc>
          <w:tcPr>
            <w:tcW w:w="999"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jc w:val="center"/>
              <w:textAlignment w:val="baseline"/>
              <w:outlineLvl w:val="9"/>
              <w:rPr>
                <w:color w:val="auto"/>
                <w:sz w:val="21"/>
                <w:szCs w:val="21"/>
              </w:rPr>
            </w:pPr>
            <w:r>
              <w:rPr>
                <w:color w:val="auto"/>
                <w:sz w:val="21"/>
                <w:szCs w:val="21"/>
              </w:rPr>
              <w:t>年平均气温</w:t>
            </w:r>
          </w:p>
        </w:tc>
        <w:tc>
          <w:tcPr>
            <w:tcW w:w="999"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jc w:val="center"/>
              <w:textAlignment w:val="baseline"/>
              <w:outlineLvl w:val="9"/>
              <w:rPr>
                <w:color w:val="auto"/>
                <w:sz w:val="21"/>
                <w:szCs w:val="21"/>
              </w:rPr>
            </w:pPr>
            <w:r>
              <w:rPr>
                <w:color w:val="auto"/>
                <w:sz w:val="21"/>
                <w:szCs w:val="21"/>
              </w:rPr>
              <w:t>℃</w:t>
            </w:r>
          </w:p>
        </w:tc>
        <w:tc>
          <w:tcPr>
            <w:tcW w:w="1000"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jc w:val="center"/>
              <w:textAlignment w:val="baseline"/>
              <w:outlineLvl w:val="9"/>
              <w:rPr>
                <w:rFonts w:hint="default"/>
                <w:color w:val="auto"/>
                <w:sz w:val="21"/>
                <w:szCs w:val="21"/>
                <w:lang w:val="en-US"/>
              </w:rPr>
            </w:pPr>
            <w:r>
              <w:rPr>
                <w:rFonts w:hint="eastAsia"/>
                <w:color w:val="auto"/>
                <w:sz w:val="21"/>
                <w:szCs w:val="21"/>
                <w:lang w:val="en-US" w:eastAsia="zh-CN"/>
              </w:rPr>
              <w:t>6</w:t>
            </w:r>
          </w:p>
        </w:tc>
        <w:tc>
          <w:tcPr>
            <w:tcW w:w="1000"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jc w:val="center"/>
              <w:textAlignment w:val="baseline"/>
              <w:outlineLvl w:val="9"/>
              <w:rPr>
                <w:rFonts w:hint="eastAsia" w:eastAsia="宋体"/>
                <w:color w:val="auto"/>
                <w:sz w:val="21"/>
                <w:szCs w:val="21"/>
                <w:lang w:val="en-US" w:eastAsia="zh-CN"/>
              </w:rPr>
            </w:pPr>
            <w:r>
              <w:rPr>
                <w:rFonts w:hint="eastAsia"/>
                <w:color w:val="auto"/>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1" w:hRule="atLeast"/>
          <w:jc w:val="center"/>
        </w:trPr>
        <w:tc>
          <w:tcPr>
            <w:tcW w:w="999"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jc w:val="center"/>
              <w:textAlignment w:val="baseline"/>
              <w:outlineLvl w:val="9"/>
              <w:rPr>
                <w:color w:val="auto"/>
                <w:sz w:val="21"/>
                <w:szCs w:val="21"/>
              </w:rPr>
            </w:pPr>
            <w:r>
              <w:rPr>
                <w:color w:val="auto"/>
                <w:sz w:val="21"/>
                <w:szCs w:val="21"/>
              </w:rPr>
              <w:t>4</w:t>
            </w:r>
          </w:p>
        </w:tc>
        <w:tc>
          <w:tcPr>
            <w:tcW w:w="999"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jc w:val="center"/>
              <w:textAlignment w:val="baseline"/>
              <w:outlineLvl w:val="9"/>
              <w:rPr>
                <w:color w:val="auto"/>
                <w:sz w:val="21"/>
                <w:szCs w:val="21"/>
              </w:rPr>
            </w:pPr>
            <w:r>
              <w:rPr>
                <w:color w:val="auto"/>
                <w:sz w:val="21"/>
                <w:szCs w:val="21"/>
              </w:rPr>
              <w:t>年平均相对湿度</w:t>
            </w:r>
          </w:p>
        </w:tc>
        <w:tc>
          <w:tcPr>
            <w:tcW w:w="999"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jc w:val="center"/>
              <w:textAlignment w:val="baseline"/>
              <w:outlineLvl w:val="9"/>
              <w:rPr>
                <w:color w:val="auto"/>
                <w:sz w:val="21"/>
                <w:szCs w:val="21"/>
              </w:rPr>
            </w:pPr>
            <w:r>
              <w:rPr>
                <w:color w:val="auto"/>
                <w:sz w:val="21"/>
                <w:szCs w:val="21"/>
              </w:rPr>
              <w:t>%</w:t>
            </w:r>
          </w:p>
        </w:tc>
        <w:tc>
          <w:tcPr>
            <w:tcW w:w="1000"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jc w:val="center"/>
              <w:textAlignment w:val="baseline"/>
              <w:outlineLvl w:val="9"/>
              <w:rPr>
                <w:rFonts w:hint="default"/>
                <w:color w:val="auto"/>
                <w:sz w:val="21"/>
                <w:szCs w:val="21"/>
                <w:lang w:val="en-US"/>
              </w:rPr>
            </w:pPr>
            <w:r>
              <w:rPr>
                <w:rFonts w:hint="eastAsia"/>
                <w:color w:val="auto"/>
                <w:sz w:val="21"/>
                <w:szCs w:val="21"/>
                <w:lang w:val="en-US" w:eastAsia="zh-CN"/>
              </w:rPr>
              <w:t>58.9</w:t>
            </w:r>
          </w:p>
        </w:tc>
        <w:tc>
          <w:tcPr>
            <w:tcW w:w="1000"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jc w:val="center"/>
              <w:textAlignment w:val="baseline"/>
              <w:outlineLvl w:val="9"/>
              <w:rPr>
                <w:rFonts w:hint="eastAsia" w:eastAsia="宋体"/>
                <w:color w:val="auto"/>
                <w:sz w:val="21"/>
                <w:szCs w:val="21"/>
                <w:lang w:val="en-US" w:eastAsia="zh-CN"/>
              </w:rPr>
            </w:pPr>
            <w:r>
              <w:rPr>
                <w:rFonts w:hint="eastAsia"/>
                <w:color w:val="auto"/>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0" w:hRule="atLeast"/>
          <w:jc w:val="center"/>
        </w:trPr>
        <w:tc>
          <w:tcPr>
            <w:tcW w:w="999"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jc w:val="center"/>
              <w:textAlignment w:val="baseline"/>
              <w:outlineLvl w:val="9"/>
              <w:rPr>
                <w:color w:val="auto"/>
                <w:sz w:val="21"/>
                <w:szCs w:val="21"/>
              </w:rPr>
            </w:pPr>
            <w:r>
              <w:rPr>
                <w:color w:val="auto"/>
                <w:sz w:val="21"/>
                <w:szCs w:val="21"/>
              </w:rPr>
              <w:t>5</w:t>
            </w:r>
          </w:p>
        </w:tc>
        <w:tc>
          <w:tcPr>
            <w:tcW w:w="999"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jc w:val="center"/>
              <w:textAlignment w:val="baseline"/>
              <w:outlineLvl w:val="9"/>
              <w:rPr>
                <w:color w:val="auto"/>
                <w:sz w:val="21"/>
                <w:szCs w:val="21"/>
              </w:rPr>
            </w:pPr>
            <w:r>
              <w:rPr>
                <w:color w:val="auto"/>
                <w:sz w:val="21"/>
                <w:szCs w:val="21"/>
              </w:rPr>
              <w:t>大气压强</w:t>
            </w:r>
          </w:p>
        </w:tc>
        <w:tc>
          <w:tcPr>
            <w:tcW w:w="999"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jc w:val="center"/>
              <w:textAlignment w:val="baseline"/>
              <w:outlineLvl w:val="9"/>
              <w:rPr>
                <w:rFonts w:hint="default" w:eastAsia="宋体"/>
                <w:color w:val="auto"/>
                <w:sz w:val="21"/>
                <w:szCs w:val="21"/>
                <w:lang w:val="en-US" w:eastAsia="zh-CN"/>
              </w:rPr>
            </w:pPr>
            <w:r>
              <w:rPr>
                <w:rFonts w:hint="eastAsia"/>
                <w:color w:val="auto"/>
                <w:sz w:val="21"/>
                <w:szCs w:val="21"/>
                <w:lang w:val="en-US" w:eastAsia="zh-CN"/>
              </w:rPr>
              <w:t>hPa</w:t>
            </w:r>
          </w:p>
        </w:tc>
        <w:tc>
          <w:tcPr>
            <w:tcW w:w="1000"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jc w:val="center"/>
              <w:textAlignment w:val="baseline"/>
              <w:outlineLvl w:val="9"/>
              <w:rPr>
                <w:rFonts w:hint="default"/>
                <w:color w:val="auto"/>
                <w:sz w:val="21"/>
                <w:szCs w:val="21"/>
                <w:lang w:val="en-US"/>
              </w:rPr>
            </w:pPr>
            <w:r>
              <w:rPr>
                <w:rFonts w:hint="eastAsia"/>
                <w:color w:val="auto"/>
                <w:sz w:val="21"/>
                <w:szCs w:val="21"/>
                <w:lang w:val="en-US" w:eastAsia="zh-CN"/>
              </w:rPr>
              <w:t>956.5</w:t>
            </w:r>
          </w:p>
        </w:tc>
        <w:tc>
          <w:tcPr>
            <w:tcW w:w="1000"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jc w:val="center"/>
              <w:textAlignment w:val="baseline"/>
              <w:outlineLvl w:val="9"/>
              <w:rPr>
                <w:rFonts w:hint="eastAsia" w:eastAsia="宋体"/>
                <w:color w:val="auto"/>
                <w:sz w:val="21"/>
                <w:szCs w:val="21"/>
                <w:lang w:val="en-US" w:eastAsia="zh-CN"/>
              </w:rPr>
            </w:pPr>
            <w:r>
              <w:rPr>
                <w:rFonts w:hint="eastAsia"/>
                <w:color w:val="auto"/>
                <w:sz w:val="21"/>
                <w:szCs w:val="21"/>
                <w:lang w:val="en-US" w:eastAsia="zh-CN"/>
              </w:rPr>
              <w:t>/</w:t>
            </w:r>
          </w:p>
        </w:tc>
      </w:tr>
    </w:tbl>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声源和预测点间的地形、高差、障碍物、树林、灌木等的分布情况以及地面覆盖情况（如草地、水面、水泥地面、土质地面等）根据现场踏勘、项目总平图等，并结合卫星图片地理信息数据确定，数据精度为</w:t>
      </w: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10m。</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根据工程实际和现场调查，项目位于</w:t>
      </w:r>
      <w:r>
        <w:rPr>
          <w:rFonts w:hint="eastAsia" w:ascii="Times New Roman" w:hAnsi="Times New Roman" w:eastAsia="宋体" w:cs="Times New Roman"/>
          <w:color w:val="auto"/>
          <w:sz w:val="24"/>
          <w:szCs w:val="24"/>
          <w:lang w:val="en-US" w:eastAsia="zh-CN"/>
        </w:rPr>
        <w:t>呼图壁工业园西区</w:t>
      </w:r>
      <w:r>
        <w:rPr>
          <w:rFonts w:hint="default" w:ascii="Times New Roman" w:hAnsi="Times New Roman" w:eastAsia="宋体" w:cs="Times New Roman"/>
          <w:color w:val="auto"/>
          <w:sz w:val="24"/>
          <w:szCs w:val="24"/>
          <w:lang w:val="en-US" w:eastAsia="zh-CN"/>
        </w:rPr>
        <w:t>，所在区域地势较为平坦开阔，预测点主要集中在厂界外 1m处，因此仅考虑预测点与声源间距离、障碍物的影响，忽略空气（A</w:t>
      </w:r>
      <w:r>
        <w:rPr>
          <w:rFonts w:hint="default" w:ascii="Times New Roman" w:hAnsi="Times New Roman" w:eastAsia="宋体" w:cs="Times New Roman"/>
          <w:color w:val="auto"/>
          <w:sz w:val="24"/>
          <w:szCs w:val="24"/>
          <w:vertAlign w:val="subscript"/>
          <w:lang w:val="en-US" w:eastAsia="zh-CN"/>
        </w:rPr>
        <w:t>atm</w:t>
      </w:r>
      <w:r>
        <w:rPr>
          <w:rFonts w:hint="default" w:ascii="Times New Roman" w:hAnsi="Times New Roman" w:eastAsia="宋体" w:cs="Times New Roman"/>
          <w:color w:val="auto"/>
          <w:sz w:val="24"/>
          <w:szCs w:val="24"/>
          <w:lang w:val="en-US" w:eastAsia="zh-CN"/>
        </w:rPr>
        <w:t>）、地面（A</w:t>
      </w:r>
      <w:r>
        <w:rPr>
          <w:rFonts w:hint="default" w:ascii="Times New Roman" w:hAnsi="Times New Roman" w:eastAsia="宋体" w:cs="Times New Roman"/>
          <w:color w:val="auto"/>
          <w:sz w:val="24"/>
          <w:szCs w:val="24"/>
          <w:vertAlign w:val="subscript"/>
          <w:lang w:val="en-US" w:eastAsia="zh-CN"/>
        </w:rPr>
        <w:t>gr</w:t>
      </w:r>
      <w:r>
        <w:rPr>
          <w:rFonts w:hint="default" w:ascii="Times New Roman" w:hAnsi="Times New Roman" w:eastAsia="宋体" w:cs="Times New Roman"/>
          <w:color w:val="auto"/>
          <w:sz w:val="24"/>
          <w:szCs w:val="24"/>
          <w:lang w:val="en-US" w:eastAsia="zh-CN"/>
        </w:rPr>
        <w:t>）及其他方面（A</w:t>
      </w:r>
      <w:r>
        <w:rPr>
          <w:rFonts w:hint="default" w:ascii="Times New Roman" w:hAnsi="Times New Roman" w:eastAsia="宋体" w:cs="Times New Roman"/>
          <w:color w:val="auto"/>
          <w:sz w:val="24"/>
          <w:szCs w:val="24"/>
          <w:vertAlign w:val="subscript"/>
          <w:lang w:val="en-US" w:eastAsia="zh-CN"/>
        </w:rPr>
        <w:t>misc</w:t>
      </w:r>
      <w:r>
        <w:rPr>
          <w:rFonts w:hint="default" w:ascii="Times New Roman" w:hAnsi="Times New Roman" w:eastAsia="宋体" w:cs="Times New Roman"/>
          <w:color w:val="auto"/>
          <w:sz w:val="24"/>
          <w:szCs w:val="24"/>
          <w:lang w:val="en-US" w:eastAsia="zh-CN"/>
        </w:rPr>
        <w:t xml:space="preserve">）的影响，仅考虑几何发散衰减和屏障引起的衰减。 </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项目噪声设备均为点声源，室内声源在等效为室外声源后亦为点声源，因此，A</w:t>
      </w:r>
      <w:r>
        <w:rPr>
          <w:rFonts w:hint="default" w:ascii="Times New Roman" w:hAnsi="Times New Roman" w:eastAsia="宋体" w:cs="Times New Roman"/>
          <w:color w:val="auto"/>
          <w:sz w:val="24"/>
          <w:szCs w:val="24"/>
          <w:vertAlign w:val="subscript"/>
          <w:lang w:val="en-US" w:eastAsia="zh-CN"/>
        </w:rPr>
        <w:t>div</w:t>
      </w:r>
      <w:r>
        <w:rPr>
          <w:rFonts w:hint="default" w:ascii="Times New Roman" w:hAnsi="Times New Roman" w:eastAsia="宋体" w:cs="Times New Roman"/>
          <w:color w:val="auto"/>
          <w:sz w:val="24"/>
          <w:szCs w:val="24"/>
          <w:vertAlign w:val="baseline"/>
          <w:lang w:val="en-US" w:eastAsia="zh-CN"/>
        </w:rPr>
        <w:t xml:space="preserve"> </w:t>
      </w:r>
      <w:r>
        <w:rPr>
          <w:rFonts w:hint="default" w:ascii="Times New Roman" w:hAnsi="Times New Roman" w:eastAsia="宋体" w:cs="Times New Roman"/>
          <w:color w:val="auto"/>
          <w:sz w:val="24"/>
          <w:szCs w:val="24"/>
          <w:lang w:val="en-US" w:eastAsia="zh-CN"/>
        </w:rPr>
        <w:t>采用点声源几何发散衰减公式计算：</w:t>
      </w:r>
    </w:p>
    <w:p>
      <w:pPr>
        <w:keepNext w:val="0"/>
        <w:keepLines w:val="0"/>
        <w:pageBreakBefore w:val="0"/>
        <w:widowControl w:val="0"/>
        <w:kinsoku/>
        <w:wordWrap/>
        <w:overflowPunct/>
        <w:topLinePunct/>
        <w:autoSpaceDE/>
        <w:autoSpaceDN/>
        <w:bidi w:val="0"/>
        <w:adjustRightInd/>
        <w:snapToGrid/>
        <w:spacing w:line="560" w:lineRule="exact"/>
        <w:ind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A</w:t>
      </w:r>
      <w:r>
        <w:rPr>
          <w:rFonts w:hint="default" w:ascii="Times New Roman" w:hAnsi="Times New Roman" w:eastAsia="宋体" w:cs="Times New Roman"/>
          <w:color w:val="auto"/>
          <w:sz w:val="24"/>
          <w:szCs w:val="24"/>
          <w:vertAlign w:val="subscript"/>
          <w:lang w:val="en-US" w:eastAsia="zh-CN"/>
        </w:rPr>
        <w:t>diV</w:t>
      </w:r>
      <w:r>
        <w:rPr>
          <w:rFonts w:hint="default" w:ascii="Times New Roman" w:hAnsi="Times New Roman" w:eastAsia="宋体" w:cs="Times New Roman"/>
          <w:color w:val="auto"/>
          <w:sz w:val="24"/>
          <w:szCs w:val="24"/>
          <w:lang w:val="en-US" w:eastAsia="zh-CN"/>
        </w:rPr>
        <w:t>=20lg（r/r</w:t>
      </w:r>
      <w:r>
        <w:rPr>
          <w:rFonts w:hint="default" w:ascii="Times New Roman" w:hAnsi="Times New Roman" w:eastAsia="宋体" w:cs="Times New Roman"/>
          <w:color w:val="auto"/>
          <w:sz w:val="24"/>
          <w:szCs w:val="24"/>
          <w:vertAlign w:val="subscript"/>
          <w:lang w:val="en-US" w:eastAsia="zh-CN"/>
        </w:rPr>
        <w:t>0</w:t>
      </w:r>
      <w:r>
        <w:rPr>
          <w:rFonts w:hint="default" w:ascii="Times New Roman" w:hAnsi="Times New Roman" w:eastAsia="宋体" w:cs="Times New Roman"/>
          <w:color w:val="auto"/>
          <w:sz w:val="24"/>
          <w:szCs w:val="24"/>
          <w:vertAlign w:val="baseline"/>
          <w:lang w:val="en-US" w:eastAsia="zh-CN"/>
        </w:rPr>
        <w:t>）</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① 噪声随距离衰减公式为：</w:t>
      </w:r>
    </w:p>
    <w:p>
      <w:pPr>
        <w:keepNext w:val="0"/>
        <w:keepLines w:val="0"/>
        <w:pageBreakBefore w:val="0"/>
        <w:widowControl w:val="0"/>
        <w:kinsoku/>
        <w:wordWrap/>
        <w:overflowPunct/>
        <w:topLinePunct/>
        <w:autoSpaceDE/>
        <w:autoSpaceDN/>
        <w:bidi w:val="0"/>
        <w:adjustRightInd/>
        <w:snapToGrid/>
        <w:spacing w:line="560" w:lineRule="exact"/>
        <w:ind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Lp（r）=Lp（r</w:t>
      </w:r>
      <w:r>
        <w:rPr>
          <w:rFonts w:hint="default" w:ascii="Times New Roman" w:hAnsi="Times New Roman" w:eastAsia="宋体" w:cs="Times New Roman"/>
          <w:color w:val="auto"/>
          <w:sz w:val="24"/>
          <w:szCs w:val="24"/>
          <w:vertAlign w:val="subscript"/>
          <w:lang w:val="en-US" w:eastAsia="zh-CN"/>
        </w:rPr>
        <w:t>0</w:t>
      </w:r>
      <w:r>
        <w:rPr>
          <w:rFonts w:hint="default" w:ascii="Times New Roman" w:hAnsi="Times New Roman" w:eastAsia="宋体" w:cs="Times New Roman"/>
          <w:color w:val="auto"/>
          <w:sz w:val="24"/>
          <w:szCs w:val="24"/>
          <w:lang w:val="en-US" w:eastAsia="zh-CN"/>
        </w:rPr>
        <w:t>）-20lg（r/r</w:t>
      </w:r>
      <w:r>
        <w:rPr>
          <w:rFonts w:hint="default" w:ascii="Times New Roman" w:hAnsi="Times New Roman" w:eastAsia="宋体" w:cs="Times New Roman"/>
          <w:color w:val="auto"/>
          <w:sz w:val="24"/>
          <w:szCs w:val="24"/>
          <w:vertAlign w:val="subscript"/>
          <w:lang w:val="en-US" w:eastAsia="zh-CN"/>
        </w:rPr>
        <w:t>0</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 xml:space="preserve">式中：Lp（r）——预测点处声压级，dB； </w:t>
      </w:r>
    </w:p>
    <w:p>
      <w:pPr>
        <w:keepNext w:val="0"/>
        <w:keepLines w:val="0"/>
        <w:pageBreakBefore w:val="0"/>
        <w:widowControl w:val="0"/>
        <w:kinsoku/>
        <w:wordWrap/>
        <w:overflowPunct/>
        <w:topLinePunct/>
        <w:autoSpaceDE/>
        <w:autoSpaceDN/>
        <w:bidi w:val="0"/>
        <w:adjustRightInd/>
        <w:snapToGrid/>
        <w:spacing w:line="560" w:lineRule="exact"/>
        <w:ind w:firstLine="1200" w:firstLineChars="5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Lp（r</w:t>
      </w:r>
      <w:r>
        <w:rPr>
          <w:rFonts w:hint="default" w:ascii="Times New Roman" w:hAnsi="Times New Roman" w:eastAsia="宋体" w:cs="Times New Roman"/>
          <w:color w:val="auto"/>
          <w:sz w:val="24"/>
          <w:szCs w:val="24"/>
          <w:vertAlign w:val="subscript"/>
          <w:lang w:val="en-US" w:eastAsia="zh-CN"/>
        </w:rPr>
        <w:t>0</w:t>
      </w:r>
      <w:r>
        <w:rPr>
          <w:rFonts w:hint="default" w:ascii="Times New Roman" w:hAnsi="Times New Roman" w:eastAsia="宋体" w:cs="Times New Roman"/>
          <w:color w:val="auto"/>
          <w:sz w:val="24"/>
          <w:szCs w:val="24"/>
          <w:lang w:val="en-US" w:eastAsia="zh-CN"/>
        </w:rPr>
        <w:t>）——参考位置 r</w:t>
      </w:r>
      <w:r>
        <w:rPr>
          <w:rFonts w:hint="default" w:ascii="Times New Roman" w:hAnsi="Times New Roman" w:eastAsia="宋体" w:cs="Times New Roman"/>
          <w:color w:val="auto"/>
          <w:sz w:val="24"/>
          <w:szCs w:val="24"/>
          <w:vertAlign w:val="subscript"/>
          <w:lang w:val="en-US" w:eastAsia="zh-CN"/>
        </w:rPr>
        <w:t>0</w:t>
      </w:r>
      <w:r>
        <w:rPr>
          <w:rFonts w:hint="default" w:ascii="Times New Roman" w:hAnsi="Times New Roman" w:eastAsia="宋体" w:cs="Times New Roman"/>
          <w:color w:val="auto"/>
          <w:sz w:val="24"/>
          <w:szCs w:val="24"/>
          <w:vertAlign w:val="baseline"/>
          <w:lang w:val="en-US" w:eastAsia="zh-CN"/>
        </w:rPr>
        <w:t xml:space="preserve"> </w:t>
      </w:r>
      <w:r>
        <w:rPr>
          <w:rFonts w:hint="default" w:ascii="Times New Roman" w:hAnsi="Times New Roman" w:eastAsia="宋体" w:cs="Times New Roman"/>
          <w:color w:val="auto"/>
          <w:sz w:val="24"/>
          <w:szCs w:val="24"/>
          <w:lang w:val="en-US" w:eastAsia="zh-CN"/>
        </w:rPr>
        <w:t xml:space="preserve">处的声压级，dB； </w:t>
      </w:r>
    </w:p>
    <w:p>
      <w:pPr>
        <w:keepNext w:val="0"/>
        <w:keepLines w:val="0"/>
        <w:pageBreakBefore w:val="0"/>
        <w:widowControl w:val="0"/>
        <w:kinsoku/>
        <w:wordWrap/>
        <w:overflowPunct/>
        <w:topLinePunct/>
        <w:autoSpaceDE/>
        <w:autoSpaceDN/>
        <w:bidi w:val="0"/>
        <w:adjustRightInd/>
        <w:snapToGrid/>
        <w:spacing w:line="560" w:lineRule="exact"/>
        <w:ind w:firstLine="1200" w:firstLineChars="5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 xml:space="preserve">r——预测点距声源的距离，m； </w:t>
      </w:r>
    </w:p>
    <w:p>
      <w:pPr>
        <w:keepNext w:val="0"/>
        <w:keepLines w:val="0"/>
        <w:pageBreakBefore w:val="0"/>
        <w:widowControl w:val="0"/>
        <w:kinsoku/>
        <w:wordWrap/>
        <w:overflowPunct/>
        <w:topLinePunct/>
        <w:autoSpaceDE/>
        <w:autoSpaceDN/>
        <w:bidi w:val="0"/>
        <w:adjustRightInd/>
        <w:snapToGrid/>
        <w:spacing w:line="560" w:lineRule="exact"/>
        <w:ind w:firstLine="1200" w:firstLineChars="5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r</w:t>
      </w:r>
      <w:r>
        <w:rPr>
          <w:rFonts w:hint="default" w:ascii="Times New Roman" w:hAnsi="Times New Roman" w:eastAsia="宋体" w:cs="Times New Roman"/>
          <w:color w:val="auto"/>
          <w:sz w:val="24"/>
          <w:szCs w:val="24"/>
          <w:vertAlign w:val="subscript"/>
          <w:lang w:val="en-US" w:eastAsia="zh-CN"/>
        </w:rPr>
        <w:t>0</w:t>
      </w:r>
      <w:r>
        <w:rPr>
          <w:rFonts w:hint="default" w:ascii="Times New Roman" w:hAnsi="Times New Roman" w:eastAsia="宋体" w:cs="Times New Roman"/>
          <w:color w:val="auto"/>
          <w:sz w:val="24"/>
          <w:szCs w:val="24"/>
          <w:lang w:val="en-US" w:eastAsia="zh-CN"/>
        </w:rPr>
        <w:t xml:space="preserve">——参考位置距声源的距离，m。 </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eastAsia"/>
          <w:color w:val="auto"/>
        </w:rPr>
      </w:pPr>
      <w:r>
        <w:rPr>
          <w:rFonts w:hint="default" w:ascii="Times New Roman" w:hAnsi="Times New Roman" w:eastAsia="宋体" w:cs="Times New Roman"/>
          <w:color w:val="auto"/>
          <w:sz w:val="24"/>
          <w:szCs w:val="24"/>
          <w:lang w:val="en-US" w:eastAsia="zh-CN"/>
        </w:rPr>
        <w:t>② 噪声叠加模式：</w:t>
      </w:r>
    </w:p>
    <w:p>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outlineLvl w:val="9"/>
        <w:rPr>
          <w:rFonts w:hint="eastAsia"/>
          <w:color w:val="auto"/>
        </w:rPr>
      </w:pPr>
      <w:r>
        <w:rPr>
          <w:rFonts w:hint="eastAsia"/>
          <w:color w:val="auto"/>
        </w:rPr>
        <w:drawing>
          <wp:inline distT="0" distB="0" distL="114300" distR="114300">
            <wp:extent cx="2451100" cy="363855"/>
            <wp:effectExtent l="0" t="0" r="6350" b="17145"/>
            <wp:docPr id="6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2"/>
                    <pic:cNvPicPr>
                      <a:picLocks noChangeAspect="1"/>
                    </pic:cNvPicPr>
                  </pic:nvPicPr>
                  <pic:blipFill>
                    <a:blip r:embed="rId84"/>
                    <a:stretch>
                      <a:fillRect/>
                    </a:stretch>
                  </pic:blipFill>
                  <pic:spPr>
                    <a:xfrm>
                      <a:off x="0" y="0"/>
                      <a:ext cx="2451100" cy="363855"/>
                    </a:xfrm>
                    <a:prstGeom prst="rect">
                      <a:avLst/>
                    </a:prstGeom>
                    <a:noFill/>
                    <a:ln>
                      <a:noFill/>
                    </a:ln>
                  </pic:spPr>
                </pic:pic>
              </a:graphicData>
            </a:graphic>
          </wp:inline>
        </w:drawing>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式中：L</w:t>
      </w:r>
      <w:r>
        <w:rPr>
          <w:rFonts w:hint="default" w:ascii="Times New Roman" w:hAnsi="Times New Roman" w:eastAsia="宋体" w:cs="Times New Roman"/>
          <w:color w:val="auto"/>
          <w:sz w:val="24"/>
          <w:szCs w:val="24"/>
          <w:vertAlign w:val="subscript"/>
          <w:lang w:val="en-US" w:eastAsia="zh-CN"/>
        </w:rPr>
        <w:t>p总</w:t>
      </w:r>
      <w:r>
        <w:rPr>
          <w:rFonts w:hint="default" w:ascii="Times New Roman" w:hAnsi="Times New Roman" w:eastAsia="宋体" w:cs="Times New Roman"/>
          <w:color w:val="auto"/>
          <w:sz w:val="24"/>
          <w:szCs w:val="24"/>
          <w:lang w:val="en-US" w:eastAsia="zh-CN"/>
        </w:rPr>
        <w:t xml:space="preserve">——各点声源叠加后总声级，dB(A)； </w:t>
      </w:r>
    </w:p>
    <w:p>
      <w:pPr>
        <w:keepNext w:val="0"/>
        <w:keepLines w:val="0"/>
        <w:pageBreakBefore w:val="0"/>
        <w:widowControl w:val="0"/>
        <w:kinsoku/>
        <w:wordWrap/>
        <w:overflowPunct/>
        <w:topLinePunct/>
        <w:autoSpaceDE/>
        <w:autoSpaceDN/>
        <w:bidi w:val="0"/>
        <w:adjustRightInd/>
        <w:snapToGrid/>
        <w:spacing w:line="560" w:lineRule="exact"/>
        <w:ind w:firstLine="1200" w:firstLineChars="5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L</w:t>
      </w:r>
      <w:r>
        <w:rPr>
          <w:rFonts w:hint="default" w:ascii="Times New Roman" w:hAnsi="Times New Roman" w:eastAsia="宋体" w:cs="Times New Roman"/>
          <w:color w:val="auto"/>
          <w:sz w:val="24"/>
          <w:szCs w:val="24"/>
          <w:vertAlign w:val="subscript"/>
          <w:lang w:val="en-US" w:eastAsia="zh-CN"/>
        </w:rPr>
        <w:t>p1</w:t>
      </w:r>
      <w:r>
        <w:rPr>
          <w:rFonts w:hint="default" w:ascii="Times New Roman" w:hAnsi="Times New Roman" w:eastAsia="宋体" w:cs="Times New Roman"/>
          <w:color w:val="auto"/>
          <w:sz w:val="24"/>
          <w:szCs w:val="24"/>
          <w:lang w:val="en-US" w:eastAsia="zh-CN"/>
        </w:rPr>
        <w:t>、L</w:t>
      </w:r>
      <w:r>
        <w:rPr>
          <w:rFonts w:hint="default" w:ascii="Times New Roman" w:hAnsi="Times New Roman" w:eastAsia="宋体" w:cs="Times New Roman"/>
          <w:color w:val="auto"/>
          <w:sz w:val="24"/>
          <w:szCs w:val="24"/>
          <w:vertAlign w:val="subscript"/>
          <w:lang w:val="en-US" w:eastAsia="zh-CN"/>
        </w:rPr>
        <w:t>p2</w:t>
      </w:r>
      <w:r>
        <w:rPr>
          <w:rFonts w:hint="default" w:ascii="Times New Roman" w:hAnsi="Times New Roman" w:eastAsia="宋体" w:cs="Times New Roman"/>
          <w:color w:val="auto"/>
          <w:sz w:val="24"/>
          <w:szCs w:val="24"/>
          <w:lang w:val="en-US" w:eastAsia="zh-CN"/>
        </w:rPr>
        <w:t>…L</w:t>
      </w:r>
      <w:r>
        <w:rPr>
          <w:rFonts w:hint="default" w:ascii="Times New Roman" w:hAnsi="Times New Roman" w:eastAsia="宋体" w:cs="Times New Roman"/>
          <w:color w:val="auto"/>
          <w:sz w:val="24"/>
          <w:szCs w:val="24"/>
          <w:vertAlign w:val="subscript"/>
          <w:lang w:val="en-US" w:eastAsia="zh-CN"/>
        </w:rPr>
        <w:t>pn</w:t>
      </w:r>
      <w:r>
        <w:rPr>
          <w:rFonts w:hint="default" w:ascii="Times New Roman" w:hAnsi="Times New Roman" w:eastAsia="宋体" w:cs="Times New Roman"/>
          <w:color w:val="auto"/>
          <w:sz w:val="24"/>
          <w:szCs w:val="24"/>
          <w:lang w:val="en-US" w:eastAsia="zh-CN"/>
        </w:rPr>
        <w:t>——第 1、2…n 个声源到 P 点的声压级，dB(A)。</w:t>
      </w:r>
    </w:p>
    <w:p>
      <w:pPr>
        <w:keepNext w:val="0"/>
        <w:keepLines w:val="0"/>
        <w:pageBreakBefore w:val="0"/>
        <w:widowControl w:val="0"/>
        <w:kinsoku/>
        <w:wordWrap/>
        <w:overflowPunct/>
        <w:topLinePunct/>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5.2.3.6 预测结果及评价</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运用上述计算模式，先将项目的各噪声源按照点声源随距离衰减公式计算各噪声源传到某一定点的声级，然后将其进行叠加即为该定点的噪声影响值。项目各厂界贡献值见表 5.2.3</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3。</w:t>
      </w:r>
    </w:p>
    <w:p>
      <w:pPr>
        <w:pStyle w:val="33"/>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表</w:t>
      </w:r>
      <w:r>
        <w:rPr>
          <w:rFonts w:hint="default" w:ascii="Times New Roman" w:hAnsi="Times New Roman" w:eastAsia="宋体" w:cs="Times New Roman"/>
          <w:color w:val="auto"/>
          <w:sz w:val="24"/>
          <w:szCs w:val="24"/>
          <w:lang w:val="en-US" w:eastAsia="zh-CN"/>
        </w:rPr>
        <w:t xml:space="preserve"> 5.2.3</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 xml:space="preserve">        噪声源对厂界预测点的影响值</w:t>
      </w:r>
    </w:p>
    <w:tbl>
      <w:tblPr>
        <w:tblStyle w:val="21"/>
        <w:tblW w:w="5004"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84"/>
        <w:gridCol w:w="1552"/>
        <w:gridCol w:w="1840"/>
        <w:gridCol w:w="1544"/>
        <w:gridCol w:w="1021"/>
        <w:gridCol w:w="138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91" w:type="pct"/>
            <w:vMerge w:val="restar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932" w:type="pct"/>
            <w:vMerge w:val="restar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位置</w:t>
            </w:r>
          </w:p>
        </w:tc>
        <w:tc>
          <w:tcPr>
            <w:tcW w:w="1105" w:type="pct"/>
            <w:vMerge w:val="restar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本项目贡献值</w:t>
            </w:r>
          </w:p>
        </w:tc>
        <w:tc>
          <w:tcPr>
            <w:tcW w:w="1540" w:type="pct"/>
            <w:gridSpan w:val="2"/>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标准值</w:t>
            </w:r>
          </w:p>
        </w:tc>
        <w:tc>
          <w:tcPr>
            <w:tcW w:w="830" w:type="pct"/>
            <w:vMerge w:val="restar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是否达标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91"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b/>
                <w:bCs/>
                <w:color w:val="auto"/>
                <w:sz w:val="21"/>
                <w:szCs w:val="21"/>
              </w:rPr>
            </w:pPr>
          </w:p>
        </w:tc>
        <w:tc>
          <w:tcPr>
            <w:tcW w:w="932"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b/>
                <w:bCs/>
                <w:color w:val="auto"/>
                <w:sz w:val="21"/>
                <w:szCs w:val="21"/>
              </w:rPr>
            </w:pPr>
          </w:p>
        </w:tc>
        <w:tc>
          <w:tcPr>
            <w:tcW w:w="1105"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b/>
                <w:bCs/>
                <w:color w:val="auto"/>
                <w:sz w:val="21"/>
                <w:szCs w:val="21"/>
              </w:rPr>
            </w:pPr>
          </w:p>
        </w:tc>
        <w:tc>
          <w:tcPr>
            <w:tcW w:w="927"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昼</w:t>
            </w:r>
          </w:p>
        </w:tc>
        <w:tc>
          <w:tcPr>
            <w:tcW w:w="613"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夜</w:t>
            </w:r>
          </w:p>
        </w:tc>
        <w:tc>
          <w:tcPr>
            <w:tcW w:w="830"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7" w:hRule="atLeast"/>
          <w:jc w:val="center"/>
        </w:trPr>
        <w:tc>
          <w:tcPr>
            <w:tcW w:w="591"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932"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厂区边界东</w:t>
            </w:r>
          </w:p>
        </w:tc>
        <w:tc>
          <w:tcPr>
            <w:tcW w:w="1105"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49.5</w:t>
            </w:r>
          </w:p>
        </w:tc>
        <w:tc>
          <w:tcPr>
            <w:tcW w:w="927"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65</w:t>
            </w:r>
          </w:p>
        </w:tc>
        <w:tc>
          <w:tcPr>
            <w:tcW w:w="613"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55</w:t>
            </w:r>
          </w:p>
        </w:tc>
        <w:tc>
          <w:tcPr>
            <w:tcW w:w="830"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昼夜达标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91"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932"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厂区边界南</w:t>
            </w:r>
          </w:p>
        </w:tc>
        <w:tc>
          <w:tcPr>
            <w:tcW w:w="1105"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48.3</w:t>
            </w:r>
          </w:p>
        </w:tc>
        <w:tc>
          <w:tcPr>
            <w:tcW w:w="927"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65</w:t>
            </w:r>
          </w:p>
        </w:tc>
        <w:tc>
          <w:tcPr>
            <w:tcW w:w="613"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55</w:t>
            </w:r>
          </w:p>
        </w:tc>
        <w:tc>
          <w:tcPr>
            <w:tcW w:w="830"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昼夜达标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91"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932"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厂区边界西</w:t>
            </w:r>
          </w:p>
        </w:tc>
        <w:tc>
          <w:tcPr>
            <w:tcW w:w="1105"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47.6</w:t>
            </w:r>
          </w:p>
        </w:tc>
        <w:tc>
          <w:tcPr>
            <w:tcW w:w="927"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65</w:t>
            </w:r>
          </w:p>
        </w:tc>
        <w:tc>
          <w:tcPr>
            <w:tcW w:w="613"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55</w:t>
            </w:r>
          </w:p>
        </w:tc>
        <w:tc>
          <w:tcPr>
            <w:tcW w:w="830"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昼夜达标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91"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932"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厂区边界北</w:t>
            </w:r>
          </w:p>
        </w:tc>
        <w:tc>
          <w:tcPr>
            <w:tcW w:w="1105"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48.9</w:t>
            </w:r>
          </w:p>
        </w:tc>
        <w:tc>
          <w:tcPr>
            <w:tcW w:w="927"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65</w:t>
            </w:r>
          </w:p>
        </w:tc>
        <w:tc>
          <w:tcPr>
            <w:tcW w:w="613"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leftChars="0" w:right="0" w:rightChars="0"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55</w:t>
            </w:r>
          </w:p>
        </w:tc>
        <w:tc>
          <w:tcPr>
            <w:tcW w:w="830"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昼夜达标</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拟建项目运营期间厂界执行《工业企业厂界环境噪声排放标准》（GB12348-2008）中</w:t>
      </w:r>
      <w:r>
        <w:rPr>
          <w:rFonts w:hint="default" w:ascii="Times New Roman" w:hAnsi="Times New Roman" w:eastAsia="宋体" w:cs="Times New Roman"/>
          <w:color w:val="auto"/>
          <w:sz w:val="24"/>
          <w:szCs w:val="24"/>
          <w:lang w:val="en-US" w:eastAsia="zh-CN"/>
        </w:rPr>
        <w:t xml:space="preserve"> </w:t>
      </w:r>
      <w:r>
        <w:rPr>
          <w:rFonts w:hint="eastAsia"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类标准，由上表中可知，项目运营期间，昼间厂界噪声值满足标准，运营期噪声对周边环境影响较小。</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5.2.4 运营期固体废物环境影响分析</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5.2.4.1 固体废物产排情况</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根据《中华人民共和国固体废物污染环境防治法》（2020 年 9 月）、《固体废物鉴别标准通则》（GB34330-2017）、《危险废物鉴别标准通则》（GB5085.7-2019）、《危险废物鉴别技术规范》（HJ298-2019）、《国家危险废物名录》（2021 年版）及相关鉴别标准，将本项目产生的固体废物分为危险废物、一般工业固体废物和生活垃圾。</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5.2.4-1  本项目固体废物产排情况汇总</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8"/>
        <w:gridCol w:w="701"/>
        <w:gridCol w:w="1030"/>
        <w:gridCol w:w="776"/>
        <w:gridCol w:w="1313"/>
        <w:gridCol w:w="735"/>
        <w:gridCol w:w="944"/>
        <w:gridCol w:w="1916"/>
        <w:gridCol w:w="6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序号</w:t>
            </w:r>
          </w:p>
        </w:tc>
        <w:tc>
          <w:tcPr>
            <w:tcW w:w="4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产生工序</w:t>
            </w:r>
          </w:p>
        </w:tc>
        <w:tc>
          <w:tcPr>
            <w:tcW w:w="6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废物名称</w:t>
            </w:r>
          </w:p>
        </w:tc>
        <w:tc>
          <w:tcPr>
            <w:tcW w:w="4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分类</w:t>
            </w:r>
          </w:p>
        </w:tc>
        <w:tc>
          <w:tcPr>
            <w:tcW w:w="77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kern w:val="2"/>
                <w:sz w:val="21"/>
                <w:szCs w:val="21"/>
                <w:vertAlign w:val="baseline"/>
                <w:lang w:val="en-US" w:eastAsia="zh-CN" w:bidi="ar-SA"/>
              </w:rPr>
            </w:pPr>
            <w:r>
              <w:rPr>
                <w:rFonts w:hint="eastAsia" w:ascii="Times New Roman" w:hAnsi="Times New Roman" w:eastAsia="宋体" w:cs="Times New Roman"/>
                <w:b/>
                <w:bCs/>
                <w:color w:val="auto"/>
                <w:sz w:val="21"/>
                <w:szCs w:val="21"/>
                <w:vertAlign w:val="baseline"/>
                <w:lang w:val="en-US" w:eastAsia="zh-CN"/>
              </w:rPr>
              <w:t>代码</w:t>
            </w:r>
          </w:p>
        </w:tc>
        <w:tc>
          <w:tcPr>
            <w:tcW w:w="4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性质</w:t>
            </w:r>
          </w:p>
        </w:tc>
        <w:tc>
          <w:tcPr>
            <w:tcW w:w="5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产生量t/a</w:t>
            </w:r>
          </w:p>
        </w:tc>
        <w:tc>
          <w:tcPr>
            <w:tcW w:w="11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处置措施/去向</w:t>
            </w:r>
          </w:p>
        </w:tc>
        <w:tc>
          <w:tcPr>
            <w:tcW w:w="3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4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水溶肥生产线</w:t>
            </w:r>
          </w:p>
        </w:tc>
        <w:tc>
          <w:tcPr>
            <w:tcW w:w="60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水溶肥</w:t>
            </w:r>
            <w:r>
              <w:rPr>
                <w:rFonts w:hint="eastAsia" w:ascii="Times New Roman" w:hAnsi="Times New Roman" w:eastAsia="宋体" w:cs="Times New Roman"/>
                <w:color w:val="auto"/>
                <w:sz w:val="21"/>
                <w:szCs w:val="21"/>
                <w:vertAlign w:val="baseline"/>
                <w:lang w:val="en-US" w:eastAsia="zh-CN"/>
              </w:rPr>
              <w:t>生产产生的下脚料</w:t>
            </w:r>
          </w:p>
        </w:tc>
        <w:tc>
          <w:tcPr>
            <w:tcW w:w="455"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SW59</w:t>
            </w:r>
          </w:p>
        </w:tc>
        <w:tc>
          <w:tcPr>
            <w:tcW w:w="770"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900-099-S59</w:t>
            </w:r>
          </w:p>
        </w:tc>
        <w:tc>
          <w:tcPr>
            <w:tcW w:w="4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一般固废</w:t>
            </w:r>
          </w:p>
        </w:tc>
        <w:tc>
          <w:tcPr>
            <w:tcW w:w="5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25</w:t>
            </w:r>
          </w:p>
        </w:tc>
        <w:tc>
          <w:tcPr>
            <w:tcW w:w="11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回用于生物有机肥生产线</w:t>
            </w:r>
          </w:p>
        </w:tc>
        <w:tc>
          <w:tcPr>
            <w:tcW w:w="3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2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4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油脂加工</w:t>
            </w:r>
          </w:p>
        </w:tc>
        <w:tc>
          <w:tcPr>
            <w:tcW w:w="60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动植物油水解</w:t>
            </w:r>
            <w:r>
              <w:rPr>
                <w:rFonts w:hint="eastAsia" w:ascii="Times New Roman" w:hAnsi="Times New Roman" w:eastAsia="宋体" w:cs="Times New Roman"/>
                <w:color w:val="auto"/>
                <w:sz w:val="21"/>
                <w:szCs w:val="21"/>
                <w:vertAlign w:val="baseline"/>
                <w:lang w:val="en-US" w:eastAsia="zh-CN"/>
              </w:rPr>
              <w:t>产生的下脚料</w:t>
            </w:r>
          </w:p>
        </w:tc>
        <w:tc>
          <w:tcPr>
            <w:tcW w:w="455"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SW59</w:t>
            </w:r>
          </w:p>
        </w:tc>
        <w:tc>
          <w:tcPr>
            <w:tcW w:w="770"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900-099-S59</w:t>
            </w:r>
          </w:p>
        </w:tc>
        <w:tc>
          <w:tcPr>
            <w:tcW w:w="4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一般固废</w:t>
            </w:r>
          </w:p>
        </w:tc>
        <w:tc>
          <w:tcPr>
            <w:tcW w:w="5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500</w:t>
            </w:r>
          </w:p>
        </w:tc>
        <w:tc>
          <w:tcPr>
            <w:tcW w:w="11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回用于生物有机肥生产线</w:t>
            </w:r>
          </w:p>
        </w:tc>
        <w:tc>
          <w:tcPr>
            <w:tcW w:w="3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4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皂脚酸化</w:t>
            </w:r>
          </w:p>
        </w:tc>
        <w:tc>
          <w:tcPr>
            <w:tcW w:w="60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皂脚</w:t>
            </w:r>
            <w:r>
              <w:rPr>
                <w:rFonts w:hint="eastAsia" w:ascii="Times New Roman" w:hAnsi="Times New Roman" w:eastAsia="宋体" w:cs="Times New Roman"/>
                <w:color w:val="auto"/>
                <w:sz w:val="21"/>
                <w:szCs w:val="21"/>
                <w:vertAlign w:val="baseline"/>
                <w:lang w:val="en-US" w:eastAsia="zh-CN"/>
              </w:rPr>
              <w:t>酸化产生的下脚料</w:t>
            </w:r>
          </w:p>
        </w:tc>
        <w:tc>
          <w:tcPr>
            <w:tcW w:w="455"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SW13</w:t>
            </w:r>
          </w:p>
        </w:tc>
        <w:tc>
          <w:tcPr>
            <w:tcW w:w="770"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133-002-S13</w:t>
            </w:r>
          </w:p>
        </w:tc>
        <w:tc>
          <w:tcPr>
            <w:tcW w:w="4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一般固废</w:t>
            </w:r>
          </w:p>
        </w:tc>
        <w:tc>
          <w:tcPr>
            <w:tcW w:w="5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1500</w:t>
            </w:r>
          </w:p>
        </w:tc>
        <w:tc>
          <w:tcPr>
            <w:tcW w:w="11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回用于生物有机肥生产线</w:t>
            </w:r>
          </w:p>
        </w:tc>
        <w:tc>
          <w:tcPr>
            <w:tcW w:w="3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废气处理设备</w:t>
            </w:r>
          </w:p>
        </w:tc>
        <w:tc>
          <w:tcPr>
            <w:tcW w:w="6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废活性炭</w:t>
            </w:r>
          </w:p>
        </w:tc>
        <w:tc>
          <w:tcPr>
            <w:tcW w:w="4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HW49</w:t>
            </w:r>
          </w:p>
        </w:tc>
        <w:tc>
          <w:tcPr>
            <w:tcW w:w="77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900-039-49</w:t>
            </w:r>
          </w:p>
        </w:tc>
        <w:tc>
          <w:tcPr>
            <w:tcW w:w="4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危险废物</w:t>
            </w:r>
          </w:p>
        </w:tc>
        <w:tc>
          <w:tcPr>
            <w:tcW w:w="5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w:t>
            </w:r>
          </w:p>
        </w:tc>
        <w:tc>
          <w:tcPr>
            <w:tcW w:w="11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交由有资质单位处置</w:t>
            </w:r>
          </w:p>
        </w:tc>
        <w:tc>
          <w:tcPr>
            <w:tcW w:w="62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w:t>
            </w:r>
          </w:p>
        </w:tc>
        <w:tc>
          <w:tcPr>
            <w:tcW w:w="4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拆卸维修</w:t>
            </w:r>
          </w:p>
        </w:tc>
        <w:tc>
          <w:tcPr>
            <w:tcW w:w="6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废机油</w:t>
            </w:r>
          </w:p>
        </w:tc>
        <w:tc>
          <w:tcPr>
            <w:tcW w:w="4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HW08</w:t>
            </w:r>
          </w:p>
        </w:tc>
        <w:tc>
          <w:tcPr>
            <w:tcW w:w="77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900-214-08</w:t>
            </w:r>
          </w:p>
        </w:tc>
        <w:tc>
          <w:tcPr>
            <w:tcW w:w="4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危险废物</w:t>
            </w:r>
          </w:p>
        </w:tc>
        <w:tc>
          <w:tcPr>
            <w:tcW w:w="5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11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交由有资质单位处置</w:t>
            </w:r>
          </w:p>
        </w:tc>
        <w:tc>
          <w:tcPr>
            <w:tcW w:w="62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w:t>
            </w:r>
          </w:p>
        </w:tc>
        <w:tc>
          <w:tcPr>
            <w:tcW w:w="4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生活区</w:t>
            </w:r>
          </w:p>
        </w:tc>
        <w:tc>
          <w:tcPr>
            <w:tcW w:w="6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生活垃圾</w:t>
            </w:r>
          </w:p>
        </w:tc>
        <w:tc>
          <w:tcPr>
            <w:tcW w:w="4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SW64</w:t>
            </w:r>
          </w:p>
        </w:tc>
        <w:tc>
          <w:tcPr>
            <w:tcW w:w="77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900-099-S64</w:t>
            </w:r>
          </w:p>
        </w:tc>
        <w:tc>
          <w:tcPr>
            <w:tcW w:w="4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生活垃圾</w:t>
            </w:r>
          </w:p>
        </w:tc>
        <w:tc>
          <w:tcPr>
            <w:tcW w:w="5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w:t>
            </w:r>
          </w:p>
        </w:tc>
        <w:tc>
          <w:tcPr>
            <w:tcW w:w="11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园区环卫部门统一清运</w:t>
            </w:r>
          </w:p>
        </w:tc>
        <w:tc>
          <w:tcPr>
            <w:tcW w:w="62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w:t>
            </w:r>
          </w:p>
        </w:tc>
        <w:tc>
          <w:tcPr>
            <w:tcW w:w="4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储罐清洗</w:t>
            </w:r>
          </w:p>
        </w:tc>
        <w:tc>
          <w:tcPr>
            <w:tcW w:w="6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储罐清洗含油废水</w:t>
            </w:r>
          </w:p>
        </w:tc>
        <w:tc>
          <w:tcPr>
            <w:tcW w:w="4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HW08</w:t>
            </w:r>
          </w:p>
        </w:tc>
        <w:tc>
          <w:tcPr>
            <w:tcW w:w="77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900-201-08</w:t>
            </w:r>
          </w:p>
        </w:tc>
        <w:tc>
          <w:tcPr>
            <w:tcW w:w="4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危险废物</w:t>
            </w:r>
          </w:p>
        </w:tc>
        <w:tc>
          <w:tcPr>
            <w:tcW w:w="5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0.3</w:t>
            </w:r>
          </w:p>
        </w:tc>
        <w:tc>
          <w:tcPr>
            <w:tcW w:w="11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清洗完成后委托具有相应处理资质的单位进行处置，不在厂区储存</w:t>
            </w:r>
          </w:p>
        </w:tc>
        <w:tc>
          <w:tcPr>
            <w:tcW w:w="62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2" w:type="pct"/>
            <w:gridSpan w:val="6"/>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总计</w:t>
            </w:r>
          </w:p>
        </w:tc>
        <w:tc>
          <w:tcPr>
            <w:tcW w:w="5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2035.8</w:t>
            </w:r>
          </w:p>
        </w:tc>
        <w:tc>
          <w:tcPr>
            <w:tcW w:w="11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合理处置</w:t>
            </w:r>
          </w:p>
        </w:tc>
        <w:tc>
          <w:tcPr>
            <w:tcW w:w="3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16.3</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5.2.4.2 固体废物影响分析</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4"/>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5.2.4.2.1产生影响的环节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拟建项目产生的固体废物在产生、收集、贮存、运输、利用和处置过程中可能会对外环境造成影响：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（1）固体废物特别是危险废物在产生、分类收集、贮存过程，如危废贮存场所选址不合理、贮存能力不满足要求或管理不善造成的危险废物与一般工业固体废物、生活垃圾的混放；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（2）固体废物特别是危险废物从厂区内工艺环节产生、运输到贮存场所或处置设施过程可能产生散落、泄漏所引起的环境影响；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（3）固体废物特别是危险废物在综合利用或处置过程对环境造成影响。</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4"/>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5.2.4.2.2 污染影响分析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（1）贮存设施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1）危险废物贮存场所</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危险废物贮存场所环境影响分析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危险废物外委处置前，在厂内危险废物暂存间暂存，采用密闭库房存储。本项目选址符合园区规划，符合“三线一单”生态环节分区管控的要求，本项目危险废物暂存间不在生态环节保护红线、永久基本农田和其他需要特别需要保护的区域范围内，项目所在地地质结构稳定，本项目危废暂存间的选址符合《危险废物贮存污染控制标准》（GB18597-2023）对选址的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危险废物暂存间的设计参照《危险废物贮存污染控制标准》（GB18597-2023）的要求进行，危险废物暂存间基础必须防渗，防渗层为至少 1m 厚黏土层（渗透系数不大于 10</w:t>
      </w:r>
      <w:r>
        <w:rPr>
          <w:rFonts w:hint="eastAsia" w:ascii="Times New Roman" w:hAnsi="Times New Roman" w:eastAsia="宋体" w:cs="Times New Roman"/>
          <w:color w:val="auto"/>
          <w:sz w:val="24"/>
          <w:szCs w:val="24"/>
          <w:vertAlign w:val="superscript"/>
          <w:lang w:val="en-US" w:eastAsia="zh-CN"/>
        </w:rPr>
        <w:t xml:space="preserve"> -7</w:t>
      </w:r>
      <w:r>
        <w:rPr>
          <w:rFonts w:hint="eastAsia" w:ascii="Times New Roman" w:hAnsi="Times New Roman" w:eastAsia="宋体" w:cs="Times New Roman"/>
          <w:color w:val="auto"/>
          <w:sz w:val="24"/>
          <w:szCs w:val="24"/>
          <w:lang w:val="en-US" w:eastAsia="zh-CN"/>
        </w:rPr>
        <w:t>cm/s），或至少 2 mm 厚高密度聚乙烯膜等人工防渗材料（渗透系数不大于 10</w:t>
      </w:r>
      <w:r>
        <w:rPr>
          <w:rFonts w:hint="eastAsia" w:ascii="Times New Roman" w:hAnsi="Times New Roman" w:eastAsia="宋体" w:cs="Times New Roman"/>
          <w:color w:val="auto"/>
          <w:sz w:val="24"/>
          <w:szCs w:val="24"/>
          <w:vertAlign w:val="superscript"/>
          <w:lang w:val="en-US" w:eastAsia="zh-CN"/>
        </w:rPr>
        <w:t xml:space="preserve"> -10</w:t>
      </w:r>
      <w:r>
        <w:rPr>
          <w:rFonts w:hint="eastAsia" w:ascii="Times New Roman" w:hAnsi="Times New Roman" w:eastAsia="宋体" w:cs="Times New Roman"/>
          <w:color w:val="auto"/>
          <w:sz w:val="24"/>
          <w:szCs w:val="24"/>
          <w:lang w:val="en-US" w:eastAsia="zh-CN"/>
        </w:rPr>
        <w:t>cm/s），或其他防渗性能等效的材料，对地下水和土壤环境造成的影响不大。贮存场所内禁止混放不相容危险废物。危险废物暂存间污染防治分区按重点污染区域考虑，地面进行耐腐和硬化处理，暂存间内所有设备考虑防爆设置，并按《环境保护图形标志 固体废物贮存（处置）场》（GB15562.2-1995）及修改单的规定设置警示标志。</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确定性质稳定（不挥发、不易燃、不易爆，无有毒有害气体，不自燃，否则按易燃易爆危险品贮存）的危险废物，送入暂存间暂存，在常温常压下，不水解、不挥发的固体危险废物可在贮存设施内分别堆放，达到一定数量后送厂内进行处理或通知有相应资质的单位按规定路线运往有相应处理资质的单位进行处置，不能在贮存场所内长期贮存。</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危废暂存间设围堰，收集在消防事故发生过程中产生的泄漏物料、污染消防水等。库内清理出来的泄漏物，一律按危险废物处理。渗滤液等设置收集设施，用泵抽提至危险废物包装桶中，委托有资质的单位处置。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②危险废物贮存管理要求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对危险固体废物进行全过程严格管理，必须交由有资质的单位安全处理处置，严禁随意堆放和扩散，必须设置专用贮存场所，并按《危险废物贮存污染控制标准》（GB18597-2023）及《危险废物污染防治技术政策》的有关规定贮存及管理，有防扬散、防流失、防渗漏等措施，由专业人员操作，单独收集和贮运，对本项目产生的固体废物特别是危险废物进行全过程严格管理和安全处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为杜绝危险废物在转运过程中对环境的潜在性污染风险，各危险废物处置单位应实行“上门取货制”和危险废物的转运联单制，配备专用的危险废物转运车辆，实行从废物产生源头装车，到最终的处理处置设施进行全程监控和管理。废物进场时首先要对废物进行物理和化学性质分析，分类并登记造册，禁止将不相容废物装入同一容器。盛装危险废物的容器上要粘贴符合标准的标签。禁止将不相容废物装入同一容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综上所述，本项目危险废物贮存设施可靠，贮存环节对环境产生的影响较小。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2）一般工业固体废物贮存</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企业必须建立和完善固体废物管理制度，按照国家《固体废物污染环境防治法》的规定，对产生的固体废物实行分类管理，对一般工业固体废物按《一般工业固体废物贮存和填埋污染控制标准》（GB18599-2020）进行贮存和处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（2）综合利用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本项目产生的一般工业固体废物有水溶肥</w:t>
      </w:r>
      <w:r>
        <w:rPr>
          <w:rFonts w:hint="eastAsia" w:ascii="Times New Roman" w:hAnsi="Times New Roman" w:eastAsia="宋体" w:cs="Times New Roman"/>
          <w:color w:val="auto"/>
          <w:sz w:val="24"/>
          <w:szCs w:val="24"/>
          <w:lang w:val="en-US" w:eastAsia="zh-CN"/>
        </w:rPr>
        <w:t>生产线产生的下脚料、动植物油水解产生的下脚料、皂脚酸化产生下脚料</w:t>
      </w:r>
      <w:r>
        <w:rPr>
          <w:rFonts w:hint="default" w:ascii="Times New Roman" w:hAnsi="Times New Roman" w:eastAsia="宋体" w:cs="Times New Roman"/>
          <w:color w:val="auto"/>
          <w:sz w:val="24"/>
          <w:szCs w:val="24"/>
          <w:lang w:val="en-US" w:eastAsia="zh-CN"/>
        </w:rPr>
        <w:t>等，本着优先综合利用的原则，进行综合利用</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水溶肥</w:t>
      </w:r>
      <w:r>
        <w:rPr>
          <w:rFonts w:hint="eastAsia" w:ascii="Times New Roman" w:hAnsi="Times New Roman" w:eastAsia="宋体" w:cs="Times New Roman"/>
          <w:color w:val="auto"/>
          <w:sz w:val="24"/>
          <w:szCs w:val="24"/>
          <w:lang w:val="en-US" w:eastAsia="zh-CN"/>
        </w:rPr>
        <w:t>生产线产生的下脚料、动植物油水解产生的下脚料、皂脚酸化产生下脚料回用于生物有机肥生产线</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（3）外委处理、处置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本项目需要外委处置的危险废物包括有废活性炭、废机油</w:t>
      </w:r>
      <w:r>
        <w:rPr>
          <w:rFonts w:hint="eastAsia" w:ascii="Times New Roman" w:hAnsi="Times New Roman" w:eastAsia="宋体" w:cs="Times New Roman"/>
          <w:color w:val="auto"/>
          <w:sz w:val="24"/>
          <w:szCs w:val="24"/>
          <w:lang w:val="en-US" w:eastAsia="zh-CN"/>
        </w:rPr>
        <w:t>、储罐清洗含油废水</w:t>
      </w:r>
      <w:r>
        <w:rPr>
          <w:rFonts w:hint="default" w:ascii="Times New Roman" w:hAnsi="Times New Roman" w:eastAsia="宋体" w:cs="Times New Roman"/>
          <w:color w:val="auto"/>
          <w:sz w:val="24"/>
          <w:szCs w:val="24"/>
          <w:lang w:val="en-US" w:eastAsia="zh-CN"/>
        </w:rPr>
        <w:t>等，均交由有资质收集、转运并处置。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本项目产生的</w:t>
      </w:r>
      <w:r>
        <w:rPr>
          <w:rFonts w:hint="eastAsia" w:ascii="Times New Roman" w:hAnsi="Times New Roman" w:eastAsia="宋体" w:cs="Times New Roman"/>
          <w:color w:val="auto"/>
          <w:sz w:val="24"/>
          <w:szCs w:val="24"/>
          <w:lang w:val="en-US" w:eastAsia="zh-CN"/>
        </w:rPr>
        <w:t>生活垃圾</w:t>
      </w:r>
      <w:r>
        <w:rPr>
          <w:rFonts w:hint="default" w:ascii="Times New Roman" w:hAnsi="Times New Roman" w:eastAsia="宋体" w:cs="Times New Roman"/>
          <w:color w:val="auto"/>
          <w:sz w:val="24"/>
          <w:szCs w:val="24"/>
          <w:lang w:val="en-US" w:eastAsia="zh-CN"/>
        </w:rPr>
        <w:t>属于一般工业固体废物，送</w:t>
      </w:r>
      <w:r>
        <w:rPr>
          <w:rFonts w:hint="eastAsia" w:ascii="Times New Roman" w:hAnsi="Times New Roman" w:eastAsia="宋体" w:cs="Times New Roman"/>
          <w:color w:val="auto"/>
          <w:sz w:val="24"/>
          <w:szCs w:val="24"/>
          <w:lang w:val="en-US" w:eastAsia="zh-CN"/>
        </w:rPr>
        <w:t>大丰镇生活垃圾</w:t>
      </w:r>
      <w:r>
        <w:rPr>
          <w:rFonts w:hint="default" w:ascii="Times New Roman" w:hAnsi="Times New Roman" w:eastAsia="宋体" w:cs="Times New Roman"/>
          <w:color w:val="auto"/>
          <w:sz w:val="24"/>
          <w:szCs w:val="24"/>
          <w:lang w:val="en-US" w:eastAsia="zh-CN"/>
        </w:rPr>
        <w:t>填埋场填埋处理。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（5）固体废物运输影响分析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①厂内运输影响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项目危废暂存间位于厂区</w:t>
      </w:r>
      <w:r>
        <w:rPr>
          <w:rFonts w:hint="eastAsia" w:ascii="Times New Roman" w:hAnsi="Times New Roman" w:eastAsia="宋体" w:cs="Times New Roman"/>
          <w:color w:val="auto"/>
          <w:sz w:val="24"/>
          <w:szCs w:val="24"/>
          <w:lang w:val="en-US" w:eastAsia="zh-CN"/>
        </w:rPr>
        <w:t>东</w:t>
      </w:r>
      <w:r>
        <w:rPr>
          <w:rFonts w:hint="default" w:ascii="Times New Roman" w:hAnsi="Times New Roman" w:eastAsia="宋体" w:cs="Times New Roman"/>
          <w:color w:val="auto"/>
          <w:sz w:val="24"/>
          <w:szCs w:val="24"/>
          <w:lang w:val="en-US" w:eastAsia="zh-CN"/>
        </w:rPr>
        <w:t>北侧，各车间产生的危险废物从车间送至危废暂存间可能产生散落、泄漏等污染环境，评价要求各类危险废物必须装入符合标准的容器内，厂内运输过程中应避开办公生活区，并对运输道路定期清扫，发现危险废物散落或泄漏应及时采取措施进行处理，避免造成二次污染。</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②厂外运输影响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危险废物厂外运输由资质单位承担。为了减少固体废物在运输中对环境产生的不利影响，建议在运输过程中，提前规划运输路线，避免穿越敏感区域，严禁跑、冒、滴、漏，运输车辆应在车身显著位置粘贴有明显标志，司乘人员具有一定的应急处置能力。</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4"/>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5.2.4.2.2 污染影响分析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综上所述，本项目生产期产生的各种固体废物均得到有效的处理或处置，处置率达到 100%，其处置途径不会对周围环境产生不利影响。固体废物临时贮存场一般不会产生环境空气污染，采取防流失、防渗等措施后对地下水环境影响小。</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5.2.5 土壤环境影响预测与评价</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5.2.5.1 正常工况下对土壤环境的影响</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4"/>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5.2.5.1.1 废水对土壤环境的影响分析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正常工况下，项目各生产区的工艺设备和地下水环境保护措施均达到了设计要求，且运行良好。根据项目工程分析，项目生产废水中主要污染物为 COD、BOD</w:t>
      </w:r>
      <w:r>
        <w:rPr>
          <w:rFonts w:hint="eastAsia" w:ascii="Times New Roman" w:hAnsi="Times New Roman" w:eastAsia="宋体" w:cs="Times New Roman"/>
          <w:color w:val="auto"/>
          <w:sz w:val="24"/>
          <w:szCs w:val="24"/>
          <w:vertAlign w:val="subscript"/>
          <w:lang w:val="en-US" w:eastAsia="zh-CN"/>
        </w:rPr>
        <w:t>5</w:t>
      </w:r>
      <w:r>
        <w:rPr>
          <w:rFonts w:hint="eastAsia" w:ascii="Times New Roman" w:hAnsi="Times New Roman" w:eastAsia="宋体" w:cs="Times New Roman"/>
          <w:color w:val="auto"/>
          <w:sz w:val="24"/>
          <w:szCs w:val="24"/>
          <w:lang w:val="en-US" w:eastAsia="zh-CN"/>
        </w:rPr>
        <w:t>、NH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-N、动植物油等，无重金属第一类污染物。项目生产废水经管道回用于水溶肥及生物有机肥生产线，同时地埋式污水管道沿线等均采取防渗措施，其防渗能力均也达到了设计要求，具有良好的隔水防渗性能。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因此，在防渗系统和设备及管道正常运行的情况下，本项目废水向地下渗透将得到很好的控制，对土壤环境的影响较小。</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4"/>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5.2.5.1.2 固体废物对土壤环境的影响分析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本项目产生的固废有一般工业固废和危险废物，其中危险废物有废机油、废活性炭等；一般工业固体废物有</w:t>
      </w:r>
      <w:r>
        <w:rPr>
          <w:rFonts w:hint="default" w:ascii="Times New Roman" w:hAnsi="Times New Roman" w:eastAsia="宋体" w:cs="Times New Roman"/>
          <w:color w:val="auto"/>
          <w:sz w:val="24"/>
          <w:szCs w:val="24"/>
          <w:lang w:val="en-US" w:eastAsia="zh-CN"/>
        </w:rPr>
        <w:t>水溶肥</w:t>
      </w:r>
      <w:r>
        <w:rPr>
          <w:rFonts w:hint="eastAsia" w:ascii="Times New Roman" w:hAnsi="Times New Roman" w:eastAsia="宋体" w:cs="Times New Roman"/>
          <w:color w:val="auto"/>
          <w:sz w:val="24"/>
          <w:szCs w:val="24"/>
          <w:lang w:val="en-US" w:eastAsia="zh-CN"/>
        </w:rPr>
        <w:t>生产线产生的下脚料、动植物油水解产生的下脚料、皂脚酸化产生下脚料等。</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废机油、废活性炭分类分区暂存至厂区危废暂存间，最终交由具有相应资质的危废处置单位进行安全处置。危废暂存间应严格按照《危险废物贮存污染控制标准》（GB18597-2023）要求建设，具有防渗、防风、防雨、防晒等功能。项目的固体废物都有明确的处置方式，危废进入土壤环境的可能性较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本项目产生的一般工业固体废物有</w:t>
      </w:r>
      <w:r>
        <w:rPr>
          <w:rFonts w:hint="default" w:ascii="Times New Roman" w:hAnsi="Times New Roman" w:eastAsia="宋体" w:cs="Times New Roman"/>
          <w:color w:val="auto"/>
          <w:sz w:val="24"/>
          <w:szCs w:val="24"/>
          <w:lang w:val="en-US" w:eastAsia="zh-CN"/>
        </w:rPr>
        <w:t>水溶肥</w:t>
      </w:r>
      <w:r>
        <w:rPr>
          <w:rFonts w:hint="eastAsia" w:ascii="Times New Roman" w:hAnsi="Times New Roman" w:eastAsia="宋体" w:cs="Times New Roman"/>
          <w:color w:val="auto"/>
          <w:sz w:val="24"/>
          <w:szCs w:val="24"/>
          <w:lang w:val="en-US" w:eastAsia="zh-CN"/>
        </w:rPr>
        <w:t>生产线产生的下脚料、动植物油水解产生的下脚料、皂脚酸化产生下脚料等，本着优先综合利用的原则，进行综合利用，</w:t>
      </w:r>
      <w:r>
        <w:rPr>
          <w:rFonts w:hint="default" w:ascii="Times New Roman" w:hAnsi="Times New Roman" w:eastAsia="宋体" w:cs="Times New Roman"/>
          <w:color w:val="auto"/>
          <w:sz w:val="24"/>
          <w:szCs w:val="24"/>
          <w:lang w:val="en-US" w:eastAsia="zh-CN"/>
        </w:rPr>
        <w:t>水溶肥</w:t>
      </w:r>
      <w:r>
        <w:rPr>
          <w:rFonts w:hint="eastAsia" w:ascii="Times New Roman" w:hAnsi="Times New Roman" w:eastAsia="宋体" w:cs="Times New Roman"/>
          <w:color w:val="auto"/>
          <w:sz w:val="24"/>
          <w:szCs w:val="24"/>
          <w:lang w:val="en-US" w:eastAsia="zh-CN"/>
        </w:rPr>
        <w:t>生产线产生的下脚料、动植物油水解产生的下脚料、皂脚酸化产生下脚料回用于生物有机肥生产线。</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厂区设置垃圾收集桶，生活垃圾收集后每天由园区环卫部门统一清运，严禁随意扔撒垃圾。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综上分析，项目工业固体废物对周边土壤环境的影响较小。</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4"/>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5.2.5.1.3 废气沉降对土壤环境的影响分析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根据工程分析，项目建成运行后的废气污染物主要有非甲烷总烃、颗粒物、甲醇、油脂烟气、NH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、H</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S 等。正常工况下，项目各生产区的生产废气经废气环保处理设施处理后，各大气污染物排放浓度均满足相应的排放标准；经大气环境影响预测，项目排放的各污染物满足相应质量标准浓度限值要求。同时属于干旱气候，年均降水量很少，因此，项目排放的大气污染通过降水、扩散作用降到地面对土壤环境的酸碱、盐化影响较小。</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5.2.5.2 非正常工况下对土壤环境的影响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项目生产废水经厂内管道回用于水溶肥及生物有机肥生产线，拟建项目对土壤环境的影响主要包括：</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（1）输送污水管道出现事故泄漏导致废水含有的石油类渗入土壤导致土壤污染发生酸碱化。</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5.2.5.3 非正常工况下对土壤环境的预测与评价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建设完后，运营期非正常状况主要包括：废水收集管破损、废水收集池的防渗层破损等。因此，设定以下污染物泄露情景：废水收集池防渗层发生破损后长时间未进行处理，废水连续进入土壤环境中，本项目生产废水中主要污染物包括石油类等，会通过垂直下渗形式进入土壤，从而使局部土壤环境质量逐步受到污染影响，因此，本项目根据《环境影响评价技术到则土壤环境（试行）》（HJ964-2018）附录 E 中预测方法对拟建项目垂直入渗对区域环境影响进行预测，预测模型如下：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1）一维非饱和溶质垂向运移控制方程：</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drawing>
          <wp:inline distT="0" distB="0" distL="114300" distR="114300">
            <wp:extent cx="2466975" cy="572135"/>
            <wp:effectExtent l="0" t="0" r="1905" b="6985"/>
            <wp:docPr id="47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6"/>
                    <pic:cNvPicPr>
                      <a:picLocks noChangeAspect="1"/>
                    </pic:cNvPicPr>
                  </pic:nvPicPr>
                  <pic:blipFill>
                    <a:blip r:embed="rId85"/>
                    <a:stretch>
                      <a:fillRect/>
                    </a:stretch>
                  </pic:blipFill>
                  <pic:spPr>
                    <a:xfrm>
                      <a:off x="0" y="0"/>
                      <a:ext cx="2466975" cy="5721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式中：c—污染物介质中的浓度，mg/L；</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D—弥散系数，m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/d；</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q—渗流速度，m/d；</w:t>
      </w:r>
    </w:p>
    <w:p>
      <w:pPr>
        <w:keepNext w:val="0"/>
        <w:keepLines w:val="0"/>
        <w:pageBreakBefore w:val="0"/>
        <w:widowControl w:val="0"/>
        <w:kinsoku/>
        <w:wordWrap/>
        <w:overflowPunct/>
        <w:topLinePunct w:val="0"/>
        <w:autoSpaceDE/>
        <w:autoSpaceDN/>
        <w:bidi w:val="0"/>
        <w:adjustRightInd/>
        <w:snapToGrid/>
        <w:spacing w:line="560" w:lineRule="exact"/>
        <w:ind w:firstLine="960" w:firstLineChars="4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z—沿z轴的距离，m；</w:t>
      </w:r>
    </w:p>
    <w:p>
      <w:pPr>
        <w:keepNext w:val="0"/>
        <w:keepLines w:val="0"/>
        <w:pageBreakBefore w:val="0"/>
        <w:widowControl w:val="0"/>
        <w:kinsoku/>
        <w:wordWrap/>
        <w:overflowPunct/>
        <w:topLinePunct w:val="0"/>
        <w:autoSpaceDE/>
        <w:autoSpaceDN/>
        <w:bidi w:val="0"/>
        <w:adjustRightInd/>
        <w:snapToGrid/>
        <w:spacing w:line="560" w:lineRule="exact"/>
        <w:ind w:firstLine="960" w:firstLineChars="4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t—时间变量，d；</w:t>
      </w:r>
    </w:p>
    <w:p>
      <w:pPr>
        <w:keepNext w:val="0"/>
        <w:keepLines w:val="0"/>
        <w:pageBreakBefore w:val="0"/>
        <w:widowControl w:val="0"/>
        <w:kinsoku/>
        <w:wordWrap/>
        <w:overflowPunct/>
        <w:topLinePunct w:val="0"/>
        <w:autoSpaceDE/>
        <w:autoSpaceDN/>
        <w:bidi w:val="0"/>
        <w:adjustRightInd/>
        <w:snapToGrid/>
        <w:spacing w:line="560" w:lineRule="exact"/>
        <w:ind w:firstLine="960" w:firstLineChars="4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θ—土壤含水率，%。</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2）初始条件</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第一类 Dirichlet 边界条件：</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drawing>
          <wp:inline distT="0" distB="0" distL="114300" distR="114300">
            <wp:extent cx="4057015" cy="586740"/>
            <wp:effectExtent l="0" t="0" r="12065" b="7620"/>
            <wp:docPr id="477" name="图片 47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descr="图片1"/>
                    <pic:cNvPicPr>
                      <a:picLocks noChangeAspect="1"/>
                    </pic:cNvPicPr>
                  </pic:nvPicPr>
                  <pic:blipFill>
                    <a:blip r:embed="rId86"/>
                    <a:srcRect b="75104"/>
                    <a:stretch>
                      <a:fillRect/>
                    </a:stretch>
                  </pic:blipFill>
                  <pic:spPr>
                    <a:xfrm>
                      <a:off x="0" y="0"/>
                      <a:ext cx="4057015" cy="58674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drawing>
          <wp:inline distT="0" distB="0" distL="114300" distR="114300">
            <wp:extent cx="3881755" cy="1701800"/>
            <wp:effectExtent l="0" t="0" r="4445" b="5080"/>
            <wp:docPr id="478" name="图片 47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descr="图片1"/>
                    <pic:cNvPicPr>
                      <a:picLocks noChangeAspect="1"/>
                    </pic:cNvPicPr>
                  </pic:nvPicPr>
                  <pic:blipFill>
                    <a:blip r:embed="rId86"/>
                    <a:srcRect t="24481"/>
                    <a:stretch>
                      <a:fillRect/>
                    </a:stretch>
                  </pic:blipFill>
                  <pic:spPr>
                    <a:xfrm>
                      <a:off x="0" y="0"/>
                      <a:ext cx="3881755" cy="170180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（2）预测参数及模型概化</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1）边界条件</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模型上边界概化为稳定的污染物定水头补给边界，下边界为自由排泄边界。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2）土壤概化</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结合</w:t>
      </w:r>
      <w:r>
        <w:rPr>
          <w:rFonts w:hint="eastAsia" w:ascii="Times New Roman" w:hAnsi="Times New Roman" w:eastAsia="宋体" w:cs="Times New Roman"/>
          <w:color w:val="auto"/>
          <w:sz w:val="24"/>
          <w:szCs w:val="24"/>
          <w:lang w:val="en-US" w:eastAsia="zh-CN"/>
        </w:rPr>
        <w:t>工程区域水文地质勘查资料</w:t>
      </w:r>
      <w:r>
        <w:rPr>
          <w:rFonts w:hint="eastAsia" w:ascii="Times New Roman" w:hAnsi="Times New Roman" w:eastAsia="宋体" w:cs="Times New Roman"/>
          <w:b w:val="0"/>
          <w:bCs w:val="0"/>
          <w:color w:val="auto"/>
          <w:sz w:val="24"/>
          <w:szCs w:val="24"/>
          <w:lang w:val="en-US" w:eastAsia="zh-CN"/>
        </w:rPr>
        <w:t>，将土壤概化为一种类型，渗透系数2.7m/d。</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3）参数设置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模型中水流模拟的上边界为定水头边界，下边界为自由排水边界；溶质运移模拟的上边界为定浓度边界，浓度为 100mg/L，下边界为零浓度梯度边界。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（3）模拟结果</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本项目厂址所在区域地下水位埋深为 4m，包气带以粉质粘土和粉土为主。非正常状况下，污水处理站防渗层发生破坏，石油类污染物向包气带迁移造成土壤污染。本次预测对污水泄漏部位以下 3m 土壤层进行剖分，将整个剖面划分为100 层，每层 3cm，设置 5 处观测点。相关参数见表 5.2.1-1 和表5.2.5-2，数值模型运行结果见图5.2.5-1和图5.2.5-2。 </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5.2.5-1  废水泄漏部位底部观测点对应深度关系表</w:t>
      </w:r>
    </w:p>
    <w:tbl>
      <w:tblPr>
        <w:tblStyle w:val="2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19"/>
        <w:gridCol w:w="883"/>
        <w:gridCol w:w="883"/>
        <w:gridCol w:w="883"/>
        <w:gridCol w:w="883"/>
        <w:gridCol w:w="883"/>
        <w:gridCol w:w="8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观测点</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N1</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N2</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N3</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N4</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N5</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N6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代表深度 （m）</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0.3</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0.6</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2.4</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3.0</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5.2.5-2    废水泄漏部位土壤剖面对应时间关系表</w:t>
      </w:r>
    </w:p>
    <w:tbl>
      <w:tblPr>
        <w:tblStyle w:val="2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19"/>
        <w:gridCol w:w="883"/>
        <w:gridCol w:w="883"/>
        <w:gridCol w:w="883"/>
        <w:gridCol w:w="883"/>
        <w:gridCol w:w="883"/>
        <w:gridCol w:w="8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观测时间</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T0</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T1</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T2</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T3</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T4</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代表时间（d）</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1600</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2000</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4000</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6000</w:t>
            </w:r>
          </w:p>
        </w:tc>
        <w:tc>
          <w:tcPr>
            <w:tcW w:w="5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7300</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color w:val="auto"/>
        </w:rPr>
        <w:drawing>
          <wp:inline distT="0" distB="0" distL="114300" distR="114300">
            <wp:extent cx="5269865" cy="3142615"/>
            <wp:effectExtent l="0" t="0" r="6985" b="635"/>
            <wp:docPr id="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9"/>
                    <pic:cNvPicPr>
                      <a:picLocks noChangeAspect="1"/>
                    </pic:cNvPicPr>
                  </pic:nvPicPr>
                  <pic:blipFill>
                    <a:blip r:embed="rId87"/>
                    <a:stretch>
                      <a:fillRect/>
                    </a:stretch>
                  </pic:blipFill>
                  <pic:spPr>
                    <a:xfrm>
                      <a:off x="0" y="0"/>
                      <a:ext cx="5269865" cy="31426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图 5.2.5-1   本项目废水泄漏部位底部各观测点石油类浓度变化图</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color w:val="auto"/>
        </w:rPr>
        <w:drawing>
          <wp:inline distT="0" distB="0" distL="114300" distR="114300">
            <wp:extent cx="5038725" cy="2800350"/>
            <wp:effectExtent l="0" t="0" r="9525" b="0"/>
            <wp:docPr id="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0"/>
                    <pic:cNvPicPr>
                      <a:picLocks noChangeAspect="1"/>
                    </pic:cNvPicPr>
                  </pic:nvPicPr>
                  <pic:blipFill>
                    <a:blip r:embed="rId88"/>
                    <a:stretch>
                      <a:fillRect/>
                    </a:stretch>
                  </pic:blipFill>
                  <pic:spPr>
                    <a:xfrm>
                      <a:off x="0" y="0"/>
                      <a:ext cx="5038725" cy="28003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482"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图 5.2.5-2   本项目废水泄漏部位底部土壤剖面石油类浓度变化图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由图可知，在污水处理站运行周期内（20 年），污染物穿透包气带约 1.5m深度，在 3m 深度未观测到石油烃污染物渗漏现象，这可能是由于粉质粘土和粉土具有较好的阻隔作用。经过计算，土壤中石油类的浓度最大增量为100mg/kg，厂区石油烃现状监测值最大值为47mg/kg，叠加影响后土壤中石油烃的预测值为113.38mg/kg，远小于《土壤环境质量建设用地土壤污染风险管控标准》（GB36600-2018）第二类用地的筛选值（4500mg/kg），对环境影响很小，环境影响可接受。</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5.2.5.4 土壤环境影响评价结论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highlight w:val="none"/>
        </w:rPr>
      </w:pPr>
      <w:r>
        <w:rPr>
          <w:rFonts w:hint="eastAsia" w:ascii="宋体" w:hAnsi="宋体" w:eastAsia="宋体" w:cs="宋体"/>
          <w:color w:val="auto"/>
          <w:kern w:val="0"/>
          <w:sz w:val="24"/>
          <w:szCs w:val="24"/>
          <w:highlight w:val="none"/>
          <w:lang w:val="en-US" w:eastAsia="zh-CN" w:bidi="ar"/>
        </w:rPr>
        <w:t>经环境识别，本项目对土壤环境的影响主要为垂直入渗及地面漫流，经土壤现状监测，土壤监测因子均满足《土壤环境质量 建设用地土壤污染风险管控标准》（</w:t>
      </w:r>
      <w:r>
        <w:rPr>
          <w:rFonts w:hint="default" w:ascii="Times New Roman" w:hAnsi="Times New Roman" w:eastAsia="宋体" w:cs="Times New Roman"/>
          <w:color w:val="auto"/>
          <w:kern w:val="0"/>
          <w:sz w:val="24"/>
          <w:szCs w:val="24"/>
          <w:highlight w:val="none"/>
          <w:lang w:val="en-US" w:eastAsia="zh-CN" w:bidi="ar"/>
        </w:rPr>
        <w:t>GB36600-2018</w:t>
      </w:r>
      <w:r>
        <w:rPr>
          <w:rFonts w:hint="eastAsia" w:ascii="宋体" w:hAnsi="宋体" w:eastAsia="宋体" w:cs="宋体"/>
          <w:color w:val="auto"/>
          <w:kern w:val="0"/>
          <w:sz w:val="24"/>
          <w:szCs w:val="24"/>
          <w:highlight w:val="none"/>
          <w:lang w:val="en-US" w:eastAsia="zh-CN" w:bidi="ar"/>
        </w:rPr>
        <w:t>）中第二类用地筛选值标准要求。在厂区做好分区防渗工作，空地进行硬化处理，定期检修维护环保设备，同时落实跟踪监测。本项目的生产运营对土壤环境影响较小，从土壤环境影响的角度，项目建设可行，</w:t>
      </w:r>
      <w:r>
        <w:rPr>
          <w:rFonts w:hint="default" w:ascii="Times New Roman" w:hAnsi="Times New Roman" w:eastAsia="宋体" w:cs="Times New Roman"/>
          <w:color w:val="auto"/>
          <w:sz w:val="24"/>
          <w:szCs w:val="24"/>
          <w:highlight w:val="none"/>
        </w:rPr>
        <w:t>本项目土壤环境自查表见表</w:t>
      </w:r>
      <w:r>
        <w:rPr>
          <w:rFonts w:hint="eastAsia" w:ascii="Times New Roman" w:hAnsi="Times New Roman" w:eastAsia="宋体" w:cs="Times New Roman"/>
          <w:color w:val="auto"/>
          <w:sz w:val="24"/>
          <w:szCs w:val="24"/>
          <w:highlight w:val="none"/>
          <w:lang w:val="en-US" w:eastAsia="zh-CN"/>
        </w:rPr>
        <w:t>5.2.5-1</w:t>
      </w:r>
      <w:r>
        <w:rPr>
          <w:rFonts w:hint="default" w:ascii="Times New Roman" w:hAnsi="Times New Roman" w:eastAsia="宋体" w:cs="Times New Roman"/>
          <w:color w:val="auto"/>
          <w:sz w:val="24"/>
          <w:szCs w:val="24"/>
          <w:highlight w:val="none"/>
        </w:rPr>
        <w:t>。</w:t>
      </w:r>
    </w:p>
    <w:p>
      <w:pPr>
        <w:pStyle w:val="33"/>
        <w:bidi w:val="0"/>
        <w:rPr>
          <w:rFonts w:hint="default"/>
          <w:color w:val="auto"/>
          <w:sz w:val="24"/>
          <w:szCs w:val="24"/>
          <w:highlight w:val="none"/>
        </w:rPr>
      </w:pPr>
      <w:r>
        <w:rPr>
          <w:rFonts w:hint="default"/>
          <w:color w:val="auto"/>
          <w:sz w:val="24"/>
          <w:szCs w:val="24"/>
          <w:highlight w:val="none"/>
        </w:rPr>
        <w:t>表</w:t>
      </w:r>
      <w:r>
        <w:rPr>
          <w:rFonts w:hint="eastAsia"/>
          <w:color w:val="auto"/>
          <w:sz w:val="24"/>
          <w:szCs w:val="24"/>
          <w:highlight w:val="none"/>
          <w:lang w:val="en-US" w:eastAsia="zh-CN"/>
        </w:rPr>
        <w:t xml:space="preserve">5.2.5-1     </w:t>
      </w:r>
      <w:r>
        <w:rPr>
          <w:rFonts w:hint="default"/>
          <w:color w:val="auto"/>
          <w:sz w:val="24"/>
          <w:szCs w:val="24"/>
          <w:highlight w:val="none"/>
        </w:rPr>
        <w:t>土壤环境影响评价自查表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632"/>
        <w:gridCol w:w="1155"/>
        <w:gridCol w:w="819"/>
        <w:gridCol w:w="300"/>
        <w:gridCol w:w="1169"/>
        <w:gridCol w:w="232"/>
        <w:gridCol w:w="2036"/>
        <w:gridCol w:w="7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94" w:type="pct"/>
            <w:gridSpan w:val="2"/>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rPr>
            </w:pPr>
            <w:bookmarkStart w:id="96" w:name="6环境风险评价与分析"/>
            <w:bookmarkEnd w:id="96"/>
            <w:r>
              <w:rPr>
                <w:rFonts w:hint="default" w:ascii="Times New Roman" w:hAnsi="Times New Roman" w:eastAsia="宋体" w:cs="Times New Roman"/>
                <w:b/>
                <w:bCs/>
                <w:color w:val="auto"/>
                <w:kern w:val="0"/>
                <w:sz w:val="21"/>
                <w:szCs w:val="21"/>
                <w:highlight w:val="none"/>
                <w:lang w:val="en-US" w:eastAsia="zh-CN"/>
              </w:rPr>
              <w:t>工作内容</w:t>
            </w:r>
          </w:p>
        </w:tc>
        <w:tc>
          <w:tcPr>
            <w:tcW w:w="3364" w:type="pct"/>
            <w:gridSpan w:val="6"/>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完成情况</w:t>
            </w:r>
          </w:p>
        </w:tc>
        <w:tc>
          <w:tcPr>
            <w:tcW w:w="44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4" w:type="pct"/>
            <w:vMerge w:val="restar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影响识别</w:t>
            </w:r>
          </w:p>
        </w:tc>
        <w:tc>
          <w:tcPr>
            <w:tcW w:w="96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影响类型</w:t>
            </w:r>
          </w:p>
        </w:tc>
        <w:tc>
          <w:tcPr>
            <w:tcW w:w="3364" w:type="pct"/>
            <w:gridSpan w:val="6"/>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污染影响型</w:t>
            </w:r>
            <w:r>
              <w:rPr>
                <w:rFonts w:hint="default" w:ascii="Times New Roman" w:hAnsi="Times New Roman" w:eastAsia="宋体" w:cs="Times New Roman"/>
                <w:color w:val="auto"/>
                <w:kern w:val="0"/>
                <w:sz w:val="21"/>
                <w:szCs w:val="21"/>
                <w:highlight w:val="none"/>
                <w:lang w:val="en-US" w:eastAsia="zh-CN"/>
              </w:rPr>
              <w:sym w:font="Wingdings 2" w:char="0052"/>
            </w:r>
            <w:r>
              <w:rPr>
                <w:rFonts w:hint="default" w:ascii="Times New Roman" w:hAnsi="Times New Roman" w:eastAsia="宋体" w:cs="Times New Roman"/>
                <w:color w:val="auto"/>
                <w:kern w:val="0"/>
                <w:sz w:val="21"/>
                <w:szCs w:val="21"/>
                <w:highlight w:val="none"/>
                <w:lang w:val="en-US" w:eastAsia="zh-CN"/>
              </w:rPr>
              <w:t>；生态影响型</w:t>
            </w:r>
            <w:r>
              <w:rPr>
                <w:rFonts w:hint="default" w:ascii="Times New Roman" w:hAnsi="Times New Roman" w:eastAsia="宋体" w:cs="Times New Roman"/>
                <w:color w:val="auto"/>
                <w:kern w:val="0"/>
                <w:sz w:val="21"/>
                <w:szCs w:val="21"/>
                <w:highlight w:val="none"/>
                <w:lang w:val="en-US" w:eastAsia="zh-CN"/>
              </w:rPr>
              <w:sym w:font="Wingdings 2" w:char="00A3"/>
            </w:r>
            <w:r>
              <w:rPr>
                <w:rFonts w:hint="default" w:ascii="Times New Roman" w:hAnsi="Times New Roman" w:eastAsia="宋体" w:cs="Times New Roman"/>
                <w:color w:val="auto"/>
                <w:kern w:val="0"/>
                <w:sz w:val="21"/>
                <w:szCs w:val="21"/>
                <w:highlight w:val="none"/>
                <w:lang w:val="en-US" w:eastAsia="zh-CN"/>
              </w:rPr>
              <w:t>；两种兼有□</w:t>
            </w:r>
          </w:p>
        </w:tc>
        <w:tc>
          <w:tcPr>
            <w:tcW w:w="44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4"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96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土地利用类型</w:t>
            </w:r>
          </w:p>
        </w:tc>
        <w:tc>
          <w:tcPr>
            <w:tcW w:w="3364" w:type="pct"/>
            <w:gridSpan w:val="6"/>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建设用地</w:t>
            </w:r>
            <w:r>
              <w:rPr>
                <w:rFonts w:hint="default" w:ascii="Times New Roman" w:hAnsi="Times New Roman" w:eastAsia="宋体" w:cs="Times New Roman"/>
                <w:color w:val="auto"/>
                <w:kern w:val="0"/>
                <w:sz w:val="21"/>
                <w:szCs w:val="21"/>
                <w:highlight w:val="none"/>
                <w:lang w:val="en-US" w:eastAsia="zh-CN"/>
              </w:rPr>
              <w:sym w:font="Wingdings 2" w:char="0052"/>
            </w:r>
            <w:r>
              <w:rPr>
                <w:rFonts w:hint="default" w:ascii="Times New Roman" w:hAnsi="Times New Roman" w:eastAsia="宋体" w:cs="Times New Roman"/>
                <w:color w:val="auto"/>
                <w:kern w:val="0"/>
                <w:sz w:val="21"/>
                <w:szCs w:val="21"/>
                <w:highlight w:val="none"/>
                <w:lang w:val="en-US" w:eastAsia="zh-CN"/>
              </w:rPr>
              <w:t xml:space="preserve">；农用地□；未利用地 </w:t>
            </w:r>
            <w:r>
              <w:rPr>
                <w:rFonts w:hint="default" w:ascii="Times New Roman" w:hAnsi="Times New Roman" w:eastAsia="宋体" w:cs="Times New Roman"/>
                <w:color w:val="auto"/>
                <w:kern w:val="0"/>
                <w:sz w:val="21"/>
                <w:szCs w:val="21"/>
                <w:highlight w:val="none"/>
                <w:lang w:val="en-US" w:eastAsia="zh-CN"/>
              </w:rPr>
              <w:fldChar w:fldCharType="begin"/>
            </w:r>
            <w:r>
              <w:rPr>
                <w:rFonts w:hint="default" w:ascii="Times New Roman" w:hAnsi="Times New Roman" w:eastAsia="宋体" w:cs="Times New Roman"/>
                <w:color w:val="auto"/>
                <w:kern w:val="0"/>
                <w:sz w:val="21"/>
                <w:szCs w:val="21"/>
                <w:highlight w:val="none"/>
                <w:lang w:val="en-US" w:eastAsia="zh-CN"/>
              </w:rPr>
              <w:instrText xml:space="preserve"> eq \o\ac(</w:instrText>
            </w:r>
            <w:r>
              <w:rPr>
                <w:rFonts w:hint="default" w:ascii="Times New Roman" w:hAnsi="Times New Roman" w:eastAsia="宋体" w:cs="Times New Roman"/>
                <w:color w:val="auto"/>
                <w:kern w:val="0"/>
                <w:position w:val="-4"/>
                <w:sz w:val="31"/>
                <w:szCs w:val="21"/>
                <w:highlight w:val="none"/>
                <w:lang w:val="en-US" w:eastAsia="zh-CN"/>
              </w:rPr>
              <w:instrText xml:space="preserve">□</w:instrText>
            </w:r>
            <w:r>
              <w:rPr>
                <w:rFonts w:hint="default" w:ascii="Times New Roman" w:hAnsi="Times New Roman" w:eastAsia="宋体" w:cs="Times New Roman"/>
                <w:color w:val="auto"/>
                <w:kern w:val="0"/>
                <w:position w:val="0"/>
                <w:sz w:val="21"/>
                <w:szCs w:val="21"/>
                <w:highlight w:val="none"/>
                <w:lang w:val="en-US" w:eastAsia="zh-CN"/>
              </w:rPr>
              <w:instrText xml:space="preserve">)</w:instrText>
            </w:r>
            <w:r>
              <w:rPr>
                <w:rFonts w:hint="default" w:ascii="Times New Roman" w:hAnsi="Times New Roman" w:eastAsia="宋体" w:cs="Times New Roman"/>
                <w:color w:val="auto"/>
                <w:kern w:val="0"/>
                <w:sz w:val="21"/>
                <w:szCs w:val="21"/>
                <w:highlight w:val="none"/>
                <w:lang w:val="en-US" w:eastAsia="zh-CN"/>
              </w:rPr>
              <w:fldChar w:fldCharType="end"/>
            </w:r>
          </w:p>
        </w:tc>
        <w:tc>
          <w:tcPr>
            <w:tcW w:w="44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4"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96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占地规模</w:t>
            </w:r>
          </w:p>
        </w:tc>
        <w:tc>
          <w:tcPr>
            <w:tcW w:w="3364" w:type="pct"/>
            <w:gridSpan w:val="6"/>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r>
              <w:rPr>
                <w:rFonts w:hint="eastAsia" w:ascii="Times New Roman" w:hAnsi="Times New Roman" w:eastAsia="宋体" w:cs="Times New Roman"/>
                <w:color w:val="auto"/>
                <w:kern w:val="0"/>
                <w:sz w:val="21"/>
                <w:szCs w:val="21"/>
                <w:highlight w:val="none"/>
                <w:lang w:val="en-US" w:eastAsia="zh-CN"/>
              </w:rPr>
              <w:t>0.0028</w:t>
            </w:r>
            <w:r>
              <w:rPr>
                <w:rFonts w:hint="default" w:ascii="Times New Roman" w:hAnsi="Times New Roman" w:eastAsia="宋体" w:cs="Times New Roman"/>
                <w:color w:val="auto"/>
                <w:kern w:val="0"/>
                <w:sz w:val="21"/>
                <w:szCs w:val="21"/>
                <w:highlight w:val="none"/>
                <w:lang w:val="en-US" w:eastAsia="zh-CN"/>
              </w:rPr>
              <w:t>）h</w:t>
            </w:r>
            <w:r>
              <w:rPr>
                <w:rFonts w:hint="default" w:ascii="Times New Roman" w:hAnsi="Times New Roman" w:eastAsia="宋体" w:cs="Times New Roman"/>
                <w:color w:val="auto"/>
                <w:kern w:val="0"/>
                <w:sz w:val="21"/>
                <w:szCs w:val="21"/>
                <w:highlight w:val="none"/>
                <w:vertAlign w:val="baseline"/>
                <w:lang w:val="en-US" w:eastAsia="zh-CN"/>
              </w:rPr>
              <w:t>m</w:t>
            </w:r>
            <w:r>
              <w:rPr>
                <w:rFonts w:hint="default" w:ascii="Times New Roman" w:hAnsi="Times New Roman" w:eastAsia="宋体" w:cs="Times New Roman"/>
                <w:color w:val="auto"/>
                <w:kern w:val="0"/>
                <w:sz w:val="21"/>
                <w:szCs w:val="21"/>
                <w:highlight w:val="none"/>
                <w:vertAlign w:val="superscript"/>
                <w:lang w:val="en-US" w:eastAsia="zh-CN"/>
              </w:rPr>
              <w:t>2</w:t>
            </w:r>
          </w:p>
        </w:tc>
        <w:tc>
          <w:tcPr>
            <w:tcW w:w="44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4"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96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敏感目标信息</w:t>
            </w:r>
          </w:p>
        </w:tc>
        <w:tc>
          <w:tcPr>
            <w:tcW w:w="3364" w:type="pct"/>
            <w:gridSpan w:val="6"/>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敏感目标（/）、方位（/）、距离（/）</w:t>
            </w:r>
          </w:p>
        </w:tc>
        <w:tc>
          <w:tcPr>
            <w:tcW w:w="44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4"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96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影响途径</w:t>
            </w:r>
          </w:p>
        </w:tc>
        <w:tc>
          <w:tcPr>
            <w:tcW w:w="3364" w:type="pct"/>
            <w:gridSpan w:val="6"/>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大气沉降</w:t>
            </w:r>
            <w:r>
              <w:rPr>
                <w:rFonts w:hint="default" w:ascii="Times New Roman" w:hAnsi="Times New Roman" w:eastAsia="宋体" w:cs="Times New Roman"/>
                <w:color w:val="auto"/>
                <w:kern w:val="0"/>
                <w:sz w:val="21"/>
                <w:szCs w:val="21"/>
                <w:highlight w:val="none"/>
                <w:lang w:val="en-US" w:eastAsia="zh-CN"/>
              </w:rPr>
              <w:sym w:font="Wingdings 2" w:char="00A3"/>
            </w:r>
            <w:r>
              <w:rPr>
                <w:rFonts w:hint="default" w:ascii="Times New Roman" w:hAnsi="Times New Roman" w:eastAsia="宋体" w:cs="Times New Roman"/>
                <w:color w:val="auto"/>
                <w:kern w:val="0"/>
                <w:sz w:val="21"/>
                <w:szCs w:val="21"/>
                <w:highlight w:val="none"/>
                <w:lang w:val="en-US" w:eastAsia="zh-CN"/>
              </w:rPr>
              <w:t>；地面漫流□；垂直入渗</w:t>
            </w:r>
            <w:r>
              <w:rPr>
                <w:rFonts w:hint="default" w:ascii="Times New Roman" w:hAnsi="Times New Roman" w:eastAsia="宋体" w:cs="Times New Roman"/>
                <w:color w:val="auto"/>
                <w:kern w:val="0"/>
                <w:sz w:val="21"/>
                <w:szCs w:val="21"/>
                <w:highlight w:val="none"/>
                <w:lang w:val="en-US" w:eastAsia="zh-CN"/>
              </w:rPr>
              <w:sym w:font="Wingdings 2" w:char="0052"/>
            </w:r>
            <w:r>
              <w:rPr>
                <w:rFonts w:hint="default" w:ascii="Times New Roman" w:hAnsi="Times New Roman" w:eastAsia="宋体" w:cs="Times New Roman"/>
                <w:color w:val="auto"/>
                <w:kern w:val="0"/>
                <w:sz w:val="21"/>
                <w:szCs w:val="21"/>
                <w:highlight w:val="none"/>
                <w:lang w:val="en-US" w:eastAsia="zh-CN"/>
              </w:rPr>
              <w:t>；地下水位□；其他（  ）</w:t>
            </w:r>
          </w:p>
        </w:tc>
        <w:tc>
          <w:tcPr>
            <w:tcW w:w="44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4"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96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全部污染物</w:t>
            </w:r>
          </w:p>
        </w:tc>
        <w:tc>
          <w:tcPr>
            <w:tcW w:w="3364" w:type="pct"/>
            <w:gridSpan w:val="6"/>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pH、COD、NH</w:t>
            </w:r>
            <w:r>
              <w:rPr>
                <w:rFonts w:hint="default" w:ascii="Times New Roman" w:hAnsi="Times New Roman" w:eastAsia="宋体" w:cs="Times New Roman"/>
                <w:color w:val="auto"/>
                <w:kern w:val="0"/>
                <w:sz w:val="21"/>
                <w:szCs w:val="21"/>
                <w:highlight w:val="none"/>
                <w:vertAlign w:val="subscript"/>
                <w:lang w:val="en-US" w:eastAsia="zh-CN"/>
              </w:rPr>
              <w:t>3</w:t>
            </w:r>
            <w:r>
              <w:rPr>
                <w:rFonts w:hint="default" w:ascii="Times New Roman" w:hAnsi="Times New Roman" w:eastAsia="宋体" w:cs="Times New Roman"/>
                <w:color w:val="auto"/>
                <w:kern w:val="0"/>
                <w:sz w:val="21"/>
                <w:szCs w:val="21"/>
                <w:highlight w:val="none"/>
                <w:lang w:val="en-US" w:eastAsia="zh-CN"/>
              </w:rPr>
              <w:t>-N、</w:t>
            </w:r>
            <w:r>
              <w:rPr>
                <w:rFonts w:hint="eastAsia" w:ascii="Times New Roman" w:hAnsi="Times New Roman" w:eastAsia="宋体" w:cs="Times New Roman"/>
                <w:color w:val="auto"/>
                <w:kern w:val="0"/>
                <w:sz w:val="21"/>
                <w:szCs w:val="21"/>
                <w:highlight w:val="none"/>
                <w:lang w:val="en-US" w:eastAsia="zh-CN"/>
              </w:rPr>
              <w:t>SS</w:t>
            </w:r>
            <w:r>
              <w:rPr>
                <w:rFonts w:hint="default" w:ascii="Times New Roman" w:hAnsi="Times New Roman" w:eastAsia="宋体" w:cs="Times New Roman"/>
                <w:color w:val="auto"/>
                <w:kern w:val="0"/>
                <w:sz w:val="21"/>
                <w:szCs w:val="21"/>
                <w:highlight w:val="none"/>
                <w:lang w:val="en-US" w:eastAsia="zh-CN"/>
              </w:rPr>
              <w:t>、</w:t>
            </w:r>
            <w:r>
              <w:rPr>
                <w:rFonts w:hint="eastAsia" w:ascii="Times New Roman" w:hAnsi="Times New Roman" w:eastAsia="宋体" w:cs="Times New Roman"/>
                <w:color w:val="auto"/>
                <w:kern w:val="0"/>
                <w:sz w:val="21"/>
                <w:szCs w:val="21"/>
                <w:highlight w:val="none"/>
                <w:lang w:val="en-US" w:eastAsia="zh-CN"/>
              </w:rPr>
              <w:t>石油类</w:t>
            </w:r>
            <w:r>
              <w:rPr>
                <w:rFonts w:hint="default" w:ascii="Times New Roman" w:hAnsi="Times New Roman" w:eastAsia="宋体" w:cs="Times New Roman"/>
                <w:color w:val="auto"/>
                <w:kern w:val="0"/>
                <w:sz w:val="21"/>
                <w:szCs w:val="21"/>
                <w:highlight w:val="none"/>
                <w:lang w:val="en-US" w:eastAsia="zh-CN"/>
              </w:rPr>
              <w:t xml:space="preserve">等 </w:t>
            </w:r>
          </w:p>
        </w:tc>
        <w:tc>
          <w:tcPr>
            <w:tcW w:w="44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4"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96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特征因子</w:t>
            </w:r>
          </w:p>
        </w:tc>
        <w:tc>
          <w:tcPr>
            <w:tcW w:w="3364" w:type="pct"/>
            <w:gridSpan w:val="6"/>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石油类</w:t>
            </w:r>
          </w:p>
        </w:tc>
        <w:tc>
          <w:tcPr>
            <w:tcW w:w="44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4"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96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所属土壤环境影响评价项目类别</w:t>
            </w:r>
          </w:p>
        </w:tc>
        <w:tc>
          <w:tcPr>
            <w:tcW w:w="3364" w:type="pct"/>
            <w:gridSpan w:val="6"/>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Ⅰ类</w:t>
            </w:r>
            <w:r>
              <w:rPr>
                <w:rFonts w:hint="default" w:ascii="Times New Roman" w:hAnsi="Times New Roman" w:eastAsia="宋体" w:cs="Times New Roman"/>
                <w:color w:val="auto"/>
                <w:kern w:val="0"/>
                <w:sz w:val="21"/>
                <w:szCs w:val="21"/>
                <w:highlight w:val="none"/>
                <w:lang w:val="en-US" w:eastAsia="zh-CN"/>
              </w:rPr>
              <w:sym w:font="Wingdings 2" w:char="00A3"/>
            </w:r>
            <w:r>
              <w:rPr>
                <w:rFonts w:hint="default" w:ascii="Times New Roman" w:hAnsi="Times New Roman" w:eastAsia="宋体" w:cs="Times New Roman"/>
                <w:color w:val="auto"/>
                <w:kern w:val="0"/>
                <w:sz w:val="21"/>
                <w:szCs w:val="21"/>
                <w:highlight w:val="none"/>
                <w:lang w:val="en-US" w:eastAsia="zh-CN"/>
              </w:rPr>
              <w:t>； Ⅱ类</w:t>
            </w:r>
            <w:r>
              <w:rPr>
                <w:rFonts w:hint="default" w:ascii="Times New Roman" w:hAnsi="Times New Roman" w:eastAsia="宋体" w:cs="Times New Roman"/>
                <w:color w:val="auto"/>
                <w:kern w:val="0"/>
                <w:sz w:val="21"/>
                <w:szCs w:val="21"/>
                <w:highlight w:val="none"/>
                <w:lang w:val="en-US" w:eastAsia="zh-CN"/>
              </w:rPr>
              <w:sym w:font="Wingdings 2" w:char="0052"/>
            </w:r>
            <w:r>
              <w:rPr>
                <w:rFonts w:hint="default" w:ascii="Times New Roman" w:hAnsi="Times New Roman" w:eastAsia="宋体" w:cs="Times New Roman"/>
                <w:color w:val="auto"/>
                <w:kern w:val="0"/>
                <w:sz w:val="21"/>
                <w:szCs w:val="21"/>
                <w:highlight w:val="none"/>
                <w:lang w:val="en-US" w:eastAsia="zh-CN"/>
              </w:rPr>
              <w:t>； Ⅲ类□；Ⅳ类□</w:t>
            </w:r>
          </w:p>
        </w:tc>
        <w:tc>
          <w:tcPr>
            <w:tcW w:w="44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4"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96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敏感程度</w:t>
            </w:r>
          </w:p>
        </w:tc>
        <w:tc>
          <w:tcPr>
            <w:tcW w:w="3364" w:type="pct"/>
            <w:gridSpan w:val="6"/>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敏感</w:t>
            </w:r>
            <w:r>
              <w:rPr>
                <w:rFonts w:hint="default" w:ascii="Times New Roman" w:hAnsi="Times New Roman" w:eastAsia="宋体" w:cs="Times New Roman"/>
                <w:color w:val="auto"/>
                <w:kern w:val="0"/>
                <w:sz w:val="21"/>
                <w:szCs w:val="21"/>
                <w:highlight w:val="none"/>
                <w:lang w:val="en-US" w:eastAsia="zh-CN"/>
              </w:rPr>
              <w:sym w:font="Wingdings 2" w:char="00A3"/>
            </w:r>
            <w:r>
              <w:rPr>
                <w:rFonts w:hint="default" w:ascii="Times New Roman" w:hAnsi="Times New Roman" w:eastAsia="宋体" w:cs="Times New Roman"/>
                <w:color w:val="auto"/>
                <w:kern w:val="0"/>
                <w:sz w:val="21"/>
                <w:szCs w:val="21"/>
                <w:highlight w:val="none"/>
                <w:lang w:val="en-US" w:eastAsia="zh-CN"/>
              </w:rPr>
              <w:t>；较敏感</w:t>
            </w:r>
            <w:r>
              <w:rPr>
                <w:rFonts w:hint="default" w:ascii="Times New Roman" w:hAnsi="Times New Roman" w:eastAsia="宋体" w:cs="Times New Roman"/>
                <w:color w:val="auto"/>
                <w:kern w:val="0"/>
                <w:sz w:val="21"/>
                <w:szCs w:val="21"/>
                <w:highlight w:val="none"/>
                <w:lang w:val="en-US" w:eastAsia="zh-CN"/>
              </w:rPr>
              <w:sym w:font="Wingdings 2" w:char="00A3"/>
            </w:r>
            <w:r>
              <w:rPr>
                <w:rFonts w:hint="default" w:ascii="Times New Roman" w:hAnsi="Times New Roman" w:eastAsia="宋体" w:cs="Times New Roman"/>
                <w:color w:val="auto"/>
                <w:kern w:val="0"/>
                <w:sz w:val="21"/>
                <w:szCs w:val="21"/>
                <w:highlight w:val="none"/>
                <w:lang w:val="en-US" w:eastAsia="zh-CN"/>
              </w:rPr>
              <w:t>；不敏感</w:t>
            </w:r>
            <w:r>
              <w:rPr>
                <w:rFonts w:hint="eastAsia" w:ascii="Times New Roman" w:hAnsi="Times New Roman" w:eastAsia="宋体" w:cs="Times New Roman"/>
                <w:color w:val="auto"/>
                <w:kern w:val="0"/>
                <w:sz w:val="21"/>
                <w:szCs w:val="21"/>
                <w:highlight w:val="none"/>
                <w:lang w:val="en-US" w:eastAsia="zh-CN"/>
              </w:rPr>
              <w:t>☑</w:t>
            </w:r>
          </w:p>
        </w:tc>
        <w:tc>
          <w:tcPr>
            <w:tcW w:w="44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94" w:type="pct"/>
            <w:gridSpan w:val="2"/>
            <w:tcBorders>
              <w:tl2br w:val="nil"/>
              <w:tr2bl w:val="nil"/>
            </w:tcBorders>
            <w:noWrap w:val="0"/>
            <w:vAlign w:val="top"/>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评价工作等级</w:t>
            </w:r>
          </w:p>
        </w:tc>
        <w:tc>
          <w:tcPr>
            <w:tcW w:w="3364" w:type="pct"/>
            <w:gridSpan w:val="6"/>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一级</w:t>
            </w:r>
            <w:r>
              <w:rPr>
                <w:rFonts w:hint="default" w:ascii="Times New Roman" w:hAnsi="Times New Roman" w:eastAsia="宋体" w:cs="Times New Roman"/>
                <w:color w:val="auto"/>
                <w:kern w:val="0"/>
                <w:sz w:val="21"/>
                <w:szCs w:val="21"/>
                <w:highlight w:val="none"/>
                <w:lang w:val="en-US" w:eastAsia="zh-CN"/>
              </w:rPr>
              <w:sym w:font="Wingdings 2" w:char="00A3"/>
            </w:r>
            <w:r>
              <w:rPr>
                <w:rFonts w:hint="default" w:ascii="Times New Roman" w:hAnsi="Times New Roman" w:eastAsia="宋体" w:cs="Times New Roman"/>
                <w:color w:val="auto"/>
                <w:kern w:val="0"/>
                <w:sz w:val="21"/>
                <w:szCs w:val="21"/>
                <w:highlight w:val="none"/>
                <w:lang w:val="en-US" w:eastAsia="zh-CN"/>
              </w:rPr>
              <w:t>；二级</w:t>
            </w:r>
            <w:r>
              <w:rPr>
                <w:rFonts w:hint="default" w:ascii="Times New Roman" w:hAnsi="Times New Roman" w:eastAsia="宋体" w:cs="Times New Roman"/>
                <w:color w:val="auto"/>
                <w:kern w:val="0"/>
                <w:sz w:val="21"/>
                <w:szCs w:val="21"/>
                <w:highlight w:val="none"/>
                <w:lang w:val="en-US" w:eastAsia="zh-CN"/>
              </w:rPr>
              <w:sym w:font="Wingdings 2" w:char="0052"/>
            </w:r>
            <w:r>
              <w:rPr>
                <w:rFonts w:hint="default" w:ascii="Times New Roman" w:hAnsi="Times New Roman" w:eastAsia="宋体" w:cs="Times New Roman"/>
                <w:color w:val="auto"/>
                <w:kern w:val="0"/>
                <w:sz w:val="21"/>
                <w:szCs w:val="21"/>
                <w:highlight w:val="none"/>
                <w:lang w:val="en-US" w:eastAsia="zh-CN"/>
              </w:rPr>
              <w:t>；三级</w:t>
            </w:r>
            <w:r>
              <w:rPr>
                <w:rFonts w:hint="default" w:ascii="Times New Roman" w:hAnsi="Times New Roman" w:eastAsia="宋体" w:cs="Times New Roman"/>
                <w:color w:val="auto"/>
                <w:kern w:val="0"/>
                <w:sz w:val="21"/>
                <w:szCs w:val="21"/>
                <w:highlight w:val="none"/>
                <w:lang w:val="en-US" w:eastAsia="zh-CN"/>
              </w:rPr>
              <w:sym w:font="Wingdings 2" w:char="00A3"/>
            </w:r>
          </w:p>
        </w:tc>
        <w:tc>
          <w:tcPr>
            <w:tcW w:w="44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4" w:type="pct"/>
            <w:vMerge w:val="restart"/>
            <w:tcBorders>
              <w:tl2br w:val="nil"/>
              <w:tr2bl w:val="nil"/>
            </w:tcBorders>
            <w:noWrap w:val="0"/>
            <w:vAlign w:val="top"/>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现状调查内容</w:t>
            </w:r>
          </w:p>
        </w:tc>
        <w:tc>
          <w:tcPr>
            <w:tcW w:w="96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资料收集</w:t>
            </w:r>
          </w:p>
        </w:tc>
        <w:tc>
          <w:tcPr>
            <w:tcW w:w="3364" w:type="pct"/>
            <w:gridSpan w:val="6"/>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 xml:space="preserve">a） </w:t>
            </w:r>
            <w:r>
              <w:rPr>
                <w:rFonts w:hint="default" w:ascii="Times New Roman" w:hAnsi="Times New Roman" w:eastAsia="宋体" w:cs="Times New Roman"/>
                <w:color w:val="auto"/>
                <w:kern w:val="0"/>
                <w:sz w:val="21"/>
                <w:szCs w:val="21"/>
                <w:highlight w:val="none"/>
                <w:lang w:val="en-US" w:eastAsia="zh-CN"/>
              </w:rPr>
              <w:fldChar w:fldCharType="begin"/>
            </w:r>
            <w:r>
              <w:rPr>
                <w:rFonts w:hint="default" w:ascii="Times New Roman" w:hAnsi="Times New Roman" w:eastAsia="宋体" w:cs="Times New Roman"/>
                <w:color w:val="auto"/>
                <w:kern w:val="0"/>
                <w:sz w:val="21"/>
                <w:szCs w:val="21"/>
                <w:highlight w:val="none"/>
                <w:lang w:val="en-US" w:eastAsia="zh-CN"/>
              </w:rPr>
              <w:instrText xml:space="preserve"> eq \o\ac(</w:instrText>
            </w:r>
            <w:r>
              <w:rPr>
                <w:rFonts w:hint="default" w:ascii="Times New Roman" w:hAnsi="Times New Roman" w:eastAsia="宋体" w:cs="Times New Roman"/>
                <w:color w:val="auto"/>
                <w:kern w:val="0"/>
                <w:position w:val="-4"/>
                <w:sz w:val="31"/>
                <w:szCs w:val="21"/>
                <w:highlight w:val="none"/>
                <w:lang w:val="en-US" w:eastAsia="zh-CN"/>
              </w:rPr>
              <w:instrText xml:space="preserve">□</w:instrText>
            </w:r>
            <w:r>
              <w:rPr>
                <w:rFonts w:hint="default" w:ascii="Times New Roman" w:hAnsi="Times New Roman" w:eastAsia="宋体" w:cs="Times New Roman"/>
                <w:color w:val="auto"/>
                <w:kern w:val="0"/>
                <w:position w:val="0"/>
                <w:sz w:val="21"/>
                <w:szCs w:val="21"/>
                <w:highlight w:val="none"/>
                <w:lang w:val="en-US" w:eastAsia="zh-CN"/>
              </w:rPr>
              <w:instrText xml:space="preserve">)</w:instrText>
            </w:r>
            <w:r>
              <w:rPr>
                <w:rFonts w:hint="default" w:ascii="Times New Roman" w:hAnsi="Times New Roman" w:eastAsia="宋体" w:cs="Times New Roman"/>
                <w:color w:val="auto"/>
                <w:kern w:val="0"/>
                <w:sz w:val="21"/>
                <w:szCs w:val="21"/>
                <w:highlight w:val="none"/>
                <w:lang w:val="en-US" w:eastAsia="zh-CN"/>
              </w:rPr>
              <w:fldChar w:fldCharType="end"/>
            </w:r>
            <w:r>
              <w:rPr>
                <w:rFonts w:hint="default" w:ascii="Times New Roman" w:hAnsi="Times New Roman" w:eastAsia="宋体" w:cs="Times New Roman"/>
                <w:color w:val="auto"/>
                <w:kern w:val="0"/>
                <w:sz w:val="21"/>
                <w:szCs w:val="21"/>
                <w:highlight w:val="none"/>
                <w:lang w:val="en-US" w:eastAsia="zh-CN"/>
              </w:rPr>
              <w:t xml:space="preserve">； b） </w:t>
            </w:r>
            <w:r>
              <w:rPr>
                <w:rFonts w:hint="default" w:ascii="Times New Roman" w:hAnsi="Times New Roman" w:eastAsia="宋体" w:cs="Times New Roman"/>
                <w:color w:val="auto"/>
                <w:kern w:val="0"/>
                <w:sz w:val="21"/>
                <w:szCs w:val="21"/>
                <w:highlight w:val="none"/>
                <w:lang w:val="en-US" w:eastAsia="zh-CN"/>
              </w:rPr>
              <w:fldChar w:fldCharType="begin"/>
            </w:r>
            <w:r>
              <w:rPr>
                <w:rFonts w:hint="default" w:ascii="Times New Roman" w:hAnsi="Times New Roman" w:eastAsia="宋体" w:cs="Times New Roman"/>
                <w:color w:val="auto"/>
                <w:kern w:val="0"/>
                <w:sz w:val="21"/>
                <w:szCs w:val="21"/>
                <w:highlight w:val="none"/>
                <w:lang w:val="en-US" w:eastAsia="zh-CN"/>
              </w:rPr>
              <w:instrText xml:space="preserve"> eq \o\ac(</w:instrText>
            </w:r>
            <w:r>
              <w:rPr>
                <w:rFonts w:hint="default" w:ascii="Times New Roman" w:hAnsi="Times New Roman" w:eastAsia="宋体" w:cs="Times New Roman"/>
                <w:color w:val="auto"/>
                <w:kern w:val="0"/>
                <w:position w:val="-4"/>
                <w:sz w:val="31"/>
                <w:szCs w:val="21"/>
                <w:highlight w:val="none"/>
                <w:lang w:val="en-US" w:eastAsia="zh-CN"/>
              </w:rPr>
              <w:instrText xml:space="preserve">□</w:instrText>
            </w:r>
            <w:r>
              <w:rPr>
                <w:rFonts w:hint="default" w:ascii="Times New Roman" w:hAnsi="Times New Roman" w:eastAsia="宋体" w:cs="Times New Roman"/>
                <w:color w:val="auto"/>
                <w:kern w:val="0"/>
                <w:position w:val="0"/>
                <w:sz w:val="21"/>
                <w:szCs w:val="21"/>
                <w:highlight w:val="none"/>
                <w:lang w:val="en-US" w:eastAsia="zh-CN"/>
              </w:rPr>
              <w:instrText xml:space="preserve">)</w:instrText>
            </w:r>
            <w:r>
              <w:rPr>
                <w:rFonts w:hint="default" w:ascii="Times New Roman" w:hAnsi="Times New Roman" w:eastAsia="宋体" w:cs="Times New Roman"/>
                <w:color w:val="auto"/>
                <w:kern w:val="0"/>
                <w:sz w:val="21"/>
                <w:szCs w:val="21"/>
                <w:highlight w:val="none"/>
                <w:lang w:val="en-US" w:eastAsia="zh-CN"/>
              </w:rPr>
              <w:fldChar w:fldCharType="end"/>
            </w:r>
            <w:r>
              <w:rPr>
                <w:rFonts w:hint="default" w:ascii="Times New Roman" w:hAnsi="Times New Roman" w:eastAsia="宋体" w:cs="Times New Roman"/>
                <w:color w:val="auto"/>
                <w:kern w:val="0"/>
                <w:sz w:val="21"/>
                <w:szCs w:val="21"/>
                <w:highlight w:val="none"/>
                <w:lang w:val="en-US" w:eastAsia="zh-CN"/>
              </w:rPr>
              <w:t xml:space="preserve">； c） </w:t>
            </w:r>
            <w:r>
              <w:rPr>
                <w:rFonts w:hint="default" w:ascii="Times New Roman" w:hAnsi="Times New Roman" w:eastAsia="宋体" w:cs="Times New Roman"/>
                <w:color w:val="auto"/>
                <w:kern w:val="0"/>
                <w:sz w:val="21"/>
                <w:szCs w:val="21"/>
                <w:highlight w:val="none"/>
                <w:lang w:val="en-US" w:eastAsia="zh-CN"/>
              </w:rPr>
              <w:fldChar w:fldCharType="begin"/>
            </w:r>
            <w:r>
              <w:rPr>
                <w:rFonts w:hint="default" w:ascii="Times New Roman" w:hAnsi="Times New Roman" w:eastAsia="宋体" w:cs="Times New Roman"/>
                <w:color w:val="auto"/>
                <w:kern w:val="0"/>
                <w:sz w:val="21"/>
                <w:szCs w:val="21"/>
                <w:highlight w:val="none"/>
                <w:lang w:val="en-US" w:eastAsia="zh-CN"/>
              </w:rPr>
              <w:instrText xml:space="preserve"> eq \o\ac(</w:instrText>
            </w:r>
            <w:r>
              <w:rPr>
                <w:rFonts w:hint="default" w:ascii="Times New Roman" w:hAnsi="Times New Roman" w:eastAsia="宋体" w:cs="Times New Roman"/>
                <w:color w:val="auto"/>
                <w:kern w:val="0"/>
                <w:position w:val="-4"/>
                <w:sz w:val="31"/>
                <w:szCs w:val="21"/>
                <w:highlight w:val="none"/>
                <w:lang w:val="en-US" w:eastAsia="zh-CN"/>
              </w:rPr>
              <w:instrText xml:space="preserve">□</w:instrText>
            </w:r>
            <w:r>
              <w:rPr>
                <w:rFonts w:hint="default" w:ascii="Times New Roman" w:hAnsi="Times New Roman" w:eastAsia="宋体" w:cs="Times New Roman"/>
                <w:color w:val="auto"/>
                <w:kern w:val="0"/>
                <w:position w:val="0"/>
                <w:sz w:val="21"/>
                <w:szCs w:val="21"/>
                <w:highlight w:val="none"/>
                <w:lang w:val="en-US" w:eastAsia="zh-CN"/>
              </w:rPr>
              <w:instrText xml:space="preserve">)</w:instrText>
            </w:r>
            <w:r>
              <w:rPr>
                <w:rFonts w:hint="default" w:ascii="Times New Roman" w:hAnsi="Times New Roman" w:eastAsia="宋体" w:cs="Times New Roman"/>
                <w:color w:val="auto"/>
                <w:kern w:val="0"/>
                <w:sz w:val="21"/>
                <w:szCs w:val="21"/>
                <w:highlight w:val="none"/>
                <w:lang w:val="en-US" w:eastAsia="zh-CN"/>
              </w:rPr>
              <w:fldChar w:fldCharType="end"/>
            </w:r>
            <w:r>
              <w:rPr>
                <w:rFonts w:hint="default" w:ascii="Times New Roman" w:hAnsi="Times New Roman" w:eastAsia="宋体" w:cs="Times New Roman"/>
                <w:color w:val="auto"/>
                <w:kern w:val="0"/>
                <w:sz w:val="21"/>
                <w:szCs w:val="21"/>
                <w:highlight w:val="none"/>
                <w:lang w:val="en-US" w:eastAsia="zh-CN"/>
              </w:rPr>
              <w:t xml:space="preserve">； d） </w:t>
            </w:r>
            <w:r>
              <w:rPr>
                <w:rFonts w:hint="default" w:ascii="Times New Roman" w:hAnsi="Times New Roman" w:eastAsia="宋体" w:cs="Times New Roman"/>
                <w:color w:val="auto"/>
                <w:kern w:val="0"/>
                <w:sz w:val="21"/>
                <w:szCs w:val="21"/>
                <w:highlight w:val="none"/>
                <w:lang w:val="en-US" w:eastAsia="zh-CN"/>
              </w:rPr>
              <w:fldChar w:fldCharType="begin"/>
            </w:r>
            <w:r>
              <w:rPr>
                <w:rFonts w:hint="default" w:ascii="Times New Roman" w:hAnsi="Times New Roman" w:eastAsia="宋体" w:cs="Times New Roman"/>
                <w:color w:val="auto"/>
                <w:kern w:val="0"/>
                <w:sz w:val="21"/>
                <w:szCs w:val="21"/>
                <w:highlight w:val="none"/>
                <w:lang w:val="en-US" w:eastAsia="zh-CN"/>
              </w:rPr>
              <w:instrText xml:space="preserve"> eq \o\ac(</w:instrText>
            </w:r>
            <w:r>
              <w:rPr>
                <w:rFonts w:hint="default" w:ascii="Times New Roman" w:hAnsi="Times New Roman" w:eastAsia="宋体" w:cs="Times New Roman"/>
                <w:color w:val="auto"/>
                <w:kern w:val="0"/>
                <w:position w:val="-4"/>
                <w:sz w:val="31"/>
                <w:szCs w:val="21"/>
                <w:highlight w:val="none"/>
                <w:lang w:val="en-US" w:eastAsia="zh-CN"/>
              </w:rPr>
              <w:instrText xml:space="preserve">□</w:instrText>
            </w:r>
            <w:r>
              <w:rPr>
                <w:rFonts w:hint="default" w:ascii="Times New Roman" w:hAnsi="Times New Roman" w:eastAsia="宋体" w:cs="Times New Roman"/>
                <w:color w:val="auto"/>
                <w:kern w:val="0"/>
                <w:position w:val="0"/>
                <w:sz w:val="21"/>
                <w:szCs w:val="21"/>
                <w:highlight w:val="none"/>
                <w:lang w:val="en-US" w:eastAsia="zh-CN"/>
              </w:rPr>
              <w:instrText xml:space="preserve">)</w:instrText>
            </w:r>
            <w:r>
              <w:rPr>
                <w:rFonts w:hint="default" w:ascii="Times New Roman" w:hAnsi="Times New Roman" w:eastAsia="宋体" w:cs="Times New Roman"/>
                <w:color w:val="auto"/>
                <w:kern w:val="0"/>
                <w:sz w:val="21"/>
                <w:szCs w:val="21"/>
                <w:highlight w:val="none"/>
                <w:lang w:val="en-US" w:eastAsia="zh-CN"/>
              </w:rPr>
              <w:fldChar w:fldCharType="end"/>
            </w:r>
          </w:p>
        </w:tc>
        <w:tc>
          <w:tcPr>
            <w:tcW w:w="44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234"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96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理化特性</w:t>
            </w:r>
          </w:p>
        </w:tc>
        <w:tc>
          <w:tcPr>
            <w:tcW w:w="3364" w:type="pct"/>
            <w:gridSpan w:val="6"/>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见监测报告</w:t>
            </w:r>
          </w:p>
        </w:tc>
        <w:tc>
          <w:tcPr>
            <w:tcW w:w="44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同附录 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4"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960" w:type="pct"/>
            <w:vMerge w:val="restar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现状监测点位</w:t>
            </w:r>
          </w:p>
        </w:tc>
        <w:tc>
          <w:tcPr>
            <w:tcW w:w="68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661" w:type="pct"/>
            <w:gridSpan w:val="2"/>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占地范围内</w:t>
            </w:r>
          </w:p>
        </w:tc>
        <w:tc>
          <w:tcPr>
            <w:tcW w:w="688"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占地范围外</w:t>
            </w:r>
          </w:p>
        </w:tc>
        <w:tc>
          <w:tcPr>
            <w:tcW w:w="1333" w:type="pct"/>
            <w:gridSpan w:val="2"/>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深度</w:t>
            </w:r>
          </w:p>
        </w:tc>
        <w:tc>
          <w:tcPr>
            <w:tcW w:w="440" w:type="pct"/>
            <w:vMerge w:val="restar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点位布置图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4"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960"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68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表层样点数</w:t>
            </w:r>
          </w:p>
        </w:tc>
        <w:tc>
          <w:tcPr>
            <w:tcW w:w="661" w:type="pct"/>
            <w:gridSpan w:val="2"/>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w:t>
            </w:r>
          </w:p>
        </w:tc>
        <w:tc>
          <w:tcPr>
            <w:tcW w:w="688"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w:t>
            </w:r>
          </w:p>
        </w:tc>
        <w:tc>
          <w:tcPr>
            <w:tcW w:w="1333" w:type="pct"/>
            <w:gridSpan w:val="2"/>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0.2m取样</w:t>
            </w:r>
          </w:p>
        </w:tc>
        <w:tc>
          <w:tcPr>
            <w:tcW w:w="440"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4"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960"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68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柱状样点数</w:t>
            </w:r>
          </w:p>
        </w:tc>
        <w:tc>
          <w:tcPr>
            <w:tcW w:w="661" w:type="pct"/>
            <w:gridSpan w:val="2"/>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3</w:t>
            </w:r>
          </w:p>
        </w:tc>
        <w:tc>
          <w:tcPr>
            <w:tcW w:w="688"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w:t>
            </w:r>
          </w:p>
        </w:tc>
        <w:tc>
          <w:tcPr>
            <w:tcW w:w="1333" w:type="pct"/>
            <w:gridSpan w:val="2"/>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0.5m、1m、2m分别取样</w:t>
            </w:r>
          </w:p>
        </w:tc>
        <w:tc>
          <w:tcPr>
            <w:tcW w:w="440"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4"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96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现状监测因子</w:t>
            </w:r>
          </w:p>
        </w:tc>
        <w:tc>
          <w:tcPr>
            <w:tcW w:w="3364" w:type="pct"/>
            <w:gridSpan w:val="6"/>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基本项目45项+锑</w:t>
            </w:r>
          </w:p>
        </w:tc>
        <w:tc>
          <w:tcPr>
            <w:tcW w:w="44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4" w:type="pct"/>
            <w:vMerge w:val="restart"/>
            <w:tcBorders>
              <w:tl2br w:val="nil"/>
              <w:tr2bl w:val="nil"/>
            </w:tcBorders>
            <w:noWrap w:val="0"/>
            <w:vAlign w:val="top"/>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现状评价</w:t>
            </w:r>
          </w:p>
        </w:tc>
        <w:tc>
          <w:tcPr>
            <w:tcW w:w="96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评价因子</w:t>
            </w:r>
          </w:p>
        </w:tc>
        <w:tc>
          <w:tcPr>
            <w:tcW w:w="3364" w:type="pct"/>
            <w:gridSpan w:val="6"/>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基本项目45项+锑</w:t>
            </w:r>
          </w:p>
        </w:tc>
        <w:tc>
          <w:tcPr>
            <w:tcW w:w="44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4"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96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评价标准</w:t>
            </w:r>
          </w:p>
        </w:tc>
        <w:tc>
          <w:tcPr>
            <w:tcW w:w="3364" w:type="pct"/>
            <w:gridSpan w:val="6"/>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GB15618</w:t>
            </w:r>
            <w:r>
              <w:rPr>
                <w:rFonts w:hint="default" w:ascii="Times New Roman" w:hAnsi="Times New Roman" w:eastAsia="宋体" w:cs="Times New Roman"/>
                <w:color w:val="auto"/>
                <w:kern w:val="0"/>
                <w:sz w:val="21"/>
                <w:szCs w:val="21"/>
                <w:highlight w:val="none"/>
                <w:lang w:val="en-US" w:eastAsia="zh-CN"/>
              </w:rPr>
              <w:sym w:font="Wingdings 2" w:char="0052"/>
            </w:r>
            <w:r>
              <w:rPr>
                <w:rFonts w:hint="default" w:ascii="Times New Roman" w:hAnsi="Times New Roman" w:eastAsia="宋体" w:cs="Times New Roman"/>
                <w:color w:val="auto"/>
                <w:kern w:val="0"/>
                <w:sz w:val="21"/>
                <w:szCs w:val="21"/>
                <w:highlight w:val="none"/>
                <w:lang w:val="en-US" w:eastAsia="zh-CN"/>
              </w:rPr>
              <w:t>； GB36600</w:t>
            </w:r>
            <w:r>
              <w:rPr>
                <w:rFonts w:hint="default" w:ascii="Times New Roman" w:hAnsi="Times New Roman" w:eastAsia="宋体" w:cs="Times New Roman"/>
                <w:color w:val="auto"/>
                <w:kern w:val="0"/>
                <w:sz w:val="21"/>
                <w:szCs w:val="21"/>
                <w:highlight w:val="none"/>
                <w:lang w:val="en-US" w:eastAsia="zh-CN"/>
              </w:rPr>
              <w:sym w:font="Wingdings 2" w:char="0052"/>
            </w:r>
            <w:r>
              <w:rPr>
                <w:rFonts w:hint="default" w:ascii="Times New Roman" w:hAnsi="Times New Roman" w:eastAsia="宋体" w:cs="Times New Roman"/>
                <w:color w:val="auto"/>
                <w:kern w:val="0"/>
                <w:sz w:val="21"/>
                <w:szCs w:val="21"/>
                <w:highlight w:val="none"/>
                <w:lang w:val="en-US" w:eastAsia="zh-CN"/>
              </w:rPr>
              <w:t>；表D.1</w:t>
            </w:r>
            <w:r>
              <w:rPr>
                <w:rFonts w:hint="default" w:ascii="Times New Roman" w:hAnsi="Times New Roman" w:eastAsia="宋体" w:cs="Times New Roman"/>
                <w:color w:val="auto"/>
                <w:kern w:val="0"/>
                <w:sz w:val="21"/>
                <w:szCs w:val="21"/>
                <w:highlight w:val="none"/>
                <w:lang w:val="en-US" w:eastAsia="zh-CN"/>
              </w:rPr>
              <w:fldChar w:fldCharType="begin"/>
            </w:r>
            <w:r>
              <w:rPr>
                <w:rFonts w:hint="default" w:ascii="Times New Roman" w:hAnsi="Times New Roman" w:eastAsia="宋体" w:cs="Times New Roman"/>
                <w:color w:val="auto"/>
                <w:kern w:val="0"/>
                <w:sz w:val="21"/>
                <w:szCs w:val="21"/>
                <w:highlight w:val="none"/>
                <w:lang w:val="en-US" w:eastAsia="zh-CN"/>
              </w:rPr>
              <w:instrText xml:space="preserve"> eq \o\ac(</w:instrText>
            </w:r>
            <w:r>
              <w:rPr>
                <w:rFonts w:hint="default" w:ascii="Times New Roman" w:hAnsi="Times New Roman" w:eastAsia="宋体" w:cs="Times New Roman"/>
                <w:color w:val="auto"/>
                <w:kern w:val="0"/>
                <w:position w:val="-4"/>
                <w:sz w:val="31"/>
                <w:szCs w:val="21"/>
                <w:highlight w:val="none"/>
                <w:lang w:val="en-US" w:eastAsia="zh-CN"/>
              </w:rPr>
              <w:instrText xml:space="preserve">□</w:instrText>
            </w:r>
            <w:r>
              <w:rPr>
                <w:rFonts w:hint="default" w:ascii="Times New Roman" w:hAnsi="Times New Roman" w:eastAsia="宋体" w:cs="Times New Roman"/>
                <w:color w:val="auto"/>
                <w:kern w:val="0"/>
                <w:position w:val="0"/>
                <w:sz w:val="21"/>
                <w:szCs w:val="21"/>
                <w:highlight w:val="none"/>
                <w:lang w:val="en-US" w:eastAsia="zh-CN"/>
              </w:rPr>
              <w:instrText xml:space="preserve">)</w:instrText>
            </w:r>
            <w:r>
              <w:rPr>
                <w:rFonts w:hint="default" w:ascii="Times New Roman" w:hAnsi="Times New Roman" w:eastAsia="宋体" w:cs="Times New Roman"/>
                <w:color w:val="auto"/>
                <w:kern w:val="0"/>
                <w:sz w:val="21"/>
                <w:szCs w:val="21"/>
                <w:highlight w:val="none"/>
                <w:lang w:val="en-US" w:eastAsia="zh-CN"/>
              </w:rPr>
              <w:fldChar w:fldCharType="end"/>
            </w:r>
            <w:r>
              <w:rPr>
                <w:rFonts w:hint="default" w:ascii="Times New Roman" w:hAnsi="Times New Roman" w:eastAsia="宋体" w:cs="Times New Roman"/>
                <w:color w:val="auto"/>
                <w:kern w:val="0"/>
                <w:sz w:val="21"/>
                <w:szCs w:val="21"/>
                <w:highlight w:val="none"/>
                <w:lang w:val="en-US" w:eastAsia="zh-CN"/>
              </w:rPr>
              <w:t>；表D.2</w:t>
            </w:r>
            <w:r>
              <w:rPr>
                <w:rFonts w:hint="default" w:ascii="Times New Roman" w:hAnsi="Times New Roman" w:eastAsia="宋体" w:cs="Times New Roman"/>
                <w:color w:val="auto"/>
                <w:kern w:val="0"/>
                <w:sz w:val="21"/>
                <w:szCs w:val="21"/>
                <w:highlight w:val="none"/>
                <w:lang w:val="en-US" w:eastAsia="zh-CN"/>
              </w:rPr>
              <w:fldChar w:fldCharType="begin"/>
            </w:r>
            <w:r>
              <w:rPr>
                <w:rFonts w:hint="default" w:ascii="Times New Roman" w:hAnsi="Times New Roman" w:eastAsia="宋体" w:cs="Times New Roman"/>
                <w:color w:val="auto"/>
                <w:kern w:val="0"/>
                <w:sz w:val="21"/>
                <w:szCs w:val="21"/>
                <w:highlight w:val="none"/>
                <w:lang w:val="en-US" w:eastAsia="zh-CN"/>
              </w:rPr>
              <w:instrText xml:space="preserve"> eq \o\ac(</w:instrText>
            </w:r>
            <w:r>
              <w:rPr>
                <w:rFonts w:hint="default" w:ascii="Times New Roman" w:hAnsi="Times New Roman" w:eastAsia="宋体" w:cs="Times New Roman"/>
                <w:color w:val="auto"/>
                <w:kern w:val="0"/>
                <w:position w:val="-4"/>
                <w:sz w:val="31"/>
                <w:szCs w:val="21"/>
                <w:highlight w:val="none"/>
                <w:lang w:val="en-US" w:eastAsia="zh-CN"/>
              </w:rPr>
              <w:instrText xml:space="preserve">□</w:instrText>
            </w:r>
            <w:r>
              <w:rPr>
                <w:rFonts w:hint="default" w:ascii="Times New Roman" w:hAnsi="Times New Roman" w:eastAsia="宋体" w:cs="Times New Roman"/>
                <w:color w:val="auto"/>
                <w:kern w:val="0"/>
                <w:position w:val="0"/>
                <w:sz w:val="21"/>
                <w:szCs w:val="21"/>
                <w:highlight w:val="none"/>
                <w:lang w:val="en-US" w:eastAsia="zh-CN"/>
              </w:rPr>
              <w:instrText xml:space="preserve">)</w:instrText>
            </w:r>
            <w:r>
              <w:rPr>
                <w:rFonts w:hint="default" w:ascii="Times New Roman" w:hAnsi="Times New Roman" w:eastAsia="宋体" w:cs="Times New Roman"/>
                <w:color w:val="auto"/>
                <w:kern w:val="0"/>
                <w:sz w:val="21"/>
                <w:szCs w:val="21"/>
                <w:highlight w:val="none"/>
                <w:lang w:val="en-US" w:eastAsia="zh-CN"/>
              </w:rPr>
              <w:fldChar w:fldCharType="end"/>
            </w:r>
            <w:r>
              <w:rPr>
                <w:rFonts w:hint="default" w:ascii="Times New Roman" w:hAnsi="Times New Roman" w:eastAsia="宋体" w:cs="Times New Roman"/>
                <w:color w:val="auto"/>
                <w:kern w:val="0"/>
                <w:sz w:val="21"/>
                <w:szCs w:val="21"/>
                <w:highlight w:val="none"/>
                <w:lang w:val="en-US" w:eastAsia="zh-CN"/>
              </w:rPr>
              <w:t>；其他（   ）</w:t>
            </w:r>
          </w:p>
        </w:tc>
        <w:tc>
          <w:tcPr>
            <w:tcW w:w="44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4"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96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现状评价结论</w:t>
            </w:r>
          </w:p>
        </w:tc>
        <w:tc>
          <w:tcPr>
            <w:tcW w:w="3364" w:type="pct"/>
            <w:gridSpan w:val="6"/>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项目区域土壤环境质量满足《土壤环境质量 建设用地土壤污染风险管控标准（试行）》（GB36600-2018）表1 中第二类用筛选值，占地范围外满足《土壤环境质量 农用地土壤污染风险管控标准（试行）》（GB15618-2018）表1中其他类筛选值</w:t>
            </w:r>
          </w:p>
        </w:tc>
        <w:tc>
          <w:tcPr>
            <w:tcW w:w="44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4" w:type="pct"/>
            <w:vMerge w:val="restar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影响预测</w:t>
            </w:r>
          </w:p>
        </w:tc>
        <w:tc>
          <w:tcPr>
            <w:tcW w:w="96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预测因子</w:t>
            </w:r>
          </w:p>
        </w:tc>
        <w:tc>
          <w:tcPr>
            <w:tcW w:w="3364" w:type="pct"/>
            <w:gridSpan w:val="6"/>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c>
          <w:tcPr>
            <w:tcW w:w="44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4"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96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预测方法</w:t>
            </w:r>
          </w:p>
        </w:tc>
        <w:tc>
          <w:tcPr>
            <w:tcW w:w="3364" w:type="pct"/>
            <w:gridSpan w:val="6"/>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附录 E</w:t>
            </w:r>
            <w:r>
              <w:rPr>
                <w:rFonts w:hint="default" w:ascii="Times New Roman" w:hAnsi="Times New Roman" w:eastAsia="宋体" w:cs="Times New Roman"/>
                <w:color w:val="auto"/>
                <w:kern w:val="0"/>
                <w:sz w:val="21"/>
                <w:szCs w:val="21"/>
                <w:highlight w:val="none"/>
                <w:lang w:val="en-US" w:eastAsia="zh-CN"/>
              </w:rPr>
              <w:sym w:font="Wingdings 2" w:char="00A3"/>
            </w:r>
            <w:r>
              <w:rPr>
                <w:rFonts w:hint="default" w:ascii="Times New Roman" w:hAnsi="Times New Roman" w:eastAsia="宋体" w:cs="Times New Roman"/>
                <w:color w:val="auto"/>
                <w:kern w:val="0"/>
                <w:sz w:val="21"/>
                <w:szCs w:val="21"/>
                <w:highlight w:val="none"/>
                <w:lang w:val="en-US" w:eastAsia="zh-CN"/>
              </w:rPr>
              <w:t>；附录 F□；其他（   ）</w:t>
            </w:r>
          </w:p>
        </w:tc>
        <w:tc>
          <w:tcPr>
            <w:tcW w:w="44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4"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96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预测分析内容</w:t>
            </w:r>
          </w:p>
        </w:tc>
        <w:tc>
          <w:tcPr>
            <w:tcW w:w="3364" w:type="pct"/>
            <w:gridSpan w:val="6"/>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影响范围（ ）;</w:t>
            </w:r>
          </w:p>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影响程度（ ）</w:t>
            </w:r>
          </w:p>
        </w:tc>
        <w:tc>
          <w:tcPr>
            <w:tcW w:w="44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4"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96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预测结论</w:t>
            </w:r>
          </w:p>
        </w:tc>
        <w:tc>
          <w:tcPr>
            <w:tcW w:w="3364" w:type="pct"/>
            <w:gridSpan w:val="6"/>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 xml:space="preserve">达标结论： a） □； b） □； c） </w:t>
            </w:r>
            <w:r>
              <w:rPr>
                <w:rFonts w:hint="default" w:ascii="Times New Roman" w:hAnsi="Times New Roman" w:eastAsia="宋体" w:cs="Times New Roman"/>
                <w:color w:val="auto"/>
                <w:kern w:val="0"/>
                <w:sz w:val="21"/>
                <w:szCs w:val="21"/>
                <w:highlight w:val="none"/>
                <w:lang w:val="en-US" w:eastAsia="zh-CN"/>
              </w:rPr>
              <w:fldChar w:fldCharType="begin"/>
            </w:r>
            <w:r>
              <w:rPr>
                <w:rFonts w:hint="default" w:ascii="Times New Roman" w:hAnsi="Times New Roman" w:eastAsia="宋体" w:cs="Times New Roman"/>
                <w:color w:val="auto"/>
                <w:kern w:val="0"/>
                <w:sz w:val="21"/>
                <w:szCs w:val="21"/>
                <w:highlight w:val="none"/>
                <w:lang w:val="en-US" w:eastAsia="zh-CN"/>
              </w:rPr>
              <w:instrText xml:space="preserve"> eq \o\ac(</w:instrText>
            </w:r>
            <w:r>
              <w:rPr>
                <w:rFonts w:hint="default" w:ascii="Times New Roman" w:hAnsi="Times New Roman" w:eastAsia="宋体" w:cs="Times New Roman"/>
                <w:color w:val="auto"/>
                <w:kern w:val="0"/>
                <w:position w:val="-4"/>
                <w:sz w:val="31"/>
                <w:szCs w:val="21"/>
                <w:highlight w:val="none"/>
                <w:lang w:val="en-US" w:eastAsia="zh-CN"/>
              </w:rPr>
              <w:instrText xml:space="preserve">□</w:instrText>
            </w:r>
            <w:r>
              <w:rPr>
                <w:rFonts w:hint="default" w:ascii="Times New Roman" w:hAnsi="Times New Roman" w:eastAsia="宋体" w:cs="Times New Roman"/>
                <w:color w:val="auto"/>
                <w:kern w:val="0"/>
                <w:position w:val="0"/>
                <w:sz w:val="21"/>
                <w:szCs w:val="21"/>
                <w:highlight w:val="none"/>
                <w:lang w:val="en-US" w:eastAsia="zh-CN"/>
              </w:rPr>
              <w:instrText xml:space="preserve">)</w:instrText>
            </w:r>
            <w:r>
              <w:rPr>
                <w:rFonts w:hint="default" w:ascii="Times New Roman" w:hAnsi="Times New Roman" w:eastAsia="宋体" w:cs="Times New Roman"/>
                <w:color w:val="auto"/>
                <w:kern w:val="0"/>
                <w:sz w:val="21"/>
                <w:szCs w:val="21"/>
                <w:highlight w:val="none"/>
                <w:lang w:val="en-US" w:eastAsia="zh-CN"/>
              </w:rPr>
              <w:fldChar w:fldCharType="end"/>
            </w:r>
          </w:p>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不达标结论： a） □； b） □</w:t>
            </w:r>
          </w:p>
        </w:tc>
        <w:tc>
          <w:tcPr>
            <w:tcW w:w="44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4" w:type="pct"/>
            <w:vMerge w:val="restart"/>
            <w:tcBorders>
              <w:tl2br w:val="nil"/>
              <w:tr2bl w:val="nil"/>
            </w:tcBorders>
            <w:noWrap w:val="0"/>
            <w:vAlign w:val="top"/>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防治措施</w:t>
            </w:r>
          </w:p>
        </w:tc>
        <w:tc>
          <w:tcPr>
            <w:tcW w:w="96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防控措施</w:t>
            </w:r>
          </w:p>
        </w:tc>
        <w:tc>
          <w:tcPr>
            <w:tcW w:w="3364" w:type="pct"/>
            <w:gridSpan w:val="6"/>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 xml:space="preserve">土壤环境质量现状保障 </w:t>
            </w:r>
            <w:r>
              <w:rPr>
                <w:rFonts w:hint="default" w:ascii="Times New Roman" w:hAnsi="Times New Roman" w:eastAsia="宋体" w:cs="Times New Roman"/>
                <w:color w:val="auto"/>
                <w:kern w:val="0"/>
                <w:sz w:val="21"/>
                <w:szCs w:val="21"/>
                <w:highlight w:val="none"/>
                <w:lang w:val="en-US" w:eastAsia="zh-CN"/>
              </w:rPr>
              <w:fldChar w:fldCharType="begin"/>
            </w:r>
            <w:r>
              <w:rPr>
                <w:rFonts w:hint="default" w:ascii="Times New Roman" w:hAnsi="Times New Roman" w:eastAsia="宋体" w:cs="Times New Roman"/>
                <w:color w:val="auto"/>
                <w:kern w:val="0"/>
                <w:sz w:val="21"/>
                <w:szCs w:val="21"/>
                <w:highlight w:val="none"/>
                <w:lang w:val="en-US" w:eastAsia="zh-CN"/>
              </w:rPr>
              <w:instrText xml:space="preserve"> eq \o\ac(</w:instrText>
            </w:r>
            <w:r>
              <w:rPr>
                <w:rFonts w:hint="default" w:ascii="Times New Roman" w:hAnsi="Times New Roman" w:eastAsia="宋体" w:cs="Times New Roman"/>
                <w:color w:val="auto"/>
                <w:kern w:val="0"/>
                <w:position w:val="-4"/>
                <w:sz w:val="31"/>
                <w:szCs w:val="21"/>
                <w:highlight w:val="none"/>
                <w:lang w:val="en-US" w:eastAsia="zh-CN"/>
              </w:rPr>
              <w:instrText xml:space="preserve">□</w:instrText>
            </w:r>
            <w:r>
              <w:rPr>
                <w:rFonts w:hint="default" w:ascii="Times New Roman" w:hAnsi="Times New Roman" w:eastAsia="宋体" w:cs="Times New Roman"/>
                <w:color w:val="auto"/>
                <w:kern w:val="0"/>
                <w:position w:val="0"/>
                <w:sz w:val="21"/>
                <w:szCs w:val="21"/>
                <w:highlight w:val="none"/>
                <w:lang w:val="en-US" w:eastAsia="zh-CN"/>
              </w:rPr>
              <w:instrText xml:space="preserve">)</w:instrText>
            </w:r>
            <w:r>
              <w:rPr>
                <w:rFonts w:hint="default" w:ascii="Times New Roman" w:hAnsi="Times New Roman" w:eastAsia="宋体" w:cs="Times New Roman"/>
                <w:color w:val="auto"/>
                <w:kern w:val="0"/>
                <w:sz w:val="21"/>
                <w:szCs w:val="21"/>
                <w:highlight w:val="none"/>
                <w:lang w:val="en-US" w:eastAsia="zh-CN"/>
              </w:rPr>
              <w:fldChar w:fldCharType="end"/>
            </w:r>
            <w:r>
              <w:rPr>
                <w:rFonts w:hint="default" w:ascii="Times New Roman" w:hAnsi="Times New Roman" w:eastAsia="宋体" w:cs="Times New Roman"/>
                <w:color w:val="auto"/>
                <w:kern w:val="0"/>
                <w:sz w:val="21"/>
                <w:szCs w:val="21"/>
                <w:highlight w:val="none"/>
                <w:lang w:val="en-US" w:eastAsia="zh-CN"/>
              </w:rPr>
              <w:t xml:space="preserve">；源头控制 </w:t>
            </w:r>
            <w:r>
              <w:rPr>
                <w:rFonts w:hint="default" w:ascii="Times New Roman" w:hAnsi="Times New Roman" w:eastAsia="宋体" w:cs="Times New Roman"/>
                <w:color w:val="auto"/>
                <w:kern w:val="0"/>
                <w:sz w:val="21"/>
                <w:szCs w:val="21"/>
                <w:highlight w:val="none"/>
                <w:lang w:val="en-US" w:eastAsia="zh-CN"/>
              </w:rPr>
              <w:sym w:font="Wingdings 2" w:char="0052"/>
            </w:r>
            <w:r>
              <w:rPr>
                <w:rFonts w:hint="default" w:ascii="Times New Roman" w:hAnsi="Times New Roman" w:eastAsia="宋体" w:cs="Times New Roman"/>
                <w:color w:val="auto"/>
                <w:kern w:val="0"/>
                <w:sz w:val="21"/>
                <w:szCs w:val="21"/>
                <w:highlight w:val="none"/>
                <w:lang w:val="en-US" w:eastAsia="zh-CN"/>
              </w:rPr>
              <w:t xml:space="preserve">；过程防控 </w:t>
            </w:r>
            <w:r>
              <w:rPr>
                <w:rFonts w:hint="default" w:ascii="Times New Roman" w:hAnsi="Times New Roman" w:eastAsia="宋体" w:cs="Times New Roman"/>
                <w:color w:val="auto"/>
                <w:kern w:val="0"/>
                <w:sz w:val="21"/>
                <w:szCs w:val="21"/>
                <w:highlight w:val="none"/>
                <w:lang w:val="en-US" w:eastAsia="zh-CN"/>
              </w:rPr>
              <w:sym w:font="Wingdings 2" w:char="0052"/>
            </w:r>
            <w:r>
              <w:rPr>
                <w:rFonts w:hint="default" w:ascii="Times New Roman" w:hAnsi="Times New Roman" w:eastAsia="宋体" w:cs="Times New Roman"/>
                <w:color w:val="auto"/>
                <w:kern w:val="0"/>
                <w:sz w:val="21"/>
                <w:szCs w:val="21"/>
                <w:highlight w:val="none"/>
                <w:lang w:val="en-US" w:eastAsia="zh-CN"/>
              </w:rPr>
              <w:t>；其他（分区防控、应急响应）</w:t>
            </w:r>
          </w:p>
        </w:tc>
        <w:tc>
          <w:tcPr>
            <w:tcW w:w="44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4"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960" w:type="pct"/>
            <w:vMerge w:val="restar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跟踪监测</w:t>
            </w:r>
          </w:p>
        </w:tc>
        <w:tc>
          <w:tcPr>
            <w:tcW w:w="1163" w:type="pct"/>
            <w:gridSpan w:val="2"/>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监测点数</w:t>
            </w:r>
          </w:p>
        </w:tc>
        <w:tc>
          <w:tcPr>
            <w:tcW w:w="1004" w:type="pct"/>
            <w:gridSpan w:val="3"/>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监测指标</w:t>
            </w:r>
          </w:p>
        </w:tc>
        <w:tc>
          <w:tcPr>
            <w:tcW w:w="1196"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监测频次</w:t>
            </w:r>
          </w:p>
        </w:tc>
        <w:tc>
          <w:tcPr>
            <w:tcW w:w="440" w:type="pct"/>
            <w:vMerge w:val="restar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4"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960"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1163" w:type="pct"/>
            <w:gridSpan w:val="2"/>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r>
              <w:rPr>
                <w:rFonts w:hint="eastAsia" w:ascii="Times New Roman" w:hAnsi="Times New Roman" w:eastAsia="宋体" w:cs="Times New Roman"/>
                <w:color w:val="auto"/>
                <w:kern w:val="0"/>
                <w:sz w:val="21"/>
                <w:szCs w:val="21"/>
                <w:highlight w:val="none"/>
                <w:lang w:val="en-US" w:eastAsia="zh-CN"/>
              </w:rPr>
              <w:t>罐区旁</w:t>
            </w:r>
            <w:r>
              <w:rPr>
                <w:rFonts w:hint="default" w:ascii="Times New Roman" w:hAnsi="Times New Roman" w:eastAsia="宋体" w:cs="Times New Roman"/>
                <w:color w:val="auto"/>
                <w:kern w:val="0"/>
                <w:sz w:val="21"/>
                <w:szCs w:val="21"/>
                <w:highlight w:val="none"/>
                <w:lang w:val="en-US" w:eastAsia="zh-CN"/>
              </w:rPr>
              <w:t>）</w:t>
            </w:r>
          </w:p>
        </w:tc>
        <w:tc>
          <w:tcPr>
            <w:tcW w:w="1004" w:type="pct"/>
            <w:gridSpan w:val="3"/>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基本项目45项+</w:t>
            </w:r>
            <w:r>
              <w:rPr>
                <w:rFonts w:hint="eastAsia" w:ascii="Times New Roman" w:hAnsi="Times New Roman" w:eastAsia="宋体" w:cs="Times New Roman"/>
                <w:color w:val="auto"/>
                <w:kern w:val="0"/>
                <w:sz w:val="21"/>
                <w:szCs w:val="21"/>
                <w:highlight w:val="none"/>
                <w:lang w:val="en-US" w:eastAsia="zh-CN"/>
              </w:rPr>
              <w:t>pH+石油烃</w:t>
            </w:r>
          </w:p>
        </w:tc>
        <w:tc>
          <w:tcPr>
            <w:tcW w:w="1196"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1次/5年</w:t>
            </w:r>
          </w:p>
        </w:tc>
        <w:tc>
          <w:tcPr>
            <w:tcW w:w="440"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4"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96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信息公开指标</w:t>
            </w:r>
          </w:p>
        </w:tc>
        <w:tc>
          <w:tcPr>
            <w:tcW w:w="3364" w:type="pct"/>
            <w:gridSpan w:val="6"/>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监测机构、监测时间、监测指标及监测数据、监测数据分析内容</w:t>
            </w:r>
          </w:p>
        </w:tc>
        <w:tc>
          <w:tcPr>
            <w:tcW w:w="440" w:type="pct"/>
            <w:vMerge w:val="continue"/>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94" w:type="pct"/>
            <w:gridSpan w:val="2"/>
            <w:tcBorders>
              <w:tl2br w:val="nil"/>
              <w:tr2bl w:val="nil"/>
            </w:tcBorders>
            <w:noWrap w:val="0"/>
            <w:vAlign w:val="top"/>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评价结论</w:t>
            </w:r>
          </w:p>
        </w:tc>
        <w:tc>
          <w:tcPr>
            <w:tcW w:w="3364" w:type="pct"/>
            <w:gridSpan w:val="6"/>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在采取相应污染防治措施（防渗）后，本项目运营对土壤环境影响较小。</w:t>
            </w:r>
          </w:p>
        </w:tc>
        <w:tc>
          <w:tcPr>
            <w:tcW w:w="440" w:type="pct"/>
            <w:tcBorders>
              <w:tl2br w:val="nil"/>
              <w:tr2bl w:val="nil"/>
            </w:tcBorders>
            <w:noWrap w:val="0"/>
            <w:vAlign w:val="center"/>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9"/>
            <w:tcBorders>
              <w:tl2br w:val="nil"/>
              <w:tr2bl w:val="nil"/>
            </w:tcBorders>
            <w:noWrap w:val="0"/>
            <w:vAlign w:val="top"/>
          </w:tcPr>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注 1：“□”为勾选项，可√；“（  ）”为内容填写项；“备注”为其他补充内容。</w:t>
            </w:r>
          </w:p>
          <w:p>
            <w:pPr>
              <w:keepNext w:val="0"/>
              <w:keepLines w:val="0"/>
              <w:pageBreakBefore w:val="0"/>
              <w:widowControl w:val="0"/>
              <w:shd w:val="clear" w:color="auto" w:fill="auto"/>
              <w:kinsoku/>
              <w:wordWrap w:val="0"/>
              <w:overflowPunct/>
              <w:topLinePunct w:val="0"/>
              <w:autoSpaceDE/>
              <w:autoSpaceDN/>
              <w:bidi w:val="0"/>
              <w:adjustRightInd/>
              <w:snapToGrid/>
              <w:spacing w:beforeAutospacing="0" w:line="240" w:lineRule="auto"/>
              <w:ind w:left="0" w:leftChars="0" w:right="0" w:rightChars="0" w:firstLine="0" w:firstLineChars="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注 2：需要分别开展土壤环境影响评级工作的，分别填写自查表。</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5.2.6 碳排放影响评价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为贯彻落实中央和生态环境部“碳达峰、碳中和”相关决策部署和文件精神，充分发挥环境影响评价的源头防控、过程管理中的基础性作用，推进“两高”行业减污降碳协同控制，本评价按照相关政策及文件要求，根据《中国化工生产企业温室气体排放核算方法与报告指南（试行）》，计算项目实施后碳排放量及碳排放强度，提出整合项目碳减排建议，并分析整合项目减污降碳措施可行性及碳排放水平。</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5.2.6.1 碳排放分析</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4"/>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5.2.6.1.1 碳排放源分析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根据《中国化工生产企业温室气体排放核算方法与报告指南（试行）》，化工企业碳排放源主要包括：燃料燃烧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排放、工业生产过程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排放、CO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回收利用量、净购入的电力和热力消费引起的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排放。化工企业排放温室气体为二氧化碳（CO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（1）化石燃料燃烧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化石燃料燃烧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排放主要包括企业边界内各种类型的固定燃烧设备（如导热油炉、蒸汽锅炉等）以及生产用的移动燃烧设备（如厂内运输车辆及搬运设备等）燃烧化石燃料产生的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本项目供暖及生产不使用天然气及蒸汽，采用电锅炉供暖。本项目化石燃料燃烧过程中无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（2）工业生产过程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主要指化石燃料和其它碳氢化合物用作原材料产生的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排放。本项目工程未采用化石燃料和其它碳氢化合物用作原材料，即拟建工程工业生产过程中无CO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回收利用量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拟建工程实施后未回收燃料燃烧或工业生产过程中产生的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，因此该部回收利用量均为 0。</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（4）净购入的电力和热力消费引起的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排放量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拟建工程实施后，年总用电量 118.84 万 kWh，全部为净购入电力。</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4"/>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5.2.6.1.2 碳排放量核算</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本项目生产过程中不涉及化石燃料及其它碳氢化合物原料的使用，不涉及CO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回收利用量，因此净购入的电力和热力消费引起的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排放量。具体核算过程如下：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（1）净购入的电力和热力消费引起的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计算公式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主要为净购入电力，计算公式：</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position w:val="-14"/>
          <w:sz w:val="24"/>
          <w:szCs w:val="24"/>
          <w:lang w:val="en-US" w:eastAsia="zh-CN"/>
        </w:rPr>
        <w:object>
          <v:shape id="_x0000_i1038" o:spt="75" type="#_x0000_t75" style="height:19pt;width:124pt;" o:ole="t" filled="f" o:preferrelative="t" stroked="f" coordsize="21600,21600">
            <v:path/>
            <v:fill on="f" focussize="0,0"/>
            <v:stroke on="f"/>
            <v:imagedata r:id="rId90" o:title=""/>
            <o:lock v:ext="edit" aspectratio="t"/>
            <w10:wrap type="none"/>
            <w10:anchorlock/>
          </v:shape>
          <o:OLEObject Type="Embed" ProgID="Equation.KSEE3" ShapeID="_x0000_i1038" DrawAspect="Content" ObjectID="_1468075738" r:id="rId89">
            <o:LockedField>false</o:LockedField>
          </o:OLEObject>
        </w:objec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式中：E</w:t>
      </w:r>
      <w:r>
        <w:rPr>
          <w:rFonts w:hint="eastAsia" w:ascii="Times New Roman" w:hAnsi="Times New Roman" w:eastAsia="宋体" w:cs="Times New Roman"/>
          <w:color w:val="auto"/>
          <w:sz w:val="24"/>
          <w:szCs w:val="24"/>
          <w:vertAlign w:val="subscript"/>
          <w:lang w:val="en-US" w:eastAsia="zh-CN"/>
        </w:rPr>
        <w:t>CO2-净电</w:t>
      </w:r>
      <w:r>
        <w:rPr>
          <w:rFonts w:hint="eastAsia" w:ascii="Times New Roman" w:hAnsi="Times New Roman" w:eastAsia="宋体" w:cs="Times New Roman"/>
          <w:color w:val="auto"/>
          <w:sz w:val="24"/>
          <w:szCs w:val="24"/>
          <w:lang w:val="en-US" w:eastAsia="zh-CN"/>
        </w:rPr>
        <w:t>——企业边界的化石燃料燃烧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排放量，t；</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AD</w:t>
      </w:r>
      <w:r>
        <w:rPr>
          <w:rFonts w:hint="eastAsia" w:ascii="Times New Roman" w:hAnsi="Times New Roman" w:eastAsia="宋体" w:cs="Times New Roman"/>
          <w:color w:val="auto"/>
          <w:sz w:val="24"/>
          <w:szCs w:val="24"/>
          <w:vertAlign w:val="subscript"/>
          <w:lang w:val="en-US" w:eastAsia="zh-CN"/>
        </w:rPr>
        <w:t xml:space="preserve"> 电力</w:t>
      </w:r>
      <w:r>
        <w:rPr>
          <w:rFonts w:hint="eastAsia" w:ascii="Times New Roman" w:hAnsi="Times New Roman" w:eastAsia="宋体" w:cs="Times New Roman"/>
          <w:color w:val="auto"/>
          <w:sz w:val="24"/>
          <w:szCs w:val="24"/>
          <w:lang w:val="en-US" w:eastAsia="zh-CN"/>
        </w:rPr>
        <w:t>——企业净购入的电力消费量，MWh；</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EF</w:t>
      </w:r>
      <w:r>
        <w:rPr>
          <w:rFonts w:hint="eastAsia" w:ascii="Times New Roman" w:hAnsi="Times New Roman" w:eastAsia="宋体" w:cs="Times New Roman"/>
          <w:color w:val="auto"/>
          <w:sz w:val="24"/>
          <w:szCs w:val="24"/>
          <w:vertAlign w:val="subscript"/>
          <w:lang w:val="en-US" w:eastAsia="zh-CN"/>
        </w:rPr>
        <w:t xml:space="preserve"> 电力</w:t>
      </w:r>
      <w:r>
        <w:rPr>
          <w:rFonts w:hint="eastAsia" w:ascii="Times New Roman" w:hAnsi="Times New Roman" w:eastAsia="宋体" w:cs="Times New Roman"/>
          <w:color w:val="auto"/>
          <w:sz w:val="24"/>
          <w:szCs w:val="24"/>
          <w:lang w:val="en-US" w:eastAsia="zh-CN"/>
        </w:rPr>
        <w:t>——电力供应的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排放因子，吨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/MWh。</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②活动水平数据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拟建工程实施后，净购入的电力和热力消费引起的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排放活动水平数据详见表 5.2.6-1。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5.2.6-1    净购入的电力和热力 CO</w:t>
      </w:r>
      <w:r>
        <w:rPr>
          <w:rFonts w:hint="eastAsia" w:ascii="Times New Roman" w:hAnsi="Times New Roman" w:eastAsia="宋体" w:cs="Times New Roman"/>
          <w:b/>
          <w:bCs/>
          <w:color w:val="auto"/>
          <w:sz w:val="24"/>
          <w:szCs w:val="24"/>
          <w:vertAlign w:val="subscript"/>
          <w:lang w:val="en-US" w:eastAsia="zh-CN"/>
        </w:rPr>
        <w:t>2</w:t>
      </w:r>
      <w:r>
        <w:rPr>
          <w:rFonts w:hint="eastAsia" w:ascii="Times New Roman" w:hAnsi="Times New Roman" w:eastAsia="宋体" w:cs="Times New Roman"/>
          <w:b/>
          <w:bCs/>
          <w:color w:val="auto"/>
          <w:sz w:val="24"/>
          <w:szCs w:val="24"/>
          <w:lang w:val="en-US" w:eastAsia="zh-CN"/>
        </w:rPr>
        <w:t xml:space="preserve"> 排放活动水平数据一览表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项目</w:t>
            </w:r>
          </w:p>
        </w:tc>
        <w:tc>
          <w:tcPr>
            <w:tcW w:w="170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类别</w:t>
            </w:r>
          </w:p>
        </w:tc>
        <w:tc>
          <w:tcPr>
            <w:tcW w:w="170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名称</w:t>
            </w:r>
          </w:p>
        </w:tc>
        <w:tc>
          <w:tcPr>
            <w:tcW w:w="17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单位</w:t>
            </w:r>
          </w:p>
        </w:tc>
        <w:tc>
          <w:tcPr>
            <w:tcW w:w="17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活动数据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本项目</w:t>
            </w:r>
          </w:p>
        </w:tc>
        <w:tc>
          <w:tcPr>
            <w:tcW w:w="170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电力</w:t>
            </w:r>
          </w:p>
        </w:tc>
        <w:tc>
          <w:tcPr>
            <w:tcW w:w="170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电力消耗量</w:t>
            </w:r>
          </w:p>
        </w:tc>
        <w:tc>
          <w:tcPr>
            <w:tcW w:w="17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MWh</w:t>
            </w:r>
          </w:p>
        </w:tc>
        <w:tc>
          <w:tcPr>
            <w:tcW w:w="17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1188.4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70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70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自发电量</w:t>
            </w:r>
          </w:p>
        </w:tc>
        <w:tc>
          <w:tcPr>
            <w:tcW w:w="17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MWh</w:t>
            </w:r>
          </w:p>
        </w:tc>
        <w:tc>
          <w:tcPr>
            <w:tcW w:w="17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70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70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净购入电力</w:t>
            </w:r>
          </w:p>
        </w:tc>
        <w:tc>
          <w:tcPr>
            <w:tcW w:w="17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MWh</w:t>
            </w:r>
          </w:p>
        </w:tc>
        <w:tc>
          <w:tcPr>
            <w:tcW w:w="17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1188.4</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③排放因子数据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净购入的电力和热力消费的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排放因子数据根据《中国化工生产企业温室气体排放核算方法与报告指南（试行）》选取饱和蒸汽的热焓，项目采用国家最新发布值，取值来源于《2011 年和 2012 年中国区域电网平均二氧化碳排放因子》的西北区域电网 2012 年平均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排放因子，即 EF 电=0.6671tCO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/MWh。</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④计算结果</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根据净购入的电力和热力消费的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排放计算公式，拟建工程实施后，净购入的电力和热力消费引起的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排放量核算结果详见表 5.2.6-2。</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5.2.6-2    净购入的电力和热力消费的 CO</w:t>
      </w:r>
      <w:r>
        <w:rPr>
          <w:rFonts w:hint="eastAsia" w:ascii="Times New Roman" w:hAnsi="Times New Roman" w:eastAsia="宋体" w:cs="Times New Roman"/>
          <w:b/>
          <w:bCs/>
          <w:color w:val="auto"/>
          <w:sz w:val="24"/>
          <w:szCs w:val="24"/>
          <w:vertAlign w:val="subscript"/>
          <w:lang w:val="en-US" w:eastAsia="zh-CN"/>
        </w:rPr>
        <w:t>2</w:t>
      </w:r>
      <w:r>
        <w:rPr>
          <w:rFonts w:hint="eastAsia" w:ascii="Times New Roman" w:hAnsi="Times New Roman" w:eastAsia="宋体" w:cs="Times New Roman"/>
          <w:b/>
          <w:bCs/>
          <w:color w:val="auto"/>
          <w:sz w:val="24"/>
          <w:szCs w:val="24"/>
          <w:lang w:val="en-US" w:eastAsia="zh-CN"/>
        </w:rPr>
        <w:t xml:space="preserve"> 排放量核算结果一览表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项目</w:t>
            </w:r>
          </w:p>
        </w:tc>
        <w:tc>
          <w:tcPr>
            <w:tcW w:w="2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类别</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单位</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CO</w:t>
            </w:r>
            <w:r>
              <w:rPr>
                <w:rFonts w:hint="eastAsia" w:ascii="Times New Roman" w:hAnsi="Times New Roman" w:eastAsia="宋体" w:cs="Times New Roman"/>
                <w:color w:val="auto"/>
                <w:sz w:val="21"/>
                <w:szCs w:val="21"/>
                <w:vertAlign w:val="subscript"/>
                <w:lang w:val="en-US" w:eastAsia="zh-CN"/>
              </w:rPr>
              <w:t>2</w:t>
            </w:r>
            <w:r>
              <w:rPr>
                <w:rFonts w:hint="eastAsia" w:ascii="Times New Roman" w:hAnsi="Times New Roman" w:eastAsia="宋体" w:cs="Times New Roman"/>
                <w:color w:val="auto"/>
                <w:sz w:val="21"/>
                <w:szCs w:val="21"/>
                <w:vertAlign w:val="baseline"/>
                <w:lang w:val="en-US" w:eastAsia="zh-CN"/>
              </w:rPr>
              <w:t xml:space="preserve"> 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本项目</w:t>
            </w:r>
          </w:p>
        </w:tc>
        <w:tc>
          <w:tcPr>
            <w:tcW w:w="2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净购入电力</w:t>
            </w:r>
          </w:p>
        </w:tc>
        <w:tc>
          <w:tcPr>
            <w:tcW w:w="2131"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吨 CO</w:t>
            </w:r>
            <w:r>
              <w:rPr>
                <w:rFonts w:hint="eastAsia" w:ascii="Times New Roman" w:hAnsi="Times New Roman" w:eastAsia="宋体" w:cs="Times New Roman"/>
                <w:color w:val="auto"/>
                <w:sz w:val="21"/>
                <w:szCs w:val="21"/>
                <w:vertAlign w:val="subscript"/>
                <w:lang w:val="en-US" w:eastAsia="zh-CN"/>
              </w:rPr>
              <w:t>2</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791.78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2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热力隐含</w:t>
            </w:r>
          </w:p>
        </w:tc>
        <w:tc>
          <w:tcPr>
            <w:tcW w:w="213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（3）碳排放核算结果汇总</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根据《中国化工生产企业温室气体排放核算方法与报告指南（试行）》，化工企业的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排放总量计算公式为：</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position w:val="-14"/>
          <w:sz w:val="24"/>
          <w:szCs w:val="24"/>
          <w:lang w:val="en-US" w:eastAsia="zh-CN"/>
        </w:rPr>
        <w:object>
          <v:shape id="_x0000_i1039" o:spt="75" type="#_x0000_t75" style="height:19pt;width:287pt;" o:ole="t" filled="f" o:preferrelative="t" stroked="f" coordsize="21600,21600">
            <v:path/>
            <v:fill on="f" focussize="0,0"/>
            <v:stroke on="f"/>
            <v:imagedata r:id="rId92" o:title=""/>
            <o:lock v:ext="edit" aspectratio="t"/>
            <w10:wrap type="none"/>
            <w10:anchorlock/>
          </v:shape>
          <o:OLEObject Type="Embed" ProgID="Equation.KSEE3" ShapeID="_x0000_i1039" DrawAspect="Content" ObjectID="_1468075739" r:id="rId91">
            <o:LockedField>false</o:LockedField>
          </o:OLEObject>
        </w:objec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式中：E</w:t>
      </w:r>
      <w:r>
        <w:rPr>
          <w:rFonts w:hint="eastAsia" w:ascii="Times New Roman" w:hAnsi="Times New Roman" w:eastAsia="宋体" w:cs="Times New Roman"/>
          <w:color w:val="auto"/>
          <w:sz w:val="24"/>
          <w:szCs w:val="24"/>
          <w:vertAlign w:val="subscript"/>
          <w:lang w:val="en-US" w:eastAsia="zh-CN"/>
        </w:rPr>
        <w:t>GHG</w:t>
      </w:r>
      <w:r>
        <w:rPr>
          <w:rFonts w:hint="eastAsia" w:ascii="Times New Roman" w:hAnsi="Times New Roman" w:eastAsia="宋体" w:cs="Times New Roman"/>
          <w:color w:val="auto"/>
          <w:sz w:val="24"/>
          <w:szCs w:val="24"/>
          <w:lang w:val="en-US" w:eastAsia="zh-CN"/>
        </w:rPr>
        <w:t>——报告主体的温室气体排放总量，吨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当量； </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E</w:t>
      </w:r>
      <w:r>
        <w:rPr>
          <w:rFonts w:hint="eastAsia" w:ascii="Times New Roman" w:hAnsi="Times New Roman" w:eastAsia="宋体" w:cs="Times New Roman"/>
          <w:color w:val="auto"/>
          <w:sz w:val="24"/>
          <w:szCs w:val="24"/>
          <w:vertAlign w:val="subscript"/>
          <w:lang w:val="en-US" w:eastAsia="zh-CN"/>
        </w:rPr>
        <w:t>CO2-燃烧</w:t>
      </w:r>
      <w:r>
        <w:rPr>
          <w:rFonts w:hint="eastAsia" w:ascii="Times New Roman" w:hAnsi="Times New Roman" w:eastAsia="宋体" w:cs="Times New Roman"/>
          <w:color w:val="auto"/>
          <w:sz w:val="24"/>
          <w:szCs w:val="24"/>
          <w:lang w:val="en-US" w:eastAsia="zh-CN"/>
        </w:rPr>
        <w:t>——企业边界内化石燃料燃烧产生的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vertAlign w:val="baseline"/>
          <w:lang w:val="en-US" w:eastAsia="zh-CN"/>
        </w:rPr>
        <w:t xml:space="preserve"> </w:t>
      </w:r>
      <w:r>
        <w:rPr>
          <w:rFonts w:hint="eastAsia" w:ascii="Times New Roman" w:hAnsi="Times New Roman" w:eastAsia="宋体" w:cs="Times New Roman"/>
          <w:color w:val="auto"/>
          <w:sz w:val="24"/>
          <w:szCs w:val="24"/>
          <w:lang w:val="en-US" w:eastAsia="zh-CN"/>
        </w:rPr>
        <w:t xml:space="preserve">排放； </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E</w:t>
      </w:r>
      <w:r>
        <w:rPr>
          <w:rFonts w:hint="eastAsia" w:ascii="Times New Roman" w:hAnsi="Times New Roman" w:eastAsia="宋体" w:cs="Times New Roman"/>
          <w:color w:val="auto"/>
          <w:sz w:val="24"/>
          <w:szCs w:val="24"/>
          <w:vertAlign w:val="subscript"/>
          <w:lang w:val="en-US" w:eastAsia="zh-CN"/>
        </w:rPr>
        <w:t>CO2-过程</w:t>
      </w:r>
      <w:r>
        <w:rPr>
          <w:rFonts w:hint="eastAsia" w:ascii="Times New Roman" w:hAnsi="Times New Roman" w:eastAsia="宋体" w:cs="Times New Roman"/>
          <w:color w:val="auto"/>
          <w:sz w:val="24"/>
          <w:szCs w:val="24"/>
          <w:lang w:val="en-US" w:eastAsia="zh-CN"/>
        </w:rPr>
        <w:t>——企业边界内工业生产过程产生的各种温室气体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排放；</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R</w:t>
      </w:r>
      <w:r>
        <w:rPr>
          <w:rFonts w:hint="eastAsia" w:ascii="Times New Roman" w:hAnsi="Times New Roman" w:eastAsia="宋体" w:cs="Times New Roman"/>
          <w:color w:val="auto"/>
          <w:sz w:val="24"/>
          <w:szCs w:val="24"/>
          <w:vertAlign w:val="subscript"/>
          <w:lang w:val="en-US" w:eastAsia="zh-CN"/>
        </w:rPr>
        <w:t>CO2-回收</w:t>
      </w:r>
      <w:r>
        <w:rPr>
          <w:rFonts w:hint="eastAsia" w:ascii="Times New Roman" w:hAnsi="Times New Roman" w:eastAsia="宋体" w:cs="Times New Roman"/>
          <w:color w:val="auto"/>
          <w:sz w:val="24"/>
          <w:szCs w:val="24"/>
          <w:lang w:val="en-US" w:eastAsia="zh-CN"/>
        </w:rPr>
        <w:t>——企业回收且外供的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量； </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E</w:t>
      </w:r>
      <w:r>
        <w:rPr>
          <w:rFonts w:hint="eastAsia" w:ascii="Times New Roman" w:hAnsi="Times New Roman" w:eastAsia="宋体" w:cs="Times New Roman"/>
          <w:color w:val="auto"/>
          <w:sz w:val="24"/>
          <w:szCs w:val="24"/>
          <w:vertAlign w:val="subscript"/>
          <w:lang w:val="en-US" w:eastAsia="zh-CN"/>
        </w:rPr>
        <w:t>CO2-净电</w:t>
      </w:r>
      <w:r>
        <w:rPr>
          <w:rFonts w:hint="eastAsia" w:ascii="Times New Roman" w:hAnsi="Times New Roman" w:eastAsia="宋体" w:cs="Times New Roman"/>
          <w:color w:val="auto"/>
          <w:sz w:val="24"/>
          <w:szCs w:val="24"/>
          <w:lang w:val="en-US" w:eastAsia="zh-CN"/>
        </w:rPr>
        <w:t>——企业净购入的电力消费引起的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vertAlign w:val="baseline"/>
          <w:lang w:val="en-US" w:eastAsia="zh-CN"/>
        </w:rPr>
        <w:t xml:space="preserve"> </w:t>
      </w:r>
      <w:r>
        <w:rPr>
          <w:rFonts w:hint="eastAsia" w:ascii="Times New Roman" w:hAnsi="Times New Roman" w:eastAsia="宋体" w:cs="Times New Roman"/>
          <w:color w:val="auto"/>
          <w:sz w:val="24"/>
          <w:szCs w:val="24"/>
          <w:lang w:val="en-US" w:eastAsia="zh-CN"/>
        </w:rPr>
        <w:t xml:space="preserve">排放； </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E</w:t>
      </w:r>
      <w:r>
        <w:rPr>
          <w:rFonts w:hint="eastAsia" w:ascii="Times New Roman" w:hAnsi="Times New Roman" w:eastAsia="宋体" w:cs="Times New Roman"/>
          <w:color w:val="auto"/>
          <w:sz w:val="24"/>
          <w:szCs w:val="24"/>
          <w:vertAlign w:val="subscript"/>
          <w:lang w:val="en-US" w:eastAsia="zh-CN"/>
        </w:rPr>
        <w:t>CO2-净热</w:t>
      </w:r>
      <w:r>
        <w:rPr>
          <w:rFonts w:hint="eastAsia" w:ascii="Times New Roman" w:hAnsi="Times New Roman" w:eastAsia="宋体" w:cs="Times New Roman"/>
          <w:color w:val="auto"/>
          <w:sz w:val="24"/>
          <w:szCs w:val="24"/>
          <w:lang w:val="en-US" w:eastAsia="zh-CN"/>
        </w:rPr>
        <w:t>——企业净购入的热力消费引起的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vertAlign w:val="baseline"/>
          <w:lang w:val="en-US" w:eastAsia="zh-CN"/>
        </w:rPr>
        <w:t xml:space="preserve"> </w:t>
      </w:r>
      <w:r>
        <w:rPr>
          <w:rFonts w:hint="eastAsia" w:ascii="Times New Roman" w:hAnsi="Times New Roman" w:eastAsia="宋体" w:cs="Times New Roman"/>
          <w:color w:val="auto"/>
          <w:sz w:val="24"/>
          <w:szCs w:val="24"/>
          <w:lang w:val="en-US" w:eastAsia="zh-CN"/>
        </w:rPr>
        <w:t xml:space="preserve">排放。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按照上述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排放总量计算公式，则拟建工程实施后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排放总量详见表 5.2.6-3。</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5.2.6-3    CO</w:t>
      </w:r>
      <w:r>
        <w:rPr>
          <w:rFonts w:hint="eastAsia" w:ascii="Times New Roman" w:hAnsi="Times New Roman" w:eastAsia="宋体" w:cs="Times New Roman"/>
          <w:b/>
          <w:bCs/>
          <w:color w:val="auto"/>
          <w:sz w:val="24"/>
          <w:szCs w:val="24"/>
          <w:vertAlign w:val="subscript"/>
          <w:lang w:val="en-US" w:eastAsia="zh-CN"/>
        </w:rPr>
        <w:t>2</w:t>
      </w:r>
      <w:r>
        <w:rPr>
          <w:rFonts w:hint="eastAsia" w:ascii="Times New Roman" w:hAnsi="Times New Roman" w:eastAsia="宋体" w:cs="Times New Roman"/>
          <w:b/>
          <w:bCs/>
          <w:color w:val="auto"/>
          <w:sz w:val="24"/>
          <w:szCs w:val="24"/>
          <w:lang w:val="en-US" w:eastAsia="zh-CN"/>
        </w:rPr>
        <w:t xml:space="preserve"> 排放总量汇总一览表</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1"/>
        <w:gridCol w:w="4910"/>
        <w:gridCol w:w="1104"/>
        <w:gridCol w:w="11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项目</w:t>
            </w:r>
          </w:p>
        </w:tc>
        <w:tc>
          <w:tcPr>
            <w:tcW w:w="28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源类别</w:t>
            </w:r>
          </w:p>
        </w:tc>
        <w:tc>
          <w:tcPr>
            <w:tcW w:w="64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单位</w:t>
            </w:r>
          </w:p>
        </w:tc>
        <w:tc>
          <w:tcPr>
            <w:tcW w:w="6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6"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拟建项目</w:t>
            </w:r>
          </w:p>
        </w:tc>
        <w:tc>
          <w:tcPr>
            <w:tcW w:w="28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燃料燃烧 CO</w:t>
            </w:r>
            <w:r>
              <w:rPr>
                <w:rFonts w:hint="eastAsia" w:ascii="Times New Roman" w:hAnsi="Times New Roman" w:eastAsia="宋体" w:cs="Times New Roman"/>
                <w:color w:val="auto"/>
                <w:sz w:val="21"/>
                <w:szCs w:val="21"/>
                <w:vertAlign w:val="subscript"/>
                <w:lang w:val="en-US" w:eastAsia="zh-CN"/>
              </w:rPr>
              <w:t>2</w:t>
            </w:r>
            <w:r>
              <w:rPr>
                <w:rFonts w:hint="eastAsia" w:ascii="Times New Roman" w:hAnsi="Times New Roman" w:eastAsia="宋体" w:cs="Times New Roman"/>
                <w:color w:val="auto"/>
                <w:sz w:val="21"/>
                <w:szCs w:val="21"/>
                <w:vertAlign w:val="baseline"/>
                <w:lang w:val="en-US" w:eastAsia="zh-CN"/>
              </w:rPr>
              <w:t xml:space="preserve"> 排放</w:t>
            </w:r>
          </w:p>
        </w:tc>
        <w:tc>
          <w:tcPr>
            <w:tcW w:w="648"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吨CO</w:t>
            </w:r>
            <w:r>
              <w:rPr>
                <w:rFonts w:hint="eastAsia" w:ascii="Times New Roman" w:hAnsi="Times New Roman" w:eastAsia="宋体" w:cs="Times New Roman"/>
                <w:color w:val="auto"/>
                <w:sz w:val="21"/>
                <w:szCs w:val="21"/>
                <w:vertAlign w:val="subscript"/>
                <w:lang w:val="en-US" w:eastAsia="zh-CN"/>
              </w:rPr>
              <w:t>2</w:t>
            </w:r>
          </w:p>
        </w:tc>
        <w:tc>
          <w:tcPr>
            <w:tcW w:w="6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28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工业生产过程 CO</w:t>
            </w:r>
            <w:r>
              <w:rPr>
                <w:rFonts w:hint="eastAsia" w:ascii="Times New Roman" w:hAnsi="Times New Roman" w:eastAsia="宋体" w:cs="Times New Roman"/>
                <w:color w:val="auto"/>
                <w:sz w:val="21"/>
                <w:szCs w:val="21"/>
                <w:vertAlign w:val="subscript"/>
                <w:lang w:val="en-US" w:eastAsia="zh-CN"/>
              </w:rPr>
              <w:t>2</w:t>
            </w:r>
            <w:r>
              <w:rPr>
                <w:rFonts w:hint="eastAsia" w:ascii="Times New Roman" w:hAnsi="Times New Roman" w:eastAsia="宋体" w:cs="Times New Roman"/>
                <w:color w:val="auto"/>
                <w:sz w:val="21"/>
                <w:szCs w:val="21"/>
                <w:vertAlign w:val="baseline"/>
                <w:lang w:val="en-US" w:eastAsia="zh-CN"/>
              </w:rPr>
              <w:t>排放</w:t>
            </w:r>
          </w:p>
        </w:tc>
        <w:tc>
          <w:tcPr>
            <w:tcW w:w="648"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28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CO</w:t>
            </w:r>
            <w:r>
              <w:rPr>
                <w:rFonts w:hint="eastAsia" w:ascii="Times New Roman" w:hAnsi="Times New Roman" w:eastAsia="宋体" w:cs="Times New Roman"/>
                <w:color w:val="auto"/>
                <w:sz w:val="21"/>
                <w:szCs w:val="21"/>
                <w:vertAlign w:val="subscript"/>
                <w:lang w:val="en-US" w:eastAsia="zh-CN"/>
              </w:rPr>
              <w:t>2</w:t>
            </w:r>
            <w:r>
              <w:rPr>
                <w:rFonts w:hint="eastAsia" w:ascii="Times New Roman" w:hAnsi="Times New Roman" w:eastAsia="宋体" w:cs="Times New Roman"/>
                <w:color w:val="auto"/>
                <w:sz w:val="21"/>
                <w:szCs w:val="21"/>
                <w:vertAlign w:val="baseline"/>
                <w:lang w:val="en-US" w:eastAsia="zh-CN"/>
              </w:rPr>
              <w:t xml:space="preserve"> 回收利用量</w:t>
            </w:r>
          </w:p>
        </w:tc>
        <w:tc>
          <w:tcPr>
            <w:tcW w:w="648"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28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净购入的电力和热力消费的 CO</w:t>
            </w:r>
            <w:r>
              <w:rPr>
                <w:rFonts w:hint="eastAsia" w:ascii="Times New Roman" w:hAnsi="Times New Roman" w:eastAsia="宋体" w:cs="Times New Roman"/>
                <w:color w:val="auto"/>
                <w:sz w:val="21"/>
                <w:szCs w:val="21"/>
                <w:vertAlign w:val="subscript"/>
                <w:lang w:val="en-US" w:eastAsia="zh-CN"/>
              </w:rPr>
              <w:t>2</w:t>
            </w:r>
            <w:r>
              <w:rPr>
                <w:rFonts w:hint="eastAsia" w:ascii="Times New Roman" w:hAnsi="Times New Roman" w:eastAsia="宋体" w:cs="Times New Roman"/>
                <w:color w:val="auto"/>
                <w:sz w:val="21"/>
                <w:szCs w:val="21"/>
                <w:vertAlign w:val="baseline"/>
                <w:lang w:val="en-US" w:eastAsia="zh-CN"/>
              </w:rPr>
              <w:t xml:space="preserve"> 排放</w:t>
            </w:r>
          </w:p>
        </w:tc>
        <w:tc>
          <w:tcPr>
            <w:tcW w:w="648"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791.78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28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合计</w:t>
            </w:r>
          </w:p>
        </w:tc>
        <w:tc>
          <w:tcPr>
            <w:tcW w:w="648"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6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791.78</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综上所述，项目实施后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总排放量为 791.78 吨。</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5.2.6.2 碳减排措施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项目从厂内外运输、工艺技术、节能设备和能源及碳排放管理等方面均采取了一系列减污降碳措施，具体如下：</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4"/>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5.2.6.2.1 厂内外运输减污降碳措施分析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项目在总图布置时，根据工艺生产的需要，按照工艺流向布置，物料顺行，合理分配运输量，减少物流，减少折返、迂回以及货物的重复装卸和搬运，减少厂内运输货物周转量，缩短运输距离，从而减少厂区内运输车辆、非道路移动机械等移动设备燃烧产生的 CO</w:t>
      </w:r>
      <w:r>
        <w:rPr>
          <w:rFonts w:hint="eastAsia" w:ascii="Times New Roman" w:hAnsi="Times New Roman" w:eastAsia="宋体" w:cs="Times New Roman"/>
          <w:color w:val="auto"/>
          <w:sz w:val="24"/>
          <w:szCs w:val="24"/>
          <w:vertAlign w:val="subscript"/>
          <w:lang w:val="en-US" w:eastAsia="zh-CN"/>
        </w:rPr>
        <w:t xml:space="preserve"> 2</w:t>
      </w:r>
      <w:r>
        <w:rPr>
          <w:rFonts w:hint="eastAsia" w:ascii="Times New Roman" w:hAnsi="Times New Roman" w:eastAsia="宋体" w:cs="Times New Roman"/>
          <w:color w:val="auto"/>
          <w:sz w:val="24"/>
          <w:szCs w:val="24"/>
          <w:lang w:val="en-US" w:eastAsia="zh-CN"/>
        </w:rPr>
        <w:t xml:space="preserve"> 排放量。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（2）工艺设备和建构筑物合理布局，水泵房、变配电设施等均设置在负荷中心，减少电力等能源输送损耗，减少电力隐含的 CO</w:t>
      </w:r>
      <w:r>
        <w:rPr>
          <w:rFonts w:hint="eastAsia" w:ascii="Times New Roman" w:hAnsi="Times New Roman" w:eastAsia="宋体" w:cs="Times New Roman"/>
          <w:color w:val="auto"/>
          <w:sz w:val="24"/>
          <w:szCs w:val="24"/>
          <w:vertAlign w:val="subscript"/>
          <w:lang w:val="en-US" w:eastAsia="zh-CN"/>
        </w:rPr>
        <w:t xml:space="preserve">2 </w:t>
      </w:r>
      <w:r>
        <w:rPr>
          <w:rFonts w:hint="eastAsia" w:ascii="Times New Roman" w:hAnsi="Times New Roman" w:eastAsia="宋体" w:cs="Times New Roman"/>
          <w:color w:val="auto"/>
          <w:sz w:val="24"/>
          <w:szCs w:val="24"/>
          <w:vertAlign w:val="baseline"/>
          <w:lang w:val="en-US" w:eastAsia="zh-CN"/>
        </w:rPr>
        <w:t xml:space="preserve"> </w:t>
      </w:r>
      <w:r>
        <w:rPr>
          <w:rFonts w:hint="eastAsia" w:ascii="Times New Roman" w:hAnsi="Times New Roman" w:eastAsia="宋体" w:cs="Times New Roman"/>
          <w:color w:val="auto"/>
          <w:sz w:val="24"/>
          <w:szCs w:val="24"/>
          <w:lang w:val="en-US" w:eastAsia="zh-CN"/>
        </w:rPr>
        <w:t>排放量。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（3）项目大宗物料主要采用国六标准汽车运输，可减少公路汽车运输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排放量。</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4"/>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5.2.6.2.2 工艺技术减污降碳措施分析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生产工艺采用自动控制技术，反应器压力全自动智能分析和控制，不需要人工干预和经常整定调节参数。实现加热过程自动控制，最终达到降低污染物排放、节约燃气、提高产品质量、减少现场作业人员的目的。</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4"/>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5.2.6.2.3 电气设施减污降碳措施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本项目在电气设备设施上采用了多种节能措施，从而间接减少了电力隐含的 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 xml:space="preserve"> 排放量。具体措施主要有：</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（1）根据项目用电性质、用电容量等选择合理的供电电压和供电方式，有效减少电能损耗。</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（2）选用高功率因数电气设备。采用无功功率补偿，为减少线路损失，设计采用高低压同时补偿的方式，补偿后功率因数达 0.95 以上。低压设置自动无功补偿电容器装置，高压采用高压并联电容器进行功率因数补偿，补偿后使功率因数在装置负荷正常运行时提高，有效减少无功损耗，从而减少电能损耗，实现节能运行。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（3）选用节能型干式变压器，能效等级为 1 级，具有低损耗（空载和负载损耗相对较低）、维护方便等显著特点。</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（4）各种电力设备均选用能效等级为 1 级的节能产品，实际功率和负荷相适应，达到降低能耗，提高工作效率的作用。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（5）负载变化较大的风机、泵类采用变频器调速控制，进一步降低能耗。</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5.2.6.3 碳排放控制管理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建立三级能源及碳排放管理组织机构，对全厂能源及碳排放管理实行三级管理，并制定能源及碳排放管理制度。成立能源及碳排放管理领导小组，全面领导公司的节能工作，实施全厂能源及碳排放管理的基本任务，统筹、综合、协调、管理企业的各项节能工作；能源及碳排放管理领导小组下设能源及碳排放管理办公室，作为能源及碳排放管理的日常办事机构，设立专（兼）职能源及碳排放管理人员，将碳排放管理工作作为重要事项纳入日常管理；各部门设有专职管理人员，负责具体实施公司下达的各项能源及碳排放任务，并负责将相关情况上报能源及碳排放管理办公室。公司能源及碳排放管理制度对各类能源的购入、贮存、使用、加工转换、输送分配以及最终使用等环节进行详细的规定，尽可能从管理上做到对各类能源高效使用，同时对碳排放情况进行有效管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设置能源计量处，负责贯彻执行上级有关规定，加强管理、统一量值，公司制定有《计量管理制度》，对相关用能点的计量器具配备情况进行强制要求，还对计量技术档案管理、计量器具流转制度、计量器具周期检定制度等作出明确规定，并对能源计量器具的精度和检测率提出了明确的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加强对各部门能源消耗进行统计，建立能源消耗平衡表，从而提出技术上和管理上的节能改进措施，不断提高能源管理水平。制定先进的、合理的能耗定额，确保定额考核的严肃性和科学性。制定《能源统计管理制度》，制度规定由能源管理办公室建立能源统计台账，定期开展能源消耗统计、分析、核查工作，并将统计数据按要求上报上级节能主管部门。规定各种能源原始记录要完整、齐全，统计数据要真实、准确、完整、及时，同时为企业碳排放活动水平统计提供依据。</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5.2.6.4 碳排放分析结论</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4"/>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5.2.6.4.1 碳排放评价结论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项目建设符合碳排放相关政策要求，在厂内外运输、工艺技术、节能设备和能源及碳排放管理等方面均采取了较完善的减污降碳措施，有利于减少二氧化碳排放。综上分析，项目碳排放水平可接受。</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4"/>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5.2.6.4.2 碳排放评价建议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（1）在生产过程中加强企业能源管理，定期开展能源及碳排放管理培训，提升管理水平；</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（2）在生产过程中积极探讨新工艺、新方法。开展源头控制，积极寻找绿色节能工艺、产品和技术，降低化石燃料消费量；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（3）积极开展碳捕获、利用与封存（CCUS）技术，进一步挖掘和提升减污降碳潜力。</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b/>
          <w:bCs/>
          <w:color w:val="auto"/>
          <w:sz w:val="30"/>
          <w:szCs w:val="30"/>
          <w:lang w:val="en-US" w:eastAsia="zh-CN"/>
        </w:rPr>
      </w:pPr>
      <w:bookmarkStart w:id="97" w:name="_Toc22419"/>
      <w:r>
        <w:rPr>
          <w:rFonts w:hint="eastAsia" w:ascii="Times New Roman" w:hAnsi="Times New Roman" w:eastAsia="宋体" w:cs="Times New Roman"/>
          <w:b/>
          <w:bCs/>
          <w:color w:val="auto"/>
          <w:sz w:val="30"/>
          <w:szCs w:val="30"/>
          <w:lang w:val="en-US" w:eastAsia="zh-CN"/>
        </w:rPr>
        <w:t>5.3 环境风险评价</w:t>
      </w:r>
      <w:bookmarkEnd w:id="97"/>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5.3.1 风险调查</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5.3.1.1 建设项目风险源调查</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拟建项目原料主要有：废白土、助滤剂、牛羊粪、植物秸秆、半成品有机肥（牛羊粪沤肥）、皂脚、动物油脂、罐底植物油、</w:t>
      </w:r>
      <w:r>
        <w:rPr>
          <w:rFonts w:hint="eastAsia" w:ascii="Times New Roman" w:hAnsi="Times New Roman" w:eastAsia="宋体" w:cs="Times New Roman"/>
          <w:color w:val="auto"/>
          <w:sz w:val="24"/>
          <w:szCs w:val="24"/>
          <w:vertAlign w:val="baseline"/>
          <w:lang w:val="en-US" w:eastAsia="zh-CN"/>
        </w:rPr>
        <w:t>酸化油、氨水（20%）、磷酸二氢钾、硫酸、甲醇、生物菌剂等</w:t>
      </w:r>
      <w:r>
        <w:rPr>
          <w:rFonts w:hint="eastAsia" w:ascii="Times New Roman" w:hAnsi="Times New Roman" w:eastAsia="宋体" w:cs="Times New Roman"/>
          <w:color w:val="auto"/>
          <w:sz w:val="24"/>
          <w:szCs w:val="24"/>
          <w:lang w:val="en-US" w:eastAsia="zh-CN"/>
        </w:rPr>
        <w:t>；产品主要为：生物有机肥、</w:t>
      </w:r>
      <w:r>
        <w:rPr>
          <w:rFonts w:hint="eastAsia" w:ascii="Times New Roman" w:hAnsi="Times New Roman" w:eastAsia="宋体" w:cs="Times New Roman"/>
          <w:color w:val="auto"/>
          <w:sz w:val="24"/>
          <w:szCs w:val="24"/>
          <w:vertAlign w:val="baseline"/>
          <w:lang w:val="en-US" w:eastAsia="zh-CN"/>
        </w:rPr>
        <w:t>有机无机复混肥、水溶肥、钻井石油助剂、脂肪酸甲酯、油脂类加工产品等</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产生的废气中主要污染物为非甲烷总烃、甲醇、油脂烟气、颗粒物、NH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、H</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S；产生的废水主要污染物为 COD、NH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-N 等；产生的固体废物包括废机油、废活性炭、水溶肥生产线产生的下脚料、动植物油水解产生的下脚料、皂脚酸渣、污泥等。</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根据《建设项目环境风险评价技术导则》（HJ169-2018）附录 B（资料性附录）进行物质危险性辨别。对照附录 B 可知，项目涉及的危险物质主要包括硫酸、甲醇、氨水、废机油。项目危险物质分布情况见表 5.3.1-1 所示。</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5.3.1-1    建设项目风险源调查概况一览表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单元</w:t>
            </w:r>
          </w:p>
        </w:tc>
        <w:tc>
          <w:tcPr>
            <w:tcW w:w="2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危险物质类型</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储存方式</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最大储存量（t）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车间</w:t>
            </w:r>
          </w:p>
        </w:tc>
        <w:tc>
          <w:tcPr>
            <w:tcW w:w="2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硫酸</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桶装</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车间</w:t>
            </w:r>
          </w:p>
        </w:tc>
        <w:tc>
          <w:tcPr>
            <w:tcW w:w="2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甲醇</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桶装</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车间</w:t>
            </w:r>
          </w:p>
        </w:tc>
        <w:tc>
          <w:tcPr>
            <w:tcW w:w="2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氨水</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桶装</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危废暂存间</w:t>
            </w:r>
          </w:p>
        </w:tc>
        <w:tc>
          <w:tcPr>
            <w:tcW w:w="2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废机油</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废机油桶</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0.5</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5.3.1.2 环境敏感目标调查</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本项目位于昌吉州呼图壁工业园西区内，根据现场踏勘，项目区评价范围内无自然保护区、风景名胜区、基本农田等需特殊保护区域，项目周围的环境敏感目标情况如下表所示。</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5.3.1-2   本项目环境敏感目标一览表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1"/>
        <w:gridCol w:w="810"/>
        <w:gridCol w:w="1455"/>
        <w:gridCol w:w="1515"/>
        <w:gridCol w:w="868"/>
        <w:gridCol w:w="1270"/>
        <w:gridCol w:w="637"/>
        <w:gridCol w:w="767"/>
        <w:gridCol w:w="4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44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环境要素</w:t>
            </w:r>
          </w:p>
        </w:tc>
        <w:tc>
          <w:tcPr>
            <w:tcW w:w="47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保护目标</w:t>
            </w:r>
          </w:p>
        </w:tc>
        <w:tc>
          <w:tcPr>
            <w:tcW w:w="174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坐标</w:t>
            </w:r>
          </w:p>
        </w:tc>
        <w:tc>
          <w:tcPr>
            <w:tcW w:w="509"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保护对象（人）</w:t>
            </w:r>
          </w:p>
        </w:tc>
        <w:tc>
          <w:tcPr>
            <w:tcW w:w="74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保护内容</w:t>
            </w:r>
          </w:p>
        </w:tc>
        <w:tc>
          <w:tcPr>
            <w:tcW w:w="373"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环境功能区</w:t>
            </w:r>
          </w:p>
        </w:tc>
        <w:tc>
          <w:tcPr>
            <w:tcW w:w="45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距离（km）</w:t>
            </w:r>
          </w:p>
        </w:tc>
        <w:tc>
          <w:tcPr>
            <w:tcW w:w="263"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7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8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经度</w:t>
            </w:r>
          </w:p>
        </w:tc>
        <w:tc>
          <w:tcPr>
            <w:tcW w:w="8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纬度</w:t>
            </w:r>
          </w:p>
        </w:tc>
        <w:tc>
          <w:tcPr>
            <w:tcW w:w="50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74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5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263"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大气</w:t>
            </w:r>
          </w:p>
        </w:tc>
        <w:tc>
          <w:tcPr>
            <w:tcW w:w="4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十八户村四组</w:t>
            </w:r>
          </w:p>
        </w:tc>
        <w:tc>
          <w:tcPr>
            <w:tcW w:w="8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86°33'15.268"</w:t>
            </w:r>
          </w:p>
        </w:tc>
        <w:tc>
          <w:tcPr>
            <w:tcW w:w="8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44°16'08.029"</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300</w:t>
            </w:r>
          </w:p>
        </w:tc>
        <w:tc>
          <w:tcPr>
            <w:tcW w:w="74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《环境空气质量标准》（GB3095-2012）中二级标准</w:t>
            </w:r>
          </w:p>
        </w:tc>
        <w:tc>
          <w:tcPr>
            <w:tcW w:w="37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居民</w:t>
            </w:r>
          </w:p>
        </w:tc>
        <w:tc>
          <w:tcPr>
            <w:tcW w:w="45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2.578</w:t>
            </w:r>
          </w:p>
        </w:tc>
        <w:tc>
          <w:tcPr>
            <w:tcW w:w="26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西南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祁家湖村</w:t>
            </w:r>
          </w:p>
        </w:tc>
        <w:tc>
          <w:tcPr>
            <w:tcW w:w="8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86°31'55.548"</w:t>
            </w:r>
          </w:p>
        </w:tc>
        <w:tc>
          <w:tcPr>
            <w:tcW w:w="8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44°15'43.136"</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400</w:t>
            </w:r>
          </w:p>
        </w:tc>
        <w:tc>
          <w:tcPr>
            <w:tcW w:w="74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居民</w:t>
            </w:r>
          </w:p>
        </w:tc>
        <w:tc>
          <w:tcPr>
            <w:tcW w:w="45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4.428</w:t>
            </w:r>
          </w:p>
        </w:tc>
        <w:tc>
          <w:tcPr>
            <w:tcW w:w="26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西南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永丰四队</w:t>
            </w:r>
          </w:p>
        </w:tc>
        <w:tc>
          <w:tcPr>
            <w:tcW w:w="8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86°32'43.133"</w:t>
            </w:r>
          </w:p>
        </w:tc>
        <w:tc>
          <w:tcPr>
            <w:tcW w:w="8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44°14'45.151"</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500</w:t>
            </w:r>
          </w:p>
        </w:tc>
        <w:tc>
          <w:tcPr>
            <w:tcW w:w="74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居民</w:t>
            </w:r>
          </w:p>
        </w:tc>
        <w:tc>
          <w:tcPr>
            <w:tcW w:w="45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4.797</w:t>
            </w:r>
          </w:p>
        </w:tc>
        <w:tc>
          <w:tcPr>
            <w:tcW w:w="26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西南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4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十八户村</w:t>
            </w:r>
          </w:p>
        </w:tc>
        <w:tc>
          <w:tcPr>
            <w:tcW w:w="85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86°32'49.622"</w:t>
            </w:r>
          </w:p>
        </w:tc>
        <w:tc>
          <w:tcPr>
            <w:tcW w:w="8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44°14'30.541"</w:t>
            </w:r>
          </w:p>
        </w:tc>
        <w:tc>
          <w:tcPr>
            <w:tcW w:w="50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600</w:t>
            </w:r>
          </w:p>
        </w:tc>
        <w:tc>
          <w:tcPr>
            <w:tcW w:w="74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7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居民</w:t>
            </w:r>
          </w:p>
        </w:tc>
        <w:tc>
          <w:tcPr>
            <w:tcW w:w="45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4.942</w:t>
            </w:r>
          </w:p>
        </w:tc>
        <w:tc>
          <w:tcPr>
            <w:tcW w:w="26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西南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噪声</w:t>
            </w:r>
          </w:p>
        </w:tc>
        <w:tc>
          <w:tcPr>
            <w:tcW w:w="4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2996" w:type="pct"/>
            <w:gridSpan w:val="4"/>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37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713"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地下水环境</w:t>
            </w:r>
          </w:p>
        </w:tc>
        <w:tc>
          <w:tcPr>
            <w:tcW w:w="4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2996" w:type="pct"/>
            <w:gridSpan w:val="4"/>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地下水水质</w:t>
            </w:r>
          </w:p>
        </w:tc>
        <w:tc>
          <w:tcPr>
            <w:tcW w:w="37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III类</w:t>
            </w:r>
          </w:p>
        </w:tc>
        <w:tc>
          <w:tcPr>
            <w:tcW w:w="713"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6km</w:t>
            </w:r>
            <w:r>
              <w:rPr>
                <w:rFonts w:hint="eastAsia" w:ascii="Times New Roman" w:hAnsi="Times New Roman" w:eastAsia="宋体" w:cs="Times New Roman"/>
                <w:color w:val="auto"/>
                <w:sz w:val="21"/>
                <w:szCs w:val="21"/>
                <w:vertAlign w:val="superscript"/>
                <w:lang w:val="en-US" w:eastAsia="zh-CN"/>
              </w:rPr>
              <w:t>2</w:t>
            </w:r>
            <w:r>
              <w:rPr>
                <w:rFonts w:hint="eastAsia" w:ascii="Times New Roman" w:hAnsi="Times New Roman" w:eastAsia="宋体" w:cs="Times New Roman"/>
                <w:color w:val="auto"/>
                <w:sz w:val="21"/>
                <w:szCs w:val="21"/>
                <w:vertAlign w:val="baseline"/>
                <w:lang w:val="en-US" w:eastAsia="zh-CN"/>
              </w:rPr>
              <w:t xml:space="preserve"> 评价范围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土壤环境</w:t>
            </w:r>
          </w:p>
        </w:tc>
        <w:tc>
          <w:tcPr>
            <w:tcW w:w="4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荒地</w:t>
            </w:r>
          </w:p>
        </w:tc>
        <w:tc>
          <w:tcPr>
            <w:tcW w:w="2996" w:type="pct"/>
            <w:gridSpan w:val="4"/>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土壤环境</w:t>
            </w:r>
          </w:p>
        </w:tc>
        <w:tc>
          <w:tcPr>
            <w:tcW w:w="37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713"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项目及周边200m范围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生态环境</w:t>
            </w:r>
          </w:p>
        </w:tc>
        <w:tc>
          <w:tcPr>
            <w:tcW w:w="4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4084" w:type="pct"/>
            <w:gridSpan w:val="7"/>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5.3.2 环境风险潜势初判</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根据《建设项目环境风险评价技术导则》（HJ169-2018）附录 C 中“C.1.1 危险物质数量与临界量比值”，计算本项目的危险物质数量与临界量比值，计算方法如下：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计算所涉及的每种危险物质在厂界内的最大存在总量与其在附录 B 中对应临界量的比值 Q。在不同厂区的同一种物质，按其在厂界内的最大存在总量计算。</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当只涉及一种危险物质时，计算该物质的总量与其临界量比值，即为 Q；当存在多种危险物质时，则按下式计算物质总量与其临界量比值（Q）。</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position w:val="-30"/>
          <w:sz w:val="24"/>
          <w:szCs w:val="24"/>
          <w:lang w:val="en-US" w:eastAsia="zh-CN"/>
        </w:rPr>
        <w:object>
          <v:shape id="_x0000_i1040" o:spt="75" type="#_x0000_t75" style="height:34pt;width:110pt;" o:ole="t" filled="f" o:preferrelative="t" stroked="f" coordsize="21600,21600">
            <v:path/>
            <v:fill on="f" focussize="0,0"/>
            <v:stroke on="f"/>
            <v:imagedata r:id="rId94" o:title=""/>
            <o:lock v:ext="edit" aspectratio="t"/>
            <w10:wrap type="none"/>
            <w10:anchorlock/>
          </v:shape>
          <o:OLEObject Type="Embed" ProgID="Equation.KSEE3" ShapeID="_x0000_i1040" DrawAspect="Content" ObjectID="_1468075740" r:id="rId93">
            <o:LockedField>false</o:LockedField>
          </o:OLEObject>
        </w:objec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式中：q</w:t>
      </w:r>
      <w:r>
        <w:rPr>
          <w:rFonts w:hint="eastAsia" w:ascii="Times New Roman" w:hAnsi="Times New Roman" w:eastAsia="宋体" w:cs="Times New Roman"/>
          <w:color w:val="auto"/>
          <w:sz w:val="24"/>
          <w:szCs w:val="24"/>
          <w:vertAlign w:val="subscript"/>
          <w:lang w:val="en-US" w:eastAsia="zh-CN"/>
        </w:rPr>
        <w:t>1</w:t>
      </w:r>
      <w:r>
        <w:rPr>
          <w:rFonts w:hint="eastAsia" w:ascii="Times New Roman" w:hAnsi="Times New Roman" w:eastAsia="宋体" w:cs="Times New Roman"/>
          <w:color w:val="auto"/>
          <w:sz w:val="24"/>
          <w:szCs w:val="24"/>
          <w:lang w:val="en-US" w:eastAsia="zh-CN"/>
        </w:rPr>
        <w:t>，q</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vertAlign w:val="baseline"/>
          <w:lang w:val="en-US" w:eastAsia="zh-CN"/>
        </w:rPr>
        <w:t>————</w:t>
      </w:r>
      <w:r>
        <w:rPr>
          <w:rFonts w:hint="eastAsia" w:ascii="Times New Roman" w:hAnsi="Times New Roman" w:eastAsia="宋体" w:cs="Times New Roman"/>
          <w:color w:val="auto"/>
          <w:sz w:val="24"/>
          <w:szCs w:val="24"/>
          <w:lang w:val="en-US" w:eastAsia="zh-CN"/>
        </w:rPr>
        <w:t>q</w:t>
      </w:r>
      <w:r>
        <w:rPr>
          <w:rFonts w:hint="eastAsia" w:ascii="Times New Roman" w:hAnsi="Times New Roman" w:eastAsia="宋体" w:cs="Times New Roman"/>
          <w:color w:val="auto"/>
          <w:sz w:val="24"/>
          <w:szCs w:val="24"/>
          <w:vertAlign w:val="subscript"/>
          <w:lang w:val="en-US" w:eastAsia="zh-CN"/>
        </w:rPr>
        <w:t>n</w:t>
      </w:r>
      <w:r>
        <w:rPr>
          <w:rFonts w:hint="eastAsia" w:ascii="Times New Roman" w:hAnsi="Times New Roman" w:eastAsia="宋体" w:cs="Times New Roman"/>
          <w:color w:val="auto"/>
          <w:sz w:val="24"/>
          <w:szCs w:val="24"/>
          <w:lang w:val="en-US" w:eastAsia="zh-CN"/>
        </w:rPr>
        <w:t>—每种危险物质的最大存在总量，t；</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Q</w:t>
      </w:r>
      <w:r>
        <w:rPr>
          <w:rFonts w:hint="eastAsia" w:ascii="Times New Roman" w:hAnsi="Times New Roman" w:eastAsia="宋体" w:cs="Times New Roman"/>
          <w:color w:val="auto"/>
          <w:sz w:val="24"/>
          <w:szCs w:val="24"/>
          <w:vertAlign w:val="subscript"/>
          <w:lang w:val="en-US" w:eastAsia="zh-CN"/>
        </w:rPr>
        <w:t>1</w:t>
      </w:r>
      <w:r>
        <w:rPr>
          <w:rFonts w:hint="eastAsia" w:ascii="Times New Roman" w:hAnsi="Times New Roman" w:eastAsia="宋体" w:cs="Times New Roman"/>
          <w:color w:val="auto"/>
          <w:sz w:val="24"/>
          <w:szCs w:val="24"/>
          <w:lang w:val="en-US" w:eastAsia="zh-CN"/>
        </w:rPr>
        <w:t>，Q</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vertAlign w:val="baseline"/>
          <w:lang w:val="en-US" w:eastAsia="zh-CN"/>
        </w:rPr>
        <w:t>————</w:t>
      </w:r>
      <w:r>
        <w:rPr>
          <w:rFonts w:hint="eastAsia" w:ascii="Times New Roman" w:hAnsi="Times New Roman" w:eastAsia="宋体" w:cs="Times New Roman"/>
          <w:color w:val="auto"/>
          <w:sz w:val="24"/>
          <w:szCs w:val="24"/>
          <w:lang w:val="en-US" w:eastAsia="zh-CN"/>
        </w:rPr>
        <w:t>Q</w:t>
      </w:r>
      <w:r>
        <w:rPr>
          <w:rFonts w:hint="eastAsia" w:ascii="Times New Roman" w:hAnsi="Times New Roman" w:eastAsia="宋体" w:cs="Times New Roman"/>
          <w:color w:val="auto"/>
          <w:sz w:val="24"/>
          <w:szCs w:val="24"/>
          <w:vertAlign w:val="subscript"/>
          <w:lang w:val="en-US" w:eastAsia="zh-CN"/>
        </w:rPr>
        <w:t>n</w:t>
      </w:r>
      <w:r>
        <w:rPr>
          <w:rFonts w:hint="eastAsia" w:ascii="Times New Roman" w:hAnsi="Times New Roman" w:eastAsia="宋体" w:cs="Times New Roman"/>
          <w:color w:val="auto"/>
          <w:sz w:val="24"/>
          <w:szCs w:val="24"/>
          <w:lang w:val="en-US" w:eastAsia="zh-CN"/>
        </w:rPr>
        <w:t>—每种危险物质的临界量，t。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当 Q＜1 时，该项目环境风险潜势为 I。</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当 Q≥1 时，将 Q 值划分为：① 1≤Q＜10；② 10≤Q＜100；③ Q≥100。</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根据工程分析，对照《建设项目环境风险评价技术导则》（HJ169-2018）附录B，项目涉及的突发性环境事件风险物质见调查情况见表 5.3.2-1。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5.3.2-1    项目主要风险物质调查表</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2"/>
        <w:gridCol w:w="1612"/>
        <w:gridCol w:w="1191"/>
        <w:gridCol w:w="1905"/>
        <w:gridCol w:w="1449"/>
        <w:gridCol w:w="9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单元</w:t>
            </w:r>
          </w:p>
        </w:tc>
        <w:tc>
          <w:tcPr>
            <w:tcW w:w="94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危险物质类型</w:t>
            </w:r>
          </w:p>
        </w:tc>
        <w:tc>
          <w:tcPr>
            <w:tcW w:w="69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CAS 号</w:t>
            </w:r>
          </w:p>
        </w:tc>
        <w:tc>
          <w:tcPr>
            <w:tcW w:w="11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最大存在量（t）</w:t>
            </w:r>
          </w:p>
        </w:tc>
        <w:tc>
          <w:tcPr>
            <w:tcW w:w="8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临界量（t）</w:t>
            </w:r>
          </w:p>
        </w:tc>
        <w:tc>
          <w:tcPr>
            <w:tcW w:w="5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Q 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车间</w:t>
            </w:r>
          </w:p>
        </w:tc>
        <w:tc>
          <w:tcPr>
            <w:tcW w:w="94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硫酸</w:t>
            </w:r>
          </w:p>
        </w:tc>
        <w:tc>
          <w:tcPr>
            <w:tcW w:w="69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7664-93-9</w:t>
            </w:r>
          </w:p>
        </w:tc>
        <w:tc>
          <w:tcPr>
            <w:tcW w:w="11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8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10</w:t>
            </w:r>
          </w:p>
        </w:tc>
        <w:tc>
          <w:tcPr>
            <w:tcW w:w="5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车间</w:t>
            </w:r>
          </w:p>
        </w:tc>
        <w:tc>
          <w:tcPr>
            <w:tcW w:w="94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甲醇</w:t>
            </w:r>
          </w:p>
        </w:tc>
        <w:tc>
          <w:tcPr>
            <w:tcW w:w="69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67-56-1</w:t>
            </w:r>
          </w:p>
        </w:tc>
        <w:tc>
          <w:tcPr>
            <w:tcW w:w="11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8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10</w:t>
            </w:r>
          </w:p>
        </w:tc>
        <w:tc>
          <w:tcPr>
            <w:tcW w:w="5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车间</w:t>
            </w:r>
          </w:p>
        </w:tc>
        <w:tc>
          <w:tcPr>
            <w:tcW w:w="94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氨水</w:t>
            </w:r>
          </w:p>
        </w:tc>
        <w:tc>
          <w:tcPr>
            <w:tcW w:w="69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1336-21-6</w:t>
            </w:r>
          </w:p>
        </w:tc>
        <w:tc>
          <w:tcPr>
            <w:tcW w:w="11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8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10</w:t>
            </w:r>
          </w:p>
        </w:tc>
        <w:tc>
          <w:tcPr>
            <w:tcW w:w="5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危废暂存间</w:t>
            </w:r>
          </w:p>
        </w:tc>
        <w:tc>
          <w:tcPr>
            <w:tcW w:w="94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废机油</w:t>
            </w:r>
          </w:p>
        </w:tc>
        <w:tc>
          <w:tcPr>
            <w:tcW w:w="69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111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0.5</w:t>
            </w:r>
          </w:p>
        </w:tc>
        <w:tc>
          <w:tcPr>
            <w:tcW w:w="8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2500</w:t>
            </w:r>
          </w:p>
        </w:tc>
        <w:tc>
          <w:tcPr>
            <w:tcW w:w="5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4" w:type="pct"/>
            <w:gridSpan w:val="5"/>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合计</w:t>
            </w:r>
          </w:p>
        </w:tc>
        <w:tc>
          <w:tcPr>
            <w:tcW w:w="5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0.7002</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由上表可知，本项目危险物质存在量与临界量比值 Q =0.7002＜1。</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8"/>
          <w:szCs w:val="28"/>
          <w:lang w:val="en-US" w:eastAsia="zh-CN"/>
        </w:rPr>
      </w:pPr>
      <w:r>
        <w:rPr>
          <w:rFonts w:hint="eastAsia" w:ascii="Times New Roman" w:hAnsi="Times New Roman" w:eastAsia="宋体" w:cs="Times New Roman"/>
          <w:b/>
          <w:bCs/>
          <w:color w:val="auto"/>
          <w:sz w:val="28"/>
          <w:szCs w:val="28"/>
          <w:lang w:val="en-US" w:eastAsia="zh-CN"/>
        </w:rPr>
        <w:t>5.3.3 评价等级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本项目环境风险评价等级按照下表确定。</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5.3.3-1   评价工作等价划分</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环境风险潜势</w:t>
            </w:r>
          </w:p>
        </w:tc>
        <w:tc>
          <w:tcPr>
            <w:tcW w:w="170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Ⅳ</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4"/>
                <w:szCs w:val="24"/>
                <w:lang w:val="en-US" w:eastAsia="zh-CN"/>
              </w:rPr>
              <w:t>Ⅳ</w:t>
            </w:r>
            <w:r>
              <w:rPr>
                <w:rFonts w:hint="default" w:ascii="Times New Roman" w:hAnsi="Times New Roman" w:eastAsia="宋体" w:cs="Times New Roman"/>
                <w:color w:val="auto"/>
                <w:sz w:val="24"/>
                <w:szCs w:val="24"/>
                <w:vertAlign w:val="superscript"/>
                <w:lang w:val="en-US" w:eastAsia="zh-CN"/>
              </w:rPr>
              <w:t>+</w:t>
            </w:r>
          </w:p>
        </w:tc>
        <w:tc>
          <w:tcPr>
            <w:tcW w:w="170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4"/>
                <w:szCs w:val="24"/>
                <w:lang w:val="en-US" w:eastAsia="zh-CN"/>
              </w:rPr>
              <w:t>Ⅲ</w:t>
            </w:r>
          </w:p>
        </w:tc>
        <w:tc>
          <w:tcPr>
            <w:tcW w:w="17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4"/>
                <w:szCs w:val="24"/>
                <w:lang w:val="en-US" w:eastAsia="zh-CN"/>
              </w:rPr>
              <w:t>Ⅱ</w:t>
            </w:r>
          </w:p>
        </w:tc>
        <w:tc>
          <w:tcPr>
            <w:tcW w:w="17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4"/>
                <w:szCs w:val="24"/>
                <w:lang w:val="en-US" w:eastAsia="zh-CN"/>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评价工作等级</w:t>
            </w:r>
          </w:p>
        </w:tc>
        <w:tc>
          <w:tcPr>
            <w:tcW w:w="170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一</w:t>
            </w:r>
          </w:p>
        </w:tc>
        <w:tc>
          <w:tcPr>
            <w:tcW w:w="170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二</w:t>
            </w:r>
          </w:p>
        </w:tc>
        <w:tc>
          <w:tcPr>
            <w:tcW w:w="17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三</w:t>
            </w:r>
          </w:p>
        </w:tc>
        <w:tc>
          <w:tcPr>
            <w:tcW w:w="17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简单分析</w:t>
            </w:r>
            <w:r>
              <w:rPr>
                <w:rFonts w:hint="eastAsia" w:ascii="Times New Roman" w:hAnsi="Times New Roman" w:eastAsia="宋体" w:cs="Times New Roman"/>
                <w:color w:val="auto"/>
                <w:sz w:val="21"/>
                <w:szCs w:val="21"/>
                <w:vertAlign w:val="superscript"/>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5"/>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a 是相对于详细评价工作内容而言，在描述危险物质、环境影响途径、环境危害后果、风险防范措施等方面给出定性的说明。</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根据《建设项目环境风险评价技术导则》（HJ169-2018），本项目的环境风险潜势为 I，因此根据表 5.3.3-1 判定本项目环境风险评价等级为简单分析。</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5.3.4 环境风险识别</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根据《建设项目环境风险评价技术导则》（HJ169-2018）规定，风险识别包括物质危险性识别、生产系统危险性识别和危险物质向环境转移的途径识别。</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5.3.4.1 资料收集和准备</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收集的国内同类行业事故资料：</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（1）1992 年 6 月 27 日，内蒙古一家油脂化工厂中的水金釜发生爆炸，设备完全炸毁，车间厂房被炸倒塌，事故造成 8 人死亡，4 人重伤。</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（2）2013 年 3 月 1 日 15 时，朝阳建平县义成功乡房申村一私营企业硫酸储存罐突然发生破裂，导致约 2.6 万吨硫酸泄漏，事故造成 7 名工人死亡。</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（3）2017 年 1 月 24 日江西三美化工有限公司新进原材料发烟硫酸 3 槽车（约 80 吨），在原料卸入储罐过程中发生放热反应，造成部分水蒸气和烟气外泄，造成 2 人死亡，36 人住院治疗。</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5.3.4.2 物质危险性识别</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根据《建设项目环境风险评价技术导则》（HJ169-2018）附录 B 中的有关规定，对建设项目的生产、加工、运输、使用或储存中涉及的化学品进行物质危险性判定。本项目涉及的危险物质有：硫酸、甲醇、氨水、废机油以及发生火灾/爆炸伴生的一氧化碳。</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本项目涉及的危险物质理化性质及特性表，见表 5.3.4-1 至表 5.3.4-。</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5.3.4-1    硫酸理化性质一览表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1"/>
        <w:gridCol w:w="1287"/>
        <w:gridCol w:w="2131"/>
        <w:gridCol w:w="1974"/>
        <w:gridCol w:w="25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标识</w:t>
            </w:r>
          </w:p>
        </w:tc>
        <w:tc>
          <w:tcPr>
            <w:tcW w:w="2005"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中文名：硫酸</w:t>
            </w:r>
          </w:p>
        </w:tc>
        <w:tc>
          <w:tcPr>
            <w:tcW w:w="268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英文名：sulferic acid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2005"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分子式：H</w:t>
            </w:r>
            <w:r>
              <w:rPr>
                <w:rFonts w:hint="eastAsia" w:ascii="Times New Roman" w:hAnsi="Times New Roman" w:eastAsia="宋体" w:cs="Times New Roman"/>
                <w:color w:val="auto"/>
                <w:sz w:val="21"/>
                <w:szCs w:val="21"/>
                <w:vertAlign w:val="subscript"/>
                <w:lang w:val="en-US" w:eastAsia="zh-CN"/>
              </w:rPr>
              <w:t>2</w:t>
            </w:r>
            <w:r>
              <w:rPr>
                <w:rFonts w:hint="eastAsia" w:ascii="Times New Roman" w:hAnsi="Times New Roman" w:eastAsia="宋体" w:cs="Times New Roman"/>
                <w:color w:val="auto"/>
                <w:sz w:val="21"/>
                <w:szCs w:val="21"/>
                <w:vertAlign w:val="baseline"/>
                <w:lang w:val="en-US" w:eastAsia="zh-CN"/>
              </w:rPr>
              <w:t>SO</w:t>
            </w:r>
            <w:r>
              <w:rPr>
                <w:rFonts w:hint="eastAsia" w:ascii="Times New Roman" w:hAnsi="Times New Roman" w:eastAsia="宋体" w:cs="Times New Roman"/>
                <w:color w:val="auto"/>
                <w:sz w:val="21"/>
                <w:szCs w:val="21"/>
                <w:vertAlign w:val="subscript"/>
                <w:lang w:val="en-US" w:eastAsia="zh-CN"/>
              </w:rPr>
              <w:t>4</w:t>
            </w:r>
          </w:p>
        </w:tc>
        <w:tc>
          <w:tcPr>
            <w:tcW w:w="268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分子量：98.08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2005"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CAS号：7664-93-9</w:t>
            </w:r>
          </w:p>
        </w:tc>
        <w:tc>
          <w:tcPr>
            <w:tcW w:w="115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UN编号：1830</w:t>
            </w:r>
          </w:p>
        </w:tc>
        <w:tc>
          <w:tcPr>
            <w:tcW w:w="15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危险货物编号：81007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理化性质</w:t>
            </w:r>
          </w:p>
        </w:tc>
        <w:tc>
          <w:tcPr>
            <w:tcW w:w="2005"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外观与形状：纯品为无色透明油状液体，无臭</w:t>
            </w:r>
          </w:p>
        </w:tc>
        <w:tc>
          <w:tcPr>
            <w:tcW w:w="268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溶解性：与水混溶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2005"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熔点（℃）：10.5</w:t>
            </w:r>
          </w:p>
        </w:tc>
        <w:tc>
          <w:tcPr>
            <w:tcW w:w="268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沸点（℃）：330.0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2005"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相对密度（水=1）：1.83g/cm</w:t>
            </w:r>
            <w:r>
              <w:rPr>
                <w:rFonts w:hint="eastAsia" w:ascii="Times New Roman" w:hAnsi="Times New Roman" w:eastAsia="宋体" w:cs="Times New Roman"/>
                <w:color w:val="auto"/>
                <w:sz w:val="21"/>
                <w:szCs w:val="21"/>
                <w:vertAlign w:val="superscript"/>
                <w:lang w:val="en-US" w:eastAsia="zh-CN"/>
              </w:rPr>
              <w:t>3</w:t>
            </w:r>
          </w:p>
        </w:tc>
        <w:tc>
          <w:tcPr>
            <w:tcW w:w="268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相对密度（空气=1）：3.4g/cm</w:t>
            </w:r>
            <w:r>
              <w:rPr>
                <w:rFonts w:hint="eastAsia" w:ascii="Times New Roman" w:hAnsi="Times New Roman" w:eastAsia="宋体" w:cs="Times New Roman"/>
                <w:color w:val="auto"/>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危险特性</w:t>
            </w:r>
          </w:p>
        </w:tc>
        <w:tc>
          <w:tcPr>
            <w:tcW w:w="2005"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危险性类别：强腐蚀性、强刺激性</w:t>
            </w:r>
          </w:p>
        </w:tc>
        <w:tc>
          <w:tcPr>
            <w:tcW w:w="2682"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燃烧性：助燃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4687" w:type="pct"/>
            <w:gridSpan w:val="4"/>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危险特性：具强腐蚀性、强刺激性，可致人体灼伤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4687" w:type="pct"/>
            <w:gridSpan w:val="4"/>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燃烧（分解）产物：氧化硫。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1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4687" w:type="pct"/>
            <w:gridSpan w:val="4"/>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灭火方法：二氧化碳、砂土、干粉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6" w:hRule="atLeast"/>
        </w:trPr>
        <w:tc>
          <w:tcPr>
            <w:tcW w:w="312"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健康危害</w:t>
            </w:r>
          </w:p>
        </w:tc>
        <w:tc>
          <w:tcPr>
            <w:tcW w:w="4687" w:type="pct"/>
            <w:gridSpan w:val="4"/>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健康危害：对皮肤、粘膜等组织有强烈的刺激和腐蚀作用。蒸气或雾可引起结膜炎、结膜水肿、角膜混浊，以致失明；重者发生呼吸困难和肺水肿；高浓度引起喉痉率或声门水肿而堂息死亡。口服后引起消化道烧伤以致溃疡形成；严重腹膜炎、肾损害、休克等。皮肤灼伤轻者出现红斑、重者形成溃疡，愈后瘀痕收缩影响功能。溅入眼内可造成灼伤。慢性影响：牙齿酸蚀症、慢性支气管炎、肺气肿和肺硬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4687" w:type="pct"/>
            <w:gridSpan w:val="4"/>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LD50：2140mg/kg（大鼠经口）；LC50：510mg/m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，2小时（大鼠吸入）；320mg/m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，2小时（小鼠吸入）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5"/>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泄漏紧急处理：迅速撤离泄漏污染区人员至安全区，并进行隔离，严格限制出入。建议应急处理人员戴自给正压式呼吸器，穿防酸碱服，不要直接接触泄漏物。尽可能切断泄漏源。防止流入下水道、排洪沟等限制性空间。小量泄漏：用砂土、干燥石灰或苏打水混合后使用大量水冲洗，洗水稀释后放入废水系统。大量泄漏：构筑围堤或挖坑收容。用泵转移至槽车或专用收集器内，回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急救措施</w:t>
            </w:r>
          </w:p>
        </w:tc>
        <w:tc>
          <w:tcPr>
            <w:tcW w:w="7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皮肤接触</w:t>
            </w:r>
          </w:p>
        </w:tc>
        <w:tc>
          <w:tcPr>
            <w:tcW w:w="393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立即脱去污染的衣着，用大量流动清水清洗至少 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1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食入</w:t>
            </w:r>
          </w:p>
        </w:tc>
        <w:tc>
          <w:tcPr>
            <w:tcW w:w="3932" w:type="pct"/>
            <w:gridSpan w:val="3"/>
            <w:vAlign w:val="center"/>
          </w:tcPr>
          <w:p>
            <w:pPr>
              <w:keepNext w:val="0"/>
              <w:keepLines w:val="0"/>
              <w:widowControl/>
              <w:suppressLineNumbers w:val="0"/>
              <w:jc w:val="center"/>
              <w:rPr>
                <w:rFonts w:hint="default" w:ascii="Times New Roman" w:hAnsi="Times New Roman" w:eastAsia="宋体" w:cs="Times New Roman"/>
                <w:color w:val="auto"/>
                <w:sz w:val="21"/>
                <w:szCs w:val="21"/>
                <w:vertAlign w:val="baseline"/>
                <w:lang w:val="en-US" w:eastAsia="zh-CN"/>
              </w:rPr>
            </w:pPr>
            <w:r>
              <w:rPr>
                <w:rFonts w:hint="eastAsia" w:ascii="宋体" w:hAnsi="宋体" w:eastAsia="宋体" w:cs="宋体"/>
                <w:color w:val="auto"/>
                <w:kern w:val="0"/>
                <w:sz w:val="20"/>
                <w:szCs w:val="20"/>
                <w:lang w:val="en-US" w:eastAsia="zh-CN" w:bidi="ar"/>
              </w:rPr>
              <w:t>用水漱口，给饮牛奶或蛋清。就医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吸入</w:t>
            </w:r>
          </w:p>
        </w:tc>
        <w:tc>
          <w:tcPr>
            <w:tcW w:w="3932"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迅速脱离现场至空气新鲜处。保持呼吸道畅通。如呼吸困难，给输氧。如呼吸停止，立即进行人工呼吸。就医。</w:t>
            </w:r>
          </w:p>
        </w:tc>
      </w:tr>
    </w:tbl>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5.3.4-2    甲醇理化性质一览表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8"/>
        <w:gridCol w:w="1328"/>
        <w:gridCol w:w="892"/>
        <w:gridCol w:w="1662"/>
        <w:gridCol w:w="1006"/>
        <w:gridCol w:w="1782"/>
        <w:gridCol w:w="12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34"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标识</w:t>
            </w:r>
          </w:p>
        </w:tc>
        <w:tc>
          <w:tcPr>
            <w:tcW w:w="2867" w:type="pct"/>
            <w:gridSpan w:val="4"/>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中文名：甲醇</w:t>
            </w:r>
          </w:p>
        </w:tc>
        <w:tc>
          <w:tcPr>
            <w:tcW w:w="104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危险化学品目录序号</w:t>
            </w:r>
          </w:p>
        </w:tc>
        <w:tc>
          <w:tcPr>
            <w:tcW w:w="7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2867" w:type="pct"/>
            <w:gridSpan w:val="4"/>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英文名：Methanol</w:t>
            </w:r>
          </w:p>
        </w:tc>
        <w:tc>
          <w:tcPr>
            <w:tcW w:w="104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UN编号</w:t>
            </w:r>
          </w:p>
        </w:tc>
        <w:tc>
          <w:tcPr>
            <w:tcW w:w="7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分子式</w:t>
            </w:r>
          </w:p>
        </w:tc>
        <w:tc>
          <w:tcPr>
            <w:tcW w:w="52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CH</w:t>
            </w:r>
            <w:r>
              <w:rPr>
                <w:rFonts w:hint="eastAsia" w:ascii="Times New Roman" w:hAnsi="Times New Roman" w:eastAsia="宋体" w:cs="Times New Roman"/>
                <w:color w:val="auto"/>
                <w:sz w:val="21"/>
                <w:szCs w:val="21"/>
                <w:vertAlign w:val="subscript"/>
                <w:lang w:val="en-US" w:eastAsia="zh-CN"/>
              </w:rPr>
              <w:t>3</w:t>
            </w:r>
            <w:r>
              <w:rPr>
                <w:rFonts w:hint="eastAsia" w:ascii="Times New Roman" w:hAnsi="Times New Roman" w:eastAsia="宋体" w:cs="Times New Roman"/>
                <w:color w:val="auto"/>
                <w:sz w:val="21"/>
                <w:szCs w:val="21"/>
                <w:vertAlign w:val="baseline"/>
                <w:lang w:val="en-US" w:eastAsia="zh-CN"/>
              </w:rPr>
              <w:t>OH</w:t>
            </w:r>
          </w:p>
        </w:tc>
        <w:tc>
          <w:tcPr>
            <w:tcW w:w="9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分子量</w:t>
            </w:r>
          </w:p>
        </w:tc>
        <w:tc>
          <w:tcPr>
            <w:tcW w:w="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32.04</w:t>
            </w:r>
          </w:p>
        </w:tc>
        <w:tc>
          <w:tcPr>
            <w:tcW w:w="104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CAS号</w:t>
            </w:r>
          </w:p>
        </w:tc>
        <w:tc>
          <w:tcPr>
            <w:tcW w:w="7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67-56-1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理化性质</w:t>
            </w:r>
          </w:p>
        </w:tc>
        <w:tc>
          <w:tcPr>
            <w:tcW w:w="7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外观与形状</w:t>
            </w:r>
          </w:p>
        </w:tc>
        <w:tc>
          <w:tcPr>
            <w:tcW w:w="3885" w:type="pct"/>
            <w:gridSpan w:val="5"/>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无色透明的易挥发液体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熔点（℃）</w:t>
            </w:r>
          </w:p>
        </w:tc>
        <w:tc>
          <w:tcPr>
            <w:tcW w:w="52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-97.8</w:t>
            </w:r>
          </w:p>
        </w:tc>
        <w:tc>
          <w:tcPr>
            <w:tcW w:w="9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相对密度（水=1）</w:t>
            </w:r>
          </w:p>
        </w:tc>
        <w:tc>
          <w:tcPr>
            <w:tcW w:w="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0.79</w:t>
            </w:r>
          </w:p>
        </w:tc>
        <w:tc>
          <w:tcPr>
            <w:tcW w:w="104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相对密度（空气=1）</w:t>
            </w:r>
          </w:p>
        </w:tc>
        <w:tc>
          <w:tcPr>
            <w:tcW w:w="7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沸点（℃）</w:t>
            </w:r>
          </w:p>
        </w:tc>
        <w:tc>
          <w:tcPr>
            <w:tcW w:w="52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64.8</w:t>
            </w:r>
          </w:p>
        </w:tc>
        <w:tc>
          <w:tcPr>
            <w:tcW w:w="156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饱和蒸汽压（kPa）</w:t>
            </w:r>
          </w:p>
        </w:tc>
        <w:tc>
          <w:tcPr>
            <w:tcW w:w="1797"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13.33/21.2℃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溶解性</w:t>
            </w:r>
          </w:p>
        </w:tc>
        <w:tc>
          <w:tcPr>
            <w:tcW w:w="3885" w:type="pct"/>
            <w:gridSpan w:val="5"/>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溶于水，可混溶于乙醇、乙醚、酮类、苯等有机溶剂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毒性及健康危害</w:t>
            </w:r>
          </w:p>
        </w:tc>
        <w:tc>
          <w:tcPr>
            <w:tcW w:w="7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侵入途径</w:t>
            </w:r>
          </w:p>
        </w:tc>
        <w:tc>
          <w:tcPr>
            <w:tcW w:w="3885" w:type="pct"/>
            <w:gridSpan w:val="5"/>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吸入、食入、经皮吸收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毒性</w:t>
            </w:r>
          </w:p>
        </w:tc>
        <w:tc>
          <w:tcPr>
            <w:tcW w:w="3885" w:type="pct"/>
            <w:gridSpan w:val="5"/>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LD50：5628mg/kg（大鼠经口）；15800mg/kg（兔经皮）；</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LC50：83776mg/m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，4 小时（大鼠吸入）。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健康危害</w:t>
            </w:r>
          </w:p>
        </w:tc>
        <w:tc>
          <w:tcPr>
            <w:tcW w:w="3885" w:type="pct"/>
            <w:gridSpan w:val="5"/>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对中枢神经系统有麻醉作用；对视神经和视网膜有特殊选择作用，引起病变；可致代射性酸中毒。急性中毒：短时大量吸入出现轻度眼上呼吸道刺激症状(口服有胃肠道刺激症状)；经一段时间潜伏期后出现头痛、头晕、乏力、眩晕、酒醉感、意识朦胧、谎妄，甚至昏迷。视神经及视网膜病变，可有视物模糊、复视等，重者失明。代谢性酸中毒时出现二氧化碳结合力下降、呼吸加速等。慢性影响：神经衰弱综合征，植物神经功能失调，粘膜刺激，视力减退等。皮肤出现脱脂、皮炎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燃烧爆炸危险性</w:t>
            </w:r>
          </w:p>
        </w:tc>
        <w:tc>
          <w:tcPr>
            <w:tcW w:w="7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燃烧性</w:t>
            </w:r>
          </w:p>
        </w:tc>
        <w:tc>
          <w:tcPr>
            <w:tcW w:w="52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易燃</w:t>
            </w:r>
          </w:p>
        </w:tc>
        <w:tc>
          <w:tcPr>
            <w:tcW w:w="156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燃烧分解物</w:t>
            </w:r>
          </w:p>
        </w:tc>
        <w:tc>
          <w:tcPr>
            <w:tcW w:w="1797"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闪点（℃）</w:t>
            </w:r>
          </w:p>
        </w:tc>
        <w:tc>
          <w:tcPr>
            <w:tcW w:w="52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w:t>
            </w:r>
          </w:p>
        </w:tc>
        <w:tc>
          <w:tcPr>
            <w:tcW w:w="156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爆炸上限（v%）</w:t>
            </w:r>
          </w:p>
        </w:tc>
        <w:tc>
          <w:tcPr>
            <w:tcW w:w="1797"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引燃温度（℃）</w:t>
            </w:r>
          </w:p>
        </w:tc>
        <w:tc>
          <w:tcPr>
            <w:tcW w:w="52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385</w:t>
            </w:r>
          </w:p>
        </w:tc>
        <w:tc>
          <w:tcPr>
            <w:tcW w:w="156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爆炸下限（v%）</w:t>
            </w:r>
          </w:p>
        </w:tc>
        <w:tc>
          <w:tcPr>
            <w:tcW w:w="1797"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危险特性</w:t>
            </w:r>
          </w:p>
        </w:tc>
        <w:tc>
          <w:tcPr>
            <w:tcW w:w="3885" w:type="pct"/>
            <w:gridSpan w:val="5"/>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易燃。其蒸气与空气能形成爆炸性混合物，遇明火、高热能引起燃烧爆炸。蒸气比空气重，能在较低处扩散到相当远的地方，遇火源会着火回燃和爆炸(闪爆)。在火场中，受热的容器或储罐有爆炸危险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建规火险分级</w:t>
            </w:r>
          </w:p>
        </w:tc>
        <w:tc>
          <w:tcPr>
            <w:tcW w:w="52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甲类</w:t>
            </w:r>
          </w:p>
        </w:tc>
        <w:tc>
          <w:tcPr>
            <w:tcW w:w="9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稳定性</w:t>
            </w:r>
          </w:p>
        </w:tc>
        <w:tc>
          <w:tcPr>
            <w:tcW w:w="5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稳定</w:t>
            </w:r>
          </w:p>
        </w:tc>
        <w:tc>
          <w:tcPr>
            <w:tcW w:w="104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聚合危害</w:t>
            </w:r>
          </w:p>
        </w:tc>
        <w:tc>
          <w:tcPr>
            <w:tcW w:w="75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不聚合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禁忌物</w:t>
            </w:r>
          </w:p>
        </w:tc>
        <w:tc>
          <w:tcPr>
            <w:tcW w:w="3885" w:type="pct"/>
            <w:gridSpan w:val="5"/>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酸类、强氧化剂、碱金属等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7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灭火方法</w:t>
            </w:r>
          </w:p>
        </w:tc>
        <w:tc>
          <w:tcPr>
            <w:tcW w:w="3885" w:type="pct"/>
            <w:gridSpan w:val="5"/>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尽可能将容器从火场移至空旷处。喷水保持火场容器冷却，直至灭火结束。处在火场中的容器若已变色或从安全泄压装置中产生声音，必须马上撤离。灭火剂:抗溶性泡沫、干粉、二氧化碳、砂土。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急救方法</w:t>
            </w:r>
          </w:p>
        </w:tc>
        <w:tc>
          <w:tcPr>
            <w:tcW w:w="4665" w:type="pct"/>
            <w:gridSpan w:val="6"/>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皮肤接触：</w:t>
            </w:r>
            <w:r>
              <w:rPr>
                <w:rFonts w:hint="eastAsia" w:ascii="Times New Roman" w:hAnsi="Times New Roman" w:eastAsia="宋体" w:cs="Times New Roman"/>
                <w:color w:val="auto"/>
                <w:sz w:val="21"/>
                <w:szCs w:val="21"/>
                <w:vertAlign w:val="baseline"/>
                <w:lang w:val="en-US" w:eastAsia="zh-CN"/>
              </w:rPr>
              <w:t>脱去污染的衣着，用肥皂水和清水彻底冲洗皮肤。</w:t>
            </w:r>
            <w:r>
              <w:rPr>
                <w:rFonts w:hint="eastAsia" w:ascii="Times New Roman" w:hAnsi="Times New Roman" w:eastAsia="宋体" w:cs="Times New Roman"/>
                <w:b/>
                <w:bCs/>
                <w:color w:val="auto"/>
                <w:sz w:val="21"/>
                <w:szCs w:val="21"/>
                <w:vertAlign w:val="baseline"/>
                <w:lang w:val="en-US" w:eastAsia="zh-CN"/>
              </w:rPr>
              <w:t>眼睛接触：</w:t>
            </w:r>
            <w:r>
              <w:rPr>
                <w:rFonts w:hint="eastAsia" w:ascii="Times New Roman" w:hAnsi="Times New Roman" w:eastAsia="宋体" w:cs="Times New Roman"/>
                <w:color w:val="auto"/>
                <w:sz w:val="21"/>
                <w:szCs w:val="21"/>
                <w:vertAlign w:val="baseline"/>
                <w:lang w:val="en-US" w:eastAsia="zh-CN"/>
              </w:rPr>
              <w:t>提起眼睑，用流动清水或生理盐水冲洗。就医。</w:t>
            </w:r>
            <w:r>
              <w:rPr>
                <w:rFonts w:hint="eastAsia" w:ascii="Times New Roman" w:hAnsi="Times New Roman" w:eastAsia="宋体" w:cs="Times New Roman"/>
                <w:b/>
                <w:bCs/>
                <w:color w:val="auto"/>
                <w:sz w:val="21"/>
                <w:szCs w:val="21"/>
                <w:vertAlign w:val="baseline"/>
                <w:lang w:val="en-US" w:eastAsia="zh-CN"/>
              </w:rPr>
              <w:t>吸入：</w:t>
            </w:r>
            <w:r>
              <w:rPr>
                <w:rFonts w:hint="eastAsia" w:ascii="Times New Roman" w:hAnsi="Times New Roman" w:eastAsia="宋体" w:cs="Times New Roman"/>
                <w:color w:val="auto"/>
                <w:sz w:val="21"/>
                <w:szCs w:val="21"/>
                <w:vertAlign w:val="baseline"/>
                <w:lang w:val="en-US" w:eastAsia="zh-CN"/>
              </w:rPr>
              <w:t>迅速脱离现场至空气新鲜处。保持呼吸道通畅。如呼吸困难，给输氧。如呼吸停止，立即进行人工呼吸。就医。</w:t>
            </w:r>
            <w:r>
              <w:rPr>
                <w:rFonts w:hint="eastAsia" w:ascii="Times New Roman" w:hAnsi="Times New Roman" w:eastAsia="宋体" w:cs="Times New Roman"/>
                <w:b/>
                <w:bCs/>
                <w:color w:val="auto"/>
                <w:sz w:val="21"/>
                <w:szCs w:val="21"/>
                <w:vertAlign w:val="baseline"/>
                <w:lang w:val="en-US" w:eastAsia="zh-CN"/>
              </w:rPr>
              <w:t>食入：</w:t>
            </w:r>
            <w:r>
              <w:rPr>
                <w:rFonts w:hint="eastAsia" w:ascii="Times New Roman" w:hAnsi="Times New Roman" w:eastAsia="宋体" w:cs="Times New Roman"/>
                <w:color w:val="auto"/>
                <w:sz w:val="21"/>
                <w:szCs w:val="21"/>
                <w:vertAlign w:val="baseline"/>
                <w:lang w:val="en-US" w:eastAsia="zh-CN"/>
              </w:rPr>
              <w:t>饮足量温水，催吐。用清水或 1%硫代硫酸钠溶液洗胃。就医。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储运条件</w:t>
            </w:r>
          </w:p>
        </w:tc>
        <w:tc>
          <w:tcPr>
            <w:tcW w:w="4665" w:type="pct"/>
            <w:gridSpan w:val="6"/>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储存注意事项：</w:t>
            </w:r>
            <w:r>
              <w:rPr>
                <w:rFonts w:hint="eastAsia" w:ascii="Times New Roman" w:hAnsi="Times New Roman" w:eastAsia="宋体" w:cs="Times New Roman"/>
                <w:color w:val="auto"/>
                <w:sz w:val="21"/>
                <w:szCs w:val="21"/>
                <w:vertAlign w:val="baseline"/>
                <w:lang w:val="en-US" w:eastAsia="zh-CN"/>
              </w:rPr>
              <w:t>储存于阴凉、通风的库房。远离火种、热源。库温不宜超过 30C。保持容器密封。应与氧化剂、酸类、碱金属等分开存放，切忌混储。采用防爆型照明、通风设施。禁止使用易产生火花的机械设备和工具。储区应备有泄漏应急处理设备和合适的收容材料。</w:t>
            </w:r>
            <w:r>
              <w:rPr>
                <w:rFonts w:hint="eastAsia" w:ascii="Times New Roman" w:hAnsi="Times New Roman" w:eastAsia="宋体" w:cs="Times New Roman"/>
                <w:b/>
                <w:bCs/>
                <w:color w:val="auto"/>
                <w:sz w:val="21"/>
                <w:szCs w:val="21"/>
                <w:vertAlign w:val="baseline"/>
                <w:lang w:val="en-US" w:eastAsia="zh-CN"/>
              </w:rPr>
              <w:t>运输注意事项：</w:t>
            </w:r>
            <w:r>
              <w:rPr>
                <w:rFonts w:hint="eastAsia" w:ascii="Times New Roman" w:hAnsi="Times New Roman" w:eastAsia="宋体" w:cs="Times New Roman"/>
                <w:color w:val="auto"/>
                <w:sz w:val="21"/>
                <w:szCs w:val="21"/>
                <w:vertAlign w:val="baseline"/>
                <w:lang w:val="en-US" w:eastAsia="zh-CN"/>
              </w:rPr>
              <w:t>本品铁路运输时限使用钢制企业自备罐车装运，装运前需报有关部门批准。运输时运输车辆应配备相应品种和数量的消防器材及泄漏应急处理设备。夏季最好早晚运输。运输时所用的槽(罐)车应有接地链，槽内可设孔隔板以减少震荡产生静电。严禁与氧化剂、酸类、碱金属、食用化学品等混装混运。运输途中应防曝晒、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泄漏处理</w:t>
            </w:r>
          </w:p>
        </w:tc>
        <w:tc>
          <w:tcPr>
            <w:tcW w:w="4665" w:type="pct"/>
            <w:gridSpan w:val="6"/>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消除所有点火源。根据液体流动和蒸气扩散的影响区域划定警戒区，无关人员从侧风、上风向撤离至安全区。建议应急处理人员戴正压自给式呼吸器，穿防毒、防静电服，戴橡胶手套。作业时使用的所有设备应接地。禁止接触或跨越泄漏物。尽可能切断泄漏源。防止泄漏物进入水体、下水道、地下室或限制性空间。小量泄漏：用砂土或其他不燃材料吸收。使用洁净的无火花工具收集吸收材料。大量泄漏：构筑围堤或挖坑收容。用抗溶性泡沫覆盖，减少蒸发。喷水雾能减少蒸发，但不能降低泄漏物在限制性空间内的易燃性。用防爆泵转移至槽车或专用收集器内。喷雾状水驱散蒸气、稀释液体泄漏物。</w:t>
            </w:r>
          </w:p>
        </w:tc>
      </w:tr>
    </w:tbl>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5.3.4-3  机油的理化性质及危害特性表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3"/>
        <w:gridCol w:w="2653"/>
        <w:gridCol w:w="2666"/>
        <w:gridCol w:w="26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标识</w:t>
            </w:r>
          </w:p>
        </w:tc>
        <w:tc>
          <w:tcPr>
            <w:tcW w:w="3120"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中文名：机油</w:t>
            </w:r>
          </w:p>
        </w:tc>
        <w:tc>
          <w:tcPr>
            <w:tcW w:w="15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英文名：lubricating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理化性质</w:t>
            </w:r>
          </w:p>
        </w:tc>
        <w:tc>
          <w:tcPr>
            <w:tcW w:w="4651"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形状：淡黄色粘稠液体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4651"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溶解性：溶于苯，乙醇、乙醚、氯仿、丙酮等多数有机溶剂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5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熔点（℃）：——</w:t>
            </w:r>
          </w:p>
        </w:tc>
        <w:tc>
          <w:tcPr>
            <w:tcW w:w="156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沸点（℃）：-1615</w:t>
            </w:r>
          </w:p>
        </w:tc>
        <w:tc>
          <w:tcPr>
            <w:tcW w:w="15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相对密度（水=1）：9348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5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相对密度（空气=1）：0.85</w:t>
            </w:r>
          </w:p>
        </w:tc>
        <w:tc>
          <w:tcPr>
            <w:tcW w:w="156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饱和蒸汽压（kPa）：0.13</w:t>
            </w:r>
          </w:p>
        </w:tc>
        <w:tc>
          <w:tcPr>
            <w:tcW w:w="15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临界温度（℃）：-82.6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燃烧爆炸危险</w:t>
            </w:r>
          </w:p>
        </w:tc>
        <w:tc>
          <w:tcPr>
            <w:tcW w:w="15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燃烧性：易燃</w:t>
            </w:r>
          </w:p>
        </w:tc>
        <w:tc>
          <w:tcPr>
            <w:tcW w:w="309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燃烧分解物：CO、CO2等有毒有害气体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5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稳定性：稳定</w:t>
            </w:r>
          </w:p>
        </w:tc>
        <w:tc>
          <w:tcPr>
            <w:tcW w:w="309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禁忌物：硝酸等强氧化剂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4651"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危险特性：可燃液体，火灾危险性为丙 B 类；遇明火、高热可燃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4651"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消防措施：消防人员佩戴防毒面具、穿全身消防服，可在上风向灭火。尽可能将容器从火场移至空旷处。喷水保持火场容器冷却，直至灭火结束。处在火场中的容器若已变色或从安全泄压装置中产生声音，必须立即撤离。灭火剂：雾状水、泡沫、干粉、二氧化碳、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对人体危害</w:t>
            </w:r>
          </w:p>
        </w:tc>
        <w:tc>
          <w:tcPr>
            <w:tcW w:w="4651"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侵入途径：急性吸入；健康危害：可出现乏力、头晕、头痛、恶心，严重者可引起油脂性肺炎。慢性接触者，暴露部位可发生油性痤疮和接触性皮炎。可引发神经衰弱综合症，呼吸道和眼刺激症状及慢性油脂性肺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急救防护</w:t>
            </w:r>
          </w:p>
        </w:tc>
        <w:tc>
          <w:tcPr>
            <w:tcW w:w="4651"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皮肤接触：脱去污染的衣着，用大量流动清水清洗，就医。眼接触：提起眼睑，用流动性清水或生理盐水冲洗，就医。吸入：迅速脱离现场至空气新鲜处，保持呼吸畅通，如呼吸困难，给输氧。如呼吸停止，立即进行人工呼吸，就医。食用：饮适量温水，催吐，就医。呼吸系统防护：空气中浓度超标时，必须佩戴自吸过滤式防毒面具（半面罩）；紧急事态抢救或者撤离时，应佩戴空气呼吸器。眼睛防护：戴化学安全防护眼镜。身体防护：穿防毒渗透工作服。手防护：戴橡胶耐油手套。其他：工作现场严禁吸烟，避免长期反复接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泄漏处理</w:t>
            </w:r>
          </w:p>
        </w:tc>
        <w:tc>
          <w:tcPr>
            <w:tcW w:w="4651"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迅速撤离泄漏污染区人员至安全区，并进行隔离，严格限制出入。切断火源。建议应急处理人员戴自给正式呼吸器，穿防毒服。尽可能切断泄漏源，防止流入下水道、排洪沟等限制性空间。小量泄漏：用砂土或其他不燃材料吸附或吸收，减少挥发。大量泄漏：构筑围堤或挖坑收容。用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储运</w:t>
            </w:r>
          </w:p>
        </w:tc>
        <w:tc>
          <w:tcPr>
            <w:tcW w:w="4651"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储运条件：储存在阴凉、通风的库房。远离火种，热源。应与氧化剂分开存放，切忌混储。配备相应品种和数量的消防器材。储区应备有泄漏应急处理设备和合适的收容材料。</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运输要求：用油罐、油罐车、铁桶、塑料桶等盛装，盛装时切不可装满，要留出必要的安全空间。运输前应先检查包装容器是否完整、密封，运输过程中要确保容器不泄漏、不倒塌、不坠落、不损坏。严禁与氧化剂、食用化学品等混装混运。运输车船必须彻底清洗、消毒，否则不得装运其他物品。</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5.3.4.3 生产系统危险性识别</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（1）识别内容</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生产系统危险性识别包括生产装置、储运装置、公用工程和辅助生产设施，以及环境保护设施等。</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（2）危险单元划分及潜在风险源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根据项目工艺流程和平面布置，结合项目物质危险性识别结果，本项目危险单元划分结果详见表 5.3.4-4。</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5.3.4-4   危险单元划分结果及潜在风险源一览表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8"/>
        <w:gridCol w:w="994"/>
        <w:gridCol w:w="4049"/>
        <w:gridCol w:w="29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序号</w:t>
            </w:r>
          </w:p>
        </w:tc>
        <w:tc>
          <w:tcPr>
            <w:tcW w:w="5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危险单元</w:t>
            </w:r>
          </w:p>
        </w:tc>
        <w:tc>
          <w:tcPr>
            <w:tcW w:w="23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潜在的风险源</w:t>
            </w:r>
          </w:p>
        </w:tc>
        <w:tc>
          <w:tcPr>
            <w:tcW w:w="17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主要危险物质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583"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生产车间</w:t>
            </w:r>
          </w:p>
        </w:tc>
        <w:tc>
          <w:tcPr>
            <w:tcW w:w="23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动植物油脂回收、水溶肥、生物有机肥及生物燃料生产线等设备</w:t>
            </w:r>
          </w:p>
        </w:tc>
        <w:tc>
          <w:tcPr>
            <w:tcW w:w="17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氨水、甲醇、硫酸、动植物油脂、皂脚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583"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23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有组织废气未经处理直接外排</w:t>
            </w:r>
          </w:p>
        </w:tc>
        <w:tc>
          <w:tcPr>
            <w:tcW w:w="17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非甲烷总烃、氨、硫化氢、颗粒物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5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罐区</w:t>
            </w:r>
          </w:p>
        </w:tc>
        <w:tc>
          <w:tcPr>
            <w:tcW w:w="23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储罐</w:t>
            </w:r>
          </w:p>
        </w:tc>
        <w:tc>
          <w:tcPr>
            <w:tcW w:w="17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油类产品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5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危废暂存间</w:t>
            </w:r>
          </w:p>
        </w:tc>
        <w:tc>
          <w:tcPr>
            <w:tcW w:w="23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危废暂存间</w:t>
            </w:r>
          </w:p>
        </w:tc>
        <w:tc>
          <w:tcPr>
            <w:tcW w:w="17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废机油</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（3）危险单元风险源危险性分析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项目危险单元风险源的危险性、存在条件和转化为事故的触发因素详见表5.3.4-5。</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5.3.4-5    风险源的危险性、存在条件和转化为事故的触发因素</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0"/>
        <w:gridCol w:w="767"/>
        <w:gridCol w:w="2686"/>
        <w:gridCol w:w="1405"/>
        <w:gridCol w:w="1235"/>
        <w:gridCol w:w="19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序号</w:t>
            </w:r>
          </w:p>
        </w:tc>
        <w:tc>
          <w:tcPr>
            <w:tcW w:w="45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危险单元</w:t>
            </w:r>
          </w:p>
        </w:tc>
        <w:tc>
          <w:tcPr>
            <w:tcW w:w="15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潜在的风险源</w:t>
            </w:r>
          </w:p>
        </w:tc>
        <w:tc>
          <w:tcPr>
            <w:tcW w:w="8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危险性</w:t>
            </w:r>
          </w:p>
        </w:tc>
        <w:tc>
          <w:tcPr>
            <w:tcW w:w="7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存在条件</w:t>
            </w:r>
          </w:p>
        </w:tc>
        <w:tc>
          <w:tcPr>
            <w:tcW w:w="112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触发因素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9"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45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生产车间</w:t>
            </w:r>
          </w:p>
        </w:tc>
        <w:tc>
          <w:tcPr>
            <w:tcW w:w="15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动植物油脂回收、水溶肥、生物有机肥及生物燃料生产线等设备</w:t>
            </w:r>
          </w:p>
        </w:tc>
        <w:tc>
          <w:tcPr>
            <w:tcW w:w="8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泄漏、火灾</w:t>
            </w:r>
          </w:p>
        </w:tc>
        <w:tc>
          <w:tcPr>
            <w:tcW w:w="7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设备破损</w:t>
            </w:r>
          </w:p>
        </w:tc>
        <w:tc>
          <w:tcPr>
            <w:tcW w:w="112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设备破损、操作不当造成泄漏、遇明火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45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5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有组织废气未经处理直接外排</w:t>
            </w:r>
          </w:p>
        </w:tc>
        <w:tc>
          <w:tcPr>
            <w:tcW w:w="8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污染大气</w:t>
            </w:r>
          </w:p>
        </w:tc>
        <w:tc>
          <w:tcPr>
            <w:tcW w:w="7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处理设施失效</w:t>
            </w:r>
          </w:p>
        </w:tc>
        <w:tc>
          <w:tcPr>
            <w:tcW w:w="112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处理设施未运行或失去处理效果等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45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罐区</w:t>
            </w:r>
          </w:p>
        </w:tc>
        <w:tc>
          <w:tcPr>
            <w:tcW w:w="15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储罐</w:t>
            </w:r>
          </w:p>
        </w:tc>
        <w:tc>
          <w:tcPr>
            <w:tcW w:w="8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泄漏、火灾</w:t>
            </w:r>
          </w:p>
        </w:tc>
        <w:tc>
          <w:tcPr>
            <w:tcW w:w="7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阀门破损、储罐破损</w:t>
            </w:r>
          </w:p>
        </w:tc>
        <w:tc>
          <w:tcPr>
            <w:tcW w:w="112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阀门破损、操作不当造成泄漏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45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危废暂存间</w:t>
            </w:r>
          </w:p>
        </w:tc>
        <w:tc>
          <w:tcPr>
            <w:tcW w:w="157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危废暂存间</w:t>
            </w:r>
          </w:p>
        </w:tc>
        <w:tc>
          <w:tcPr>
            <w:tcW w:w="8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泄漏，污染土壤和地下水</w:t>
            </w:r>
          </w:p>
        </w:tc>
        <w:tc>
          <w:tcPr>
            <w:tcW w:w="7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地面防渗层破损</w:t>
            </w:r>
          </w:p>
        </w:tc>
        <w:tc>
          <w:tcPr>
            <w:tcW w:w="112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操作不当造成泄漏</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（4）重点风险源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本项目重点风险源为罐区；主要为罐区的泄漏及火灾事故。</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5.3.4.4 环境风险类型及危害分析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环境风险类型包括危险物质泄漏，以及火灾、爆炸等引发的伴生/次生污染排放。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（1）泄漏、火灾、爆炸事故</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有油类产品等物质均采用储罐进行贮存，采用固定顶罐。成品及部分原料采用桶/袋装贮存，在仓库内贮存。一般情况下，罐区及仓库是安全的，但若管理不善，可能由于管道、阀门破损，或受外因诱导（如热源、火源、雷击等）时，会引发罐区物质泄漏、火灾事故。</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本项目油类产品采用储罐贮存，其风险主要表现为原料泄漏流入储罐所在围堰内，在落实好地下水防渗措施后风险影响很小。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运输过程中主要风险为皂脚、油类产品、甲醇、氨水及硫酸等物质的运输风险，以上物质均由专业的运输单位进行运输，采用汽车运输方式进厂。厂外运输时由于各种意外原因可能产生碰撞、翻车等事故，导致危险物质泄漏至大气、陆域或进入水体，造成环境灾害，当遇到明火或温度较高时，还会发生火灾事故。</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（2）事故引发的伴生/次生污染排放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油类产品采用储罐储存，发生事故引发的次生风险主要为物质发生泄漏处理不当，防渗设施防渗效果不到位产生的物质泄漏污染地下水和土壤。</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可燃、易燃物油类产品、甲醇、氨水等经过的管道、阀门及生产设施，以及生产设施、车间内物料输送管道、阀门等发生腐蚀、破裂原因等造成泄漏，若遇明火时可能引起火灾、爆炸事故；其燃烧分解产物主要为二氧化碳和水，以及爆炸、燃烧过程中产生的烟尘。该项目发生火灾、爆炸、泄漏事故后，在事故处理过程中将产生的消防废水，消防废水如直接排放将对周围环境水体产生较大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故消防废水和火灾次生 CO 排放的影响是本项目主要次生风险。项目环境风险类型、转移的可能途径详见表 5.3.4-6。</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5.3.4-6     风险源的危险性、存在条件和转化为事故的触发因素</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6"/>
        <w:gridCol w:w="1161"/>
        <w:gridCol w:w="3794"/>
        <w:gridCol w:w="25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风险源</w:t>
            </w:r>
          </w:p>
        </w:tc>
        <w:tc>
          <w:tcPr>
            <w:tcW w:w="6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风险类型</w:t>
            </w:r>
          </w:p>
        </w:tc>
        <w:tc>
          <w:tcPr>
            <w:tcW w:w="222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危险物质向环境转移的可能途径</w:t>
            </w:r>
          </w:p>
        </w:tc>
        <w:tc>
          <w:tcPr>
            <w:tcW w:w="14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对周围环境的影响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生产车间设备破损</w:t>
            </w:r>
          </w:p>
        </w:tc>
        <w:tc>
          <w:tcPr>
            <w:tcW w:w="6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泄漏、火灾、爆炸</w:t>
            </w:r>
          </w:p>
        </w:tc>
        <w:tc>
          <w:tcPr>
            <w:tcW w:w="222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泄漏化学品挥发以无组织方式排放扩散进入大气会造成大气的局部大气污染；遇明火引起火灾造成消防废水污染；泄漏挥发量大可能达爆炸极限引起爆炸。</w:t>
            </w:r>
          </w:p>
        </w:tc>
        <w:tc>
          <w:tcPr>
            <w:tcW w:w="1467" w:type="pct"/>
            <w:vAlign w:val="center"/>
          </w:tcPr>
          <w:p>
            <w:pPr>
              <w:keepNext w:val="0"/>
              <w:keepLines w:val="0"/>
              <w:widowControl/>
              <w:suppressLineNumbers w:val="0"/>
              <w:jc w:val="center"/>
              <w:rPr>
                <w:rFonts w:hint="eastAsia" w:ascii="Times New Roman" w:hAnsi="Times New Roman" w:eastAsia="宋体" w:cs="Times New Roman"/>
                <w:color w:val="auto"/>
                <w:sz w:val="21"/>
                <w:szCs w:val="21"/>
                <w:vertAlign w:val="baseline"/>
                <w:lang w:val="en-US" w:eastAsia="zh-CN"/>
              </w:rPr>
            </w:pPr>
            <w:r>
              <w:rPr>
                <w:rFonts w:hint="eastAsia"/>
                <w:color w:val="auto"/>
                <w:lang w:val="en-US" w:eastAsia="zh-CN"/>
              </w:rPr>
              <w:t>泄漏对场内员工可能造成一定影响；火灾对厂区周边造成较大影响；爆炸可能造成严重影响。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储罐破损</w:t>
            </w:r>
          </w:p>
        </w:tc>
        <w:tc>
          <w:tcPr>
            <w:tcW w:w="6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泄漏</w:t>
            </w:r>
          </w:p>
        </w:tc>
        <w:tc>
          <w:tcPr>
            <w:tcW w:w="222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风险主要表现为原料泄漏流入储罐所在罐池内；泄漏化学品挥发以无组织方式排放扩散进入大气会造成大气的局部大气污染。</w:t>
            </w:r>
          </w:p>
        </w:tc>
        <w:tc>
          <w:tcPr>
            <w:tcW w:w="14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对场内员工可能造成一定影响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废气排放事故</w:t>
            </w:r>
          </w:p>
        </w:tc>
        <w:tc>
          <w:tcPr>
            <w:tcW w:w="6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废气处理设备故障或失效事故</w:t>
            </w:r>
          </w:p>
        </w:tc>
        <w:tc>
          <w:tcPr>
            <w:tcW w:w="222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非甲烷总烃、氨、硫化氢、颗粒物等废气的超标排放</w:t>
            </w:r>
          </w:p>
        </w:tc>
        <w:tc>
          <w:tcPr>
            <w:tcW w:w="14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造成大气环境局部超标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危废暂存间</w:t>
            </w:r>
          </w:p>
        </w:tc>
        <w:tc>
          <w:tcPr>
            <w:tcW w:w="6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泄漏</w:t>
            </w:r>
          </w:p>
        </w:tc>
        <w:tc>
          <w:tcPr>
            <w:tcW w:w="222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地面防渗层泄漏，污染土壤和地下水</w:t>
            </w:r>
          </w:p>
        </w:tc>
        <w:tc>
          <w:tcPr>
            <w:tcW w:w="14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影响土壤、地下水环境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火灾、爆炸次生消防废水</w:t>
            </w:r>
          </w:p>
        </w:tc>
        <w:tc>
          <w:tcPr>
            <w:tcW w:w="6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泄漏</w:t>
            </w:r>
          </w:p>
        </w:tc>
        <w:tc>
          <w:tcPr>
            <w:tcW w:w="222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消防废水含有少量危险物质可能通过场内管道外流</w:t>
            </w:r>
          </w:p>
        </w:tc>
        <w:tc>
          <w:tcPr>
            <w:tcW w:w="14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影响土壤、地下水环境</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5.3.4.5 风险识别结果</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危险单元主要为生产车间和罐区；厂区内主要危险物质主要为甲醇、氨水、硫酸，可燃代表物质为皂脚、油类加工产品。环境风险类型主要是危险化学品的泄漏以及火灾、爆炸等引发的伴生/次生污染排放。风险识别详见表 5.3.4-7。</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5.3.4-7   本项目风险识别结果表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8"/>
        <w:gridCol w:w="818"/>
        <w:gridCol w:w="819"/>
        <w:gridCol w:w="2409"/>
        <w:gridCol w:w="1029"/>
        <w:gridCol w:w="1423"/>
        <w:gridCol w:w="15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序号</w:t>
            </w:r>
          </w:p>
        </w:tc>
        <w:tc>
          <w:tcPr>
            <w:tcW w:w="4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危险单元</w:t>
            </w:r>
          </w:p>
        </w:tc>
        <w:tc>
          <w:tcPr>
            <w:tcW w:w="4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风险源</w:t>
            </w:r>
          </w:p>
        </w:tc>
        <w:tc>
          <w:tcPr>
            <w:tcW w:w="14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主要危险物质</w:t>
            </w:r>
          </w:p>
        </w:tc>
        <w:tc>
          <w:tcPr>
            <w:tcW w:w="60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环境风险类型</w:t>
            </w:r>
          </w:p>
        </w:tc>
        <w:tc>
          <w:tcPr>
            <w:tcW w:w="8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环境影响途径</w:t>
            </w:r>
          </w:p>
        </w:tc>
        <w:tc>
          <w:tcPr>
            <w:tcW w:w="8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可能受影响的环境敏感目标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4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生产车间</w:t>
            </w:r>
          </w:p>
        </w:tc>
        <w:tc>
          <w:tcPr>
            <w:tcW w:w="4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设备装置</w:t>
            </w:r>
          </w:p>
        </w:tc>
        <w:tc>
          <w:tcPr>
            <w:tcW w:w="14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氨水、甲醇、硫酸、动植物油脂、皂脚、脂肪酸甲酯</w:t>
            </w:r>
          </w:p>
        </w:tc>
        <w:tc>
          <w:tcPr>
            <w:tcW w:w="60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泄漏、火灾</w:t>
            </w:r>
          </w:p>
        </w:tc>
        <w:tc>
          <w:tcPr>
            <w:tcW w:w="8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大气环境</w:t>
            </w:r>
          </w:p>
        </w:tc>
        <w:tc>
          <w:tcPr>
            <w:tcW w:w="8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周边居民区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4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罐区</w:t>
            </w:r>
          </w:p>
        </w:tc>
        <w:tc>
          <w:tcPr>
            <w:tcW w:w="4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储罐</w:t>
            </w:r>
          </w:p>
        </w:tc>
        <w:tc>
          <w:tcPr>
            <w:tcW w:w="14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油类加工产品</w:t>
            </w:r>
          </w:p>
        </w:tc>
        <w:tc>
          <w:tcPr>
            <w:tcW w:w="60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泄漏、火灾</w:t>
            </w:r>
          </w:p>
        </w:tc>
        <w:tc>
          <w:tcPr>
            <w:tcW w:w="8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大气环境</w:t>
            </w:r>
          </w:p>
        </w:tc>
        <w:tc>
          <w:tcPr>
            <w:tcW w:w="88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周边居民区</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5.3.5 风险事故情形分析</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5.3.5.1 风险事故情形设定</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主要危险物质主要为甲醇、氨水及硫酸。根据环境风险识别结果及风险事故情形设定原则，并结合我国近年来同类企业事故的统计结果，确定本项目风险事故情形设定为罐区储罐泄漏事故以及皂脚及油类加工产品引发的火灾事故，事故类型详见表 5.3.5-1。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5.3.5-1     风险最大可信事故情形设定</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6"/>
        <w:gridCol w:w="820"/>
        <w:gridCol w:w="820"/>
        <w:gridCol w:w="3000"/>
        <w:gridCol w:w="1161"/>
        <w:gridCol w:w="1081"/>
        <w:gridCol w:w="10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序号</w:t>
            </w:r>
          </w:p>
        </w:tc>
        <w:tc>
          <w:tcPr>
            <w:tcW w:w="4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危险单元</w:t>
            </w:r>
          </w:p>
        </w:tc>
        <w:tc>
          <w:tcPr>
            <w:tcW w:w="4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风险源</w:t>
            </w:r>
          </w:p>
        </w:tc>
        <w:tc>
          <w:tcPr>
            <w:tcW w:w="17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主要危险物质</w:t>
            </w:r>
          </w:p>
        </w:tc>
        <w:tc>
          <w:tcPr>
            <w:tcW w:w="6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环境风险类型</w:t>
            </w: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环境影响途径</w:t>
            </w:r>
          </w:p>
        </w:tc>
        <w:tc>
          <w:tcPr>
            <w:tcW w:w="63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环境危害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4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生产车间</w:t>
            </w:r>
          </w:p>
        </w:tc>
        <w:tc>
          <w:tcPr>
            <w:tcW w:w="4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设备装置</w:t>
            </w:r>
          </w:p>
        </w:tc>
        <w:tc>
          <w:tcPr>
            <w:tcW w:w="300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氨水、甲醇、硫酸、动植物油脂、皂脚、脂肪酸甲酯</w:t>
            </w:r>
          </w:p>
        </w:tc>
        <w:tc>
          <w:tcPr>
            <w:tcW w:w="6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泄漏、火灾</w:t>
            </w: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大气影响</w:t>
            </w:r>
          </w:p>
        </w:tc>
        <w:tc>
          <w:tcPr>
            <w:tcW w:w="63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火灾次生影响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4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罐区</w:t>
            </w:r>
          </w:p>
        </w:tc>
        <w:tc>
          <w:tcPr>
            <w:tcW w:w="4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储罐</w:t>
            </w:r>
          </w:p>
        </w:tc>
        <w:tc>
          <w:tcPr>
            <w:tcW w:w="300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油类加工产品</w:t>
            </w:r>
          </w:p>
        </w:tc>
        <w:tc>
          <w:tcPr>
            <w:tcW w:w="6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泄漏、火灾</w:t>
            </w: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大气影响</w:t>
            </w:r>
          </w:p>
        </w:tc>
        <w:tc>
          <w:tcPr>
            <w:tcW w:w="63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火灾次生影响</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5.3.5.2 源项分析</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4"/>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5.3.5.2.1 事故风险概率分析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根据风险事故情形的设定，本次评价参考《建设项目环境风险评价技术导则》（HJ169-2018）中附录 E 的推荐方法确定各风险源的泄漏频率，详见表 5.3.5-2。</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5.3.5-2     风险源泄漏频率推荐值</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51"/>
        <w:gridCol w:w="3974"/>
        <w:gridCol w:w="18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部件类型</w:t>
            </w:r>
          </w:p>
        </w:tc>
        <w:tc>
          <w:tcPr>
            <w:tcW w:w="23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泄漏模式</w:t>
            </w:r>
          </w:p>
        </w:tc>
        <w:tc>
          <w:tcPr>
            <w:tcW w:w="11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泄漏频率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反应器/工艺储罐/气体储罐/塔器</w:t>
            </w:r>
          </w:p>
        </w:tc>
        <w:tc>
          <w:tcPr>
            <w:tcW w:w="23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泄漏孔径为 10mm 孔径</w:t>
            </w:r>
          </w:p>
        </w:tc>
        <w:tc>
          <w:tcPr>
            <w:tcW w:w="11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1.0×10</w:t>
            </w:r>
            <w:r>
              <w:rPr>
                <w:rFonts w:hint="eastAsia" w:ascii="Times New Roman" w:hAnsi="Times New Roman" w:eastAsia="宋体" w:cs="Times New Roman"/>
                <w:color w:val="auto"/>
                <w:sz w:val="21"/>
                <w:szCs w:val="21"/>
                <w:vertAlign w:val="superscript"/>
                <w:lang w:val="en-US" w:eastAsia="zh-CN"/>
              </w:rPr>
              <w:t>-4</w:t>
            </w:r>
            <w:r>
              <w:rPr>
                <w:rFonts w:hint="eastAsia" w:ascii="Times New Roman" w:hAnsi="Times New Roman" w:eastAsia="宋体" w:cs="Times New Roman"/>
                <w:color w:val="auto"/>
                <w:sz w:val="21"/>
                <w:szCs w:val="21"/>
                <w:vertAlign w:val="baseline"/>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23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10min 内储罐泄漏完</w:t>
            </w:r>
          </w:p>
        </w:tc>
        <w:tc>
          <w:tcPr>
            <w:tcW w:w="11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5.00×10</w:t>
            </w:r>
            <w:r>
              <w:rPr>
                <w:rFonts w:hint="eastAsia" w:ascii="Times New Roman" w:hAnsi="Times New Roman" w:eastAsia="宋体" w:cs="Times New Roman"/>
                <w:color w:val="auto"/>
                <w:sz w:val="21"/>
                <w:szCs w:val="21"/>
                <w:vertAlign w:val="superscript"/>
                <w:lang w:val="en-US" w:eastAsia="zh-CN"/>
              </w:rPr>
              <w:t>-6</w:t>
            </w:r>
            <w:r>
              <w:rPr>
                <w:rFonts w:hint="eastAsia" w:ascii="Times New Roman" w:hAnsi="Times New Roman" w:eastAsia="宋体" w:cs="Times New Roman"/>
                <w:color w:val="auto"/>
                <w:sz w:val="21"/>
                <w:szCs w:val="21"/>
                <w:vertAlign w:val="baseline"/>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23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储罐全破裂</w:t>
            </w:r>
          </w:p>
        </w:tc>
        <w:tc>
          <w:tcPr>
            <w:tcW w:w="11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5.00×10</w:t>
            </w:r>
            <w:r>
              <w:rPr>
                <w:rFonts w:hint="eastAsia" w:ascii="Times New Roman" w:hAnsi="Times New Roman" w:eastAsia="宋体" w:cs="Times New Roman"/>
                <w:color w:val="auto"/>
                <w:sz w:val="21"/>
                <w:szCs w:val="21"/>
                <w:vertAlign w:val="superscript"/>
                <w:lang w:val="en-US" w:eastAsia="zh-CN"/>
              </w:rPr>
              <w:t>-6</w:t>
            </w:r>
            <w:r>
              <w:rPr>
                <w:rFonts w:hint="eastAsia" w:ascii="Times New Roman" w:hAnsi="Times New Roman" w:eastAsia="宋体" w:cs="Times New Roman"/>
                <w:color w:val="auto"/>
                <w:sz w:val="21"/>
                <w:szCs w:val="21"/>
                <w:vertAlign w:val="baseline"/>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常压单包容储罐</w:t>
            </w:r>
          </w:p>
        </w:tc>
        <w:tc>
          <w:tcPr>
            <w:tcW w:w="23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泄漏孔径为 10mm 孔径</w:t>
            </w:r>
          </w:p>
        </w:tc>
        <w:tc>
          <w:tcPr>
            <w:tcW w:w="11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1.0×10</w:t>
            </w:r>
            <w:r>
              <w:rPr>
                <w:rFonts w:hint="eastAsia" w:ascii="Times New Roman" w:hAnsi="Times New Roman" w:eastAsia="宋体" w:cs="Times New Roman"/>
                <w:color w:val="auto"/>
                <w:sz w:val="21"/>
                <w:szCs w:val="21"/>
                <w:vertAlign w:val="superscript"/>
                <w:lang w:val="en-US" w:eastAsia="zh-CN"/>
              </w:rPr>
              <w:t>-4</w:t>
            </w:r>
            <w:r>
              <w:rPr>
                <w:rFonts w:hint="eastAsia" w:ascii="Times New Roman" w:hAnsi="Times New Roman" w:eastAsia="宋体" w:cs="Times New Roman"/>
                <w:color w:val="auto"/>
                <w:sz w:val="21"/>
                <w:szCs w:val="21"/>
                <w:vertAlign w:val="baseline"/>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23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10min 内储罐泄漏完</w:t>
            </w:r>
          </w:p>
        </w:tc>
        <w:tc>
          <w:tcPr>
            <w:tcW w:w="11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5.00×10</w:t>
            </w:r>
            <w:r>
              <w:rPr>
                <w:rFonts w:hint="eastAsia" w:ascii="Times New Roman" w:hAnsi="Times New Roman" w:eastAsia="宋体" w:cs="Times New Roman"/>
                <w:color w:val="auto"/>
                <w:sz w:val="21"/>
                <w:szCs w:val="21"/>
                <w:vertAlign w:val="superscript"/>
                <w:lang w:val="en-US" w:eastAsia="zh-CN"/>
              </w:rPr>
              <w:t>-6</w:t>
            </w:r>
            <w:r>
              <w:rPr>
                <w:rFonts w:hint="eastAsia" w:ascii="Times New Roman" w:hAnsi="Times New Roman" w:eastAsia="宋体" w:cs="Times New Roman"/>
                <w:color w:val="auto"/>
                <w:sz w:val="21"/>
                <w:szCs w:val="21"/>
                <w:vertAlign w:val="baseline"/>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23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储罐全破裂</w:t>
            </w:r>
          </w:p>
        </w:tc>
        <w:tc>
          <w:tcPr>
            <w:tcW w:w="11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5.00×10</w:t>
            </w:r>
            <w:r>
              <w:rPr>
                <w:rFonts w:hint="eastAsia" w:ascii="Times New Roman" w:hAnsi="Times New Roman" w:eastAsia="宋体" w:cs="Times New Roman"/>
                <w:color w:val="auto"/>
                <w:sz w:val="21"/>
                <w:szCs w:val="21"/>
                <w:vertAlign w:val="superscript"/>
                <w:lang w:val="en-US" w:eastAsia="zh-CN"/>
              </w:rPr>
              <w:t>-6</w:t>
            </w:r>
            <w:r>
              <w:rPr>
                <w:rFonts w:hint="eastAsia" w:ascii="Times New Roman" w:hAnsi="Times New Roman" w:eastAsia="宋体" w:cs="Times New Roman"/>
                <w:color w:val="auto"/>
                <w:sz w:val="21"/>
                <w:szCs w:val="21"/>
                <w:vertAlign w:val="baseline"/>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常压双包容储罐</w:t>
            </w:r>
          </w:p>
        </w:tc>
        <w:tc>
          <w:tcPr>
            <w:tcW w:w="23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泄漏孔径为 10mm 孔径</w:t>
            </w:r>
          </w:p>
        </w:tc>
        <w:tc>
          <w:tcPr>
            <w:tcW w:w="11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1.0×10</w:t>
            </w:r>
            <w:r>
              <w:rPr>
                <w:rFonts w:hint="eastAsia" w:ascii="Times New Roman" w:hAnsi="Times New Roman" w:eastAsia="宋体" w:cs="Times New Roman"/>
                <w:color w:val="auto"/>
                <w:sz w:val="21"/>
                <w:szCs w:val="21"/>
                <w:vertAlign w:val="superscript"/>
                <w:lang w:val="en-US" w:eastAsia="zh-CN"/>
              </w:rPr>
              <w:t>-4</w:t>
            </w:r>
            <w:r>
              <w:rPr>
                <w:rFonts w:hint="eastAsia" w:ascii="Times New Roman" w:hAnsi="Times New Roman" w:eastAsia="宋体" w:cs="Times New Roman"/>
                <w:color w:val="auto"/>
                <w:sz w:val="21"/>
                <w:szCs w:val="21"/>
                <w:vertAlign w:val="baseline"/>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23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10min 内储罐泄漏完</w:t>
            </w:r>
          </w:p>
        </w:tc>
        <w:tc>
          <w:tcPr>
            <w:tcW w:w="11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1.25×10</w:t>
            </w:r>
            <w:r>
              <w:rPr>
                <w:rFonts w:hint="eastAsia" w:ascii="Times New Roman" w:hAnsi="Times New Roman" w:eastAsia="宋体" w:cs="Times New Roman"/>
                <w:color w:val="auto"/>
                <w:sz w:val="21"/>
                <w:szCs w:val="21"/>
                <w:vertAlign w:val="superscript"/>
                <w:lang w:val="en-US" w:eastAsia="zh-CN"/>
              </w:rPr>
              <w:t>-8</w:t>
            </w:r>
            <w:r>
              <w:rPr>
                <w:rFonts w:hint="eastAsia" w:ascii="Times New Roman" w:hAnsi="Times New Roman" w:eastAsia="宋体" w:cs="Times New Roman"/>
                <w:color w:val="auto"/>
                <w:sz w:val="21"/>
                <w:szCs w:val="21"/>
                <w:vertAlign w:val="baseline"/>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23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储罐全破裂</w:t>
            </w:r>
          </w:p>
        </w:tc>
        <w:tc>
          <w:tcPr>
            <w:tcW w:w="11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1.25×10</w:t>
            </w:r>
            <w:r>
              <w:rPr>
                <w:rFonts w:hint="eastAsia" w:ascii="Times New Roman" w:hAnsi="Times New Roman" w:eastAsia="宋体" w:cs="Times New Roman"/>
                <w:color w:val="auto"/>
                <w:sz w:val="21"/>
                <w:szCs w:val="21"/>
                <w:vertAlign w:val="superscript"/>
                <w:lang w:val="en-US" w:eastAsia="zh-CN"/>
              </w:rPr>
              <w:t>-8</w:t>
            </w:r>
            <w:r>
              <w:rPr>
                <w:rFonts w:hint="eastAsia" w:ascii="Times New Roman" w:hAnsi="Times New Roman" w:eastAsia="宋体" w:cs="Times New Roman"/>
                <w:color w:val="auto"/>
                <w:sz w:val="21"/>
                <w:szCs w:val="21"/>
                <w:vertAlign w:val="baseline"/>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常压全包容储罐</w:t>
            </w:r>
          </w:p>
        </w:tc>
        <w:tc>
          <w:tcPr>
            <w:tcW w:w="23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储罐全破裂</w:t>
            </w:r>
          </w:p>
        </w:tc>
        <w:tc>
          <w:tcPr>
            <w:tcW w:w="11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1.00×10</w:t>
            </w:r>
            <w:r>
              <w:rPr>
                <w:rFonts w:hint="eastAsia" w:ascii="Times New Roman" w:hAnsi="Times New Roman" w:eastAsia="宋体" w:cs="Times New Roman"/>
                <w:color w:val="auto"/>
                <w:sz w:val="21"/>
                <w:szCs w:val="21"/>
                <w:vertAlign w:val="superscript"/>
                <w:lang w:val="en-US" w:eastAsia="zh-CN"/>
              </w:rPr>
              <w:t>-8</w:t>
            </w:r>
            <w:r>
              <w:rPr>
                <w:rFonts w:hint="eastAsia" w:ascii="Times New Roman" w:hAnsi="Times New Roman" w:eastAsia="宋体" w:cs="Times New Roman"/>
                <w:color w:val="auto"/>
                <w:sz w:val="21"/>
                <w:szCs w:val="21"/>
                <w:vertAlign w:val="baseline"/>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155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内径≤75mm的管道</w:t>
            </w:r>
          </w:p>
        </w:tc>
        <w:tc>
          <w:tcPr>
            <w:tcW w:w="23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泄漏孔径为 10% 孔径</w:t>
            </w:r>
          </w:p>
        </w:tc>
        <w:tc>
          <w:tcPr>
            <w:tcW w:w="11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5.00×10</w:t>
            </w:r>
            <w:r>
              <w:rPr>
                <w:rFonts w:hint="eastAsia" w:ascii="Times New Roman" w:hAnsi="Times New Roman" w:eastAsia="宋体" w:cs="Times New Roman"/>
                <w:color w:val="auto"/>
                <w:sz w:val="21"/>
                <w:szCs w:val="21"/>
                <w:vertAlign w:val="superscript"/>
                <w:lang w:val="en-US" w:eastAsia="zh-CN"/>
              </w:rPr>
              <w:t>-6</w:t>
            </w:r>
            <w:r>
              <w:rPr>
                <w:rFonts w:hint="eastAsia" w:ascii="Times New Roman" w:hAnsi="Times New Roman" w:eastAsia="宋体" w:cs="Times New Roman"/>
                <w:color w:val="auto"/>
                <w:sz w:val="21"/>
                <w:szCs w:val="21"/>
                <w:vertAlign w:val="baseline"/>
                <w:lang w:val="en-US" w:eastAsia="zh-CN"/>
              </w:rPr>
              <w:t>/（m·a）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23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全管径泄漏</w:t>
            </w:r>
          </w:p>
        </w:tc>
        <w:tc>
          <w:tcPr>
            <w:tcW w:w="11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1.00×10</w:t>
            </w:r>
            <w:r>
              <w:rPr>
                <w:rFonts w:hint="eastAsia" w:ascii="Times New Roman" w:hAnsi="Times New Roman" w:eastAsia="宋体" w:cs="Times New Roman"/>
                <w:color w:val="auto"/>
                <w:sz w:val="21"/>
                <w:szCs w:val="21"/>
                <w:vertAlign w:val="superscript"/>
                <w:lang w:val="en-US" w:eastAsia="zh-CN"/>
              </w:rPr>
              <w:t>-6</w:t>
            </w:r>
            <w:r>
              <w:rPr>
                <w:rFonts w:hint="eastAsia" w:ascii="Times New Roman" w:hAnsi="Times New Roman" w:eastAsia="宋体" w:cs="Times New Roman"/>
                <w:color w:val="auto"/>
                <w:sz w:val="21"/>
                <w:szCs w:val="21"/>
                <w:vertAlign w:val="baseline"/>
                <w:lang w:val="en-US" w:eastAsia="zh-CN"/>
              </w:rPr>
              <w:t>/（m·a）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75mm＜内径≤150mm的管道</w:t>
            </w:r>
          </w:p>
        </w:tc>
        <w:tc>
          <w:tcPr>
            <w:tcW w:w="23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泄漏孔径为 10% 孔径</w:t>
            </w:r>
          </w:p>
        </w:tc>
        <w:tc>
          <w:tcPr>
            <w:tcW w:w="11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2.00×10</w:t>
            </w:r>
            <w:r>
              <w:rPr>
                <w:rFonts w:hint="eastAsia" w:ascii="Times New Roman" w:hAnsi="Times New Roman" w:eastAsia="宋体" w:cs="Times New Roman"/>
                <w:color w:val="auto"/>
                <w:sz w:val="21"/>
                <w:szCs w:val="21"/>
                <w:vertAlign w:val="superscript"/>
                <w:lang w:val="en-US" w:eastAsia="zh-CN"/>
              </w:rPr>
              <w:t>-6</w:t>
            </w:r>
            <w:r>
              <w:rPr>
                <w:rFonts w:hint="eastAsia" w:ascii="Times New Roman" w:hAnsi="Times New Roman" w:eastAsia="宋体" w:cs="Times New Roman"/>
                <w:color w:val="auto"/>
                <w:sz w:val="21"/>
                <w:szCs w:val="21"/>
                <w:vertAlign w:val="baseline"/>
                <w:lang w:val="en-US" w:eastAsia="zh-CN"/>
              </w:rPr>
              <w:t>/（m·a）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233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全管径泄漏</w:t>
            </w:r>
          </w:p>
        </w:tc>
        <w:tc>
          <w:tcPr>
            <w:tcW w:w="11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3.00×10</w:t>
            </w:r>
            <w:r>
              <w:rPr>
                <w:rFonts w:hint="eastAsia" w:ascii="Times New Roman" w:hAnsi="Times New Roman" w:eastAsia="宋体" w:cs="Times New Roman"/>
                <w:color w:val="auto"/>
                <w:sz w:val="21"/>
                <w:szCs w:val="21"/>
                <w:vertAlign w:val="superscript"/>
                <w:lang w:val="en-US" w:eastAsia="zh-CN"/>
              </w:rPr>
              <w:t>-7</w:t>
            </w:r>
            <w:r>
              <w:rPr>
                <w:rFonts w:hint="eastAsia" w:ascii="Times New Roman" w:hAnsi="Times New Roman" w:eastAsia="宋体" w:cs="Times New Roman"/>
                <w:color w:val="auto"/>
                <w:sz w:val="21"/>
                <w:szCs w:val="21"/>
                <w:vertAlign w:val="baseline"/>
                <w:lang w:val="en-US" w:eastAsia="zh-CN"/>
              </w:rPr>
              <w:t>/（m·a）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内径＞150mm的管道</w:t>
            </w:r>
          </w:p>
        </w:tc>
        <w:tc>
          <w:tcPr>
            <w:tcW w:w="2331"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泄漏孔径为 10% 孔径（最大50mm）全管径泄漏</w:t>
            </w:r>
          </w:p>
        </w:tc>
        <w:tc>
          <w:tcPr>
            <w:tcW w:w="11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2.40×10</w:t>
            </w:r>
            <w:r>
              <w:rPr>
                <w:rFonts w:hint="eastAsia" w:ascii="Times New Roman" w:hAnsi="Times New Roman" w:eastAsia="宋体" w:cs="Times New Roman"/>
                <w:color w:val="auto"/>
                <w:sz w:val="21"/>
                <w:szCs w:val="21"/>
                <w:vertAlign w:val="superscript"/>
                <w:lang w:val="en-US" w:eastAsia="zh-CN"/>
              </w:rPr>
              <w:t>-6</w:t>
            </w:r>
            <w:r>
              <w:rPr>
                <w:rFonts w:hint="eastAsia" w:ascii="Times New Roman" w:hAnsi="Times New Roman" w:eastAsia="宋体" w:cs="Times New Roman"/>
                <w:color w:val="auto"/>
                <w:sz w:val="21"/>
                <w:szCs w:val="21"/>
                <w:vertAlign w:val="baseline"/>
                <w:lang w:val="en-US" w:eastAsia="zh-CN"/>
              </w:rPr>
              <w:t>/（m·a）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233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11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1.00×10</w:t>
            </w:r>
            <w:r>
              <w:rPr>
                <w:rFonts w:hint="eastAsia" w:ascii="Times New Roman" w:hAnsi="Times New Roman" w:eastAsia="宋体" w:cs="Times New Roman"/>
                <w:color w:val="auto"/>
                <w:sz w:val="21"/>
                <w:szCs w:val="21"/>
                <w:vertAlign w:val="superscript"/>
                <w:lang w:val="en-US" w:eastAsia="zh-CN"/>
              </w:rPr>
              <w:t>-7</w:t>
            </w:r>
            <w:r>
              <w:rPr>
                <w:rFonts w:hint="eastAsia" w:ascii="Times New Roman" w:hAnsi="Times New Roman" w:eastAsia="宋体" w:cs="Times New Roman"/>
                <w:color w:val="auto"/>
                <w:sz w:val="21"/>
                <w:szCs w:val="21"/>
                <w:vertAlign w:val="baseline"/>
                <w:lang w:val="en-US" w:eastAsia="zh-CN"/>
              </w:rPr>
              <w:t>/（m·a）</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本项目假定罐区泄漏为连接罐底的出料管道，内径为 90mm，泄漏模式取全管径泄漏，泄漏频率为 3.00×10</w:t>
      </w:r>
      <w:r>
        <w:rPr>
          <w:rFonts w:hint="eastAsia" w:ascii="Times New Roman" w:hAnsi="Times New Roman" w:eastAsia="宋体" w:cs="Times New Roman"/>
          <w:color w:val="auto"/>
          <w:sz w:val="24"/>
          <w:szCs w:val="24"/>
          <w:vertAlign w:val="superscript"/>
          <w:lang w:val="en-US" w:eastAsia="zh-CN"/>
        </w:rPr>
        <w:t>-7</w:t>
      </w:r>
      <w:r>
        <w:rPr>
          <w:rFonts w:hint="eastAsia" w:ascii="Times New Roman" w:hAnsi="Times New Roman" w:eastAsia="宋体" w:cs="Times New Roman"/>
          <w:color w:val="auto"/>
          <w:sz w:val="24"/>
          <w:szCs w:val="24"/>
          <w:lang w:val="en-US" w:eastAsia="zh-CN"/>
        </w:rPr>
        <w:t xml:space="preserve"> /年（m·a）。</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5.3.5.2.2 事故源强的确定</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（1）硫酸、甲醇及氨水储存桶泄漏事故源强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项目硫酸、甲醇及氨水采用储存桶储存，硫酸、甲醇及氨水储存桶储罐最大容积为 5m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w:t>
      </w:r>
      <w:r>
        <w:rPr>
          <w:rFonts w:hint="eastAsia" w:ascii="Times New Roman" w:hAnsi="Times New Roman" w:eastAsia="宋体" w:cs="Times New Roman"/>
          <w:color w:val="auto"/>
          <w:sz w:val="24"/>
          <w:szCs w:val="24"/>
          <w:lang w:val="en-US" w:eastAsia="zh-CN"/>
        </w:rPr>
        <w:t>按照一次完全泄漏核算，硫酸、甲醇及氨水一次泄漏源强为 5m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 xml:space="preserve"> /次。硫酸、甲醇及氨水储存桶位于车间内，车间设置导流沟并防渗，可有效地将硫酸、甲醇及氨水收集，防止出现泄漏风险。</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（2）生产车间、仓库发生泄漏、火灾、爆炸后的次生污染源项分析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事故废水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本项目生产车间和罐区等发生火灾，主要产物为二氧化碳和水，并且火灾过程中产生的浓烟会对下风向的环境产生一定的影响。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火灾后的次生污染主要为消防废水影响，本评价根据《事故状态下水体污染的预防与控制技术要求》（Q/SY1190-2013）和《水体污染防控紧急措施设计导则》（中国石化建标〔2006〕43 号）的要求计算消防废水量。本项目消防废水的污染物主要为硫酸、甲醇及氨水、油类加工产品及脂肪酸甲酯等化学物质，废水汇入事故水池，分批经拉运至污水处理处理。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本项目发生火灾后，根据项目设计资料和《建筑设计防火规范（2018 年版）》（GB50016-2014），本项目一次火灾最大消防用水量为 72m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本项目应建设事故水池，收集灭火过程中产生的消防废水。事故水池的大小计算如下：</w:t>
      </w:r>
    </w:p>
    <w:p>
      <w:pPr>
        <w:keepNext w:val="0"/>
        <w:keepLines w:val="0"/>
        <w:pageBreakBefore w:val="0"/>
        <w:widowControl w:val="0"/>
        <w:kinsoku/>
        <w:wordWrap/>
        <w:overflowPunct/>
        <w:topLinePunct w:val="0"/>
        <w:autoSpaceDE/>
        <w:autoSpaceDN/>
        <w:bidi w:val="0"/>
        <w:adjustRightInd/>
        <w:snapToGrid/>
        <w:spacing w:line="560" w:lineRule="exact"/>
        <w:ind w:firstLine="0" w:firstLineChars="0"/>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V 总=（V1+V2-V3）max+V4+V5</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式中：（V1+V2-V3）max——指对收集系统范围内不同罐组及装置分别计算，其中最大值；</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V1——收集系统范围内发生事故的物料量，m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；储存相同物料的罐组按一个最大储罐计，装置物料量按存留最大物料量的一台反应器或中间储罐计，本次评价按最大储罐取 V1=1000m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V2——发生事故的装置的消防水量，m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；本次评价取 V2=72m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0" w:firstLineChars="0"/>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V2=ΣQ 消×t 消</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Q 消——发生事故的储罐或装置同时使用的消防设施给水流量，m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 xml:space="preserve"> /h；</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t 消——消防设施对应的设计消防历时，h；</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V3——发生事故时可以转输到其他储存或处理设施的物料量，m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，本项目此项为 0。</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V4——发生事故时仍必须进入该收集系统的生产废水量，m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，本项目此项为 0；</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V5——发生事故时可能进入该收集系统的降雨量，m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，经计算，V5=56m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0" w:firstLineChars="0"/>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V5=10qF</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q——降雨强度，mm；按平均日降雨量； </w:t>
      </w:r>
    </w:p>
    <w:p>
      <w:pPr>
        <w:keepNext w:val="0"/>
        <w:keepLines w:val="0"/>
        <w:pageBreakBefore w:val="0"/>
        <w:widowControl w:val="0"/>
        <w:kinsoku/>
        <w:wordWrap/>
        <w:overflowPunct/>
        <w:topLinePunct w:val="0"/>
        <w:autoSpaceDE/>
        <w:autoSpaceDN/>
        <w:bidi w:val="0"/>
        <w:adjustRightInd/>
        <w:snapToGrid/>
        <w:spacing w:line="560" w:lineRule="exact"/>
        <w:ind w:firstLine="0" w:firstLineChars="0"/>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q=qa/n</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qa——年平均降雨量，mm；169.888mm</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n——年平均降雨日数，取 20d。</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F——必须进入事故废水收集系统的雨水汇水面积，ha，本次评价取 0.24ha。</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根据计算结果，为防止事故废水影响，应建设不小于 1128m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 xml:space="preserve"> </w:t>
      </w:r>
      <w:r>
        <w:rPr>
          <w:rFonts w:hint="eastAsia" w:ascii="Times New Roman" w:hAnsi="Times New Roman" w:eastAsia="宋体" w:cs="Times New Roman"/>
          <w:color w:val="auto"/>
          <w:sz w:val="24"/>
          <w:szCs w:val="24"/>
          <w:lang w:val="en-US" w:eastAsia="zh-CN"/>
        </w:rPr>
        <w:t>的事故水池。项目拟建设 1 座容积为 800m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的事故应急池，在依托厂区现有 1 座容积为 400m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 xml:space="preserve"> </w:t>
      </w:r>
      <w:r>
        <w:rPr>
          <w:rFonts w:hint="eastAsia" w:ascii="Times New Roman" w:hAnsi="Times New Roman" w:eastAsia="宋体" w:cs="Times New Roman"/>
          <w:color w:val="auto"/>
          <w:sz w:val="24"/>
          <w:szCs w:val="24"/>
          <w:lang w:val="en-US" w:eastAsia="zh-CN"/>
        </w:rPr>
        <w:t>的事故应急池，可满足事故废水的收集要求。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火灾后不完全燃烧废气源强分析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罐区、生产车间等发生燃烧、爆炸的主要产物为二氧化碳、水、不完全燃烧产物一氧化碳等，主要伴生/次生污染物为一氧化碳。以及消防废水，会对周围环境产生一定影响，火灾过程中产生的浓烟会对下风向的环境产生一定的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根据本项目各化学品物质毒性识别，项目的主要可燃物质为皂脚、油类加工产品等，基本无毒无害，故本项目不考虑火灾爆炸事故有毒有害物质释放量，主要考虑爆炸或火灾过程中的不完全燃烧产生的 CO 废气的排放。根据《建设项目环境风险评价技术导则》（HJ169-2018）附录 F，火灾伴生/次生污染物中一氧化碳产生量计算公式为：</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position w:val="-14"/>
          <w:sz w:val="24"/>
          <w:szCs w:val="24"/>
          <w:lang w:val="en-US" w:eastAsia="zh-CN"/>
        </w:rPr>
        <w:object>
          <v:shape id="_x0000_i1041" o:spt="75" type="#_x0000_t75" style="height:19pt;width:100pt;" o:ole="t" filled="f" o:preferrelative="t" stroked="f" coordsize="21600,21600">
            <v:path/>
            <v:fill on="f" focussize="0,0"/>
            <v:stroke on="f"/>
            <v:imagedata r:id="rId96" o:title=""/>
            <o:lock v:ext="edit" aspectratio="t"/>
            <w10:wrap type="none"/>
            <w10:anchorlock/>
          </v:shape>
          <o:OLEObject Type="Embed" ProgID="Equation.KSEE3" ShapeID="_x0000_i1041" DrawAspect="Content" ObjectID="_1468075741" r:id="rId95">
            <o:LockedField>false</o:LockedField>
          </o:OLEObject>
        </w:objec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式中：G 一氧化碳——一氧化碳的产生量，kg/s；</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C——物质中碳的含量，取 85%；</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q——化学不完全燃烧值，取 1.5%~6.0%，本项目取 4%；</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Q——参与燃烧的物质量，t/s，取泄漏量的 50%计算。项目采用风险导则附录 F 推荐方法确定事故泄漏源强，本项目选取罐区的油类加工产品泄漏的火灾进行模拟，估算火灾过程中的一氧化碳源强。油类加工产品泄漏为液体泄漏，泄漏时间设定为 10min；液体泄漏速度采用伯努利方程计算：</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position w:val="-26"/>
          <w:sz w:val="24"/>
          <w:szCs w:val="24"/>
          <w:lang w:val="en-US" w:eastAsia="zh-CN"/>
        </w:rPr>
        <w:object>
          <v:shape id="_x0000_i1042" o:spt="75" type="#_x0000_t75" style="height:35pt;width:139pt;" o:ole="t" filled="f" o:preferrelative="t" stroked="f" coordsize="21600,21600">
            <v:path/>
            <v:fill on="f" focussize="0,0"/>
            <v:stroke on="f"/>
            <v:imagedata r:id="rId98" o:title=""/>
            <o:lock v:ext="edit" aspectratio="t"/>
            <w10:wrap type="none"/>
            <w10:anchorlock/>
          </v:shape>
          <o:OLEObject Type="Embed" ProgID="Equation.KSEE3" ShapeID="_x0000_i1042" DrawAspect="Content" ObjectID="_1468075742" r:id="rId97">
            <o:LockedField>false</o:LockedField>
          </o:OLEObject>
        </w:objec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式中：Q</w:t>
      </w:r>
      <w:r>
        <w:rPr>
          <w:rFonts w:hint="eastAsia" w:ascii="Times New Roman" w:hAnsi="Times New Roman" w:eastAsia="宋体" w:cs="Times New Roman"/>
          <w:color w:val="auto"/>
          <w:sz w:val="24"/>
          <w:szCs w:val="24"/>
          <w:vertAlign w:val="subscript"/>
          <w:lang w:val="en-US" w:eastAsia="zh-CN"/>
        </w:rPr>
        <w:t>L</w:t>
      </w:r>
      <w:r>
        <w:rPr>
          <w:rFonts w:hint="eastAsia" w:ascii="Times New Roman" w:hAnsi="Times New Roman" w:eastAsia="宋体" w:cs="Times New Roman"/>
          <w:color w:val="auto"/>
          <w:sz w:val="24"/>
          <w:szCs w:val="24"/>
          <w:lang w:val="en-US" w:eastAsia="zh-CN"/>
        </w:rPr>
        <w:t>——液体的泄漏速度，kg/s；</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C</w:t>
      </w:r>
      <w:r>
        <w:rPr>
          <w:rFonts w:hint="eastAsia" w:ascii="Times New Roman" w:hAnsi="Times New Roman" w:eastAsia="宋体" w:cs="Times New Roman"/>
          <w:color w:val="auto"/>
          <w:sz w:val="24"/>
          <w:szCs w:val="24"/>
          <w:vertAlign w:val="subscript"/>
          <w:lang w:val="en-US" w:eastAsia="zh-CN"/>
        </w:rPr>
        <w:t>d</w:t>
      </w:r>
      <w:r>
        <w:rPr>
          <w:rFonts w:hint="eastAsia" w:ascii="Times New Roman" w:hAnsi="Times New Roman" w:eastAsia="宋体" w:cs="Times New Roman"/>
          <w:color w:val="auto"/>
          <w:sz w:val="24"/>
          <w:szCs w:val="24"/>
          <w:lang w:val="en-US" w:eastAsia="zh-CN"/>
        </w:rPr>
        <w:t>——液体泄漏系数；</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A——裂口面积，m2；</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ρ——泄漏液体密度，kg/m3；</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P、P</w:t>
      </w:r>
      <w:r>
        <w:rPr>
          <w:rFonts w:hint="eastAsia" w:ascii="Times New Roman" w:hAnsi="Times New Roman" w:eastAsia="宋体" w:cs="Times New Roman"/>
          <w:color w:val="auto"/>
          <w:sz w:val="24"/>
          <w:szCs w:val="24"/>
          <w:vertAlign w:val="subscript"/>
          <w:lang w:val="en-US" w:eastAsia="zh-CN"/>
        </w:rPr>
        <w:t>0</w:t>
      </w:r>
      <w:r>
        <w:rPr>
          <w:rFonts w:hint="eastAsia" w:ascii="Times New Roman" w:hAnsi="Times New Roman" w:eastAsia="宋体" w:cs="Times New Roman"/>
          <w:color w:val="auto"/>
          <w:sz w:val="24"/>
          <w:szCs w:val="24"/>
          <w:lang w:val="en-US" w:eastAsia="zh-CN"/>
        </w:rPr>
        <w:t>——储罐内介质压力及环境压力，Pa；</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g——重力加速度，9.81m/s</w:t>
      </w:r>
      <w:r>
        <w:rPr>
          <w:rFonts w:hint="eastAsia" w:ascii="Times New Roman" w:hAnsi="Times New Roman" w:eastAsia="宋体" w:cs="Times New Roman"/>
          <w:color w:val="auto"/>
          <w:sz w:val="24"/>
          <w:szCs w:val="24"/>
          <w:vertAlign w:val="superscript"/>
          <w:lang w:val="en-US" w:eastAsia="zh-CN"/>
        </w:rPr>
        <w:t xml:space="preserve"> 2</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h——裂口之上液位高度，m。</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项目储罐的泄漏速率为 6.85kg/s，罐区设有紧急隔离系统的单元（1.2m 高围堰），事故情况下，泄漏时间设定为 10min，即事故情况下酸化油泄漏量为 4.11t。估算结果得到一氧化碳产生源强约为 0.32kg/s。</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（3）项目风险源强汇总</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根据风险事故情形确定事故源参数及计算结果，项目风险源强汇总见表5.3.5-3。</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5.3.5-3     项目风险源强一览表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1"/>
        <w:gridCol w:w="655"/>
        <w:gridCol w:w="708"/>
        <w:gridCol w:w="962"/>
        <w:gridCol w:w="1208"/>
        <w:gridCol w:w="1094"/>
        <w:gridCol w:w="1162"/>
        <w:gridCol w:w="886"/>
        <w:gridCol w:w="8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风险事故情形描述</w:t>
            </w:r>
          </w:p>
        </w:tc>
        <w:tc>
          <w:tcPr>
            <w:tcW w:w="38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危险单元</w:t>
            </w:r>
          </w:p>
        </w:tc>
        <w:tc>
          <w:tcPr>
            <w:tcW w:w="41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危险物质</w:t>
            </w:r>
          </w:p>
        </w:tc>
        <w:tc>
          <w:tcPr>
            <w:tcW w:w="56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影响途径</w:t>
            </w:r>
          </w:p>
        </w:tc>
        <w:tc>
          <w:tcPr>
            <w:tcW w:w="70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释放或泄漏速率</w:t>
            </w:r>
          </w:p>
        </w:tc>
        <w:tc>
          <w:tcPr>
            <w:tcW w:w="64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释放或泄漏时间</w:t>
            </w:r>
          </w:p>
        </w:tc>
        <w:tc>
          <w:tcPr>
            <w:tcW w:w="6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最大释放或泄漏量</w:t>
            </w:r>
          </w:p>
        </w:tc>
        <w:tc>
          <w:tcPr>
            <w:tcW w:w="51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泄漏液体蒸发量</w:t>
            </w:r>
          </w:p>
        </w:tc>
        <w:tc>
          <w:tcPr>
            <w:tcW w:w="51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其他事故源参数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罐区火灾</w:t>
            </w:r>
          </w:p>
        </w:tc>
        <w:tc>
          <w:tcPr>
            <w:tcW w:w="38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罐区</w:t>
            </w:r>
          </w:p>
        </w:tc>
        <w:tc>
          <w:tcPr>
            <w:tcW w:w="41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CO</w:t>
            </w:r>
          </w:p>
        </w:tc>
        <w:tc>
          <w:tcPr>
            <w:tcW w:w="56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挥发进入大气环境</w:t>
            </w:r>
          </w:p>
        </w:tc>
        <w:tc>
          <w:tcPr>
            <w:tcW w:w="70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0.32kg/s</w:t>
            </w:r>
          </w:p>
        </w:tc>
        <w:tc>
          <w:tcPr>
            <w:tcW w:w="64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10min</w:t>
            </w:r>
          </w:p>
        </w:tc>
        <w:tc>
          <w:tcPr>
            <w:tcW w:w="6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192kg</w:t>
            </w:r>
          </w:p>
        </w:tc>
        <w:tc>
          <w:tcPr>
            <w:tcW w:w="51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51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5.3.5.3 环境风险评价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（1）大气环境风险影响范围和程度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根据最不利气象组合情景预测结果，项目风险事故情形下最不利气象条件下，CO 轴线最大浓度为 1687.5mg/m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、出现时刻为泄漏事故发生后 6.13min、出现距离为泄漏点下风向 56m 处。CO 达到毒性终点浓度 -1 的下风向最大距离为580m，达到毒性终点浓度 -2 的下风向最大距离为 1130m。</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综上分析，项目发生环境风险时，影响范围主要处于项目所在区域主导风向下风向-东北部区域，影响范围内基本无居民区、学校等敏感目标，因此，项目事故情况下，对周边环境有一定的影响，但对周边大气环境敏感目标影响较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项目应制定完善的应急管理措施和预案，加强管理，落实各项环保措施，定期进行演练，尽量降低突发环境事件的发生，减少对周边环境及大气环境敏感目标的影响。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（2）地表水环境风险影响分析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本项目事故情况下，泄漏的液体物料泄漏到具有防渗功能的围堰内，同时项目周边无地表水体，与地表水体不发生水力联系。项目建设容积为 900m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的消防水池（收集消防废水）、400m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 xml:space="preserve"> </w:t>
      </w:r>
      <w:r>
        <w:rPr>
          <w:rFonts w:hint="eastAsia" w:ascii="Times New Roman" w:hAnsi="Times New Roman" w:eastAsia="宋体" w:cs="Times New Roman"/>
          <w:color w:val="auto"/>
          <w:sz w:val="24"/>
          <w:szCs w:val="24"/>
          <w:lang w:val="en-US" w:eastAsia="zh-CN"/>
        </w:rPr>
        <w:t>事故应急池及其导流系统，确保在事故状态下能顺利收集消防废水，与园区应急系统联防联控。通过以上措施，本项目消防废水可进入厂区事故应急池及消防水池，基本不会对周边地表水体造成影响。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（3）地下水环境风险影响分析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事故状况下，泄漏废水将对场地地下水环境造成明显不利影响。根据地下水流向，项目场地下游主要为未利用地，对周边村庄的地下水环境基本没有影响。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项目建成后，正常情况下对地下水的水质基本没有影响。企业应采取有效的措施防止污染物泄漏，按分区防渗级别的要求采取场地防渗措施，加强环境管理，维护环保设施的正常运行，杜绝非正常排放。</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5.3.6 环境风险管理</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5.3.6.1 环境风险管理目标</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环境风险管理目标是采用最低合理可行原则管控环境风险。采取的环境风险防范措施应与社会经济技术发展水平相适应，运用科学的技术手段和管理方法，对环境风险进行有效地预防、监控、响应。</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5.3.6.2 环境风险防范措施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（1）大气环境风险防范措施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1）选址、总图布置和建筑安全防范措施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道路、场地、通风、排洪应满足安全生产的要求。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加强对职工的风险防范意识教育，提高企业人员的风险意识和运行管理水平；</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生产车间、罐区应设置一定的安全防护距离，满足《建筑设计防火规范》等相关规范要求。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厂区管线应综合布置，生产单元内的管道布置应分别按《石油化工厂区管线综合设计规范》（SH/T3054-2005）、《化工装置管道布置设计规定》（HG/T20549-1998）的要求执行。管道的施工、验收焊接应符合《工业金属管道工程施工及验收规范》（GB50235-2010）和《现场设备、工业管道焊接工程施工规范》（GB50236-2011）的规定。</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⑤ 厂房建筑设计中，采取防爆泄压和通风措施，个别地方设防爆机械通风机，避免火灾爆炸危险物质和有毒物质积聚，并降温。</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2）罐区贮存安全防范措施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根据《储罐区防火堤设计规范》（GB50351-2014），对于固定顶罐，围堰内有效容积不应小于罐组内一个最大储罐的容量。此外，规范要求对罐区内排水沟设立正常排放和事故排放切换闸门，罐区内各雨水、污水管网的最终排放口与外部水体间安装截断装置并有切换到事故池的设施，防止突发事件时物料外泄。</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根据《石油化工企业设计防火标准（2018 年版）》（GB50160-2008）对可燃液体的地上储罐应设液位计和高液位报警器，必要时可设自动连锁切断进料装置的要求，建议按照上述要求，维护好液位计，使其指示准确，设置高液位报警器，并尽可能设置自动连锁切断进料装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围堰、隔堤应采取防渗措施，保证密实性；应采用非燃烧材料建造，并应能承受所容纳油品的静压力，且不应泄漏。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禁止明火，生产中动火要严格执行有关安全管理制度。常备干砂的量最好不少于 1 个贮罐容积。</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⑤ 按规定要求对储罐采取防火、防爆、防静电、防雷等措施，并设置有效的消防器材。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⑥ 硫酸、氨水及甲醇储存桶必须配备有专业知识的技术人员，库房及场所应设专人管理，管理人员必须配备可靠的个人安全防护用品。</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⑦装卸和使用硫酸时，操作人员应根据危险性，穿戴相应的防护用品。使用危险化学品的过程中，泄漏或渗漏的包装容器应迅速移至安全区域。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⑧ 对储运管理人员和技术人员必须进行有关法律、法规、规章和安全知识、专业技术、职业卫生防护和应急救援知识的培训，并经考核合格，才可上岗作业。</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⑨ 设立明显警示标志，并建立严格的值班保卫制度，防止人为蓄意破坏。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3）硫酸、氨水及甲醇储存桶的防范措施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储存于阴凉、通风的库房。库温不超过 30℃，相对湿度不超过 85%。持容器密封。应与碱类、胺类、碱金属、易（可）燃物分开存放，切忌混储。储区应备有泄漏应急处理设备和合适的收容材料。</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密闭操作，注意通风。操作尽可能机械化、自动化。操作人员必须经过专门培训，严格遵守操作规程。建议操作人员佩戴自吸过滤式防毒面具（全面罩），穿橡胶耐酸碱服，戴橡胶耐酸碱手套。远离易燃、可燃物。搬运时要轻装轻卸，防止包装及容器损坏。配备泄漏应急处理设备。倒空的容器可能残留，须交由有资质单位处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可能接触其烟雾时，佩戴自吸过滤式防毒面具（全面罩）或空气呼吸器。紧急事态抢救或撤离时，建议佩戴氧气呼吸器；穿橡胶耐酸碱服，戴橡胶耐酸碱手套。工作现场禁止吸烟、进食和饮水。工作完毕，淋浴更衣。单独存放被毒物污染的衣服，洗后备用。保持良好的卫生习惯。</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硫酸、氨水及甲醇贮存地点要设置明显的安全标志，仓间要保持阴凉、干燥、通风，应与易燃或可燃物、碱类、金属粉末等分开存放。储存桶要密封加盖，装有呼吸管，应设有计量装置，储存危险化学品时要保留 200~500mm 的空间。储存时间不宜太长。储存危险化学品周围要留有一定的安全空地，并设有泄漏危险化学品的处理装置。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4）工艺技术设计安全防范措施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根据项目的工艺流程危险因素类别和生产特点，进行防火、防爆、防腐蚀、防潮、防噪声、防静电等设计。</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选用高质量的设备、管件、阀门等，避免因设计不当引起腐蚀与泄漏。安装单位在安装过程中严格保证安装质量，生产单位在运行过程中严格操作管理和日常维护，严防生产、维修和储运过程中物料的跑冒滴漏发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接触有毒有害物质处设防护面具、氧气呼吸器、防护手套、防护眼镜、防护工作服等。</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5）运输过程风险防范措施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废弃油脂应当实行密闭化运输，运输工具应当符合环境卫生、安全和交通运输要求，运输途中不得遗漏。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选择有运输危险品资质的单位承担危险化学品的运输，汽车危险品运输严格遵守《汽车危险货物运输规则》、《道路危险货物运输管理规定》、《道路运输危险货物车辆标志》等相关规定。运送危险品的车辆在运管部门进行注册并受各级交通运输主管部门的监督管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运输车辆设 GPS 定位仪、车载电话、报警系统和防毒面具。危险物品运输车辆配备必要的事故急救设备和器材，如手提式灭火器、防毒面具、急救箱等。</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加强对车辆的管理，加强车检工作，保证上路车辆车况良好；所有从事化学危险货物运输的车辆，必须在车前醒目位置悬挂黄底黑字“危险品”字样的三角旗；严格禁止车辆超载。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⑤ 严格按照危险品运输的相关规定配备固定装运危险品的车辆和驾驶员，运输危险品车辆的驾驶员一定要经过专业的培训，运输危险品的车辆必须在运输道路上保持安全车速，严禁外来明火，同时还必须有随车人员负责押送，随车人员必须经过专业的培训，并经所在地区的市级人民政府交通部门考核合格，取得上岗证书。</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⑥ 运输危险化学品的驾驶员、装卸人员和押运人员必须了解所运载的危险化学品的性质、危害特性、包装容器的使用特性和发生意外时的应急措施。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⑦ 运输车辆在厂区道路上行驶时，必须严格遵守交通、消防、治安等法规。根据厂区道路的实际状况控制车速，保持与前车的安全距离。严禁违章超车，随意停车，并尽量避免紧急制动，确保行车安全。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⑧ 危险品运输路线尽可能远离厂区易燃易爆等区域。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⑨ 一旦发生危险品运输泄漏事故，由当事人或者目击者通过应急电话，立即通知应急办公室并采取必要、合理的减缓措施，应急办公室第一时间上报应急领导小组，确保在最短的时间内将事故控制，以减少对环境的危害。</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6）事故预警措施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选用先进的工艺技术和安全联锁报警装置，建立完整可靠的自动控制系统，监控整个工艺生产过程。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环评建议按照《石油化工企业可燃气体和有毒气体检测报警设计规范》在工艺装置区、危险物质贮存区等有可燃、有毒气体可能泄漏和积聚的场所设置可燃及有毒气体探测仪（要求具有自动报警功能），及时发现和处理气体泄漏事故。</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7）事故应急减缓措施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对可燃液体设备，应能将设备内的可燃液体抽送至储罐。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在重要生产岗位及车间附属的配电室及安全出口处均设置事故照明设施，应急照明由应急电源装置不间断供电，部分装置设有局部照明和检修照明。</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配备一定数量的消防技术装备、防护用具和堵漏设备。</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8）事故情况下人员疏散及安置措施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根据大气环境风险预测结果，在最不利气象条件下，最不利气象条件下泄漏后氯气达到毒性终点浓度-1 的下风向最大距离为 580m，达到毒性终点浓度-2 的下风向最大距离为 1130m，各点的预测浓度均未超过评价标准。评价针对厂区内人员及评价区主要环境敏感点提出以下人员疏散及安置措施：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在厂区内设置风向标，以便在事故状态进行有效的疏散和撤离。</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发生的事故可能对厂区内人员安全构成威胁时，必须在应急领导小组的统一指挥下，负责疏散与事故应急救援无关的人员，安全疏散地点是处于事故现场上风方向，且不受燃烧、爆炸、有毒气体泄漏扩散等影响。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疏散指挥人员首先应确定在此次事故中疏散的方向，然后，按照疏散示意图标识的路线疏散人员。</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厂区需设置应急疏散集合点，集合点和疏散路线应设置明显标志，提供充足的照明设施，使每个相关者都应熟悉其位置。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⑤ 项目设 2 个出入口，均位于厂区西侧，靠近园区道路，事故状态下人员可从厂区西侧出入口撤离，撤离人员撤离路线原则上撤离至园区道路集合地，然后疏散至上风向。</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⑥ 应急领导小组根据事故实际需要，设置数量和质量满足相关要求的临时安置场所。临时安置场应处于事故现场上风方向，且不受燃烧、爆炸、有毒气体泄漏扩散等影响。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（2）地下水环境及土壤影响事故防范措施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本项目应按照“源头控制、分区防治、污染监控、应急响应”相结合的原则从污染物的产生、入渗、扩散、应急响应进行控制，应尽量防止管道、设备以及各工艺车间的废水产生区、厂区污水存储及处理区等产生跑冒滴漏情况。</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2）保证废水收集、输送及处理设施正常运行。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3）对于输送硫酸、氨水及甲醇等化学物料的区域应设置围堰，围堰的容积应能够容纳装置系统的全部容积，其围堰和地面应作防腐和防渗处理。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4）罐区设置围堰，围堰高度 1.2m，并保障围堰内废水能够自流入厂区设置的消防水池及事故应急池。罐区设置围堰的大小、容量应满足相关设计规范，罐区内进料、出料管道及排水管道均应设截断阀，围堰有效容积不宜小于罐组内 1 个最大储罐的容积。</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5）制定合理的运输路线，避免经过河流、水库及饮用水源保护区，同时建立运输设备的维护与保养的规章制度。</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6）为了防止物料泄漏到地面，对于存储和输送有毒有害介质的设备和管线排液阀门应设为双阀，设备及管道排放出的各种含有毒有害介质液体，应加以收集，不得任意排放。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7）对于阶梯式布置装置区域，阶梯间应设有防止泄漏液体漫流的措施。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8）对于机泵基础周边应设置废液收集设施，确保泄漏物料统一收集至处理系统。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当发生有毒物料泄漏时，应根据事故级别启动应急预案。当比空气重的易挥发易燃液体泄漏采用喷雾状水稀释或大水量冲洗等方法处理时，应构筑临时围堤收容产生的大量废水，收集后的废水应进入废水处理系统处理，不外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10）当装置发生火灾或爆炸时，应根据事故级别启动应急预案。因救火产生的大量消防水，应及时收集进入消防水池及事故应急池，不外排。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（3）事故废水环境风险防范措施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本项目事故情况下会有泄漏物料、污染消防水、污染雨水等产生。为确保事故废水不外排，评价提出“单元--厂区--园区/区域”的环境风险三级防控体系要求。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1）一级防控设施（罐区围堰）</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在储罐四周设置围堰，围堰的有效容积不应小于罐组内一个最大储罐的容量，可使泄漏的物料可以完全限制在围堰内。</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围堰应按要求进行防腐、防渗处置；储罐设液位计或高、低液位报警器。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罐区应有明显的安全标志和标识，每个储罐应有标明名称储存物品、容积、危险特性和灭火方法的标识。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罐区内排水沟设立正常排放和事故排放切换闸门，罐区内各雨水、污水管网的最终排放口与外部水体间安装截断装置并有切换到事故池的设施，防止突发事件时物料外泄。</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2）二级防控设施（事故应急池、消防水池）</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厂区建设一座容积 900m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 xml:space="preserve"> 的消防水池及 400m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 xml:space="preserve"> 的事故应急池，应将事故状态下产生的消防废水、污染雨水等集中收集至消防水池及事故应急池，并经废水处理站集中处理，不得随意外排。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3）三级防控设施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依托园区的事故废水防控体系。</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（4）区域环境风险防控联动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考虑事故触发具有不确定性，厂内环境风险防控系统应纳入园区环境风险防控体系，风险防控设施、管理应与园区环境风险应急系统相衔接，与园区及周边企业的环境风险防控设施起到有效联动，确保在极端事故发生时，项目风险防控及应急处置不能及时处理事故的情况下，能按分级响应要求及时启动园区及周边企业环境风险防范措施，有效防控环境风险，将环境风险控制在可接受范围内。</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5.3.6.3 应急预案</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项目建设完成后尽快组织开展突发环境事件应急预案的编制工作，并报送当地生态环境主管部门备案，并定期演练。项目环境风险应急应与呼图壁工业园西区进行有效联防联控。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应急预案应按照国家、地方和相关部门要求进行编制，应急预案应明确企业、园区/区域、地方政府环境风险应急体系。企业突发环境事件应急预案应体现分级响应、区域联动的原则，与地方政府突发环境事件应急预案相衔接，明确分级响应程序。基本内容见表 5.3.6-1。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5.3.6-1   应急预案内容</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3"/>
        <w:gridCol w:w="2569"/>
        <w:gridCol w:w="46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9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项目</w:t>
            </w:r>
          </w:p>
        </w:tc>
        <w:tc>
          <w:tcPr>
            <w:tcW w:w="15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内容及要求</w:t>
            </w:r>
          </w:p>
        </w:tc>
        <w:tc>
          <w:tcPr>
            <w:tcW w:w="2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应急计划区</w:t>
            </w:r>
          </w:p>
        </w:tc>
        <w:tc>
          <w:tcPr>
            <w:tcW w:w="15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危险目标：生产区、输送去、环境保护目标</w:t>
            </w:r>
          </w:p>
        </w:tc>
        <w:tc>
          <w:tcPr>
            <w:tcW w:w="2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项目周围5km范围内的人群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应急组织机构、人员</w:t>
            </w:r>
          </w:p>
        </w:tc>
        <w:tc>
          <w:tcPr>
            <w:tcW w:w="15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工厂、地区应急组织机构、人员</w:t>
            </w:r>
          </w:p>
        </w:tc>
        <w:tc>
          <w:tcPr>
            <w:tcW w:w="2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事故应急指挥领导小组，由总经理、分管副总及生产运行处、环保安全处等部门、应急工作支持部门、现场指挥部等机构组成，发生事故时，总经理任总指挥、分管副总任副总指挥，负责全厂应急救援工作的组织和指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预案分级响应条件</w:t>
            </w:r>
          </w:p>
        </w:tc>
        <w:tc>
          <w:tcPr>
            <w:tcW w:w="15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规定预案的级别及分级响应程序。</w:t>
            </w:r>
          </w:p>
        </w:tc>
        <w:tc>
          <w:tcPr>
            <w:tcW w:w="2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根据事故的严重程度，将突发事故分为一般事故、重大事故和特别重大事故三级，相应的应急预案级别也划分为 一、二、三级，分别为：一般事故对应一级响应、重大事故对应二级响应、特别重大事故对应三级响应，采取相应的响应措施。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应急救援保障</w:t>
            </w:r>
          </w:p>
        </w:tc>
        <w:tc>
          <w:tcPr>
            <w:tcW w:w="15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应急设施、设备与器材等</w:t>
            </w:r>
          </w:p>
        </w:tc>
        <w:tc>
          <w:tcPr>
            <w:tcW w:w="2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根据总体预案切实做好应对风险事故的人力、物力、财力、交通运输、医疗卫生及通信保障等工作，保证应急救援工作的需要。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报警、通讯联络方式</w:t>
            </w:r>
          </w:p>
        </w:tc>
        <w:tc>
          <w:tcPr>
            <w:tcW w:w="15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规定应急状态下的报警通讯方式、通知方式和交通保障、管制。</w:t>
            </w:r>
          </w:p>
        </w:tc>
        <w:tc>
          <w:tcPr>
            <w:tcW w:w="2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厂内报警系统采用警报器、广播和无线、有线电话的方式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应急环境监测、抢险、救援及控制措施</w:t>
            </w:r>
          </w:p>
        </w:tc>
        <w:tc>
          <w:tcPr>
            <w:tcW w:w="15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由专业队伍负责对事故现场进行侦察监测，对事故性质、参数与后果进行评估，为指挥部门提供决策依据 。</w:t>
            </w:r>
          </w:p>
        </w:tc>
        <w:tc>
          <w:tcPr>
            <w:tcW w:w="2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由当地监测站负责现场及周边的应急监测，并根据事故的类型、规模及时判断和确定出环境风险污染危害程度，及时向当地环保部门提出申请，积极配合，在影响范围区域内合理布点，进行跟踪监测，提出监测报告及事故后果评价报告，作为事故善后处理的参考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应急检测、防护措施、消除泄漏措施和器材</w:t>
            </w:r>
          </w:p>
        </w:tc>
        <w:tc>
          <w:tcPr>
            <w:tcW w:w="15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事故现场、邻近区域、控制防火区域，控制和清除污染措施及相应设备。</w:t>
            </w:r>
          </w:p>
        </w:tc>
        <w:tc>
          <w:tcPr>
            <w:tcW w:w="2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事故现场：控制事故，防止扩大、蔓延及连锁反应。清除现场泄漏物，降低危害，相应的设施器材配备；邻近区域：控制防火区域，控制和清除污染措施及相应设备配备。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人员紧急撤离、疏散，应急质量控制、撤离组织计划</w:t>
            </w:r>
          </w:p>
        </w:tc>
        <w:tc>
          <w:tcPr>
            <w:tcW w:w="15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事故现场、工厂邻近区、受事故影响的区域人员及公众对毒物应急剂量控制规定，撤离组织计划及救护，医疗救护与公众健康。</w:t>
            </w:r>
          </w:p>
        </w:tc>
        <w:tc>
          <w:tcPr>
            <w:tcW w:w="2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事故应急救援关闭程序与恢复措施</w:t>
            </w:r>
          </w:p>
        </w:tc>
        <w:tc>
          <w:tcPr>
            <w:tcW w:w="15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规定应急状态终止程序，事故现场善后处理，恢复措施。邻近区域解除事故警戒及善后恢复措施。</w:t>
            </w:r>
          </w:p>
        </w:tc>
        <w:tc>
          <w:tcPr>
            <w:tcW w:w="2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当事故源关闭，险情被控制消除后，关闭事故应急救援程序；对事故现场善后处理，恢复措施；邻近区域解除事故警戒及善后恢复措施。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应急培训计划</w:t>
            </w:r>
          </w:p>
        </w:tc>
        <w:tc>
          <w:tcPr>
            <w:tcW w:w="15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应急计划制定后，平时安排人员培训与演练。</w:t>
            </w:r>
          </w:p>
        </w:tc>
        <w:tc>
          <w:tcPr>
            <w:tcW w:w="2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公众教育和信息</w:t>
            </w:r>
          </w:p>
        </w:tc>
        <w:tc>
          <w:tcPr>
            <w:tcW w:w="15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对工厂邻近地区开展公众教育、培训和发布有关信息。</w:t>
            </w:r>
          </w:p>
        </w:tc>
        <w:tc>
          <w:tcPr>
            <w:tcW w:w="2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5.3.7 环境风险评价结论与建议</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5.3.7.1 项目危险因素</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主要危险单元主要是生产车间、罐区等，主要危险物质有硫酸、氨水及甲醇；易燃物质有皂脚、油类加工产品等。本项目主要考虑罐区油类加工产品储罐火灾伴生/次生污染物一氧化碳在大气中的扩散对大气环境的影响。</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5.3.7.2 环境敏感性及事故环境影响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本项目环境敏感程度为中度敏感区，项目火灾次生污染物 CO 扩散事故发生后，CO 达到毒性终点浓度-1 的下风向最大距离为 580m，达到毒性终点浓度-2 的下风向最大距离为 1130m。影响范围内无环境敏感目标。</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5.3.7.3 环境风险防范措施和应急预案</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项目环境风险生产场所配备灭火器等消防措施，及时灭火，减缓火灾影响；建设容积为 900m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 xml:space="preserve"> 的消防水池（收集消防废水）、400m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 xml:space="preserve"> 的应急事故池及其导流系统，确保在事故状态下。能顺利收集消防废水。要求项目建成后按相关要求编制突发环境事件应急预案。</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5.3.7.4 环境风险评价结论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根据预测结果，项目风险事故影响范围主要为厂区员工及项目厂区周边道路路过人员，各关心点危险物质最大浓度均未达到毒性终点浓度 -1 和毒性终点浓度 -2，关心点处人员在无防护措施条件下不会对生命造成威胁，本项目环境风险可防控。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本项目储罐火灾后毒性终点浓度影响范围主要在厂区范围内，要求公司加强对生产车间风险防范，培训员工风险防范及应急处理处置、逃生技能。本项目环境风险简单分析内容见下表。</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b w:val="0"/>
          <w:bCs/>
          <w:color w:val="auto"/>
          <w:spacing w:val="0"/>
          <w:sz w:val="24"/>
          <w:szCs w:val="20"/>
          <w:highlight w:val="none"/>
          <w:lang w:val="en-US" w:eastAsia="zh-CN"/>
        </w:rPr>
      </w:pPr>
      <w:r>
        <w:rPr>
          <w:rFonts w:hint="eastAsia" w:ascii="Times New Roman" w:hAnsi="Times New Roman" w:cs="Times New Roman"/>
          <w:b/>
          <w:bCs/>
          <w:color w:val="auto"/>
          <w:spacing w:val="0"/>
          <w:sz w:val="24"/>
          <w:szCs w:val="24"/>
          <w:highlight w:val="none"/>
          <w:lang w:eastAsia="zh-CN"/>
        </w:rPr>
        <w:t>表</w:t>
      </w:r>
      <w:r>
        <w:rPr>
          <w:rFonts w:hint="eastAsia" w:ascii="Times New Roman" w:hAnsi="Times New Roman" w:cs="Times New Roman"/>
          <w:b/>
          <w:bCs/>
          <w:color w:val="auto"/>
          <w:spacing w:val="0"/>
          <w:sz w:val="24"/>
          <w:szCs w:val="24"/>
          <w:highlight w:val="none"/>
          <w:lang w:val="en-US" w:eastAsia="zh-CN"/>
        </w:rPr>
        <w:t xml:space="preserve"> 5.3.7-1   建设项目环境风险简单分析内容表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5"/>
        <w:gridCol w:w="1472"/>
        <w:gridCol w:w="1603"/>
        <w:gridCol w:w="832"/>
        <w:gridCol w:w="1127"/>
        <w:gridCol w:w="13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6" w:type="pct"/>
            <w:shd w:val="clear" w:color="auto" w:fill="FEFEF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vertAlign w:val="baseline"/>
                <w:lang w:eastAsia="zh-CN"/>
              </w:rPr>
            </w:pPr>
            <w:r>
              <w:rPr>
                <w:rFonts w:hint="default" w:ascii="Times New Roman" w:hAnsi="Times New Roman" w:eastAsia="宋体" w:cs="Times New Roman"/>
                <w:color w:val="auto"/>
                <w:spacing w:val="0"/>
                <w:sz w:val="21"/>
                <w:szCs w:val="21"/>
                <w:highlight w:val="none"/>
                <w:vertAlign w:val="baseline"/>
                <w:lang w:eastAsia="zh-CN"/>
              </w:rPr>
              <w:t>建设项目名称</w:t>
            </w:r>
          </w:p>
        </w:tc>
        <w:tc>
          <w:tcPr>
            <w:tcW w:w="3753" w:type="pct"/>
            <w:gridSpan w:val="5"/>
            <w:shd w:val="clear" w:color="auto" w:fill="FEFEF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新疆嘉宏生物科技有限公司废弃动植物油脂等资源循环再利用项目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6" w:type="pct"/>
            <w:tcBorders>
              <w:tl2br w:val="nil"/>
              <w:tr2bl w:val="nil"/>
            </w:tcBorders>
            <w:shd w:val="clear" w:color="auto" w:fill="FEFEF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vertAlign w:val="baseline"/>
                <w:lang w:eastAsia="zh-CN"/>
              </w:rPr>
            </w:pPr>
            <w:r>
              <w:rPr>
                <w:rFonts w:hint="default" w:ascii="Times New Roman" w:hAnsi="Times New Roman" w:eastAsia="宋体" w:cs="Times New Roman"/>
                <w:color w:val="auto"/>
                <w:spacing w:val="0"/>
                <w:sz w:val="21"/>
                <w:szCs w:val="21"/>
                <w:highlight w:val="none"/>
                <w:vertAlign w:val="baseline"/>
                <w:lang w:eastAsia="zh-CN"/>
              </w:rPr>
              <w:t>建设地点</w:t>
            </w:r>
          </w:p>
        </w:tc>
        <w:tc>
          <w:tcPr>
            <w:tcW w:w="863" w:type="pct"/>
            <w:tcBorders>
              <w:tl2br w:val="nil"/>
              <w:tr2bl w:val="nil"/>
            </w:tcBorders>
            <w:shd w:val="clear" w:color="auto" w:fill="FEFEF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vertAlign w:val="baseline"/>
                <w:lang w:eastAsia="zh-CN"/>
              </w:rPr>
            </w:pPr>
            <w:r>
              <w:rPr>
                <w:rFonts w:hint="default" w:ascii="Times New Roman" w:hAnsi="Times New Roman" w:eastAsia="宋体" w:cs="Times New Roman"/>
                <w:color w:val="auto"/>
                <w:spacing w:val="0"/>
                <w:sz w:val="21"/>
                <w:szCs w:val="21"/>
                <w:highlight w:val="none"/>
                <w:vertAlign w:val="baseline"/>
                <w:lang w:eastAsia="zh-CN"/>
              </w:rPr>
              <w:t>新疆</w:t>
            </w:r>
            <w:r>
              <w:rPr>
                <w:rFonts w:hint="default" w:ascii="Times New Roman" w:hAnsi="Times New Roman" w:eastAsia="宋体" w:cs="Times New Roman"/>
                <w:color w:val="auto"/>
                <w:spacing w:val="0"/>
                <w:sz w:val="21"/>
                <w:szCs w:val="21"/>
                <w:highlight w:val="none"/>
                <w:vertAlign w:val="baseline"/>
                <w:lang w:val="en-US" w:eastAsia="zh-CN"/>
              </w:rPr>
              <w:t>维吾尔自治区</w:t>
            </w:r>
          </w:p>
        </w:tc>
        <w:tc>
          <w:tcPr>
            <w:tcW w:w="940" w:type="pct"/>
            <w:tcBorders>
              <w:tl2br w:val="nil"/>
              <w:tr2bl w:val="nil"/>
            </w:tcBorders>
            <w:shd w:val="clear" w:color="auto" w:fill="FEFEF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昌吉回族自治州</w:t>
            </w:r>
          </w:p>
        </w:tc>
        <w:tc>
          <w:tcPr>
            <w:tcW w:w="488" w:type="pct"/>
            <w:tcBorders>
              <w:tl2br w:val="nil"/>
              <w:tr2bl w:val="nil"/>
            </w:tcBorders>
            <w:shd w:val="clear" w:color="auto" w:fill="FEFEF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vertAlign w:val="baseline"/>
                <w:lang w:eastAsia="zh-CN"/>
              </w:rPr>
            </w:pPr>
            <w:r>
              <w:rPr>
                <w:rFonts w:hint="default" w:ascii="Times New Roman" w:hAnsi="Times New Roman" w:eastAsia="宋体" w:cs="Times New Roman"/>
                <w:color w:val="auto"/>
                <w:spacing w:val="0"/>
                <w:sz w:val="21"/>
                <w:szCs w:val="21"/>
                <w:highlight w:val="none"/>
                <w:vertAlign w:val="baseline"/>
                <w:lang w:eastAsia="zh-CN"/>
              </w:rPr>
              <w:t>（</w:t>
            </w:r>
            <w:r>
              <w:rPr>
                <w:rFonts w:hint="eastAsia" w:ascii="Times New Roman" w:hAnsi="Times New Roman" w:eastAsia="宋体" w:cs="Times New Roman"/>
                <w:color w:val="auto"/>
                <w:spacing w:val="0"/>
                <w:sz w:val="21"/>
                <w:szCs w:val="21"/>
                <w:highlight w:val="none"/>
                <w:vertAlign w:val="baseline"/>
                <w:lang w:val="en-US" w:eastAsia="zh-CN"/>
              </w:rPr>
              <w:t>/</w:t>
            </w:r>
            <w:r>
              <w:rPr>
                <w:rFonts w:hint="default" w:ascii="Times New Roman" w:hAnsi="Times New Roman" w:eastAsia="宋体" w:cs="Times New Roman"/>
                <w:color w:val="auto"/>
                <w:spacing w:val="0"/>
                <w:sz w:val="21"/>
                <w:szCs w:val="21"/>
                <w:highlight w:val="none"/>
                <w:vertAlign w:val="baseline"/>
                <w:lang w:eastAsia="zh-CN"/>
              </w:rPr>
              <w:t>）区</w:t>
            </w:r>
          </w:p>
        </w:tc>
        <w:tc>
          <w:tcPr>
            <w:tcW w:w="661" w:type="pct"/>
            <w:tcBorders>
              <w:tl2br w:val="nil"/>
              <w:tr2bl w:val="nil"/>
            </w:tcBorders>
            <w:shd w:val="clear" w:color="auto" w:fill="FEFEF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vertAlign w:val="baseline"/>
                <w:lang w:eastAsia="zh-CN"/>
              </w:rPr>
            </w:pPr>
            <w:r>
              <w:rPr>
                <w:rFonts w:hint="default" w:ascii="Times New Roman" w:hAnsi="Times New Roman" w:eastAsia="宋体" w:cs="Times New Roman"/>
                <w:color w:val="auto"/>
                <w:spacing w:val="0"/>
                <w:sz w:val="21"/>
                <w:szCs w:val="21"/>
                <w:highlight w:val="none"/>
                <w:vertAlign w:val="baseline"/>
                <w:lang w:eastAsia="zh-CN"/>
              </w:rPr>
              <w:t>（</w:t>
            </w:r>
            <w:r>
              <w:rPr>
                <w:rFonts w:hint="eastAsia" w:ascii="Times New Roman" w:hAnsi="Times New Roman" w:eastAsia="宋体" w:cs="Times New Roman"/>
                <w:color w:val="auto"/>
                <w:spacing w:val="0"/>
                <w:sz w:val="21"/>
                <w:szCs w:val="21"/>
                <w:highlight w:val="none"/>
                <w:vertAlign w:val="baseline"/>
                <w:lang w:val="en-US" w:eastAsia="zh-CN"/>
              </w:rPr>
              <w:t>呼图壁县</w:t>
            </w:r>
            <w:r>
              <w:rPr>
                <w:rFonts w:hint="default" w:ascii="Times New Roman" w:hAnsi="Times New Roman" w:eastAsia="宋体" w:cs="Times New Roman"/>
                <w:color w:val="auto"/>
                <w:spacing w:val="0"/>
                <w:sz w:val="21"/>
                <w:szCs w:val="21"/>
                <w:highlight w:val="none"/>
                <w:vertAlign w:val="baseline"/>
                <w:lang w:eastAsia="zh-CN"/>
              </w:rPr>
              <w:t>）县</w:t>
            </w:r>
          </w:p>
        </w:tc>
        <w:tc>
          <w:tcPr>
            <w:tcW w:w="799" w:type="pct"/>
            <w:tcBorders>
              <w:tl2br w:val="nil"/>
              <w:tr2bl w:val="nil"/>
            </w:tcBorders>
            <w:shd w:val="clear" w:color="auto" w:fill="FEFEF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vertAlign w:val="baseline"/>
                <w:lang w:eastAsia="zh-CN"/>
              </w:rPr>
            </w:pPr>
            <w:r>
              <w:rPr>
                <w:rFonts w:hint="default" w:ascii="Times New Roman" w:hAnsi="Times New Roman" w:eastAsia="宋体" w:cs="Times New Roman"/>
                <w:color w:val="auto"/>
                <w:spacing w:val="0"/>
                <w:sz w:val="21"/>
                <w:szCs w:val="21"/>
                <w:highlight w:val="none"/>
                <w:vertAlign w:val="baseline"/>
                <w:lang w:eastAsia="zh-CN"/>
              </w:rPr>
              <w:t>（</w:t>
            </w:r>
            <w:r>
              <w:rPr>
                <w:rFonts w:hint="eastAsia" w:ascii="Times New Roman" w:hAnsi="Times New Roman" w:eastAsia="宋体" w:cs="Times New Roman"/>
                <w:color w:val="auto"/>
                <w:spacing w:val="0"/>
                <w:sz w:val="21"/>
                <w:szCs w:val="21"/>
                <w:highlight w:val="none"/>
                <w:vertAlign w:val="baseline"/>
                <w:lang w:val="en-US" w:eastAsia="zh-CN"/>
              </w:rPr>
              <w:t>呼图壁工业园西</w:t>
            </w:r>
            <w:r>
              <w:rPr>
                <w:rFonts w:hint="default" w:ascii="Times New Roman" w:hAnsi="Times New Roman" w:eastAsia="宋体" w:cs="Times New Roman"/>
                <w:color w:val="auto"/>
                <w:spacing w:val="0"/>
                <w:sz w:val="21"/>
                <w:szCs w:val="21"/>
                <w:highlight w:val="none"/>
                <w:vertAlign w:val="baseline"/>
                <w:lang w:eastAsia="zh-CN"/>
              </w:rPr>
              <w:t>）区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6" w:type="pct"/>
            <w:tcBorders>
              <w:tl2br w:val="nil"/>
              <w:tr2bl w:val="nil"/>
            </w:tcBorders>
            <w:shd w:val="clear" w:color="auto" w:fill="FEFEF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vertAlign w:val="baseline"/>
                <w:lang w:eastAsia="zh-CN"/>
              </w:rPr>
            </w:pPr>
            <w:r>
              <w:rPr>
                <w:rFonts w:hint="default" w:ascii="Times New Roman" w:hAnsi="Times New Roman" w:eastAsia="宋体" w:cs="Times New Roman"/>
                <w:color w:val="auto"/>
                <w:spacing w:val="0"/>
                <w:sz w:val="21"/>
                <w:szCs w:val="21"/>
                <w:highlight w:val="none"/>
                <w:vertAlign w:val="baseline"/>
                <w:lang w:eastAsia="zh-CN"/>
              </w:rPr>
              <w:t>地理坐标</w:t>
            </w:r>
          </w:p>
        </w:tc>
        <w:tc>
          <w:tcPr>
            <w:tcW w:w="863" w:type="pct"/>
            <w:tcBorders>
              <w:tl2br w:val="nil"/>
              <w:tr2bl w:val="nil"/>
            </w:tcBorders>
            <w:shd w:val="clear" w:color="auto" w:fill="FEFEF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vertAlign w:val="baseline"/>
                <w:lang w:eastAsia="zh-CN"/>
              </w:rPr>
            </w:pPr>
            <w:r>
              <w:rPr>
                <w:rFonts w:hint="default" w:ascii="Times New Roman" w:hAnsi="Times New Roman" w:eastAsia="宋体" w:cs="Times New Roman"/>
                <w:color w:val="auto"/>
                <w:spacing w:val="0"/>
                <w:sz w:val="21"/>
                <w:szCs w:val="21"/>
                <w:highlight w:val="none"/>
                <w:vertAlign w:val="baseline"/>
                <w:lang w:eastAsia="zh-CN"/>
              </w:rPr>
              <w:t>经度</w:t>
            </w:r>
          </w:p>
        </w:tc>
        <w:tc>
          <w:tcPr>
            <w:tcW w:w="940" w:type="pct"/>
            <w:tcBorders>
              <w:tl2br w:val="nil"/>
              <w:tr2bl w:val="nil"/>
            </w:tcBorders>
            <w:shd w:val="clear" w:color="auto" w:fill="FEFEF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E86°35'13.264"</w:t>
            </w:r>
          </w:p>
        </w:tc>
        <w:tc>
          <w:tcPr>
            <w:tcW w:w="488" w:type="pct"/>
            <w:tcBorders>
              <w:tl2br w:val="nil"/>
              <w:tr2bl w:val="nil"/>
            </w:tcBorders>
            <w:shd w:val="clear" w:color="auto" w:fill="FEFEF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vertAlign w:val="baseline"/>
                <w:lang w:eastAsia="zh-CN"/>
              </w:rPr>
            </w:pPr>
            <w:r>
              <w:rPr>
                <w:rFonts w:hint="default" w:ascii="Times New Roman" w:hAnsi="Times New Roman" w:eastAsia="宋体" w:cs="Times New Roman"/>
                <w:color w:val="auto"/>
                <w:spacing w:val="0"/>
                <w:sz w:val="21"/>
                <w:szCs w:val="21"/>
                <w:highlight w:val="none"/>
                <w:vertAlign w:val="baseline"/>
                <w:lang w:eastAsia="zh-CN"/>
              </w:rPr>
              <w:t>纬度</w:t>
            </w:r>
          </w:p>
        </w:tc>
        <w:tc>
          <w:tcPr>
            <w:tcW w:w="1460" w:type="pct"/>
            <w:gridSpan w:val="2"/>
            <w:tcBorders>
              <w:tl2br w:val="nil"/>
              <w:tr2bl w:val="nil"/>
            </w:tcBorders>
            <w:shd w:val="clear" w:color="auto" w:fill="FEFEF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N44°16'43.095</w:t>
            </w:r>
            <w:r>
              <w:rPr>
                <w:rFonts w:hint="eastAsia" w:ascii="Times New Roman" w:hAnsi="Times New Roman" w:eastAsia="宋体" w:cs="Times New Roman"/>
                <w:color w:val="auto"/>
                <w:spacing w:val="0"/>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6" w:type="pct"/>
            <w:tcBorders>
              <w:tl2br w:val="nil"/>
              <w:tr2bl w:val="nil"/>
            </w:tcBorders>
            <w:shd w:val="clear" w:color="auto" w:fill="FEFEF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vertAlign w:val="baseline"/>
                <w:lang w:eastAsia="zh-CN"/>
              </w:rPr>
            </w:pPr>
            <w:r>
              <w:rPr>
                <w:rFonts w:hint="default" w:ascii="Times New Roman" w:hAnsi="Times New Roman" w:eastAsia="宋体" w:cs="Times New Roman"/>
                <w:color w:val="auto"/>
                <w:spacing w:val="0"/>
                <w:sz w:val="21"/>
                <w:szCs w:val="21"/>
                <w:highlight w:val="none"/>
                <w:vertAlign w:val="baseline"/>
                <w:lang w:eastAsia="zh-CN"/>
              </w:rPr>
              <w:t>主要危险物质及分布</w:t>
            </w:r>
          </w:p>
        </w:tc>
        <w:tc>
          <w:tcPr>
            <w:tcW w:w="3753" w:type="pct"/>
            <w:gridSpan w:val="5"/>
            <w:tcBorders>
              <w:tl2br w:val="nil"/>
              <w:tr2bl w:val="nil"/>
            </w:tcBorders>
            <w:shd w:val="clear" w:color="auto" w:fill="FEFEFE"/>
            <w:noWrap w:val="0"/>
            <w:vAlign w:val="center"/>
          </w:tcPr>
          <w:p>
            <w:pPr>
              <w:pStyle w:val="51"/>
              <w:keepNext w:val="0"/>
              <w:keepLines w:val="0"/>
              <w:pageBreakBefore w:val="0"/>
              <w:widowControl w:val="0"/>
              <w:kinsoku/>
              <w:overflowPunct/>
              <w:topLinePunct w:val="0"/>
              <w:autoSpaceDE/>
              <w:autoSpaceDN/>
              <w:bidi w:val="0"/>
              <w:rPr>
                <w:rFonts w:hint="default" w:ascii="Times New Roman" w:hAnsi="Times New Roman" w:eastAsia="宋体" w:cs="Times New Roman"/>
                <w:color w:val="auto"/>
                <w:spacing w:val="0"/>
                <w:sz w:val="21"/>
                <w:szCs w:val="21"/>
                <w:highlight w:val="none"/>
                <w:vertAlign w:val="baseline"/>
                <w:lang w:eastAsia="zh-CN"/>
              </w:rPr>
            </w:pPr>
            <w:r>
              <w:rPr>
                <w:rFonts w:hint="default" w:ascii="Times New Roman" w:hAnsi="Times New Roman" w:eastAsia="宋体" w:cs="Times New Roman"/>
                <w:color w:val="auto"/>
                <w:spacing w:val="0"/>
                <w:sz w:val="21"/>
                <w:szCs w:val="21"/>
              </w:rPr>
              <w:t>本项目涉及危险物质</w:t>
            </w:r>
            <w:r>
              <w:rPr>
                <w:rFonts w:hint="eastAsia" w:ascii="Times New Roman" w:hAnsi="Times New Roman" w:eastAsia="宋体" w:cs="Times New Roman"/>
                <w:color w:val="auto"/>
                <w:spacing w:val="0"/>
                <w:sz w:val="21"/>
                <w:szCs w:val="21"/>
                <w:lang w:val="en-US" w:eastAsia="zh-CN"/>
              </w:rPr>
              <w:t>主要为氨水、甲醇</w:t>
            </w:r>
            <w:r>
              <w:rPr>
                <w:rFonts w:hint="eastAsia" w:cs="Times New Roman"/>
                <w:color w:val="auto"/>
                <w:spacing w:val="0"/>
                <w:sz w:val="21"/>
                <w:szCs w:val="21"/>
                <w:lang w:val="en-US" w:eastAsia="zh-CN"/>
              </w:rPr>
              <w:t>硫酸</w:t>
            </w:r>
            <w:r>
              <w:rPr>
                <w:rFonts w:hint="eastAsia" w:ascii="Times New Roman" w:hAnsi="Times New Roman" w:eastAsia="宋体" w:cs="Times New Roman"/>
                <w:color w:val="auto"/>
                <w:spacing w:val="0"/>
                <w:sz w:val="21"/>
                <w:szCs w:val="21"/>
                <w:lang w:val="en-US" w:eastAsia="zh-CN"/>
              </w:rPr>
              <w:t>及废机油。其中氨水、甲醇、</w:t>
            </w:r>
            <w:r>
              <w:rPr>
                <w:rFonts w:hint="eastAsia" w:cs="Times New Roman"/>
                <w:color w:val="auto"/>
                <w:spacing w:val="0"/>
                <w:sz w:val="21"/>
                <w:szCs w:val="21"/>
                <w:lang w:val="en-US" w:eastAsia="zh-CN"/>
              </w:rPr>
              <w:t>硫酸</w:t>
            </w:r>
            <w:r>
              <w:rPr>
                <w:rFonts w:hint="eastAsia" w:ascii="Times New Roman" w:hAnsi="Times New Roman" w:eastAsia="宋体" w:cs="Times New Roman"/>
                <w:color w:val="auto"/>
                <w:spacing w:val="0"/>
                <w:sz w:val="21"/>
                <w:szCs w:val="21"/>
                <w:lang w:val="en-US" w:eastAsia="zh-CN"/>
              </w:rPr>
              <w:t>采用专用桶装放置于车间内的原料储存区，废机油储存于厂区危废暂存间内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6" w:type="pct"/>
            <w:tcBorders>
              <w:tl2br w:val="nil"/>
              <w:tr2bl w:val="nil"/>
            </w:tcBorders>
            <w:shd w:val="clear" w:color="auto" w:fill="FEFEF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vertAlign w:val="baseline"/>
                <w:lang w:eastAsia="zh-CN"/>
              </w:rPr>
            </w:pPr>
            <w:r>
              <w:rPr>
                <w:rFonts w:hint="default" w:ascii="Times New Roman" w:hAnsi="Times New Roman" w:eastAsia="宋体" w:cs="Times New Roman"/>
                <w:color w:val="auto"/>
                <w:spacing w:val="0"/>
                <w:sz w:val="21"/>
                <w:szCs w:val="21"/>
                <w:highlight w:val="none"/>
                <w:vertAlign w:val="baseline"/>
                <w:lang w:eastAsia="zh-CN"/>
              </w:rPr>
              <w:t>环境影响途径及危害后果（大气、地表水、地下水等）</w:t>
            </w:r>
          </w:p>
        </w:tc>
        <w:tc>
          <w:tcPr>
            <w:tcW w:w="3753" w:type="pct"/>
            <w:gridSpan w:val="5"/>
            <w:tcBorders>
              <w:tl2br w:val="nil"/>
              <w:tr2bl w:val="nil"/>
            </w:tcBorders>
            <w:shd w:val="clear" w:color="auto" w:fill="FEFEF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大气途径：</w:t>
            </w:r>
            <w:r>
              <w:rPr>
                <w:rFonts w:hint="default" w:ascii="Times New Roman" w:hAnsi="Times New Roman" w:eastAsia="宋体" w:cs="Times New Roman"/>
                <w:color w:val="auto"/>
                <w:spacing w:val="0"/>
                <w:sz w:val="21"/>
                <w:szCs w:val="21"/>
                <w:lang w:val="en-US" w:eastAsia="zh-CN"/>
              </w:rPr>
              <w:t>易燃、刺激性气体；火灾引发的伴生/次生污染物（燃烧烟气）</w:t>
            </w:r>
            <w:r>
              <w:rPr>
                <w:rFonts w:hint="default" w:ascii="Times New Roman" w:hAnsi="Times New Roman" w:eastAsia="宋体" w:cs="Times New Roman"/>
                <w:color w:val="auto"/>
                <w:spacing w:val="0"/>
                <w:sz w:val="21"/>
                <w:szCs w:val="21"/>
                <w:lang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地表水途径：</w:t>
            </w:r>
            <w:r>
              <w:rPr>
                <w:rFonts w:hint="default" w:ascii="Times New Roman" w:hAnsi="Times New Roman" w:eastAsia="宋体" w:cs="Times New Roman"/>
                <w:color w:val="auto"/>
                <w:spacing w:val="0"/>
                <w:sz w:val="21"/>
                <w:szCs w:val="21"/>
                <w:lang w:val="en-US" w:eastAsia="zh-CN"/>
              </w:rPr>
              <w:t>无</w:t>
            </w:r>
            <w:r>
              <w:rPr>
                <w:rFonts w:hint="default" w:ascii="Times New Roman" w:hAnsi="Times New Roman" w:eastAsia="宋体" w:cs="Times New Roman"/>
                <w:color w:val="auto"/>
                <w:spacing w:val="0"/>
                <w:sz w:val="21"/>
                <w:szCs w:val="21"/>
                <w:lang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地下水途径：</w:t>
            </w:r>
            <w:r>
              <w:rPr>
                <w:rFonts w:hint="default" w:ascii="Times New Roman" w:hAnsi="Times New Roman" w:eastAsia="宋体" w:cs="Times New Roman"/>
                <w:color w:val="auto"/>
                <w:spacing w:val="0"/>
                <w:sz w:val="21"/>
                <w:szCs w:val="21"/>
                <w:lang w:val="en-US" w:eastAsia="zh-CN"/>
              </w:rPr>
              <w:t>危险</w:t>
            </w:r>
            <w:r>
              <w:rPr>
                <w:rFonts w:hint="eastAsia" w:ascii="Times New Roman" w:hAnsi="Times New Roman" w:eastAsia="宋体" w:cs="Times New Roman"/>
                <w:color w:val="auto"/>
                <w:spacing w:val="0"/>
                <w:sz w:val="21"/>
                <w:szCs w:val="21"/>
                <w:lang w:val="en-US" w:eastAsia="zh-CN"/>
              </w:rPr>
              <w:t>物质</w:t>
            </w:r>
            <w:r>
              <w:rPr>
                <w:rFonts w:hint="default" w:ascii="Times New Roman" w:hAnsi="Times New Roman" w:eastAsia="宋体" w:cs="Times New Roman"/>
                <w:color w:val="auto"/>
                <w:spacing w:val="0"/>
                <w:sz w:val="21"/>
                <w:szCs w:val="21"/>
                <w:lang w:val="en-US" w:eastAsia="zh-CN"/>
              </w:rPr>
              <w:t>泄露</w:t>
            </w:r>
            <w:r>
              <w:rPr>
                <w:rFonts w:hint="default" w:ascii="Times New Roman" w:hAnsi="Times New Roman" w:eastAsia="宋体" w:cs="Times New Roman"/>
                <w:color w:val="auto"/>
                <w:spacing w:val="0"/>
                <w:sz w:val="21"/>
                <w:szCs w:val="21"/>
                <w:lang w:eastAsia="zh-CN"/>
              </w:rPr>
              <w:t>；</w:t>
            </w:r>
          </w:p>
          <w:p>
            <w:pPr>
              <w:keepNext w:val="0"/>
              <w:keepLines w:val="0"/>
              <w:pageBreakBefore w:val="0"/>
              <w:widowControl w:val="0"/>
              <w:kinsoku/>
              <w:overflowPunct/>
              <w:topLinePunct w:val="0"/>
              <w:autoSpaceDE/>
              <w:autoSpaceDN/>
              <w:bidi w:val="0"/>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土壤途径：危险</w:t>
            </w:r>
            <w:r>
              <w:rPr>
                <w:rFonts w:hint="eastAsia" w:ascii="Times New Roman" w:hAnsi="Times New Roman" w:eastAsia="宋体" w:cs="Times New Roman"/>
                <w:color w:val="auto"/>
                <w:spacing w:val="0"/>
                <w:sz w:val="21"/>
                <w:szCs w:val="21"/>
                <w:lang w:val="en-US" w:eastAsia="zh-CN"/>
              </w:rPr>
              <w:t>物质</w:t>
            </w:r>
            <w:r>
              <w:rPr>
                <w:rFonts w:hint="default" w:ascii="Times New Roman" w:hAnsi="Times New Roman" w:eastAsia="宋体" w:cs="Times New Roman"/>
                <w:color w:val="auto"/>
                <w:spacing w:val="0"/>
                <w:sz w:val="21"/>
                <w:szCs w:val="21"/>
                <w:lang w:val="en-US" w:eastAsia="zh-CN"/>
              </w:rPr>
              <w:t>泄露；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6" w:type="pct"/>
            <w:tcBorders>
              <w:tl2br w:val="nil"/>
              <w:tr2bl w:val="nil"/>
            </w:tcBorders>
            <w:shd w:val="clear" w:color="auto" w:fill="FEFEF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vertAlign w:val="baseline"/>
                <w:lang w:eastAsia="zh-CN"/>
              </w:rPr>
            </w:pPr>
            <w:r>
              <w:rPr>
                <w:rFonts w:hint="default" w:ascii="Times New Roman" w:hAnsi="Times New Roman" w:eastAsia="宋体" w:cs="Times New Roman"/>
                <w:color w:val="auto"/>
                <w:spacing w:val="0"/>
                <w:sz w:val="21"/>
                <w:szCs w:val="21"/>
                <w:highlight w:val="none"/>
                <w:vertAlign w:val="baseline"/>
                <w:lang w:eastAsia="zh-CN"/>
              </w:rPr>
              <w:t>风险防范措施要求</w:t>
            </w:r>
          </w:p>
        </w:tc>
        <w:tc>
          <w:tcPr>
            <w:tcW w:w="3753" w:type="pct"/>
            <w:gridSpan w:val="5"/>
            <w:tcBorders>
              <w:tl2br w:val="nil"/>
              <w:tr2bl w:val="nil"/>
            </w:tcBorders>
            <w:shd w:val="clear" w:color="auto" w:fill="FEFEF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eastAsia="zh-CN"/>
              </w:rPr>
              <w:t>详见报告章节</w:t>
            </w:r>
            <w:r>
              <w:rPr>
                <w:rFonts w:hint="eastAsia" w:ascii="Times New Roman" w:hAnsi="Times New Roman" w:eastAsia="宋体" w:cs="Times New Roman"/>
                <w:color w:val="auto"/>
                <w:spacing w:val="0"/>
                <w:sz w:val="21"/>
                <w:szCs w:val="21"/>
                <w:highlight w:val="none"/>
                <w:vertAlign w:val="baseline"/>
                <w:lang w:val="en-US" w:eastAsia="zh-CN"/>
              </w:rPr>
              <w:t xml:space="preserve"> 5.3.6.2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tcBorders>
              <w:tl2br w:val="nil"/>
              <w:tr2bl w:val="nil"/>
            </w:tcBorders>
            <w:shd w:val="clear" w:color="auto" w:fill="FEFEF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eastAsia="zh-CN"/>
              </w:rPr>
              <w:t>填表说明（列出项目相关信息及评价说明）：</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eastAsia="zh-CN"/>
              </w:rPr>
              <w:t>本项目风险评价根据《建设项目环境风险评价技术导则》（HJ169-2018）进行分析。</w:t>
            </w:r>
            <w:r>
              <w:rPr>
                <w:rFonts w:hint="default" w:ascii="Times New Roman" w:hAnsi="Times New Roman" w:eastAsia="宋体" w:cs="Times New Roman"/>
                <w:color w:val="auto"/>
                <w:spacing w:val="0"/>
                <w:sz w:val="21"/>
                <w:szCs w:val="21"/>
                <w:highlight w:val="none"/>
                <w:lang w:val="en-US" w:eastAsia="zh-CN"/>
              </w:rPr>
              <w:t>本项目</w:t>
            </w:r>
            <w:r>
              <w:rPr>
                <w:rFonts w:hint="default" w:ascii="Times New Roman" w:hAnsi="Times New Roman" w:eastAsia="宋体" w:cs="Times New Roman"/>
                <w:color w:val="auto"/>
                <w:spacing w:val="0"/>
                <w:sz w:val="21"/>
                <w:szCs w:val="21"/>
                <w:highlight w:val="none"/>
                <w:lang w:eastAsia="zh-CN"/>
              </w:rPr>
              <w:t>环境风险潜势为Ⅰ，评价等级为简单分析。在落实了环评提出的风险防范措施后，环境风险可控，不会对周围环境造成较大风险。</w:t>
            </w:r>
          </w:p>
        </w:tc>
      </w:tr>
    </w:tbl>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eastAsia" w:ascii="Times New Roman" w:hAnsi="Times New Roman" w:eastAsia="宋体" w:cs="Times New Roman"/>
          <w:color w:val="auto"/>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0"/>
        <w:rPr>
          <w:rFonts w:hint="default" w:ascii="Times New Roman" w:hAnsi="Times New Roman" w:eastAsia="宋体" w:cs="Times New Roman"/>
          <w:color w:val="auto"/>
          <w:sz w:val="24"/>
          <w:szCs w:val="24"/>
          <w:lang w:val="en-US" w:eastAsia="zh-CN"/>
        </w:rPr>
      </w:pPr>
      <w:bookmarkStart w:id="98" w:name="_Toc14568"/>
      <w:r>
        <w:rPr>
          <w:rFonts w:hint="eastAsia" w:ascii="Times New Roman" w:hAnsi="Times New Roman" w:eastAsia="宋体" w:cs="Times New Roman"/>
          <w:b/>
          <w:bCs/>
          <w:color w:val="auto"/>
          <w:sz w:val="32"/>
          <w:szCs w:val="32"/>
          <w:lang w:val="en-US" w:eastAsia="zh-CN"/>
        </w:rPr>
        <w:t>6 环境保护措施及其可行性论证</w:t>
      </w:r>
      <w:bookmarkEnd w:id="98"/>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b/>
          <w:bCs/>
          <w:color w:val="auto"/>
          <w:sz w:val="30"/>
          <w:szCs w:val="30"/>
          <w:lang w:val="en-US" w:eastAsia="zh-CN"/>
        </w:rPr>
      </w:pPr>
      <w:bookmarkStart w:id="99" w:name="_Toc208"/>
      <w:r>
        <w:rPr>
          <w:rFonts w:hint="eastAsia" w:ascii="Times New Roman" w:hAnsi="Times New Roman" w:eastAsia="宋体" w:cs="Times New Roman"/>
          <w:b/>
          <w:bCs/>
          <w:color w:val="auto"/>
          <w:sz w:val="30"/>
          <w:szCs w:val="30"/>
          <w:lang w:val="en-US" w:eastAsia="zh-CN"/>
        </w:rPr>
        <w:t>6.1 施工期环境影响减缓措施</w:t>
      </w:r>
      <w:bookmarkEnd w:id="99"/>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6.1.1 施工期大气环境影响减缓措施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工程施工期间所进行的土方挖掘、材料装卸和运输过程产生扬尘会对所在区域的大气环境质量造成一定影响。同时扬尘的产生及影响程度与风力大小和气候因素有一定关系。因此，首先应合理安排施工时间，避免在风季破土开工。施工临时道路应铺设砂砾或黏土面层，经常洒水，减小扬尘对环境的污染。此外，施工弃土、施工废物的堆放也是造成扬尘的重要来源之一，如果其堆放场地选择不当或堆放方式不合理，不但会影响景观，还会造成二次扬尘污染。</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在施工时尽可能做到土方平衡，以减少取土的开挖和弃土的堆积所带来的不利影响。为控制扬尘对大气环境造成的污染，可以在施工期采取以下控制措施：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（1）本项目施工过程中使用的建筑材料，施工单位必须加强施工区域的管理，可在施工厂区设置围栏。当风速为 2.5m/s 时，有围栏可使施工扬尘影响距离缩短 40%，相对无围栏时有明显改善。</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建筑材料堆场以及混凝土拌合应定点定位，并采取防尘抑尘措施，如在大风天气，对路面和散料堆场采用水喷淋防尘，或用篷布遮盖料堆。干旱多风季节可增加洒水次数，以保持下垫面和空气湿润，减少起尘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（3）对施工期间运输车辆进行加强管理，并采取如：加盖篷布，禁止超载等措施；坚持文明装卸，避免使用散装水泥，运输车辆卸完货后应清洗车厢。</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（4）适当合理的安排施工计划，避免在多风季节施工引起扬尘过大。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（5）对可能会产生扬尘的建筑施工材料进行苫盖处理、避免露天堆放。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（6）加强对施工人员的环保教育，提高施工人员的环保意识，坚持文明施工、科学施工，减少施工期的大气污染。</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6.1.2 施工期水污染防治措施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施工期废水主要来自于施工人员的生产生活污水以及建筑施工用水。环评建议采取如下防治措施：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（1）项目开工建设前，应提前在施工场地周围建设挡水、截水、排水工程，避免污水汇入地表水体，这样可将施工场地水土流失对地表水环境的影响降低到最小程度。</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（2）项目基础的大开挖工程应尽量避开雨季，安排在旱季进行，同时尽量缩短施工现场大面积裸露的时间，以减少施工期，特别是基础大开挖时产生的水土流失。</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尽量减少物料流失、散落和溢流现象，减少废水产生量；施工过程中必须对废土、废物采取防止其四散的措施。水泥、黄砂、石灰等建筑材料需集中堆放，并采取一定的防雨措施，以免这些物质随雨水流入水域而冲刷污染附近水体。</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在项目施工场所内产生施工废水的地方，应根据实际情况设置沉砂池，将产生的含泥砂量大的施工废水进行沉淀处理后，尽量回用于混凝土养护、砂石料清洗等工序；晴天时，增加施工场地内的道路及施工面水的喷洒，降低扬尘对区域空气环境的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（5）生活污水主要由施工队伍的日常生活产生。生活污水经经临时防渗沉淀池收集后排入园区管网，对区域地表水环境影响较小。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通过采取以上措施，项目区施工废水回用于施工过程，对水环境的影响较小。</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6.1.3 施工期声环境影响减缓措施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本项目施工期的噪声影响是短期和区域性的，项目建成后，施工期噪声的影响也就此结束。但是由于施工机械均为强噪声源，施工期间噪声影响范围较大，因此必须采取以下措施，严格管理。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（1）严格执行《建筑施工厂界环境噪声排放标准》（GB12523-2011）对不同施工阶段作业的噪声限值；</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在工地布置时应考虑将搅拌机等高噪声设备安置在离敏感点相对较远的一侧，并设立简单屏蔽以减少噪声源的影响范围。运输车辆的进出应确定固定运输路线，保持行驶道路平坦，减少车辆的颠簸噪声和产生振动。</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6.1.4 施工期固体废物处置措施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施工期固体废物主要为基础工程及设备安装产生的工程渣土和砂石、石块、碎砖瓦、废木料、废金属、废钢筋等建筑垃圾。本项目渣土产生量较少，可就地用于场区平整。砂石、石块、碎砖瓦、废木料、废金属、废钢筋等建筑垃圾可回收的应尽量回收，不能回收的经集中收集后由施工单位及时清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施工单位应按照国家和当地有关建筑垃圾和工程渣土处置管理的规定，认真执行</w:t>
      </w:r>
      <w:bookmarkStart w:id="133" w:name="_GoBack"/>
      <w:bookmarkEnd w:id="133"/>
      <w:r>
        <w:rPr>
          <w:rFonts w:hint="eastAsia" w:ascii="Times New Roman" w:hAnsi="Times New Roman" w:eastAsia="宋体" w:cs="Times New Roman"/>
          <w:color w:val="auto"/>
          <w:sz w:val="24"/>
          <w:szCs w:val="24"/>
          <w:lang w:val="en-US" w:eastAsia="zh-CN"/>
        </w:rPr>
        <w:t>《中华人民共和国固体废物污染环境防治法》，在施工期固体废物的处置过程中，采取如下管理措施：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（1）必须外运建筑垃圾应运至专门的建筑垃圾堆放场；生活垃圾应及时交由环卫部门清运统一处置。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（2）在工程竣工后，施工单位应拆除各种临时施工设施，并负责将工地的剩余建筑垃圾、工程渣土处理干净，做到“工完、料尽、场地清”，建设单位应负责督促施工单位的固体废弃物处置清理工作。</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6.1.5 施工期生态环境保护措施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（1）项目填方取土的地方，还须尽快加强地表的绿化植被，以确保因裸露和雨水冲刷而引起水土流失。</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（2）在工程总体规划中必须考虑工程对生态环境的影响，将生态损失纳入工程预算；在工程勘察、设计、施工过程中，除考虑工程本身高质、高效原则以外，也必须考虑减少生态损失的原则。</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（3）施工期间要尽力缩小施工范围，减少生态环境的暂时损失，减少工程对生态的破坏范围。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（4）提高工程施工效率，缩短施工时间，同时采取措施，减少裸地的暴露时间。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（5）严格管理施工队伍，对施工人员、施工机械和施工车辆应严格按规定的路线行驶，不得随意破坏非施工区内的地表植被。</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6）杜绝施工现场的建筑垃圾等污染物随处堆放和填埋，生活垃圾需设临时垃圾箱，由当地环卫部门定期进行清运，送大丰镇生活垃圾填埋场进行无害化集中处置。在施工完成，准备从施工现场撤出的同时，应及时清除施工场地滞留下的各类施工垃圾和废物等。</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color w:val="auto"/>
          <w:sz w:val="24"/>
          <w:szCs w:val="24"/>
          <w:lang w:val="en-US" w:eastAsia="zh-CN"/>
        </w:rPr>
      </w:pPr>
      <w:bookmarkStart w:id="100" w:name="_Toc8721"/>
      <w:r>
        <w:rPr>
          <w:rFonts w:hint="eastAsia" w:ascii="Times New Roman" w:hAnsi="Times New Roman" w:eastAsia="宋体" w:cs="Times New Roman"/>
          <w:b/>
          <w:bCs/>
          <w:color w:val="auto"/>
          <w:sz w:val="30"/>
          <w:szCs w:val="30"/>
          <w:lang w:val="en-US" w:eastAsia="zh-CN"/>
        </w:rPr>
        <w:t>6.2 运营期污染防治措施及可行性分析</w:t>
      </w:r>
      <w:bookmarkEnd w:id="100"/>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6.2.1 运营期废气防治措施及可行性分析</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6.2.1.1 有组织废气防治措施及措施可行性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（1）动植物油脂回收生产线废气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本项目动植物油脂回收生产线产生的废气主要为熔炼废气及动植物油精炼产生的恶臭。</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lang w:val="en-US" w:eastAsia="zh-CN"/>
        </w:rPr>
        <w:t>本项目动植物油脂回收精炼流程中最终产品为饲料油及磷脂油，在生产过程中需要对动植物油脂进行高温熔炸、分离等，在此期间会产生油脂烟气及非甲烷总烃；熔炸釜在高压高温对动植物油脂熔炼时，会产生油脂烟气；该生产线废气通过集气管道收集后经“净电除油+二级碱液喷淋塔+除湿+活性炭吸附箱”处理后，经 1 根 15m 高排气筒（DA001）排放。经措施处理后非甲烷总烃排放浓度为 3.68mg/m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，排放速率为 0.092kg/h，非甲烷总烃排放浓度及排放速率满足《大气污染物综合排放标准（GB16297-1996）表 2 中二级限值；</w:t>
      </w:r>
      <w:r>
        <w:rPr>
          <w:rFonts w:hint="default" w:ascii="Times New Roman" w:hAnsi="Times New Roman" w:eastAsia="宋体" w:cs="Times New Roman"/>
          <w:color w:val="auto"/>
          <w:sz w:val="24"/>
          <w:szCs w:val="24"/>
          <w:vertAlign w:val="baseline"/>
          <w:lang w:val="en-US" w:eastAsia="zh-CN"/>
        </w:rPr>
        <w:t>NH</w:t>
      </w:r>
      <w:r>
        <w:rPr>
          <w:rFonts w:hint="default"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vertAlign w:val="baseline"/>
          <w:lang w:val="en-US" w:eastAsia="zh-CN"/>
        </w:rPr>
        <w:t xml:space="preserve"> </w:t>
      </w:r>
      <w:r>
        <w:rPr>
          <w:rFonts w:hint="eastAsia" w:ascii="Times New Roman" w:hAnsi="Times New Roman" w:eastAsia="宋体" w:cs="Times New Roman"/>
          <w:color w:val="auto"/>
          <w:sz w:val="24"/>
          <w:szCs w:val="24"/>
          <w:lang w:val="en-US" w:eastAsia="zh-CN"/>
        </w:rPr>
        <w:t>排放浓度为 0.47mg/m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，排放速率为 0.012kg/h，</w:t>
      </w:r>
      <w:r>
        <w:rPr>
          <w:rFonts w:hint="eastAsia" w:ascii="Times New Roman" w:hAnsi="Times New Roman" w:eastAsia="宋体" w:cs="Times New Roman"/>
          <w:color w:val="auto"/>
          <w:sz w:val="24"/>
          <w:szCs w:val="24"/>
          <w:lang w:val="en-US" w:eastAsia="zh-CN"/>
        </w:rPr>
        <w:t>、H</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S 排放浓度为 0.9mg/m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，排放速率为 0.023kg/h，</w:t>
      </w:r>
      <w:r>
        <w:rPr>
          <w:rFonts w:hint="default" w:ascii="Times New Roman" w:hAnsi="Times New Roman" w:eastAsia="宋体" w:cs="Times New Roman"/>
          <w:color w:val="auto"/>
          <w:sz w:val="24"/>
          <w:szCs w:val="24"/>
          <w:vertAlign w:val="baseline"/>
          <w:lang w:val="en-US" w:eastAsia="zh-CN"/>
        </w:rPr>
        <w:t>NH</w:t>
      </w:r>
      <w:r>
        <w:rPr>
          <w:rFonts w:hint="default"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vertAlign w:val="baseline"/>
          <w:lang w:val="en-US" w:eastAsia="zh-CN"/>
        </w:rPr>
        <w:t>、</w:t>
      </w:r>
      <w:r>
        <w:rPr>
          <w:rFonts w:hint="eastAsia" w:ascii="Times New Roman" w:hAnsi="Times New Roman" w:eastAsia="宋体" w:cs="Times New Roman"/>
          <w:color w:val="auto"/>
          <w:sz w:val="24"/>
          <w:szCs w:val="24"/>
          <w:lang w:val="en-US" w:eastAsia="zh-CN"/>
        </w:rPr>
        <w:t>H</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S 排放速率满足</w:t>
      </w:r>
      <w:r>
        <w:rPr>
          <w:rFonts w:hint="default" w:ascii="Times New Roman" w:hAnsi="Times New Roman" w:eastAsia="宋体" w:cs="Times New Roman"/>
          <w:color w:val="auto"/>
          <w:sz w:val="24"/>
          <w:szCs w:val="24"/>
          <w:vertAlign w:val="baseline"/>
          <w:lang w:val="en-US" w:eastAsia="zh-CN"/>
        </w:rPr>
        <w:t>《恶臭污染物排放标准》（GB14554-93）表</w:t>
      </w:r>
      <w:r>
        <w:rPr>
          <w:rFonts w:hint="eastAsia" w:ascii="Times New Roman" w:hAnsi="Times New Roman" w:eastAsia="宋体" w:cs="Times New Roman"/>
          <w:color w:val="auto"/>
          <w:sz w:val="24"/>
          <w:szCs w:val="24"/>
          <w:vertAlign w:val="baseline"/>
          <w:lang w:val="en-US" w:eastAsia="zh-CN"/>
        </w:rPr>
        <w:t xml:space="preserve"> </w:t>
      </w:r>
      <w:r>
        <w:rPr>
          <w:rFonts w:hint="default" w:ascii="Times New Roman" w:hAnsi="Times New Roman" w:eastAsia="宋体" w:cs="Times New Roman"/>
          <w:color w:val="auto"/>
          <w:sz w:val="24"/>
          <w:szCs w:val="24"/>
          <w:vertAlign w:val="baseline"/>
          <w:lang w:val="en-US" w:eastAsia="zh-CN"/>
        </w:rPr>
        <w:t>2</w:t>
      </w:r>
      <w:r>
        <w:rPr>
          <w:rFonts w:hint="eastAsia" w:ascii="Times New Roman" w:hAnsi="Times New Roman" w:eastAsia="宋体" w:cs="Times New Roman"/>
          <w:color w:val="auto"/>
          <w:sz w:val="24"/>
          <w:szCs w:val="24"/>
          <w:vertAlign w:val="baseline"/>
          <w:lang w:val="en-US" w:eastAsia="zh-CN"/>
        </w:rPr>
        <w:t xml:space="preserve"> </w:t>
      </w:r>
      <w:r>
        <w:rPr>
          <w:rFonts w:hint="default" w:ascii="Times New Roman" w:hAnsi="Times New Roman" w:eastAsia="宋体" w:cs="Times New Roman"/>
          <w:color w:val="auto"/>
          <w:sz w:val="24"/>
          <w:szCs w:val="24"/>
          <w:vertAlign w:val="baseline"/>
          <w:lang w:val="en-US" w:eastAsia="zh-CN"/>
        </w:rPr>
        <w:t>中排放限值</w:t>
      </w:r>
      <w:r>
        <w:rPr>
          <w:rFonts w:hint="eastAsia" w:ascii="Times New Roman" w:hAnsi="Times New Roman" w:eastAsia="宋体" w:cs="Times New Roman"/>
          <w:color w:val="auto"/>
          <w:sz w:val="24"/>
          <w:szCs w:val="24"/>
          <w:vertAlign w:val="baseline"/>
          <w:lang w:val="en-US" w:eastAsia="zh-CN"/>
        </w:rPr>
        <w:t>；油脂烟气排放浓度为 0.05</w:t>
      </w:r>
      <w:r>
        <w:rPr>
          <w:rFonts w:hint="eastAsia" w:ascii="Times New Roman" w:hAnsi="Times New Roman" w:eastAsia="宋体" w:cs="Times New Roman"/>
          <w:color w:val="auto"/>
          <w:sz w:val="24"/>
          <w:szCs w:val="24"/>
          <w:lang w:val="en-US" w:eastAsia="zh-CN"/>
        </w:rPr>
        <w:t>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，排放速率为 1.12×10</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kg/h，油脂烟气排放浓度满足</w:t>
      </w:r>
      <w:r>
        <w:rPr>
          <w:rFonts w:hint="default" w:ascii="Times New Roman" w:hAnsi="Times New Roman" w:eastAsia="宋体" w:cs="Times New Roman"/>
          <w:color w:val="auto"/>
          <w:sz w:val="24"/>
          <w:szCs w:val="24"/>
          <w:vertAlign w:val="baseline"/>
          <w:lang w:val="en-US" w:eastAsia="zh-CN"/>
        </w:rPr>
        <w:t>《饮食业油烟排放标准（试行）》（GB18483-2001）表</w:t>
      </w:r>
      <w:r>
        <w:rPr>
          <w:rFonts w:hint="eastAsia" w:ascii="Times New Roman" w:hAnsi="Times New Roman" w:eastAsia="宋体" w:cs="Times New Roman"/>
          <w:color w:val="auto"/>
          <w:sz w:val="24"/>
          <w:szCs w:val="24"/>
          <w:vertAlign w:val="baseline"/>
          <w:lang w:val="en-US" w:eastAsia="zh-CN"/>
        </w:rPr>
        <w:t xml:space="preserve"> </w:t>
      </w:r>
      <w:r>
        <w:rPr>
          <w:rFonts w:hint="default" w:ascii="Times New Roman" w:hAnsi="Times New Roman" w:eastAsia="宋体" w:cs="Times New Roman"/>
          <w:color w:val="auto"/>
          <w:sz w:val="24"/>
          <w:szCs w:val="24"/>
          <w:vertAlign w:val="baseline"/>
          <w:lang w:val="en-US" w:eastAsia="zh-CN"/>
        </w:rPr>
        <w:t>2</w:t>
      </w:r>
      <w:r>
        <w:rPr>
          <w:rFonts w:hint="eastAsia" w:ascii="Times New Roman" w:hAnsi="Times New Roman" w:eastAsia="宋体" w:cs="Times New Roman"/>
          <w:color w:val="auto"/>
          <w:sz w:val="24"/>
          <w:szCs w:val="24"/>
          <w:vertAlign w:val="baseline"/>
          <w:lang w:val="en-US" w:eastAsia="zh-CN"/>
        </w:rPr>
        <w:t xml:space="preserve"> </w:t>
      </w:r>
      <w:r>
        <w:rPr>
          <w:rFonts w:hint="default" w:ascii="Times New Roman" w:hAnsi="Times New Roman" w:eastAsia="宋体" w:cs="Times New Roman"/>
          <w:color w:val="auto"/>
          <w:sz w:val="24"/>
          <w:szCs w:val="24"/>
          <w:vertAlign w:val="baseline"/>
          <w:lang w:val="en-US" w:eastAsia="zh-CN"/>
        </w:rPr>
        <w:t>限值</w:t>
      </w:r>
      <w:r>
        <w:rPr>
          <w:rFonts w:hint="eastAsia" w:ascii="Times New Roman" w:hAnsi="Times New Roman" w:eastAsia="宋体" w:cs="Times New Roman"/>
          <w:color w:val="auto"/>
          <w:sz w:val="24"/>
          <w:szCs w:val="24"/>
          <w:vertAlign w:val="baseline"/>
          <w:lang w:val="en-US" w:eastAsia="zh-CN"/>
        </w:rPr>
        <w:t>。动植物油脂回收生产线各有组织排放污染物均能达标排放。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根据《排污许可证申请与核发技术规范 农副食品加工工业—屠宰及肉类加工工业》（HJ860.3-2018）表 3 中对油脂加工单元的油脂烟气以有组织形式排放，要求在废气产生点配备有效的净电除油系统；同时根据表 8 屠宰及肉类加工工业排污单位废气治理可行技术”，本项目对熔炼工序产生的油烟废气采用净电除油系统处理属于可行技术，可保证达到</w:t>
      </w:r>
      <w:r>
        <w:rPr>
          <w:rFonts w:hint="default" w:ascii="Times New Roman" w:hAnsi="Times New Roman" w:eastAsia="宋体" w:cs="Times New Roman"/>
          <w:color w:val="auto"/>
          <w:sz w:val="24"/>
          <w:szCs w:val="24"/>
          <w:vertAlign w:val="baseline"/>
          <w:lang w:val="en-US" w:eastAsia="zh-CN"/>
        </w:rPr>
        <w:t>《饮食业油烟排放标准（试行）》（GB18483-2001）表</w:t>
      </w:r>
      <w:r>
        <w:rPr>
          <w:rFonts w:hint="eastAsia" w:ascii="Times New Roman" w:hAnsi="Times New Roman" w:eastAsia="宋体" w:cs="Times New Roman"/>
          <w:color w:val="auto"/>
          <w:sz w:val="24"/>
          <w:szCs w:val="24"/>
          <w:vertAlign w:val="baseline"/>
          <w:lang w:val="en-US" w:eastAsia="zh-CN"/>
        </w:rPr>
        <w:t xml:space="preserve"> </w:t>
      </w:r>
      <w:r>
        <w:rPr>
          <w:rFonts w:hint="default" w:ascii="Times New Roman" w:hAnsi="Times New Roman" w:eastAsia="宋体" w:cs="Times New Roman"/>
          <w:color w:val="auto"/>
          <w:sz w:val="24"/>
          <w:szCs w:val="24"/>
          <w:vertAlign w:val="baseline"/>
          <w:lang w:val="en-US" w:eastAsia="zh-CN"/>
        </w:rPr>
        <w:t>2</w:t>
      </w:r>
      <w:r>
        <w:rPr>
          <w:rFonts w:hint="eastAsia" w:ascii="Times New Roman" w:hAnsi="Times New Roman" w:eastAsia="宋体" w:cs="Times New Roman"/>
          <w:color w:val="auto"/>
          <w:sz w:val="24"/>
          <w:szCs w:val="24"/>
          <w:vertAlign w:val="baseline"/>
          <w:lang w:val="en-US" w:eastAsia="zh-CN"/>
        </w:rPr>
        <w:t xml:space="preserve"> </w:t>
      </w:r>
      <w:r>
        <w:rPr>
          <w:rFonts w:hint="default" w:ascii="Times New Roman" w:hAnsi="Times New Roman" w:eastAsia="宋体" w:cs="Times New Roman"/>
          <w:color w:val="auto"/>
          <w:sz w:val="24"/>
          <w:szCs w:val="24"/>
          <w:vertAlign w:val="baseline"/>
          <w:lang w:val="en-US" w:eastAsia="zh-CN"/>
        </w:rPr>
        <w:t>限值</w:t>
      </w:r>
      <w:r>
        <w:rPr>
          <w:rFonts w:hint="eastAsia" w:ascii="Times New Roman" w:hAnsi="Times New Roman" w:eastAsia="宋体" w:cs="Times New Roman"/>
          <w:color w:val="auto"/>
          <w:sz w:val="24"/>
          <w:szCs w:val="24"/>
          <w:vertAlign w:val="baseline"/>
          <w:lang w:val="en-US" w:eastAsia="zh-CN"/>
        </w:rPr>
        <w:t>，符合《排污许可证申请与核发技术规范 农副食品加工工业—屠宰及肉类加工工业》（HJ860.3-2018）中提出的油脂加工废气污染防治要求，废气污染物达标排放可行。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参考《排污许可证申请与核发技术规范 农副食品加工工业—饲料加工、植物油加工工业》（HJ1110-2020）表 3 中对植物油精炼单元的非甲烷总烃及恶臭以有组织形式排放，要求在废气产生点配备有效的</w:t>
      </w:r>
      <w:r>
        <w:rPr>
          <w:rFonts w:hint="eastAsia" w:ascii="Times New Roman" w:hAnsi="Times New Roman" w:eastAsia="宋体" w:cs="Times New Roman"/>
          <w:color w:val="auto"/>
          <w:sz w:val="24"/>
          <w:szCs w:val="24"/>
          <w:lang w:val="en-US" w:eastAsia="zh-CN"/>
        </w:rPr>
        <w:t>二级碱液喷淋塔+除湿+活性炭吸附箱</w:t>
      </w:r>
      <w:r>
        <w:rPr>
          <w:rFonts w:hint="eastAsia" w:ascii="Times New Roman" w:hAnsi="Times New Roman" w:eastAsia="宋体" w:cs="Times New Roman"/>
          <w:color w:val="auto"/>
          <w:sz w:val="24"/>
          <w:szCs w:val="24"/>
          <w:vertAlign w:val="baseline"/>
          <w:lang w:val="en-US" w:eastAsia="zh-CN"/>
        </w:rPr>
        <w:t>；同时根据附录 C 废气污染防治可行技术参考表”，本项目对植物油精炼工序产生的非甲烷总烃及恶臭采用</w:t>
      </w:r>
      <w:r>
        <w:rPr>
          <w:rFonts w:hint="eastAsia" w:ascii="Times New Roman" w:hAnsi="Times New Roman" w:eastAsia="宋体" w:cs="Times New Roman"/>
          <w:color w:val="auto"/>
          <w:sz w:val="24"/>
          <w:szCs w:val="24"/>
          <w:lang w:val="en-US" w:eastAsia="zh-CN"/>
        </w:rPr>
        <w:t>二级碱液喷淋塔+除湿+活性炭吸附箱</w:t>
      </w:r>
      <w:r>
        <w:rPr>
          <w:rFonts w:hint="eastAsia" w:ascii="Times New Roman" w:hAnsi="Times New Roman" w:eastAsia="宋体" w:cs="Times New Roman"/>
          <w:color w:val="auto"/>
          <w:sz w:val="24"/>
          <w:szCs w:val="24"/>
          <w:vertAlign w:val="baseline"/>
          <w:lang w:val="en-US" w:eastAsia="zh-CN"/>
        </w:rPr>
        <w:t>处理属于可行技术，可保证甲烷总烃达到《大气污染物综合排放标准（GB16297-1996）表 2 中二级限值；恶臭达到</w:t>
      </w:r>
      <w:r>
        <w:rPr>
          <w:rFonts w:hint="default" w:ascii="Times New Roman" w:hAnsi="Times New Roman" w:eastAsia="宋体" w:cs="Times New Roman"/>
          <w:color w:val="auto"/>
          <w:sz w:val="24"/>
          <w:szCs w:val="24"/>
          <w:vertAlign w:val="baseline"/>
          <w:lang w:val="en-US" w:eastAsia="zh-CN"/>
        </w:rPr>
        <w:t>《恶臭污染物排放标准》（GB14554-93）表</w:t>
      </w:r>
      <w:r>
        <w:rPr>
          <w:rFonts w:hint="eastAsia" w:ascii="Times New Roman" w:hAnsi="Times New Roman" w:eastAsia="宋体" w:cs="Times New Roman"/>
          <w:color w:val="auto"/>
          <w:sz w:val="24"/>
          <w:szCs w:val="24"/>
          <w:vertAlign w:val="baseline"/>
          <w:lang w:val="en-US" w:eastAsia="zh-CN"/>
        </w:rPr>
        <w:t xml:space="preserve"> </w:t>
      </w:r>
      <w:r>
        <w:rPr>
          <w:rFonts w:hint="default" w:ascii="Times New Roman" w:hAnsi="Times New Roman" w:eastAsia="宋体" w:cs="Times New Roman"/>
          <w:color w:val="auto"/>
          <w:sz w:val="24"/>
          <w:szCs w:val="24"/>
          <w:vertAlign w:val="baseline"/>
          <w:lang w:val="en-US" w:eastAsia="zh-CN"/>
        </w:rPr>
        <w:t>2</w:t>
      </w:r>
      <w:r>
        <w:rPr>
          <w:rFonts w:hint="eastAsia" w:ascii="Times New Roman" w:hAnsi="Times New Roman" w:eastAsia="宋体" w:cs="Times New Roman"/>
          <w:color w:val="auto"/>
          <w:sz w:val="24"/>
          <w:szCs w:val="24"/>
          <w:vertAlign w:val="baseline"/>
          <w:lang w:val="en-US" w:eastAsia="zh-CN"/>
        </w:rPr>
        <w:t xml:space="preserve"> </w:t>
      </w:r>
      <w:r>
        <w:rPr>
          <w:rFonts w:hint="default" w:ascii="Times New Roman" w:hAnsi="Times New Roman" w:eastAsia="宋体" w:cs="Times New Roman"/>
          <w:color w:val="auto"/>
          <w:sz w:val="24"/>
          <w:szCs w:val="24"/>
          <w:vertAlign w:val="baseline"/>
          <w:lang w:val="en-US" w:eastAsia="zh-CN"/>
        </w:rPr>
        <w:t>中排放限值</w:t>
      </w:r>
      <w:r>
        <w:rPr>
          <w:rFonts w:hint="eastAsia" w:ascii="Times New Roman" w:hAnsi="Times New Roman" w:eastAsia="宋体" w:cs="Times New Roman"/>
          <w:color w:val="auto"/>
          <w:sz w:val="24"/>
          <w:szCs w:val="24"/>
          <w:vertAlign w:val="baseline"/>
          <w:lang w:val="en-US" w:eastAsia="zh-CN"/>
        </w:rPr>
        <w:t>，符合排污许可证申请与核发技术规范 农副食品加工工业—饲料加工、植物油加工工业》（HJ1110-2020）中提出的植物油加工废气污染防治要求，废气污染物达标排放可行。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（2）罐区废气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油脂类加工产品、酸化油等采用储罐存储，储罐在日常储存和装卸过程中会有“大小呼吸作用”，有呼吸废气排放，废气主要为非甲烷总烃，该部分废气经管道密闭收集后与</w:t>
      </w:r>
      <w:r>
        <w:rPr>
          <w:rFonts w:hint="eastAsia" w:ascii="Times New Roman" w:hAnsi="Times New Roman" w:eastAsia="宋体" w:cs="Times New Roman"/>
          <w:color w:val="auto"/>
          <w:sz w:val="24"/>
          <w:szCs w:val="24"/>
          <w:lang w:val="en-US" w:eastAsia="zh-CN"/>
        </w:rPr>
        <w:t>动植物油脂回收生产线</w:t>
      </w:r>
      <w:r>
        <w:rPr>
          <w:rFonts w:hint="eastAsia" w:ascii="Times New Roman" w:hAnsi="Times New Roman" w:eastAsia="宋体" w:cs="Times New Roman"/>
          <w:color w:val="auto"/>
          <w:sz w:val="24"/>
          <w:szCs w:val="24"/>
          <w:vertAlign w:val="baseline"/>
          <w:lang w:val="en-US" w:eastAsia="zh-CN"/>
        </w:rPr>
        <w:t>共用一套环保措施，采用“净电除油系统+二级碱液喷淋塔+除湿+活性炭吸附箱”处理后，经一根 15m 高排气筒（DA001）外排。经措施处理后非甲烷总烃排放浓度及排放速率均满足《大气污染物综合排放浓度》（GB16297-1996）表 2 中二级标准限值要求；罐区有组织排放污染物均能达标排放。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（3）生物燃料生产线废气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原料皂脚在储存过程中会散发恶臭气体，在皂脚酸化时需进行加热，加热过程中会产生少量的非甲烷总烃，该部分废气经密闭收集后与</w:t>
      </w:r>
      <w:r>
        <w:rPr>
          <w:rFonts w:hint="eastAsia" w:ascii="Times New Roman" w:hAnsi="Times New Roman" w:eastAsia="宋体" w:cs="Times New Roman"/>
          <w:color w:val="auto"/>
          <w:sz w:val="24"/>
          <w:szCs w:val="24"/>
          <w:lang w:val="en-US" w:eastAsia="zh-CN"/>
        </w:rPr>
        <w:t>动植物油脂回收生产线</w:t>
      </w:r>
      <w:r>
        <w:rPr>
          <w:rFonts w:hint="eastAsia" w:ascii="Times New Roman" w:hAnsi="Times New Roman" w:eastAsia="宋体" w:cs="Times New Roman"/>
          <w:color w:val="auto"/>
          <w:sz w:val="24"/>
          <w:szCs w:val="24"/>
          <w:vertAlign w:val="baseline"/>
          <w:lang w:val="en-US" w:eastAsia="zh-CN"/>
        </w:rPr>
        <w:t>共用一套环保措施，采用“净电除油+二级碱液喷淋塔+除湿+活性炭吸附箱”处理后，经一根 15m 高排气筒（DA001）外排。在生产固态生物燃料工序中会产生颗粒物，产生的颗粒物经集气罩收集后通过“布袋除尘器”处理后汇集到DA001排放口排放；经措施处理后 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vertAlign w:val="baseline"/>
          <w:lang w:val="en-US" w:eastAsia="zh-CN"/>
        </w:rPr>
        <w:t xml:space="preserve"> 、H</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vertAlign w:val="baseline"/>
          <w:lang w:val="en-US" w:eastAsia="zh-CN"/>
        </w:rPr>
        <w:t>S 排放浓度及排放速率均满足《恶臭污染物排放标准》（GB14554-93）表2中排放限值要求；非甲烷总烃及颗粒物排放浓度及排放速率均满足《大气污染物综合排放标准（GB16297-1996）表2中二级限值。</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根据《排污许可证申请与核发技术规范 专用化学产排制造工业》（HJ1103-2020）表 9 中对脂肪酸甲酯生产工序产生的非甲烷总烃、恶臭及颗粒物以有组织形式排放，要求在废气产生点配备有效的布袋除尘器、二级碱液喷淋塔+除湿+活性炭吸附箱；同时根据附录 C 废气污染防治可行技术”，本项目对皂脚储存及酸化工序产生的恶臭及非甲烷总烃采用二级碱液喷淋塔+除湿+活性炭吸附箱处理属于可行技术，对投料、破碎产生的颗粒物采用布袋除尘器处理属于可行技术，可保证恶臭达到《恶臭污染物排放标准》（GB14554-93）表2中排放限值要求，颗粒物及非甲烷总烃达到《大气污染物综合排放标准（GB16297-1996）表2中二级限值，符合《排污许可证申请与核发技术规范 专用化学产排制造工业》（HJ1103-2020）中提出的废气污染防治要求，废气污染物达标排放可行。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动植物油脂回收生产线产生的废气、储罐产生的呼吸废气及生物燃料生产线产生的恶臭、加热废气通过管道收集（收集效率95%）共用一套“净电除油（处理效率85%）+二级碱液喷淋塔+除湿+活性炭吸附箱（综合处理效率95.6%）”，配套风机风量 25000m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/h，处理后通过 1 根 15m 高排气筒（DA001）排放。生物燃料生产线中投料、破碎产生的废气通过集气罩收集（收集效率 90%）后采用“布袋除尘器（处理效率99%）”处理后汇集到DA001排放口排放。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根据设计厂家提供数据，并参照 2021 年 6 月生态环境部关于发布《排放源统计调查产排污核算方法和系数手册》的公告，喷淋塔处理效率约 73%，活性炭吸附处理效率约 40%，则“二级碱液喷淋塔+活性炭吸附箱”综合处理效率取 95.6%。</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（4）水溶肥生产线产生的废气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本项目水溶肥生产在投料时粉状磷酸二氢钾会产生粉尘，在水溶肥生产过程中需要加入氨水（20% 浓度）调节 pH 并与溶液中硫酸生产硫酸氨，生产过程中有少量氨气挥发，最后经呼吸口排出，该生产线产生的废气通过集气罩（收集效率90%）收集后经“布袋除尘器（处理效率99）+活性炭吸附（处理效率24%）处理后，经一根 15m 高排气筒（DA002）外排。经措施处理后粉尘排放浓度及排放速率均满足《大气污染物综合排放浓度》（GB16297-1996）表 2 中二级标准限值要求；氨气排放浓度及排放速率均满足《恶臭污染物排放标准》（GB14554-93）表 2 中排放限值要求；水溶肥生产线产生的有组织废气经处理后污染物均能达标排放。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 xml:space="preserve">根据《排污许可证申请与核发技术规范 </w:t>
      </w:r>
      <w:r>
        <w:rPr>
          <w:rFonts w:hint="eastAsia" w:ascii="Times New Roman" w:hAnsi="Times New Roman" w:eastAsia="宋体" w:cs="Times New Roman"/>
          <w:color w:val="auto"/>
          <w:sz w:val="24"/>
          <w:szCs w:val="24"/>
          <w:vertAlign w:val="baseline"/>
          <w:lang w:val="en-US" w:eastAsia="zh-CN"/>
        </w:rPr>
        <w:fldChar w:fldCharType="begin"/>
      </w:r>
      <w:r>
        <w:rPr>
          <w:rFonts w:hint="eastAsia" w:ascii="Times New Roman" w:hAnsi="Times New Roman" w:eastAsia="宋体" w:cs="Times New Roman"/>
          <w:color w:val="auto"/>
          <w:sz w:val="24"/>
          <w:szCs w:val="24"/>
          <w:vertAlign w:val="baseline"/>
          <w:lang w:val="en-US" w:eastAsia="zh-CN"/>
        </w:rPr>
        <w:instrText xml:space="preserve"> HYPERLINK "https://www.mee.gov.cn/ywgz/fgbz/bz/bzwb/pwxk/201809/W020180927570332154369.pdf" </w:instrText>
      </w:r>
      <w:r>
        <w:rPr>
          <w:rFonts w:hint="eastAsia" w:ascii="Times New Roman" w:hAnsi="Times New Roman" w:eastAsia="宋体" w:cs="Times New Roman"/>
          <w:color w:val="auto"/>
          <w:sz w:val="24"/>
          <w:szCs w:val="24"/>
          <w:vertAlign w:val="baseline"/>
          <w:lang w:val="en-US" w:eastAsia="zh-CN"/>
        </w:rPr>
        <w:fldChar w:fldCharType="separate"/>
      </w:r>
      <w:r>
        <w:rPr>
          <w:rFonts w:hint="eastAsia" w:ascii="Times New Roman" w:hAnsi="Times New Roman" w:eastAsia="宋体" w:cs="Times New Roman"/>
          <w:color w:val="auto"/>
          <w:sz w:val="24"/>
          <w:szCs w:val="24"/>
          <w:vertAlign w:val="baseline"/>
          <w:lang w:val="en-US" w:eastAsia="zh-CN"/>
        </w:rPr>
        <w:t>磷肥、钾肥、复混钾肥、有机肥料及微生物肥料工业</w:t>
      </w:r>
      <w:r>
        <w:rPr>
          <w:rFonts w:hint="eastAsia" w:ascii="Times New Roman" w:hAnsi="Times New Roman" w:eastAsia="宋体" w:cs="Times New Roman"/>
          <w:color w:val="auto"/>
          <w:sz w:val="24"/>
          <w:szCs w:val="24"/>
          <w:vertAlign w:val="baseline"/>
          <w:lang w:val="en-US" w:eastAsia="zh-CN"/>
        </w:rPr>
        <w:fldChar w:fldCharType="end"/>
      </w:r>
      <w:r>
        <w:rPr>
          <w:rFonts w:hint="eastAsia" w:ascii="Times New Roman" w:hAnsi="Times New Roman" w:eastAsia="宋体" w:cs="Times New Roman"/>
          <w:color w:val="auto"/>
          <w:sz w:val="24"/>
          <w:szCs w:val="24"/>
          <w:vertAlign w:val="baseline"/>
          <w:lang w:val="en-US" w:eastAsia="zh-CN"/>
        </w:rPr>
        <w:t>》（HJ 864.2-2018）中对水溶肥生产工序产生的 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vertAlign w:val="baseline"/>
          <w:lang w:val="en-US" w:eastAsia="zh-CN"/>
        </w:rPr>
        <w:t xml:space="preserve"> 及颗粒物以有组织形式排放，要求在废气产生点配备有效的布袋除尘器+活性炭吸附；同时根据规范中推荐的污染物处置可行性技术”，本项目对水溶肥生产线产生的NH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vertAlign w:val="baseline"/>
          <w:lang w:val="en-US" w:eastAsia="zh-CN"/>
        </w:rPr>
        <w:t xml:space="preserve"> 及颗粒物采用布袋除尘器+活性炭吸附处理属于可行技术，可保证 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vertAlign w:val="baseline"/>
          <w:lang w:val="en-US" w:eastAsia="zh-CN"/>
        </w:rPr>
        <w:t xml:space="preserve"> 达到《恶臭污染物排放标准》（GB14554-93）表 2 中排放限值要求，颗粒物达到《大气污染物综合排放标准（GB16297-1996）表 2 中二级限值，符合《排污许可证申请与核发技术规范 </w:t>
      </w:r>
      <w:r>
        <w:rPr>
          <w:rFonts w:hint="eastAsia" w:ascii="Times New Roman" w:hAnsi="Times New Roman" w:eastAsia="宋体" w:cs="Times New Roman"/>
          <w:color w:val="auto"/>
          <w:sz w:val="24"/>
          <w:szCs w:val="24"/>
          <w:vertAlign w:val="baseline"/>
          <w:lang w:val="en-US" w:eastAsia="zh-CN"/>
        </w:rPr>
        <w:fldChar w:fldCharType="begin"/>
      </w:r>
      <w:r>
        <w:rPr>
          <w:rFonts w:hint="eastAsia" w:ascii="Times New Roman" w:hAnsi="Times New Roman" w:eastAsia="宋体" w:cs="Times New Roman"/>
          <w:color w:val="auto"/>
          <w:sz w:val="24"/>
          <w:szCs w:val="24"/>
          <w:vertAlign w:val="baseline"/>
          <w:lang w:val="en-US" w:eastAsia="zh-CN"/>
        </w:rPr>
        <w:instrText xml:space="preserve"> HYPERLINK "https://www.mee.gov.cn/ywgz/fgbz/bz/bzwb/pwxk/201809/W020180927570332154369.pdf" </w:instrText>
      </w:r>
      <w:r>
        <w:rPr>
          <w:rFonts w:hint="eastAsia" w:ascii="Times New Roman" w:hAnsi="Times New Roman" w:eastAsia="宋体" w:cs="Times New Roman"/>
          <w:color w:val="auto"/>
          <w:sz w:val="24"/>
          <w:szCs w:val="24"/>
          <w:vertAlign w:val="baseline"/>
          <w:lang w:val="en-US" w:eastAsia="zh-CN"/>
        </w:rPr>
        <w:fldChar w:fldCharType="separate"/>
      </w:r>
      <w:r>
        <w:rPr>
          <w:rFonts w:hint="eastAsia" w:ascii="Times New Roman" w:hAnsi="Times New Roman" w:eastAsia="宋体" w:cs="Times New Roman"/>
          <w:color w:val="auto"/>
          <w:sz w:val="24"/>
          <w:szCs w:val="24"/>
          <w:vertAlign w:val="baseline"/>
          <w:lang w:val="en-US" w:eastAsia="zh-CN"/>
        </w:rPr>
        <w:t>磷肥、钾肥、复混钾肥、有机肥料及微生物肥料工业</w:t>
      </w:r>
      <w:r>
        <w:rPr>
          <w:rFonts w:hint="eastAsia" w:ascii="Times New Roman" w:hAnsi="Times New Roman" w:eastAsia="宋体" w:cs="Times New Roman"/>
          <w:color w:val="auto"/>
          <w:sz w:val="24"/>
          <w:szCs w:val="24"/>
          <w:vertAlign w:val="baseline"/>
          <w:lang w:val="en-US" w:eastAsia="zh-CN"/>
        </w:rPr>
        <w:fldChar w:fldCharType="end"/>
      </w:r>
      <w:r>
        <w:rPr>
          <w:rFonts w:hint="eastAsia" w:ascii="Times New Roman" w:hAnsi="Times New Roman" w:eastAsia="宋体" w:cs="Times New Roman"/>
          <w:color w:val="auto"/>
          <w:sz w:val="24"/>
          <w:szCs w:val="24"/>
          <w:vertAlign w:val="baseline"/>
          <w:lang w:val="en-US" w:eastAsia="zh-CN"/>
        </w:rPr>
        <w:t>》（HJ 864.2-2018）中提出的废气污染防治要求，废气污染物达标排放可行。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（5）生物有机肥生产线废气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本项目生物有机肥生产线产生的废气主要为发酵废气及加工废气，该部分废气经集气罩（收集效率90%）收集后经“布袋除尘器（处理效率 99%）+活性炭吸附（处理效率 24%）处理后，经一根 15m 高排气筒（DA002）外排。经措施处理后粉尘排放浓度及排放速率均满足《大气污染物综合排放浓度》（GB16297-1996）表 2 中二级标准限值要求；恶臭可达到《恶臭污染物排放标准》（GB14554-93）表2中排放限值要求。生物有机肥生产线废气经处理后达标排放。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 xml:space="preserve">根据《排污许可证申请与核发技术规范 </w:t>
      </w:r>
      <w:r>
        <w:rPr>
          <w:rFonts w:hint="eastAsia" w:ascii="Times New Roman" w:hAnsi="Times New Roman" w:eastAsia="宋体" w:cs="Times New Roman"/>
          <w:color w:val="auto"/>
          <w:sz w:val="24"/>
          <w:szCs w:val="24"/>
          <w:vertAlign w:val="baseline"/>
          <w:lang w:val="en-US" w:eastAsia="zh-CN"/>
        </w:rPr>
        <w:fldChar w:fldCharType="begin"/>
      </w:r>
      <w:r>
        <w:rPr>
          <w:rFonts w:hint="eastAsia" w:ascii="Times New Roman" w:hAnsi="Times New Roman" w:eastAsia="宋体" w:cs="Times New Roman"/>
          <w:color w:val="auto"/>
          <w:sz w:val="24"/>
          <w:szCs w:val="24"/>
          <w:vertAlign w:val="baseline"/>
          <w:lang w:val="en-US" w:eastAsia="zh-CN"/>
        </w:rPr>
        <w:instrText xml:space="preserve"> HYPERLINK "https://www.mee.gov.cn/ywgz/fgbz/bz/bzwb/pwxk/201809/W020180927570332154369.pdf" </w:instrText>
      </w:r>
      <w:r>
        <w:rPr>
          <w:rFonts w:hint="eastAsia" w:ascii="Times New Roman" w:hAnsi="Times New Roman" w:eastAsia="宋体" w:cs="Times New Roman"/>
          <w:color w:val="auto"/>
          <w:sz w:val="24"/>
          <w:szCs w:val="24"/>
          <w:vertAlign w:val="baseline"/>
          <w:lang w:val="en-US" w:eastAsia="zh-CN"/>
        </w:rPr>
        <w:fldChar w:fldCharType="separate"/>
      </w:r>
      <w:r>
        <w:rPr>
          <w:rFonts w:hint="eastAsia" w:ascii="Times New Roman" w:hAnsi="Times New Roman" w:eastAsia="宋体" w:cs="Times New Roman"/>
          <w:color w:val="auto"/>
          <w:sz w:val="24"/>
          <w:szCs w:val="24"/>
          <w:vertAlign w:val="baseline"/>
          <w:lang w:val="en-US" w:eastAsia="zh-CN"/>
        </w:rPr>
        <w:t>磷肥、钾肥、复混钾肥、有机肥料及微生物肥料工业</w:t>
      </w:r>
      <w:r>
        <w:rPr>
          <w:rFonts w:hint="eastAsia" w:ascii="Times New Roman" w:hAnsi="Times New Roman" w:eastAsia="宋体" w:cs="Times New Roman"/>
          <w:color w:val="auto"/>
          <w:sz w:val="24"/>
          <w:szCs w:val="24"/>
          <w:vertAlign w:val="baseline"/>
          <w:lang w:val="en-US" w:eastAsia="zh-CN"/>
        </w:rPr>
        <w:fldChar w:fldCharType="end"/>
      </w:r>
      <w:r>
        <w:rPr>
          <w:rFonts w:hint="eastAsia" w:ascii="Times New Roman" w:hAnsi="Times New Roman" w:eastAsia="宋体" w:cs="Times New Roman"/>
          <w:color w:val="auto"/>
          <w:sz w:val="24"/>
          <w:szCs w:val="24"/>
          <w:vertAlign w:val="baseline"/>
          <w:lang w:val="en-US" w:eastAsia="zh-CN"/>
        </w:rPr>
        <w:t>》（HJ 864.2-2018）中对水溶肥生产工序产生的 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vertAlign w:val="baseline"/>
          <w:lang w:val="en-US" w:eastAsia="zh-CN"/>
        </w:rPr>
        <w:t>、H</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vertAlign w:val="baseline"/>
          <w:lang w:val="en-US" w:eastAsia="zh-CN"/>
        </w:rPr>
        <w:t>S及颗粒物以有组织形式排放，要求在废气产生点配备有效的布袋除尘器+活性炭吸附；同时根据规范中推荐的污染物处置可行性技术”，本项目对生物有机肥生产线产生的 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vertAlign w:val="baseline"/>
          <w:lang w:val="en-US" w:eastAsia="zh-CN"/>
        </w:rPr>
        <w:t>、H</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vertAlign w:val="baseline"/>
          <w:lang w:val="en-US" w:eastAsia="zh-CN"/>
        </w:rPr>
        <w:t>S 及颗粒物采用布袋除尘器+活性炭吸附处理属于可行技术，可保证 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vertAlign w:val="baseline"/>
          <w:lang w:val="en-US" w:eastAsia="zh-CN"/>
        </w:rPr>
        <w:t>、H</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vertAlign w:val="baseline"/>
          <w:lang w:val="en-US" w:eastAsia="zh-CN"/>
        </w:rPr>
        <w:t xml:space="preserve">S 达到《恶臭污染物排放标准》（GB14554-93）表 2 中排放限值要求，颗粒物达到《大气污染物综合排放标准（GB16297-1996）表 2 中二级限值，符合《排污许可证申请与核发技术规范 </w:t>
      </w:r>
      <w:r>
        <w:rPr>
          <w:rFonts w:hint="eastAsia" w:ascii="Times New Roman" w:hAnsi="Times New Roman" w:eastAsia="宋体" w:cs="Times New Roman"/>
          <w:color w:val="auto"/>
          <w:sz w:val="24"/>
          <w:szCs w:val="24"/>
          <w:vertAlign w:val="baseline"/>
          <w:lang w:val="en-US" w:eastAsia="zh-CN"/>
        </w:rPr>
        <w:fldChar w:fldCharType="begin"/>
      </w:r>
      <w:r>
        <w:rPr>
          <w:rFonts w:hint="eastAsia" w:ascii="Times New Roman" w:hAnsi="Times New Roman" w:eastAsia="宋体" w:cs="Times New Roman"/>
          <w:color w:val="auto"/>
          <w:sz w:val="24"/>
          <w:szCs w:val="24"/>
          <w:vertAlign w:val="baseline"/>
          <w:lang w:val="en-US" w:eastAsia="zh-CN"/>
        </w:rPr>
        <w:instrText xml:space="preserve"> HYPERLINK "https://www.mee.gov.cn/ywgz/fgbz/bz/bzwb/pwxk/201809/W020180927570332154369.pdf" </w:instrText>
      </w:r>
      <w:r>
        <w:rPr>
          <w:rFonts w:hint="eastAsia" w:ascii="Times New Roman" w:hAnsi="Times New Roman" w:eastAsia="宋体" w:cs="Times New Roman"/>
          <w:color w:val="auto"/>
          <w:sz w:val="24"/>
          <w:szCs w:val="24"/>
          <w:vertAlign w:val="baseline"/>
          <w:lang w:val="en-US" w:eastAsia="zh-CN"/>
        </w:rPr>
        <w:fldChar w:fldCharType="separate"/>
      </w:r>
      <w:r>
        <w:rPr>
          <w:rFonts w:hint="eastAsia" w:ascii="Times New Roman" w:hAnsi="Times New Roman" w:eastAsia="宋体" w:cs="Times New Roman"/>
          <w:color w:val="auto"/>
          <w:sz w:val="24"/>
          <w:szCs w:val="24"/>
          <w:vertAlign w:val="baseline"/>
          <w:lang w:val="en-US" w:eastAsia="zh-CN"/>
        </w:rPr>
        <w:t>磷肥、钾肥、复混钾肥、有机肥料及微生物肥料工业</w:t>
      </w:r>
      <w:r>
        <w:rPr>
          <w:rFonts w:hint="eastAsia" w:ascii="Times New Roman" w:hAnsi="Times New Roman" w:eastAsia="宋体" w:cs="Times New Roman"/>
          <w:color w:val="auto"/>
          <w:sz w:val="24"/>
          <w:szCs w:val="24"/>
          <w:vertAlign w:val="baseline"/>
          <w:lang w:val="en-US" w:eastAsia="zh-CN"/>
        </w:rPr>
        <w:fldChar w:fldCharType="end"/>
      </w:r>
      <w:r>
        <w:rPr>
          <w:rFonts w:hint="eastAsia" w:ascii="Times New Roman" w:hAnsi="Times New Roman" w:eastAsia="宋体" w:cs="Times New Roman"/>
          <w:color w:val="auto"/>
          <w:sz w:val="24"/>
          <w:szCs w:val="24"/>
          <w:vertAlign w:val="baseline"/>
          <w:lang w:val="en-US" w:eastAsia="zh-CN"/>
        </w:rPr>
        <w:t>》（HJ 864.2-2018）中提出的废气污染防治要求，废气污染物达标排放可行。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水溶肥生产线产生的废气及生物有机肥生产线产生废气通过集气罩收集（收集效率95%）后共用一套“布袋除尘器（处理效率 99%）+活性炭吸附（处理效率 24%）”，配套风机风量 5000m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/h，处理后通过 1 根 15m 高排气筒（DA002）排放。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（6）食堂油烟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本项目</w:t>
      </w:r>
      <w:r>
        <w:rPr>
          <w:rFonts w:hint="eastAsia" w:ascii="Times New Roman" w:hAnsi="Times New Roman" w:eastAsia="宋体" w:cs="Times New Roman"/>
          <w:color w:val="auto"/>
          <w:sz w:val="24"/>
          <w:szCs w:val="24"/>
          <w:lang w:val="en-US" w:eastAsia="zh-CN"/>
        </w:rPr>
        <w:t>设置员工食堂，食堂将产生烹饪油烟，食堂油烟经油烟净化器处理后引至屋顶排放。经措施处理后食堂油烟排放浓度为 0.78mg/m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，排放浓度满足</w:t>
      </w:r>
      <w:r>
        <w:rPr>
          <w:rFonts w:hint="default" w:ascii="Times New Roman" w:hAnsi="Times New Roman" w:eastAsia="宋体" w:cs="Times New Roman"/>
          <w:color w:val="auto"/>
          <w:sz w:val="24"/>
          <w:szCs w:val="24"/>
          <w:vertAlign w:val="baseline"/>
          <w:lang w:val="en-US" w:eastAsia="zh-CN"/>
        </w:rPr>
        <w:t>《饮食业油烟排放标准（试行）》（GB18483-2001）表</w:t>
      </w:r>
      <w:r>
        <w:rPr>
          <w:rFonts w:hint="eastAsia" w:ascii="Times New Roman" w:hAnsi="Times New Roman" w:eastAsia="宋体" w:cs="Times New Roman"/>
          <w:color w:val="auto"/>
          <w:sz w:val="24"/>
          <w:szCs w:val="24"/>
          <w:vertAlign w:val="baseline"/>
          <w:lang w:val="en-US" w:eastAsia="zh-CN"/>
        </w:rPr>
        <w:t xml:space="preserve"> </w:t>
      </w:r>
      <w:r>
        <w:rPr>
          <w:rFonts w:hint="default" w:ascii="Times New Roman" w:hAnsi="Times New Roman" w:eastAsia="宋体" w:cs="Times New Roman"/>
          <w:color w:val="auto"/>
          <w:sz w:val="24"/>
          <w:szCs w:val="24"/>
          <w:vertAlign w:val="baseline"/>
          <w:lang w:val="en-US" w:eastAsia="zh-CN"/>
        </w:rPr>
        <w:t>2</w:t>
      </w:r>
      <w:r>
        <w:rPr>
          <w:rFonts w:hint="eastAsia" w:ascii="Times New Roman" w:hAnsi="Times New Roman" w:eastAsia="宋体" w:cs="Times New Roman"/>
          <w:color w:val="auto"/>
          <w:sz w:val="24"/>
          <w:szCs w:val="24"/>
          <w:vertAlign w:val="baseline"/>
          <w:lang w:val="en-US" w:eastAsia="zh-CN"/>
        </w:rPr>
        <w:t xml:space="preserve"> </w:t>
      </w:r>
      <w:r>
        <w:rPr>
          <w:rFonts w:hint="default" w:ascii="Times New Roman" w:hAnsi="Times New Roman" w:eastAsia="宋体" w:cs="Times New Roman"/>
          <w:color w:val="auto"/>
          <w:sz w:val="24"/>
          <w:szCs w:val="24"/>
          <w:vertAlign w:val="baseline"/>
          <w:lang w:val="en-US" w:eastAsia="zh-CN"/>
        </w:rPr>
        <w:t>限值</w:t>
      </w:r>
      <w:r>
        <w:rPr>
          <w:rFonts w:hint="eastAsia" w:ascii="Times New Roman" w:hAnsi="Times New Roman" w:eastAsia="宋体" w:cs="Times New Roman"/>
          <w:color w:val="auto"/>
          <w:sz w:val="24"/>
          <w:szCs w:val="24"/>
          <w:vertAlign w:val="baseline"/>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① 废气处理系统工作原理及技术可行性</w:t>
      </w:r>
    </w:p>
    <w:p>
      <w:pPr>
        <w:keepNext w:val="0"/>
        <w:keepLines w:val="0"/>
        <w:pageBreakBefore w:val="0"/>
        <w:widowControl w:val="0"/>
        <w:kinsoku/>
        <w:wordWrap/>
        <w:overflowPunct/>
        <w:topLinePunct w:val="0"/>
        <w:autoSpaceDE/>
        <w:autoSpaceDN/>
        <w:bidi w:val="0"/>
        <w:adjustRightInd/>
        <w:snapToGrid/>
        <w:spacing w:line="560" w:lineRule="exact"/>
        <w:ind w:firstLine="482"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b/>
          <w:bCs/>
          <w:color w:val="auto"/>
          <w:sz w:val="24"/>
          <w:szCs w:val="24"/>
          <w:lang w:val="en-US" w:eastAsia="zh-CN"/>
        </w:rPr>
        <w:t>布袋除尘器原理：</w:t>
      </w:r>
      <w:r>
        <w:rPr>
          <w:rFonts w:hint="eastAsia" w:ascii="Times New Roman" w:hAnsi="Times New Roman" w:eastAsia="宋体" w:cs="Times New Roman"/>
          <w:color w:val="auto"/>
          <w:sz w:val="24"/>
          <w:szCs w:val="24"/>
          <w:lang w:val="en-US" w:eastAsia="zh-CN"/>
        </w:rPr>
        <w:t>布袋除尘利用有机纤维或无机纤维过滤布袋，将含有粉尘的气体打入设备，将其过滤出来。过滤时气体通过设备中的滤袋，滤布纤维间的空隙或吸附在滤布表面的粉尘间的空隙会把烟气中粒径大于空隙的颗粒物分离下来称为筛分作用。</w:t>
      </w:r>
    </w:p>
    <w:p>
      <w:pPr>
        <w:keepNext w:val="0"/>
        <w:keepLines w:val="0"/>
        <w:pageBreakBefore w:val="0"/>
        <w:widowControl w:val="0"/>
        <w:kinsoku/>
        <w:wordWrap/>
        <w:overflowPunct/>
        <w:topLinePunct w:val="0"/>
        <w:autoSpaceDE/>
        <w:autoSpaceDN/>
        <w:bidi w:val="0"/>
        <w:adjustRightInd/>
        <w:snapToGrid/>
        <w:spacing w:line="560" w:lineRule="exact"/>
        <w:ind w:firstLine="482"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b/>
          <w:bCs/>
          <w:color w:val="auto"/>
          <w:sz w:val="24"/>
          <w:szCs w:val="24"/>
          <w:vertAlign w:val="baseline"/>
          <w:lang w:val="en-US" w:eastAsia="zh-CN"/>
        </w:rPr>
        <w:t>静电除油烟技术：</w:t>
      </w:r>
      <w:r>
        <w:rPr>
          <w:rFonts w:hint="eastAsia" w:ascii="Times New Roman" w:hAnsi="Times New Roman" w:eastAsia="宋体" w:cs="Times New Roman"/>
          <w:b w:val="0"/>
          <w:bCs w:val="0"/>
          <w:color w:val="auto"/>
          <w:sz w:val="24"/>
          <w:szCs w:val="24"/>
          <w:vertAlign w:val="baseline"/>
          <w:lang w:val="en-US" w:eastAsia="zh-CN"/>
        </w:rPr>
        <w:t>静电除油烟技术</w:t>
      </w:r>
      <w:r>
        <w:rPr>
          <w:rFonts w:hint="eastAsia" w:ascii="Times New Roman" w:hAnsi="Times New Roman" w:eastAsia="宋体" w:cs="Times New Roman"/>
          <w:color w:val="auto"/>
          <w:sz w:val="24"/>
          <w:szCs w:val="24"/>
          <w:vertAlign w:val="baseline"/>
          <w:lang w:val="en-US" w:eastAsia="zh-CN"/>
        </w:rPr>
        <w:t>是利用阴极在高压电场中发射出来的电子，以及由电子碰撞空气分子而产生的负离子来捕捉油烟、油雾粒子，使粒子带电被阳极所吸附，以达到清除目的。</w:t>
      </w:r>
      <w:r>
        <w:rPr>
          <w:rFonts w:hint="eastAsia" w:ascii="Times New Roman" w:hAnsi="Times New Roman" w:eastAsia="宋体" w:cs="Times New Roman"/>
          <w:color w:val="auto"/>
          <w:sz w:val="24"/>
          <w:szCs w:val="24"/>
          <w:vertAlign w:val="baseline"/>
          <w:lang w:val="en-US" w:eastAsia="zh-CN"/>
        </w:rPr>
        <w:fldChar w:fldCharType="begin"/>
      </w:r>
      <w:r>
        <w:rPr>
          <w:rFonts w:hint="eastAsia" w:ascii="Times New Roman" w:hAnsi="Times New Roman" w:eastAsia="宋体" w:cs="Times New Roman"/>
          <w:color w:val="auto"/>
          <w:sz w:val="24"/>
          <w:szCs w:val="24"/>
          <w:vertAlign w:val="baseline"/>
          <w:lang w:val="en-US" w:eastAsia="zh-CN"/>
        </w:rPr>
        <w:instrText xml:space="preserve"> HYPERLINK "https://baike.baidu.com/item/%E6%B2%B9%E7%83%9F/0?fromModule=lemma_inlink" \t "https://baike.baidu.com/item/%E9%9D%99%E7%94%B5%E5%BC%8F%E6%B2%B9%E7%83%9F%E5%87%80%E5%8C%96%E5%99%A8/_blank" </w:instrText>
      </w:r>
      <w:r>
        <w:rPr>
          <w:rFonts w:hint="eastAsia" w:ascii="Times New Roman" w:hAnsi="Times New Roman" w:eastAsia="宋体" w:cs="Times New Roman"/>
          <w:color w:val="auto"/>
          <w:sz w:val="24"/>
          <w:szCs w:val="24"/>
          <w:vertAlign w:val="baseline"/>
          <w:lang w:val="en-US" w:eastAsia="zh-CN"/>
        </w:rPr>
        <w:fldChar w:fldCharType="separate"/>
      </w:r>
      <w:r>
        <w:rPr>
          <w:rFonts w:hint="eastAsia" w:ascii="Times New Roman" w:hAnsi="Times New Roman" w:eastAsia="宋体" w:cs="Times New Roman"/>
          <w:color w:val="auto"/>
          <w:sz w:val="24"/>
          <w:szCs w:val="24"/>
          <w:vertAlign w:val="baseline"/>
          <w:lang w:val="en-US" w:eastAsia="zh-CN"/>
        </w:rPr>
        <w:t>油烟</w:t>
      </w:r>
      <w:r>
        <w:rPr>
          <w:rFonts w:hint="eastAsia" w:ascii="Times New Roman" w:hAnsi="Times New Roman" w:eastAsia="宋体" w:cs="Times New Roman"/>
          <w:color w:val="auto"/>
          <w:sz w:val="24"/>
          <w:szCs w:val="24"/>
          <w:vertAlign w:val="baseline"/>
          <w:lang w:val="en-US" w:eastAsia="zh-CN"/>
        </w:rPr>
        <w:fldChar w:fldCharType="end"/>
      </w:r>
      <w:r>
        <w:rPr>
          <w:rFonts w:hint="eastAsia" w:ascii="Times New Roman" w:hAnsi="Times New Roman" w:eastAsia="宋体" w:cs="Times New Roman"/>
          <w:color w:val="auto"/>
          <w:sz w:val="24"/>
          <w:szCs w:val="24"/>
          <w:vertAlign w:val="baseline"/>
          <w:lang w:val="en-US" w:eastAsia="zh-CN"/>
        </w:rPr>
        <w:t>由风机吸入静电式油烟净化器，其中部分较大的油雾滴、油污颗粒在均流板上由于机械碰撞、阻留而被捕集。当气流进入高压静电场时，在高压电场的作用下，油烟气体电离，油雾荷电，大部分得以降解炭化；少部分微小油粒在吸附电场的电场力及气流作用下向电场的正负极板运动被收集在极板上并在自身重力的作用下流到集油盘，经排油通道排出，余下的微米级油雾被电场降解成</w:t>
      </w:r>
      <w:r>
        <w:rPr>
          <w:rFonts w:hint="eastAsia" w:ascii="Times New Roman" w:hAnsi="Times New Roman" w:eastAsia="宋体" w:cs="Times New Roman"/>
          <w:color w:val="auto"/>
          <w:sz w:val="24"/>
          <w:szCs w:val="24"/>
          <w:vertAlign w:val="baseline"/>
          <w:lang w:val="en-US" w:eastAsia="zh-CN"/>
        </w:rPr>
        <w:fldChar w:fldCharType="begin"/>
      </w:r>
      <w:r>
        <w:rPr>
          <w:rFonts w:hint="eastAsia" w:ascii="Times New Roman" w:hAnsi="Times New Roman" w:eastAsia="宋体" w:cs="Times New Roman"/>
          <w:color w:val="auto"/>
          <w:sz w:val="24"/>
          <w:szCs w:val="24"/>
          <w:vertAlign w:val="baseline"/>
          <w:lang w:val="en-US" w:eastAsia="zh-CN"/>
        </w:rPr>
        <w:instrText xml:space="preserve"> HYPERLINK "https://baike.baidu.com/item/%E4%BA%8C%E6%B0%A7%E5%8C%96%E7%A2%B3/349143?fromModule=lemma_inlink" \t "https://baike.baidu.com/item/%E9%9D%99%E7%94%B5%E5%BC%8F%E6%B2%B9%E7%83%9F%E5%87%80%E5%8C%96%E5%99%A8/_blank" </w:instrText>
      </w:r>
      <w:r>
        <w:rPr>
          <w:rFonts w:hint="eastAsia" w:ascii="Times New Roman" w:hAnsi="Times New Roman" w:eastAsia="宋体" w:cs="Times New Roman"/>
          <w:color w:val="auto"/>
          <w:sz w:val="24"/>
          <w:szCs w:val="24"/>
          <w:vertAlign w:val="baseline"/>
          <w:lang w:val="en-US" w:eastAsia="zh-CN"/>
        </w:rPr>
        <w:fldChar w:fldCharType="separate"/>
      </w:r>
      <w:r>
        <w:rPr>
          <w:rFonts w:hint="eastAsia" w:ascii="Times New Roman" w:hAnsi="Times New Roman" w:eastAsia="宋体" w:cs="Times New Roman"/>
          <w:color w:val="auto"/>
          <w:sz w:val="24"/>
          <w:szCs w:val="24"/>
          <w:vertAlign w:val="baseline"/>
          <w:lang w:val="en-US" w:eastAsia="zh-CN"/>
        </w:rPr>
        <w:t>二氧化碳</w:t>
      </w:r>
      <w:r>
        <w:rPr>
          <w:rFonts w:hint="eastAsia" w:ascii="Times New Roman" w:hAnsi="Times New Roman" w:eastAsia="宋体" w:cs="Times New Roman"/>
          <w:color w:val="auto"/>
          <w:sz w:val="24"/>
          <w:szCs w:val="24"/>
          <w:vertAlign w:val="baseline"/>
          <w:lang w:val="en-US" w:eastAsia="zh-CN"/>
        </w:rPr>
        <w:fldChar w:fldCharType="end"/>
      </w:r>
      <w:r>
        <w:rPr>
          <w:rFonts w:hint="eastAsia" w:ascii="Times New Roman" w:hAnsi="Times New Roman" w:eastAsia="宋体" w:cs="Times New Roman"/>
          <w:color w:val="auto"/>
          <w:sz w:val="24"/>
          <w:szCs w:val="24"/>
          <w:vertAlign w:val="baseline"/>
          <w:lang w:val="en-US" w:eastAsia="zh-CN"/>
        </w:rPr>
        <w:t>和水，最终排出洁净空气；同时在</w:t>
      </w:r>
      <w:r>
        <w:rPr>
          <w:rFonts w:hint="eastAsia" w:ascii="Times New Roman" w:hAnsi="Times New Roman" w:eastAsia="宋体" w:cs="Times New Roman"/>
          <w:color w:val="auto"/>
          <w:sz w:val="24"/>
          <w:szCs w:val="24"/>
          <w:vertAlign w:val="baseline"/>
          <w:lang w:val="en-US" w:eastAsia="zh-CN"/>
        </w:rPr>
        <w:fldChar w:fldCharType="begin"/>
      </w:r>
      <w:r>
        <w:rPr>
          <w:rFonts w:hint="eastAsia" w:ascii="Times New Roman" w:hAnsi="Times New Roman" w:eastAsia="宋体" w:cs="Times New Roman"/>
          <w:color w:val="auto"/>
          <w:sz w:val="24"/>
          <w:szCs w:val="24"/>
          <w:vertAlign w:val="baseline"/>
          <w:lang w:val="en-US" w:eastAsia="zh-CN"/>
        </w:rPr>
        <w:instrText xml:space="preserve"> HYPERLINK "https://baike.baidu.com/item/%E9%AB%98%E5%8E%8B%E5%8F%91%E7%94%9F%E5%99%A8/6901202?fromModule=lemma_inlink" \t "https://baike.baidu.com/item/%E9%9D%99%E7%94%B5%E5%BC%8F%E6%B2%B9%E7%83%9F%E5%87%80%E5%8C%96%E5%99%A8/_blank" </w:instrText>
      </w:r>
      <w:r>
        <w:rPr>
          <w:rFonts w:hint="eastAsia" w:ascii="Times New Roman" w:hAnsi="Times New Roman" w:eastAsia="宋体" w:cs="Times New Roman"/>
          <w:color w:val="auto"/>
          <w:sz w:val="24"/>
          <w:szCs w:val="24"/>
          <w:vertAlign w:val="baseline"/>
          <w:lang w:val="en-US" w:eastAsia="zh-CN"/>
        </w:rPr>
        <w:fldChar w:fldCharType="separate"/>
      </w:r>
      <w:r>
        <w:rPr>
          <w:rFonts w:hint="eastAsia" w:ascii="Times New Roman" w:hAnsi="Times New Roman" w:eastAsia="宋体" w:cs="Times New Roman"/>
          <w:color w:val="auto"/>
          <w:sz w:val="24"/>
          <w:szCs w:val="24"/>
          <w:vertAlign w:val="baseline"/>
          <w:lang w:val="en-US" w:eastAsia="zh-CN"/>
        </w:rPr>
        <w:t>高压发生器</w:t>
      </w:r>
      <w:r>
        <w:rPr>
          <w:rFonts w:hint="eastAsia" w:ascii="Times New Roman" w:hAnsi="Times New Roman" w:eastAsia="宋体" w:cs="Times New Roman"/>
          <w:color w:val="auto"/>
          <w:sz w:val="24"/>
          <w:szCs w:val="24"/>
          <w:vertAlign w:val="baseline"/>
          <w:lang w:val="en-US" w:eastAsia="zh-CN"/>
        </w:rPr>
        <w:fldChar w:fldCharType="end"/>
      </w:r>
      <w:r>
        <w:rPr>
          <w:rFonts w:hint="eastAsia" w:ascii="Times New Roman" w:hAnsi="Times New Roman" w:eastAsia="宋体" w:cs="Times New Roman"/>
          <w:color w:val="auto"/>
          <w:sz w:val="24"/>
          <w:szCs w:val="24"/>
          <w:vertAlign w:val="baseline"/>
          <w:lang w:val="en-US" w:eastAsia="zh-CN"/>
        </w:rPr>
        <w:t>的作用下，电场内空气产生臭氧，除去了烟气中大部分的气味。</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vertAlign w:val="baseline"/>
          <w:lang w:val="en-US" w:eastAsia="zh-CN"/>
        </w:rPr>
      </w:pPr>
      <w:r>
        <w:rPr>
          <w:rFonts w:hint="eastAsia"/>
          <w:color w:val="auto"/>
          <w:highlight w:val="none"/>
          <w:lang w:val="en-US" w:eastAsia="zh-CN"/>
        </w:rPr>
        <w:drawing>
          <wp:inline distT="0" distB="0" distL="114300" distR="114300">
            <wp:extent cx="2432685" cy="2549525"/>
            <wp:effectExtent l="0" t="0" r="5715" b="3175"/>
            <wp:docPr id="439" name="图片 4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48" descr="图片1"/>
                    <pic:cNvPicPr>
                      <a:picLocks noChangeAspect="1"/>
                    </pic:cNvPicPr>
                  </pic:nvPicPr>
                  <pic:blipFill>
                    <a:blip r:embed="rId99"/>
                    <a:stretch>
                      <a:fillRect/>
                    </a:stretch>
                  </pic:blipFill>
                  <pic:spPr>
                    <a:xfrm>
                      <a:off x="0" y="0"/>
                      <a:ext cx="2432685" cy="25495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vertAlign w:val="baseline"/>
          <w:lang w:val="en-US" w:eastAsia="zh-CN"/>
        </w:rPr>
      </w:pPr>
      <w:r>
        <w:rPr>
          <w:rFonts w:hint="eastAsia" w:ascii="Times New Roman" w:hAnsi="Times New Roman" w:eastAsia="宋体" w:cs="Times New Roman"/>
          <w:b/>
          <w:bCs/>
          <w:color w:val="auto"/>
          <w:sz w:val="24"/>
          <w:szCs w:val="24"/>
          <w:vertAlign w:val="baseline"/>
          <w:lang w:val="en-US" w:eastAsia="zh-CN"/>
        </w:rPr>
        <w:t>图 6.2.2-1     净电除油内部结构</w:t>
      </w:r>
    </w:p>
    <w:p>
      <w:pPr>
        <w:keepNext w:val="0"/>
        <w:keepLines w:val="0"/>
        <w:pageBreakBefore w:val="0"/>
        <w:widowControl w:val="0"/>
        <w:kinsoku/>
        <w:wordWrap/>
        <w:overflowPunct/>
        <w:topLinePunct w:val="0"/>
        <w:autoSpaceDE/>
        <w:autoSpaceDN/>
        <w:bidi w:val="0"/>
        <w:adjustRightInd/>
        <w:snapToGrid/>
        <w:spacing w:line="560" w:lineRule="exact"/>
        <w:ind w:firstLine="482"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b/>
          <w:bCs/>
          <w:color w:val="auto"/>
          <w:sz w:val="24"/>
          <w:szCs w:val="24"/>
          <w:vertAlign w:val="baseline"/>
          <w:lang w:val="en-US" w:eastAsia="zh-CN"/>
        </w:rPr>
        <w:t>喷淋塔处理原理及特点：</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本项目动植物油脂回收工艺废气、储罐产生的呼吸废气及生物燃料生产线产生的废气收集后在风机作用下输至喷淋塔内部，经过水浴冲洗，使烟气中的非甲烷总烃、恶臭成分与吸收液进行充分接触混合，形成较好的气液两相交合。大多数非甲烷总烃、恶臭将溶于液相，在经过除雾板脱水除雾后由风机排入大气。吸收液在喷淋塔底部由水泵增压在塔顶喷淋而下，在填料层内形成多孔接触较大的处理层，对废气进行进一步处理。最后流到塔底部循环使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设备特点：</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① 喷淋塔耐腐蚀、不磨损。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② 喷淋塔通过吸收液对气相污染物的吸收来处理废气，适合处理水溶性气体，净化效率高。</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③ 设备稳定性高，运行成本低，吸收液可循环使用。</w:t>
      </w:r>
    </w:p>
    <w:p>
      <w:pPr>
        <w:keepNext w:val="0"/>
        <w:keepLines w:val="0"/>
        <w:pageBreakBefore w:val="0"/>
        <w:widowControl w:val="0"/>
        <w:kinsoku/>
        <w:wordWrap/>
        <w:overflowPunct/>
        <w:topLinePunct w:val="0"/>
        <w:autoSpaceDE/>
        <w:autoSpaceDN/>
        <w:bidi w:val="0"/>
        <w:adjustRightInd/>
        <w:snapToGrid/>
        <w:spacing w:line="560" w:lineRule="exact"/>
        <w:ind w:firstLine="482"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b/>
          <w:bCs/>
          <w:color w:val="auto"/>
          <w:sz w:val="24"/>
          <w:szCs w:val="24"/>
          <w:vertAlign w:val="baseline"/>
          <w:lang w:val="en-US" w:eastAsia="zh-CN"/>
        </w:rPr>
        <w:t>除湿：</w:t>
      </w:r>
      <w:r>
        <w:rPr>
          <w:rFonts w:hint="eastAsia" w:ascii="Times New Roman" w:hAnsi="Times New Roman" w:eastAsia="宋体" w:cs="Times New Roman"/>
          <w:color w:val="auto"/>
          <w:sz w:val="24"/>
          <w:szCs w:val="24"/>
          <w:vertAlign w:val="baseline"/>
          <w:lang w:val="en-US" w:eastAsia="zh-CN"/>
        </w:rPr>
        <w:t>在吸收塔在运行过程中</w:t>
      </w:r>
      <w:r>
        <w:rPr>
          <w:rFonts w:hint="default" w:ascii="Times New Roman" w:hAnsi="Times New Roman" w:eastAsia="宋体" w:cs="Times New Roman"/>
          <w:color w:val="auto"/>
          <w:sz w:val="24"/>
          <w:szCs w:val="24"/>
          <w:vertAlign w:val="baseline"/>
          <w:lang w:val="en-US" w:eastAsia="zh-CN"/>
        </w:rPr>
        <w:t>，易产生粒径为 10~60μm 的“雾”，“</w:t>
      </w:r>
      <w:r>
        <w:rPr>
          <w:rFonts w:hint="eastAsia" w:ascii="Times New Roman" w:hAnsi="Times New Roman" w:eastAsia="宋体" w:cs="Times New Roman"/>
          <w:color w:val="auto"/>
          <w:sz w:val="24"/>
          <w:szCs w:val="24"/>
          <w:vertAlign w:val="baseline"/>
          <w:lang w:val="en-US" w:eastAsia="zh-CN"/>
        </w:rPr>
        <w:t>雾”不仅含有水分，它还溶有硫酸盐等，同时也造成风机、和后续净化设施的玷污和严重腐蚀，因此，对吸收设备提出除雾的要求，被净化的气体在离开吸收塔之前要除雾。当含有雾沫的气体以一定速度流经除雾器时，由于气体的惯性撞击作用，雾沫与波形板相碰撞而被聚的液滴大到其自身产生的重力超过气体的上升力与液体表面张力的合力时，液滴就从波形板表面上被分离下来。除雾器波形板的多折向结构增加了雾沫被捕集的机会，未被除去的雾沫在下一个转弯处经过相同的作用而被捕集，这样反复作用，从而大大提高了除雾效率。气体通过波形板除雾器后，基本上不含雾沫。烟气通过除雾器的弯曲通道，在惯性力及重力的作用下将气流中夹带的液滴分离出来，因离心力和惯性的作用，烟气内的雾滴撞击到除雾器叶片上被捕集下来，雾滴汇集形成水流，因重力的作用，下落至浆液池内，实现了气液分离，使得流经除雾器的烟气达到除雾要求后排出。</w:t>
      </w:r>
    </w:p>
    <w:p>
      <w:pPr>
        <w:keepNext w:val="0"/>
        <w:keepLines w:val="0"/>
        <w:pageBreakBefore w:val="0"/>
        <w:widowControl w:val="0"/>
        <w:kinsoku/>
        <w:wordWrap/>
        <w:overflowPunct/>
        <w:topLinePunct w:val="0"/>
        <w:autoSpaceDE/>
        <w:autoSpaceDN/>
        <w:bidi w:val="0"/>
        <w:adjustRightInd/>
        <w:snapToGrid/>
        <w:spacing w:line="560" w:lineRule="exact"/>
        <w:ind w:firstLine="482"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b/>
          <w:bCs/>
          <w:color w:val="auto"/>
          <w:sz w:val="24"/>
          <w:szCs w:val="24"/>
          <w:vertAlign w:val="baseline"/>
          <w:lang w:val="en-US" w:eastAsia="zh-CN"/>
        </w:rPr>
        <w:t>活性炭吸附：</w:t>
      </w:r>
      <w:r>
        <w:rPr>
          <w:rFonts w:hint="eastAsia" w:ascii="Times New Roman" w:hAnsi="Times New Roman" w:eastAsia="宋体" w:cs="Times New Roman"/>
          <w:color w:val="auto"/>
          <w:sz w:val="24"/>
          <w:szCs w:val="24"/>
          <w:vertAlign w:val="baseline"/>
          <w:lang w:val="en-US" w:eastAsia="zh-CN"/>
        </w:rPr>
        <w:t>活性炭吸附剂表面上存在着未平衡和未饱和的分子引力或化学键力，因此当活性炭吸附剂的表面与气体接触时，就能吸引气体分子，使其凝聚并保持在活性炭表面，此现象称为吸附。利用活性炭吸附剂表面的吸附能力，使废气与大表面的多孔性活性炭吸附剂相接触，废气中的污染物被吸附在活性炭表面上，使其与气体混合物分离，净化后的气体高空排放。活性炭吸附装置是一种物理吸附处理技术，适用于浓度不大于 1000mg/m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 xml:space="preserve"> 的中低浓度有机废气的处理，吸附效率一般在 70%左右，活性炭吸附到一定量时会达到饱和，就必须再生或更换活性炭。活性炭吸附剂可处理净化多种有机和无机污染物：苯类、酮类、醚类、烷类及其混合类有机废气、酸性废气、碱性废气；主要用于制药、冶炼、化工、机械、电子、电器、涂装、制鞋、橡胶、塑料、印刷及环保脱硫、除臭和各种工业生产车间产生的有害废气的净化处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② 合并排放的可行性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vertAlign w:val="baseline"/>
          <w:lang w:val="en-US" w:eastAsia="zh-CN"/>
        </w:rPr>
        <w:t>项目动植物油脂回收生产线产生的废气、储罐产生的呼吸废气及生物燃料生产线产生的恶臭、加热废气通过管道收集后共用一套“净电除油+二级碱液喷淋塔+除湿+活性炭吸附箱”，处理后通过 1 根 15m 高排气筒（DA001）排放。生物燃料生产线中投料、破碎产生的废气通过集气罩收集后采用“布袋除尘器”处理后汇集到DA001排放口排放。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vertAlign w:val="baseline"/>
          <w:lang w:val="en-US" w:eastAsia="zh-CN"/>
        </w:rPr>
        <w:t>项目水溶肥生产线产生的废气及生物有机肥生产线产生废气通过集气罩收集后共用一套“布袋除尘器+活性炭吸附”，处理后通过 1 根 15m 高排气筒（DA002）排放。</w:t>
      </w:r>
    </w:p>
    <w:p>
      <w:pPr>
        <w:keepNext w:val="0"/>
        <w:keepLines w:val="0"/>
        <w:pageBreakBefore w:val="0"/>
        <w:widowControl w:val="0"/>
        <w:kinsoku/>
        <w:wordWrap/>
        <w:overflowPunct/>
        <w:topLinePunct w:val="0"/>
        <w:autoSpaceDE/>
        <w:autoSpaceDN/>
        <w:bidi w:val="0"/>
        <w:adjustRightInd/>
        <w:snapToGrid/>
        <w:spacing w:line="560" w:lineRule="exact"/>
        <w:ind w:firstLine="482"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废气排放量：</w:t>
      </w:r>
      <w:r>
        <w:rPr>
          <w:rFonts w:hint="eastAsia" w:ascii="Times New Roman" w:hAnsi="Times New Roman" w:eastAsia="宋体" w:cs="Times New Roman"/>
          <w:b w:val="0"/>
          <w:bCs w:val="0"/>
          <w:color w:val="auto"/>
          <w:sz w:val="24"/>
          <w:szCs w:val="24"/>
          <w:lang w:val="en-US" w:eastAsia="zh-CN"/>
        </w:rPr>
        <w:t>根据项目设计，项目DA001排放口配套风机风量为25000m</w:t>
      </w:r>
      <w:r>
        <w:rPr>
          <w:rFonts w:hint="eastAsia" w:ascii="Times New Roman" w:hAnsi="Times New Roman" w:eastAsia="宋体" w:cs="Times New Roman"/>
          <w:b w:val="0"/>
          <w:bCs w:val="0"/>
          <w:color w:val="auto"/>
          <w:sz w:val="24"/>
          <w:szCs w:val="24"/>
          <w:vertAlign w:val="superscript"/>
          <w:lang w:val="en-US" w:eastAsia="zh-CN"/>
        </w:rPr>
        <w:t>3</w:t>
      </w:r>
      <w:r>
        <w:rPr>
          <w:rFonts w:hint="eastAsia" w:ascii="Times New Roman" w:hAnsi="Times New Roman" w:eastAsia="宋体" w:cs="Times New Roman"/>
          <w:b w:val="0"/>
          <w:bCs w:val="0"/>
          <w:color w:val="auto"/>
          <w:sz w:val="24"/>
          <w:szCs w:val="24"/>
          <w:lang w:val="en-US" w:eastAsia="zh-CN"/>
        </w:rPr>
        <w:t>/h，各废气产生工序通过集气罩/管道收集，根据</w:t>
      </w:r>
      <w:r>
        <w:rPr>
          <w:rFonts w:hint="eastAsia" w:ascii="Times New Roman" w:hAnsi="Times New Roman" w:eastAsia="宋体" w:cs="Times New Roman"/>
          <w:color w:val="auto"/>
          <w:sz w:val="24"/>
          <w:szCs w:val="24"/>
          <w:lang w:val="en-US" w:eastAsia="zh-CN"/>
        </w:rPr>
        <w:t>《大气污染控制工程》（高等教育出版社）要求生产设备运行的时候同步保持风机运行，废气吸气口风速设计为1.1m/s，为了保证本项目集气罩的收集效率，矩形集气罩的收集面积要比废气产污面积大 0.2 倍，生物燃料生产线破碎工序的颗粒物扩散面积分别约为0.56-0.8m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，则生物燃料生产线集气罩的集气面积取 0.96 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，则抽风风量约为 1.056m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/s，即 3801.6m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/h，生物燃料生产线共设置 1 个集气罩，则整体配套的引风机抽风风量不小于3801.6×1=3801.6m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/h，同时考虑多股废气合并排放的管道损失，项目DA001配套风机风量为 25000m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/h，符合《大气污染控制工程》中相关要求；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根据项目设计，项目DA002排放口配套风机风量为5000m</w:t>
      </w:r>
      <w:r>
        <w:rPr>
          <w:rFonts w:hint="eastAsia" w:ascii="Times New Roman" w:hAnsi="Times New Roman" w:eastAsia="宋体" w:cs="Times New Roman"/>
          <w:b w:val="0"/>
          <w:bCs w:val="0"/>
          <w:color w:val="auto"/>
          <w:sz w:val="24"/>
          <w:szCs w:val="24"/>
          <w:vertAlign w:val="superscript"/>
          <w:lang w:val="en-US" w:eastAsia="zh-CN"/>
        </w:rPr>
        <w:t>3</w:t>
      </w:r>
      <w:r>
        <w:rPr>
          <w:rFonts w:hint="eastAsia" w:ascii="Times New Roman" w:hAnsi="Times New Roman" w:eastAsia="宋体" w:cs="Times New Roman"/>
          <w:b w:val="0"/>
          <w:bCs w:val="0"/>
          <w:color w:val="auto"/>
          <w:sz w:val="24"/>
          <w:szCs w:val="24"/>
          <w:lang w:val="en-US" w:eastAsia="zh-CN"/>
        </w:rPr>
        <w:t>/h，各废气产生工序通过集气罩/管道收集，根据</w:t>
      </w:r>
      <w:r>
        <w:rPr>
          <w:rFonts w:hint="eastAsia" w:ascii="Times New Roman" w:hAnsi="Times New Roman" w:eastAsia="宋体" w:cs="Times New Roman"/>
          <w:color w:val="auto"/>
          <w:sz w:val="24"/>
          <w:szCs w:val="24"/>
          <w:lang w:val="en-US" w:eastAsia="zh-CN"/>
        </w:rPr>
        <w:t>《大气污染控制工程》（高等教育出版社）要求生产设备运行的时候同步保持风机运行，废气吸气口风速设计为1.1m/s，为了保证本项目集气罩的收集效率，矩形集气罩的收集面积要比废气产污面积大 0.2 倍，水溶肥生产线溶解槽工序的颗粒物及 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 xml:space="preserve"> 扩散面积分别约为0.3-0.36m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，生物有机肥生产线发酵及加工工序的颗粒物及恶臭扩散面积分别约为0.32-0.4m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；水溶肥生产线共设置 1 个集气罩，则配套的引风机抽风风量不小于1399.68×1=1399.68m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/h；生物有机肥生产线共设置 2 个集气罩，则整体配套的引风机抽风风量不小于 1555.2×2=3110.4m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/h；同时考虑多股废气合并排放的管道损失，项目DA002配套风机风量为 5000m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/h，符合《大气污染控制工程》中相关要求；</w:t>
      </w:r>
    </w:p>
    <w:p>
      <w:pPr>
        <w:keepNext w:val="0"/>
        <w:keepLines w:val="0"/>
        <w:pageBreakBefore w:val="0"/>
        <w:widowControl w:val="0"/>
        <w:kinsoku/>
        <w:wordWrap/>
        <w:overflowPunct/>
        <w:topLinePunct w:val="0"/>
        <w:autoSpaceDE/>
        <w:autoSpaceDN/>
        <w:bidi w:val="0"/>
        <w:adjustRightInd/>
        <w:snapToGrid/>
        <w:spacing w:line="560" w:lineRule="exact"/>
        <w:ind w:firstLine="482"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废气源位置：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本项目动植物油脂回收生产线及生物燃料生产线布置在同一车间内，均在动植物油脂回收车间内，两条生产线紧邻，罐区位于动植物油脂回收车间北侧，产生的废气可以通过管道收集至废气处理设施后通过DA001排放口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本项目水溶肥生产线及生物有机肥生产线布置在同一车间内，均在水溶肥、有机肥车间内，两条生产线紧邻，产生的废气可以通过管道收集至废气处理设施后通过DA002排放口排放。</w:t>
      </w:r>
      <w:r>
        <w:rPr>
          <w:rFonts w:hint="default" w:ascii="Times New Roman" w:hAnsi="Times New Roman" w:eastAsia="宋体" w:cs="Times New Roman"/>
          <w:color w:val="auto"/>
          <w:sz w:val="24"/>
          <w:szCs w:val="24"/>
          <w:vertAlign w:val="baseline"/>
          <w:lang w:val="en-US" w:eastAsia="zh-CN"/>
        </w:rPr>
        <w:t>示意图如下：</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drawing>
          <wp:inline distT="0" distB="0" distL="114300" distR="114300">
            <wp:extent cx="5321935" cy="3143885"/>
            <wp:effectExtent l="0" t="0" r="12065" b="0"/>
            <wp:docPr id="58" name="图片 58" descr="C:/Users/Administrator/Desktop/未命名文件(69).png未命名文件(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C:/Users/Administrator/Desktop/未命名文件(69).png未命名文件(69)"/>
                    <pic:cNvPicPr>
                      <a:picLocks noChangeAspect="1"/>
                    </pic:cNvPicPr>
                  </pic:nvPicPr>
                  <pic:blipFill>
                    <a:blip r:embed="rId100"/>
                    <a:srcRect l="2545" r="2545"/>
                    <a:stretch>
                      <a:fillRect/>
                    </a:stretch>
                  </pic:blipFill>
                  <pic:spPr>
                    <a:xfrm>
                      <a:off x="0" y="0"/>
                      <a:ext cx="5321935" cy="314388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vertAlign w:val="baseline"/>
          <w:lang w:val="en-US" w:eastAsia="zh-CN"/>
        </w:rPr>
        <w:t>图 6.2.2-2      拟建项目废气收集处置示意图</w:t>
      </w:r>
    </w:p>
    <w:p>
      <w:pPr>
        <w:keepNext w:val="0"/>
        <w:keepLines w:val="0"/>
        <w:pageBreakBefore w:val="0"/>
        <w:widowControl w:val="0"/>
        <w:kinsoku/>
        <w:wordWrap/>
        <w:overflowPunct/>
        <w:topLinePunct w:val="0"/>
        <w:autoSpaceDE/>
        <w:autoSpaceDN/>
        <w:bidi w:val="0"/>
        <w:adjustRightInd/>
        <w:snapToGrid/>
        <w:spacing w:line="560" w:lineRule="exact"/>
        <w:ind w:firstLine="482"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废气污染物及生产周期：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vertAlign w:val="baseline"/>
          <w:lang w:val="en-US" w:eastAsia="zh-CN"/>
        </w:rPr>
        <w:t>项目动植物油脂回收生产线产生的废气主要污染物为油烟、非甲烷总烃及恶臭；储罐产生的废气主要污染物为非甲烷总体；生物燃料生产线产生的废气主要污染物为恶臭及非甲烷总烃；这些废气污染物通过管道收集后共用一套“净电除油+二级碱液喷淋塔+除湿+活性炭吸附箱”，处理后通过 1 根 15m 高排气筒（DA001）排放。本项目三条生产线同时生产、同时停运，因此本项目三股废气共用一套处理设施可行。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vertAlign w:val="baseline"/>
          <w:lang w:val="en-US" w:eastAsia="zh-CN"/>
        </w:rPr>
        <w:t>项目水溶肥生产线产生的废气主要污染物为氨及颗粒物；生物有机肥生产线产生的废气主要污染物为颗粒物及恶臭，这些废气污染物通过集气罩收集后共用一套“布袋除尘器+活性炭吸附”，处理后通过 1 根 15m 高排气筒（DA002）排放。本项目两条生产线同时生产、同时停运，因此本项目两股废气共用一套生产线可行。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③ 排气筒设置合理性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lang w:val="en-US" w:eastAsia="zh-CN"/>
        </w:rPr>
        <w:t>本项目共设置两根排气筒，排气筒高度均为 15m，并高出周围 200m 半径范围的建筑 5m 以上，排气筒高度满足《大气污染物综合排放标准》（GB16297-1996）、《恶臭污染物排放标准》（GB14554-93）中对排气筒高度（新污染源的排气筒一般不应低于 15m）设置的要求。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④ 经济可行性分析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本项目动植物油脂回收车间、水溶肥、有机肥生产车间的废气治理设置、风机及管道环保投资 150 万元，占项目总投资的 07.5%，完全在建设方预算范围内。</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⑤ 工程运行实例类比分析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 xml:space="preserve">本项目动植物油脂回收生产线产生的废气、储罐产生的废气及生物燃料生产线产生的废气设计采用的废气处理工艺技术成熟，本次评价通过类比《临沂明英工贸有限公司年回收加工 10 万吨植物油下脚料项目》进一步分析植物油脂回收生产线产生的废气、储罐产生的废气及生物燃料生产线产生的废气处理工艺的技术可行性。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 xml:space="preserve">临沂明英工贸有限公司位于山东省临沂市兰山方城镇东方城村汶泗路方城中桥东 50 米路南，实际验收过程中，类比项目验收产能为年回收加工 10 万吨植物油下脚料，并通过自主验收。本次类比的废气处理工艺如下：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项目产生的非甲烷总烃、恶臭等采用“二级碱液喷淋塔+除湿+活性炭吸附箱”处理工艺；经废气处理措施处理后通过 1 根 15m 高排气筒排放。根据例行监测数据可知：类比项目生产线非甲烷总烃实测浓度在 1.78~10.3mg/m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 xml:space="preserve"> 之间，排放速率为 0.0066~0.127kg/h；NH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vertAlign w:val="baseline"/>
          <w:lang w:val="en-US" w:eastAsia="zh-CN"/>
        </w:rPr>
        <w:t xml:space="preserve"> 实测浓度在 2.30~8.76mg/m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 xml:space="preserve"> 之间，排放速率为 0.0128~0.0358kg/h；H</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vertAlign w:val="baseline"/>
          <w:lang w:val="en-US" w:eastAsia="zh-CN"/>
        </w:rPr>
        <w:t>S 实测浓度在 0.1~0.32mg/m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 xml:space="preserve"> 之间，排放速率为 0.00052~0.003kg/h；类比项目非甲烷总烃排放浓度和排放速率均满足《大气污染物综合排放浓度》（GB16297-1996）表 2 中二级标准限值要求；NH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vertAlign w:val="baseline"/>
          <w:lang w:val="en-US" w:eastAsia="zh-CN"/>
        </w:rPr>
        <w:t xml:space="preserve"> 和 H</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vertAlign w:val="baseline"/>
          <w:lang w:val="en-US" w:eastAsia="zh-CN"/>
        </w:rPr>
        <w:t>S 排放速率均满足《恶臭污染物排放标准》（GB14554-93）表 2 中限值要求。综上，本项目动植物油脂回收生产线产生的废气、储罐产生的废气及生物燃料生产线产生的废气设计采用的废气处理工艺与临沂明英工贸有限公司相似，因此本项目动植物油脂回收生产线、储罐呼吸及生物燃料生产线采取措施技术可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本项目水溶肥生产线及生物有机肥生产线设计采用的废气处理工艺技术成熟，本次评价通过类比《新宁县金瑞锋生物有机肥料有限公司年产 1.5 万吨有机肥建设项目竣工环境保护验收监测报告》进一步分析水溶肥及生物有机肥生产线废气处理工艺的技术可行性。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 xml:space="preserve">新宁县金瑞锋生物有机肥料有限公司位于湖南省邵阳市新宁县金石镇四和村四组，实际验收过程中，类比项目验收产能为年产 1.5 万吨有机肥，并于 2021年 11 月通过自主验收。本次类比的废气处理工艺如下：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类比项目产生的恶臭及颗粒物采用“布袋除尘器+吸附”处理工艺；经过处理后通过 1 根 15m 高排气筒排放。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2021 年 8 月，湖南华环检测技术有限公司对类比项目废气处理设施排口开展了监测（类比检测报告详见附件）。类比项目生产线颗粒物实测浓度在 20.0~23.1mg/m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 xml:space="preserve"> 之间，排放速率为 0.0149~0.0168kg/h；NH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vertAlign w:val="baseline"/>
          <w:lang w:val="en-US" w:eastAsia="zh-CN"/>
        </w:rPr>
        <w:t xml:space="preserve"> 实测浓度在 2.99~3.98mg/m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 xml:space="preserve"> 之间，排放速率为 0.00366~0.00438kg/h；H</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vertAlign w:val="baseline"/>
          <w:lang w:val="en-US" w:eastAsia="zh-CN"/>
        </w:rPr>
        <w:t>S 实测浓度未检出，排放速率未检出；类比项目颗粒物排放浓度和排放速率均满足《大气污染物综合排放浓度》（GB16297-1996）表 2 中二级标准限值要求；NH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vertAlign w:val="baseline"/>
          <w:lang w:val="en-US" w:eastAsia="zh-CN"/>
        </w:rPr>
        <w:t xml:space="preserve"> 和 H</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vertAlign w:val="baseline"/>
          <w:lang w:val="en-US" w:eastAsia="zh-CN"/>
        </w:rPr>
        <w:t>S 排放速率均满足《恶臭污染物排放标准》（GB14554-93）表 2 中限值要求。综上，本项目水溶肥生产线及生物有机肥生产线设计采用的废气处理工艺与湖南华环检测技术有限公司相似，因此本项目水溶肥生产线及生物有机肥生产线废气经“布袋除尘器+吸附”处理后，能保证污染物达标排放，采取措施技术可行。</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6.2.1.2 无组织废气治理效果及措施可行性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（1）无组织 VOCs 防治措施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1）原辅料储存废气防治措施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储存物质主要为皂脚、牛羊粪、植物秸秆、酸化油等，均不属于易挥发的物质，皂脚暂存在动植物油脂回收车间的皂脚储存池内，牛羊粪储存在储存池中、酸化油等储存在储罐中，成品均储存于固定顶罐。同时生产过程中固定顶罐罐体应保持完好，不应有孔洞、缝隙。储罐附件开口（孔），除采样、计量、例行检查、维护和其他正常活动外，应密闭。定期检查呼吸阀的定压是否符合设定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2）储罐无组织废气污染防治措施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为减少储罐的大小呼吸损失，在物料的装卸、运输过程中采用密闭管道和封闭接口，加强储罐密闭，降低无组织挥发量。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加强物料调度手段，尽可能将储罐装满到允许高度，减少罐内空间，降低物料的挥发损耗。</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加强储罐附属设备的维修，保证储罐的严密性，强化储罐的日常操作管理，对机械呼吸阀等设备，是气密性符合要求。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固定顶罐宜配备压力监测设备，管内压力低于 50% 设计开启压力时，呼吸阀、紧急泄压阀泄漏检</w:t>
      </w:r>
      <w:r>
        <w:rPr>
          <w:rFonts w:hint="default" w:ascii="Times New Roman" w:hAnsi="Times New Roman" w:eastAsia="宋体" w:cs="Times New Roman"/>
          <w:color w:val="auto"/>
          <w:sz w:val="24"/>
          <w:szCs w:val="24"/>
          <w:lang w:val="en-US" w:eastAsia="zh-CN"/>
        </w:rPr>
        <w:t>测值不宜超过 2000μmol/mol。</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⑤ 充分考虑罐体变形、储罐附件破损等异常排放情况。</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3）生产工艺控制过程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生产装置采取自动化、管道化、密闭化的生产方式，物料的输送、混合、反应等生产过程均在密闭的管道和设备中自动进行，源头控制无组织废气产生。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反应过程中废气接入废气处理系统进行处理，处理达标后排放。同时企业建立规范的等有机物料的台账，保存期限不小于三年。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4）设备与管线组件 VOCs泄漏控制要求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根据《挥发性有机物无组织排放控制标准》（GB37822-2019）、《关于加快解决当前挥发性有机物治理突出问题的通知》（环大气〔2021〕65 号）、《挥发性有机物治理突出问题排查政治工作要求》的要求，当项目设备实际建设时密封点≥2000 个时，应按照要求开展泄漏检测与修复工作（LDAR）。设备与管线组件包括：泵、压缩机、搅拌器（机）、阀门、开口阀或开口管线、法兰及其他连接件、泄压设备、取样连接系统、其他密封设备。企业应按下列频次对设备与管线组件的密封点进行 VOCs 泄漏检测：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对设备与管线组件的密封点每周进行目视观察，检查其密封处是否出现可见泄漏现象。</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泵、压缩机、搅拌器（机）、阀门、开口阀或开口管线、泄压设备、取样连接系统至少每 6 个月检测一次。</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法兰及其他连接件、其他密封设备至少每 12 个月检测一次。</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对于直接排放的泄压设备，在非泄压状态下进行泄漏检测。直接排放的泄压设备泄压后，应在泄压之日起 5 个工作日之内，对泄压设备进行泄漏检测。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⑤ 设备与管线组件初次启用或检维修后，应在 90d 内进行泄漏检测。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当检测到泄漏时，对泄漏源应予以标识并及时修复。发现泄漏之日起 5d 内应进行首次修复。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泄漏检测应建立台账，记录检测时间、检测仪器读数、修复时间、采取的修复措施、修复后检测仪器读数等。台账保存期限不少于 3 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5）管理措施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定期检查，测试各类罐、阀、管，发现腐蚀严重、不合标准的，要及时更新，并按照正确操作方式迅速更换。</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原辅料、废水、废气等均采用密闭输送方式，投料系统需采用密闭设备，防止泄漏。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厂界无组织挥发性有机物废气达标效果类比《临沂明英工贸有限公司年回收加工 10 万吨植物油下脚料项目》例行监测报告中数据，采取的废气处理措施与本项目相似，数据类比具有可参考性。根据类比项目厂界废气例行检测报告可知：非甲烷总烃排放浓度为 0.86~1.77mg/m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；非甲烷总烃排放浓度满足《大气污染物综合排放标准》（GB16297-1996）表 2 中无组织排放监控浓度限值。因此，本次评价认为本项目采取相应措施后，能保证厂界污染物达标排放，采取措施技术可行。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（2）无组织恶臭污染防治措施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1）原料运输</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原料运输采用专用的密闭车间，进场后，直接运至全封闭车间，卸车间屋顶设集气装置，收集废气引至废气末端治理设施，减少卸料过程中恶臭的影响。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2）物料储存恶臭废气防治措施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物料储存池包括皂脚池，为减少物料储存过程中恶臭污染物的影响，皂脚池等池体进行密闭建设，储存空间处于负压状态，池体上设置集气管道，对池体全空间废气进行收集。同时酸化油生产工序各池体、装置布设在封闭的钢结构厂房内，进一步减少无组织废气外溢。</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参照广东省生态环境厅发布的《关于指导大气污染治理项目入库工作的通知》（粤环办〔2021〕92 号）：废气收集方式为单层密闭负压（废气产生源设置在密闭车间、密闭设备、密闭管道内，所有开口处，包括人员或物料进出口处呈负压），集气效率为 95%；双层密闭空间（内层空间密闭正压，外层空间密闭负压），集气效率为 99%。本项目废气产生源内部空间密闭负压，外部设置钢结构封闭厂房，集气效率＞95%，各池体、装置废气经收集后进入末端废气治理系统“二级碱液喷淋+除湿+活性炭吸附处理设施”，处理达标后有组织排放，减少车间无组织废气的散逸。</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3）物料厂区输送</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各池体产生的废气均通过密闭管道输送至末端治理设施；生产原料在车间内的转移通过密闭管道，以此来减少敞开作业恶臭影响。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4）加强设备日常维护保养，定期检查，降低生产过程中的无组织排放。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为了防治项目生产废水收集管道输送过程中恶臭废气挥发，项目生产废水收集不得采用明沟，而是采用密闭的收集管道，减少生产废水输送过程中的恶臭挥发，降低项目的恶臭影响。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企业须优化生产周期，减少原料在厂区内储存量、加快物料周转，尽量做到原料即到即处理，降低原料的储存时间，尽量减低原料酸败废气的产生。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延长装置连续运行时间，减少停产检修次数；必须停产时，须确保废气处理设施在停车最后方停止运行。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5）管理措施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按需定期购置原辅料，及时清理和处置固体废弃物，避免皂脚等在厂内长时间堆存。</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加强管理，定期检查，确保各池体、装置等的废气收集系统、废气处理系统处于良好的运行状态，确保厂界恶臭污染物达标排放。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厂界无组织恶臭达标效果类比《临沂明英工贸有限公司年回收加工 10 万吨植物油下脚料项目》例行监测报告中数据，采取的废气处理措施与本项目相似，数据类比具有可参考性。根据类比项目厂界废气例行检测报告可知：氨排放浓度为 0.04~0.14mg/m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；硫化氢排放浓度为 0.002~0.006mg/m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；类比项目氨、硫化氢排放浓度满足《恶臭污染物排放标准》（GB14554-1993）表 1 中二级厂界标准值要求。因此，本次评价认为本项目采取相应措施后，能保证厂界污染物达标排放，采取措施技术可行。</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6.2.2 运营期废水污染防治措施及可行性分析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根据工程分析，本项目产生的废水主要为熔炼废水：568.5m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/a、皂脚酸化废水：2850m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/a、生活污水：986.4m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/a。其中生活水直接排入园区污水管网，最终进入园区污水处理厂，项目产生的熔炼废水、皂脚酸化废水经收集后回用于水溶肥及生物有机肥生产线，不外排。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（1）生产废水处置措施可行性分析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本项目产生的生产废水主要为熔炼废水及皂脚酸化废水，项目产生的生产废水回用于水溶肥生产线，不外排。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新疆嘉宏生物科技有限公司是一家从事植物油脂加工产品生产、销售；有机肥料及微生物肥料的生产、销售；有机肥料及微生物肥料技术研发；酸化油、脂肪酸及甲酯的销售的公司。该公司投资建设的水溶肥生产线主要是将水、含油废水、含氮磷钾辅料，按比例加入混合搅拌罐中经过充分的搅拌和混合后，通过泵提升至成品罐，进行分装。在常温常压下混合搅拌成为水溶肥产品。生产工艺为简单的复配工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本项目其他生产线产生的含油废水中主要含油甘油、脂肪酸及少量脂肪，甘油及脂肪可以促进肥料中菌落发酵，提供碳源、氮源，并且为产品增加肥力，是肥料制作极佳的辅料，含油废水经收集后直接作为水溶肥生产的原料，不但减少了其生产过程中对新鲜水的消耗使用量，且废水中的 CODcr 等成分对其进行水溶肥产品的生产具有一定的促进及补充作用。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因此，本项目产生的含油废水回用于水溶肥生产线可行。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（2）生活污水依托处置可行性分析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本项目产生的生活污水直接排入园区管网，最终进入园区污水处理厂。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呼图壁工业园西区北部已建成一座污水处理厂，占地23.67公顷，西区污水经管网收集后排至污水处理厂处理。该污水处理厂于2013年取得环评批复（《关于呼图壁县天山工业园区化工园污水处理项目环境影响报告书的批复》新环评价函[2013]1225号），环评批复的污水处理规模为2万立方米每日。目前园区污水处理厂规模1万m³/d（设计总规模为6万m³/d，其中一期为2万m³/d，一期中的近期处理规模为1万m³/d。），已于2017年11月投入试运行，目前实际处理量为8000m³/d。目前西区污水处理厂余量充足，完全可消纳本项目产生的废水，因此，本项目生活污水依托园区污水处理厂可行。</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6.2.3 运营期噪声污染防治措施及可行性分析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本项目噪声源主要是生产车间内输送泵、送风机等各类机械动力设备，噪声源均大于 75dB（A）。根据本项目产噪特点，拟采取以下噪声防治措施：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（1）厂区平面总布置中降噪措施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厂区合理布局，噪声源尽量远离办公区。对噪声大的建筑物单独布置，与其它建筑物间距适当加大，以降低噪声的影响。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（2）设备选型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尽量选用低噪声设备；风机、泵类等均采用性能好，噪声发生源强小和生产效率高的设备。</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（3）建筑物隔声</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大部分生产设备设置在车间内，对于部分体积较小，噪声量较大的设备，采取设置独立的操作室和控制机房的建筑隔声方式，对于室外风机等在采取消声器的基础上，通过周围其他建筑物隔声，减少对厂界噪声的贡献值。噪声源的降噪值在 10~15dB（A）</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（4）噪声消声、减振措施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主要噪声设备采取隔声、消音、减振等综合降噪措施。泵类等安装消声器，风机采取隔振和消声措施，动力设备采用钢砼隔振基础，管道、阀门接口采取缓动及减振的柔性接头（口）；注意改善气体输送时场状况，以减少气体动力噪声。噪声源的降噪值在 10~20dB（A）。</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（5）加强厂区绿化</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项目建设同时将对厂区进行绿化，在各车间、用房、装置区周围充分进行绿化，可减少噪声危害；通过在厂界周围种植乔灌木绿化带，可达到吸声降噪 3~5dB（A）的效果。</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本项目大部分生产设备均设置于厂房内、进行基础减振，泵类采用柔性连接，风机加装消声器等隔声降噪，同时加强厂区绿化，可降低噪声 15~20dB（A），根据预测各厂界噪声能够达到《工业企业厂界环境噪声排放标准》（GB12348-2008）3 类标准要求。本项目噪声治理措施可行。</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6.2.4 运营期固体废物处置措施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本项目产生的一般固体废物主要有：水溶肥生产线产生的下脚料、动植物油水解产生的下脚料、皂脚酸化产生的下脚料及生活垃圾等。</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本项目产生的危险废物主要有：废活性炭、废机油及储罐清洗含油废水等。</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6.2.4.1 一般工业固体废物处置措施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产生的一般固体废物首先考虑综合利用，其中水溶肥生产线产生的下脚料、动植物油水解产生的下脚料、皂脚酸化产生的下脚料回用于生物有机肥生产线。不能利用的生活垃圾经收集后进入生活垃圾填埋场填埋处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（1）固废综合利用的可行性分析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本项目水溶肥生产线产生的下脚料、动植物油水解产生的下脚料及皂脚酸化产生的下脚料回用于生物有机肥生产线。</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固体废物鉴别标准通则》（GB34330-2017）5.2：利用固体废物生产的产物同时满足下述条件的，不作为固体废物管理，按照相应的产品管理。项目生产的生物有机肥符合行业通行的被替代原料生产的产品质量标准，生产过程中排放的废气污染物满足《大气污染物综合排放标准》（GB16297-1996）、《恶臭污染物排放标准》（GB14554-1993）等国家污染物排放标准；水溶肥生产线产生的下脚料、动植物油水解产生的下脚料及皂脚酸化产生的下脚料可生产生物有机肥等系列产品，它广泛用于制造肥料等产品，具有稳定、合理的市场需求，因此利用下脚料生产的生物有机肥按照产品进行管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利用水溶肥生产线产生的下脚料、动植物油水解产生的下脚料及皂脚酸化产生的下脚料等废旧资源生产生物有机肥须满足《生物有机肥》（NY884-2012）中的生物有机肥技术指标。生产的生物有机肥产品技术指标要求详见下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6.2.4-1    生物有机肥产品技术指标要求一览表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2"/>
        <w:gridCol w:w="2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3"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项目</w:t>
            </w:r>
          </w:p>
        </w:tc>
        <w:tc>
          <w:tcPr>
            <w:tcW w:w="1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技术指标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有效活菌数（cfu），亿/g</w:t>
            </w:r>
          </w:p>
        </w:tc>
        <w:tc>
          <w:tcPr>
            <w:tcW w:w="1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1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有机质（以干基计），%</w:t>
            </w:r>
          </w:p>
        </w:tc>
        <w:tc>
          <w:tcPr>
            <w:tcW w:w="1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1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水分，%</w:t>
            </w:r>
          </w:p>
        </w:tc>
        <w:tc>
          <w:tcPr>
            <w:tcW w:w="1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1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pH值</w:t>
            </w:r>
          </w:p>
        </w:tc>
        <w:tc>
          <w:tcPr>
            <w:tcW w:w="1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1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粪大肠菌群数，个/g</w:t>
            </w:r>
          </w:p>
        </w:tc>
        <w:tc>
          <w:tcPr>
            <w:tcW w:w="1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1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蛔虫卵死亡率，%</w:t>
            </w:r>
          </w:p>
        </w:tc>
        <w:tc>
          <w:tcPr>
            <w:tcW w:w="1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1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有效期，月</w:t>
            </w:r>
          </w:p>
        </w:tc>
        <w:tc>
          <w:tcPr>
            <w:tcW w:w="1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16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w:t>
            </w:r>
          </w:p>
        </w:tc>
      </w:tr>
    </w:tbl>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6.2.4-2  生物有机肥产品5种重金属限量技术指标要求一览表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项目</w:t>
            </w:r>
          </w:p>
        </w:tc>
        <w:tc>
          <w:tcPr>
            <w:tcW w:w="426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限量指标（mg/kg）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lang w:val="en-US" w:eastAsia="zh-CN"/>
              </w:rPr>
            </w:pPr>
            <w:r>
              <w:rPr>
                <w:rFonts w:hint="eastAsia" w:ascii="Times New Roman" w:hAnsi="Times New Roman" w:eastAsia="宋体" w:cs="Times New Roman"/>
                <w:color w:val="auto"/>
                <w:sz w:val="21"/>
                <w:szCs w:val="21"/>
                <w:vertAlign w:val="baseline"/>
                <w:lang w:val="en-US" w:eastAsia="zh-CN"/>
              </w:rPr>
              <w:t>总砷（As）（以干基计）</w:t>
            </w:r>
          </w:p>
        </w:tc>
        <w:tc>
          <w:tcPr>
            <w:tcW w:w="426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总镉（Cd）（以干基计）</w:t>
            </w:r>
          </w:p>
        </w:tc>
        <w:tc>
          <w:tcPr>
            <w:tcW w:w="426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总铅（Pb）（以干基计）</w:t>
            </w:r>
          </w:p>
        </w:tc>
        <w:tc>
          <w:tcPr>
            <w:tcW w:w="426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总铬（Cr）（以干基计）</w:t>
            </w:r>
          </w:p>
        </w:tc>
        <w:tc>
          <w:tcPr>
            <w:tcW w:w="426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总汞（Hg）（以干基计）</w:t>
            </w:r>
          </w:p>
        </w:tc>
        <w:tc>
          <w:tcPr>
            <w:tcW w:w="426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综上所述，本项目利用水溶肥生产线产生的下脚料、动植物油水解产生的下脚料及皂脚酸化产生的下脚料等资源生产生物有机肥可行。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（2）固废处置措施要求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fldChar w:fldCharType="begin"/>
      </w:r>
      <w:r>
        <w:rPr>
          <w:rFonts w:hint="eastAsia" w:ascii="Times New Roman" w:hAnsi="Times New Roman" w:eastAsia="宋体" w:cs="Times New Roman"/>
          <w:color w:val="auto"/>
          <w:sz w:val="24"/>
          <w:szCs w:val="24"/>
          <w:lang w:val="en-US" w:eastAsia="zh-CN"/>
        </w:rPr>
        <w:instrText xml:space="preserve"> HYPERLINK "https://www.mee.gov.cn/ywgz/fgbz/bz/bzwb/gthw/gtfwwrkzbz/202012/W020201218695845325455.pdf" </w:instrText>
      </w:r>
      <w:r>
        <w:rPr>
          <w:rFonts w:hint="eastAsia" w:ascii="Times New Roman" w:hAnsi="Times New Roman" w:eastAsia="宋体" w:cs="Times New Roman"/>
          <w:color w:val="auto"/>
          <w:sz w:val="24"/>
          <w:szCs w:val="24"/>
          <w:lang w:val="en-US" w:eastAsia="zh-CN"/>
        </w:rPr>
        <w:fldChar w:fldCharType="separate"/>
      </w:r>
      <w:r>
        <w:rPr>
          <w:rFonts w:hint="eastAsia" w:ascii="Times New Roman" w:hAnsi="Times New Roman" w:eastAsia="宋体" w:cs="Times New Roman"/>
          <w:color w:val="auto"/>
          <w:sz w:val="24"/>
          <w:szCs w:val="24"/>
          <w:lang w:val="en-US" w:eastAsia="zh-CN"/>
        </w:rPr>
        <w:t>根据《一般工业固体废物贮存和填埋污染控制标准（GB 18599-2020）</w:t>
      </w:r>
      <w:r>
        <w:rPr>
          <w:rFonts w:hint="eastAsia" w:ascii="Times New Roman" w:hAnsi="Times New Roman" w:eastAsia="宋体" w:cs="Times New Roman"/>
          <w:color w:val="auto"/>
          <w:sz w:val="24"/>
          <w:szCs w:val="24"/>
          <w:lang w:val="en-US" w:eastAsia="zh-CN"/>
        </w:rPr>
        <w:fldChar w:fldCharType="end"/>
      </w:r>
      <w:r>
        <w:rPr>
          <w:rFonts w:hint="eastAsia" w:ascii="Times New Roman" w:hAnsi="Times New Roman" w:eastAsia="宋体" w:cs="Times New Roman"/>
          <w:color w:val="auto"/>
          <w:sz w:val="24"/>
          <w:szCs w:val="24"/>
          <w:lang w:val="en-US" w:eastAsia="zh-CN"/>
        </w:rPr>
        <w:t>》，本项目产生的一般工业固体废物须遵守一下要求：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对固体废物实行从产生、收集、运输、贮存直至最终处理实行全过程管理。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加强固体废物规范化管理，固体废物分类定点存放；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及时清运，避免产生二次污染；</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固体废物运输过程中应做到密闭运输，防止固废泄漏，减少污染。</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⑤ 本项目的原料及固废涉及到废弃动植物油脂，环评要求建设单位应当建立转移联单制度、联单共三联，卖方与建设单位对废弃动植物油脂数量签字确认，各留存一联，第三联报当地环保部门备案。</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本项目所有一般固体废物均得到了妥善处理及处置，避免产生二次污染，固废处置措施可行。</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6.2.4.2 危险废物处置措施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产生的危险废物主要有：废活性炭、废机油、储罐清洗含油废水等，废活性炭及废机油收集后分类暂存厂区危险暂存间，委托有资质的单位处置，储罐清洗过程中产生的含油废水通入专用运输车内，清洗完成后委托具有相应处理资质的单位进行处置，不在厂区暂存。</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项目产生的危险废物先由企业自行收集和临时存放，危险废物临时贮存场要严格执行《危险废物贮存污染控制标准》（GB18597-2023）、《危险废物污染防治技术政策》（环发〔2001〕199 号）和《危险废物转移管理办法》（部令第 23 号，2021 年 11 月 30 日）。按照国家有关规定办理危险废物申报转移手续，并在贮运过程中严格执行危险化学品贮存、运输和监管的有关规定。</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项目对产生的危险废物采取的主要治理措施有：</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（1）收集过程的污染防治措施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企业应该根据危险废物产生的工艺特征、排放周期、危险废物特性、废物管理计划等因素制定收集计划。该计划应包括：收集任务、收集目标及原则、危险废物特性评估、危险废物收集量估算、收集作业范围和方法、收集设备与包装容器、安全生产与防护、工程防护与事故应急、进度安排与组织管理等内容。同时，危险废物收集应制定详细的操作规程，至少包括：适用范围、操作程序和方法、专用设备和工具、转移和交换、应急防护等。收集和转运作业人员应根据工作需要配备必要的个人防护装备。</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（2）内部转运过程的污染防治措施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当危险废物进行内部转运作业应达到如下要求：①综合考虑厂区的实际情况，尽量避开办公区和活动区；②采用专用的工具。当内部转运结束，应对转运线路进行检查和清理，确保无危险废物遗失在转运路上。</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（3）贮存过程的污染防治措施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项目运营中产生的危险废物在集中处置之前暂存在厂区内危废暂存间，危险废物应及时尽快委托有资质的危废处置单位处置，不宜存放过长时间，危险废物在危废暂存间内分类暂存。危废暂存具体防护措施如下：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项目危废贮存应采取“六防”（</w:t>
      </w:r>
      <w:r>
        <w:rPr>
          <w:rFonts w:hint="eastAsia" w:ascii="Times New Roman" w:hAnsi="Times New Roman" w:cs="Times New Roman"/>
          <w:bCs/>
          <w:color w:val="auto"/>
          <w:spacing w:val="0"/>
          <w:sz w:val="24"/>
          <w:szCs w:val="24"/>
          <w:lang w:val="en-US" w:eastAsia="zh-CN"/>
        </w:rPr>
        <w:t>防风、防雨、防晒、防漏、防渗、防渗</w:t>
      </w:r>
      <w:r>
        <w:rPr>
          <w:rFonts w:hint="eastAsia" w:ascii="Times New Roman" w:hAnsi="Times New Roman" w:eastAsia="宋体" w:cs="Times New Roman"/>
          <w:color w:val="auto"/>
          <w:sz w:val="24"/>
          <w:szCs w:val="24"/>
          <w:lang w:val="en-US" w:eastAsia="zh-CN"/>
        </w:rPr>
        <w:t>）措施特殊天气，检查暂存间防风、漏雨情况；经常检查包装是否完好，是否有渗漏、溢流、盖子松动现象，防止容器倾斜，危险废物漏出；发现问题及时处理，遇特殊情况立即报告主管部门。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危险废物经收集密封后均集中在危废暂存间内贮存，各类危废分区存放，各区域设置围堰，并对地面及围堰进行防渗漏处理，四周设导流渠，发生泄漏及事故废水经导流渠汇集进入事故池。发生事故后及时清理现场，危险废物暂存场所须符合消防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危险废物堆叠高度视容器的强度而定；盛装危险废物的容器、箱、桶其标志一律朝外。包装材质与危险废物相容；性质不相容的危险废物不混合包装；危险废物包装可有效隔断危险废物迁移扩散途径；各不同区域分别设围堰，地面及围堰区域进行防渗漏处理；包装好的危险废物设置相应的标签，标签信息填写完整详实标志、标牌应并排粘贴，并位于其容器、箱、桶的竖向的中部的明显位置；标志具有耐腐蚀、耐压、密封和不与所贮存的废物发生反应等特性。出入库时检查包装、标志、标签及数量；盛装过危险废物的包装袋或包装容器破损后应按危险废物进行管理和处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危险废物堆放点基础必须采取防渗、防散失措施。防渗层为至少 1m 厚黏土层（渗透系数不大于 10</w:t>
      </w:r>
      <w:r>
        <w:rPr>
          <w:rFonts w:hint="eastAsia" w:ascii="Times New Roman" w:hAnsi="Times New Roman" w:eastAsia="宋体" w:cs="Times New Roman"/>
          <w:color w:val="auto"/>
          <w:sz w:val="24"/>
          <w:szCs w:val="24"/>
          <w:vertAlign w:val="superscript"/>
          <w:lang w:val="en-US" w:eastAsia="zh-CN"/>
        </w:rPr>
        <w:t xml:space="preserve"> -7</w:t>
      </w:r>
      <w:r>
        <w:rPr>
          <w:rFonts w:hint="eastAsia" w:ascii="Times New Roman" w:hAnsi="Times New Roman" w:eastAsia="宋体" w:cs="Times New Roman"/>
          <w:color w:val="auto"/>
          <w:sz w:val="24"/>
          <w:szCs w:val="24"/>
          <w:lang w:val="en-US" w:eastAsia="zh-CN"/>
        </w:rPr>
        <w:t>cm/s），或至少 2 mm 厚高密度聚乙烯膜等人工防渗材料（渗透系数不大于 10</w:t>
      </w:r>
      <w:r>
        <w:rPr>
          <w:rFonts w:hint="eastAsia" w:ascii="Times New Roman" w:hAnsi="Times New Roman" w:eastAsia="宋体" w:cs="Times New Roman"/>
          <w:color w:val="auto"/>
          <w:sz w:val="24"/>
          <w:szCs w:val="24"/>
          <w:vertAlign w:val="superscript"/>
          <w:lang w:val="en-US" w:eastAsia="zh-CN"/>
        </w:rPr>
        <w:t xml:space="preserve"> -10</w:t>
      </w:r>
      <w:r>
        <w:rPr>
          <w:rFonts w:hint="eastAsia" w:ascii="Times New Roman" w:hAnsi="Times New Roman" w:eastAsia="宋体" w:cs="Times New Roman"/>
          <w:color w:val="auto"/>
          <w:sz w:val="24"/>
          <w:szCs w:val="24"/>
          <w:lang w:val="en-US" w:eastAsia="zh-CN"/>
        </w:rPr>
        <w:t>cm/s），或其他防渗性能等效的材料。</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各类危险废物根据《危险废物贮存污染控制标准》（GB18597-2023）要求分类收集后，分别用密封桶装，并按性质分区存放，各区域间设有效隔断；盛装危险废物的容器上粘贴标签符合《危险废物贮存污染控制标准》（GB18597-2023）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企业对危险废物的贮存情况进行记录，注明危险废物的名称、来源、数量、特性和包装容器的类别、入库日期、存放库位、废物出库日期及接收单位名称。危险废物的记录和货单在危险废物回取后应继续保留 5 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项目新建一座危险废物暂存间暂存厂区产生的危险废物，建筑面积约20m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，位于厂区东北侧，贮存场所基本情况见表 6.2.4-1。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表6.2.4-1  本项目危废暂存间基本情况一览表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8"/>
        <w:gridCol w:w="993"/>
        <w:gridCol w:w="2052"/>
        <w:gridCol w:w="1348"/>
        <w:gridCol w:w="873"/>
        <w:gridCol w:w="766"/>
        <w:gridCol w:w="814"/>
        <w:gridCol w:w="7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名称</w:t>
            </w:r>
          </w:p>
        </w:tc>
        <w:tc>
          <w:tcPr>
            <w:tcW w:w="5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危险废物名称</w:t>
            </w:r>
          </w:p>
        </w:tc>
        <w:tc>
          <w:tcPr>
            <w:tcW w:w="120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危险废物类别</w:t>
            </w:r>
          </w:p>
        </w:tc>
        <w:tc>
          <w:tcPr>
            <w:tcW w:w="7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危险废物代码</w:t>
            </w:r>
          </w:p>
        </w:tc>
        <w:tc>
          <w:tcPr>
            <w:tcW w:w="51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占地面积</w:t>
            </w:r>
          </w:p>
        </w:tc>
        <w:tc>
          <w:tcPr>
            <w:tcW w:w="4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贮存方式</w:t>
            </w:r>
          </w:p>
        </w:tc>
        <w:tc>
          <w:tcPr>
            <w:tcW w:w="47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贮存能力</w:t>
            </w:r>
          </w:p>
        </w:tc>
        <w:tc>
          <w:tcPr>
            <w:tcW w:w="4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贮存周期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危废暂存间</w:t>
            </w:r>
          </w:p>
        </w:tc>
        <w:tc>
          <w:tcPr>
            <w:tcW w:w="5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废机油</w:t>
            </w:r>
          </w:p>
        </w:tc>
        <w:tc>
          <w:tcPr>
            <w:tcW w:w="120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HW08废矿物油与含矿物油废物</w:t>
            </w:r>
          </w:p>
        </w:tc>
        <w:tc>
          <w:tcPr>
            <w:tcW w:w="7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900-214-08</w:t>
            </w:r>
          </w:p>
        </w:tc>
        <w:tc>
          <w:tcPr>
            <w:tcW w:w="512"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20m</w:t>
            </w:r>
            <w:r>
              <w:rPr>
                <w:rFonts w:hint="eastAsia" w:ascii="Times New Roman" w:hAnsi="Times New Roman" w:eastAsia="宋体" w:cs="Times New Roman"/>
                <w:color w:val="auto"/>
                <w:sz w:val="21"/>
                <w:szCs w:val="21"/>
                <w:vertAlign w:val="superscript"/>
                <w:lang w:val="en-US" w:eastAsia="zh-CN"/>
              </w:rPr>
              <w:t>2</w:t>
            </w:r>
          </w:p>
        </w:tc>
        <w:tc>
          <w:tcPr>
            <w:tcW w:w="449"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密闭储存</w:t>
            </w:r>
          </w:p>
        </w:tc>
        <w:tc>
          <w:tcPr>
            <w:tcW w:w="477"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8t/a</w:t>
            </w:r>
          </w:p>
        </w:tc>
        <w:tc>
          <w:tcPr>
            <w:tcW w:w="468"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若干次/年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58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废活性炭</w:t>
            </w:r>
          </w:p>
        </w:tc>
        <w:tc>
          <w:tcPr>
            <w:tcW w:w="120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HW49其他废物</w:t>
            </w:r>
          </w:p>
        </w:tc>
        <w:tc>
          <w:tcPr>
            <w:tcW w:w="79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900-039-49</w:t>
            </w:r>
          </w:p>
        </w:tc>
        <w:tc>
          <w:tcPr>
            <w:tcW w:w="512"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44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47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468"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（3）危险废物转移</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危险废物的转移严格按照《危险废物转移管理办法》（部令第 23 号，2021 年 11 月 30 日）执行。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在危险废物转移过程中应当采取防扬散、防流失、防渗漏或者其他防止污染环境的措施，不得擅自倾倒、堆放、丢弃、遗撒危险废物。</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对承运人或者接受人的主体资格和技术能力进行核实，依法签订书面合同，并在合同中约定运输、贮存、利用、处置危险废物的污染防治要求及相关责任。</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制定危险废物管理计划，明确拟转移危险废物的种类、重量（数量）和流向等信息。</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建立危险废物管理台账，对转移的危险废物进行计量称重，如实记录、妥善保管转移危险废物的种类、重量（数量）和接收人等相关信息。</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⑤ 填写、运行危险废物转移联单，在危险废物转移联单中如实填写移出人、承运人、接受人信息，转移危险废物的种类、重量（数量）、危险特性等信息，以及突发环境事件的防范措施等。</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⑥ 及时核实接收人贮存、利用或者处置相关危险废物情况。</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⑦ 禁止将危险废物以副产品等名义提供或者委托给无危险废物经营许可证的单位或者其他生产经营者从事收集、贮存、利用、处置活动。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（4）危险废物运输及管理要求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危险废物运输过程污染防治措施主要包括应急预案以及过程管理。危险废物转移过程按《危险废物转移管理办法》（部令第 23 号，2021 年 11 月 30 日）执行，运输过程按照《危险废物收集贮存运输技术规范》（HJ2025）执行。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危险废物收集转运包括两个方面，一是在危险废物产生节点将危险废物集中到适当的包装容器中或运输车辆上；二是将已包装或装到运输车辆上的危险废物集中到危险废物产生单位内部临时贮存设施的内部转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根据危险废物产生的工艺特征、排放周期、危险废物特性、废物管理计划等因素制定收集计划。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根据收集设备、转运车辆以及现场人员等实际情况确定相应作业区域，同时设置作业界限标志和警示牌；作业区域内设置危险废物收集专用通道和人员避险通道。</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危险废物装卸区应设置隔离设施，液态废物卸载区应设置收集槽和缓冲罐；卸载区应配备必要的消防设备和设施，并设置明显的指示标志。</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内部转运应综合考虑厂区的实际情况确定转运路线，尽量避开办公区和生活区。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⑤ 内部转运作业应采用专用的工具，内部转运结束后，应对转运路线进行检查和清理，确保无危险废物遗失在转运路线上，并对转运工具进行清洗。</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⑥ 运输应由持有危险废物经营许可证的单位按照其许可证的经营范围组织实施，运输单位须具备交通运输部门颁发的危险货物运输资质。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⑦ 项目各类危险废物的进出都由汽车运输，按各类危险特性对危险废物进行分类、包装并设置相应的标志及标签。运输应按照《道路危险货物运输管理规定》（交通部令〔2016 年〕第 36 号）、《汽车运输危险货物规则》（JT617-2004）以及《汽车危险货物运输、装卸作业规程》（JT618-2004）执行；运输车辆应按《道路运输危险货物车辆标志》（GB13392-2005）设置车辆标志。</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⑧ 企业就危险废物收集、贮存、运输编制了应急预案，并定期组织应急演练。</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⑨ 过程中一旦发生意外事故，企业立即设立事故警戒线，启动应急预案，并按《环境保护行政主管部门突发环境事件信息报告办法（试行）》（环发〔2006〕50 号）要求进行报告；同时紧急疏散人群，并请求环境保护、消防、医疗、公安等相关部门支援；对事故现场受到污染的土壤和水体等环境介质进行相应的清理和修复；清理过程中产生的所有废物均应按照危险废物进行管理和处置；进入现场清理和包装危险废物的人员应受过专业培训，穿着防护服，并佩戴相应的防护用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（5）危险废物贮存设施的安全防护与监测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安全防护：危险废物贮存设施都必须按照《环境保护图形标志固体废物贮存（处置）场》（GB15562.2-1995）的规定设置警示标志，危险废物贮存设施周围应设置围墙或其他防护栅栏。危险废物贮存设施应配备通讯设备、照明设施、安全防护服装及工具，并设有应急防护措施。危险废物贮存设施内清理出来的泄漏物，一律按照危险废物处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按照国家污染源管理要求对危险废物贮存设施进行监测。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综上所述，项目产生的各类固体废物均得到妥善地处理处置，其处置措施可行，处置去向明确。项目固体废物分类处置不会对周围环境产生二次影响。</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6.2.5 清洗工程污染防治措施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现有储罐内无原有物料，仅有储罐内壁附着的一些物料，本项目需对现有储罐进行清洗，清洗工作委托专业清洗企业，建设单位及清洗单位需按照以下要求进行：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采用高压水冲洗等方式，应在清洗区域设立围堰，防止污染物外溢与扩散，冲洗过程产生的废水送危废处置单位进行处置；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清洗储罐前，应对废水输送管道等连接处进行检查，防止清洗废水输送过程中进行泄漏；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储罐清洗完成后产生的废水属于危险废物，应当送至具有相应资质的单位进行处置，不得随意排放；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清洗储罐时，应配备相应的应急物资，确保在清洗过程中发生泄漏时能有效快速堵截泄漏；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⑤ 禁止在雷雨天（或气压低）或风力在五级以上的大风天进行清洗作业。</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本项目厂区内现有设备均已拆除完毕，本项目仅依托现有的储罐、消防水池及应急事故池，因此，在采取上述措施后，本项目满足《企业设备、建（构）筑物拆除活动污染防治技术指南》（T/CAEPI 16—2018）中的相关技术要求。 </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6.2.6 运营期地下水污染防治措施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基于对本项目地下水环境影响预测和评价，拟建项目在正常工况下，对当地地下水环境影响小；在非正常工况下，对当地潜水地下水环境构成潜在威胁，可能会对地下水水质产生不良影响。因此，为确保当地地下水环境安全，需采取一些保护管理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为有效保护拟建项目区的地下水环境，除了按项目可研报告中设计的方案处理各生产工序的废水，还需要建设地下水跟踪监测方案和定期信息公开。本次评价结合拟建项目特点和当地自然环境特征，提出地下水环境保护管理的原则和措施，并对措施的经济成本和可行性进行分析论证。</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6.2.6.1 地下水污染防治原则</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针对项目可能发生的地下水污染，污染防治措施按照“源头控制、末端防治、污染监控、应急响应”相结合的原则，从污染物的产生、入渗、扩散、应急响应全阶段进行控制：</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源头控制措施：主要包括废水的收集，以及液态原料的储运和使用过程中采取相应的措施，防止和降低污染物跑、冒、滴、漏，将污染物泄漏的环境风险事故降到最低程度，做到污染物“早发现、早处理”。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末端控制措施：主要包括建设区域污染区地面的防渗措施和泄漏、渗漏污染物收集措施，即在污染区地面进行防渗处理，再做进一步的处理。末端控制采取分区防渗，按重点污染防治区、一般污染防治区和非污染区防渗措施有区别的防渗原则。</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污染监控体系：实施覆盖生产区的土壤和地下水污染监控系统，建立完善的监测制度，配备先进的检测仪器和设备，科学合理设置地下水监控井，及时发现污染、控制污染。</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应急响应措施：包括一旦发现地下水污染事故，立即启动应急预案、采取应急措施控制地下水污染，并使污染得到治理。</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6.2.6.2 源头防渗措施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源头控制措施，主要包括在工艺、管道、设备、污水储存及处理构筑物采取相应措施，防止和减少污染物的跑、冒、滴、漏，将污染物泄漏的环境风险事故降到最低程度。建议本项目采用以下措施：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（1）设备、设施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将生产装置区域内易产生泄漏的设备按其物料的物性分类集中布置，对于不同物料性质的区域，分别设置围堰。</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对于储存和输送有毒有害介质的设备和管线排液阀门采用双阀，设备及管道排放出的各种含有毒有害介质液体设置专门的废液收集系统加以收集，不任意排放。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对于储存、输送强腐蚀性化学物料的区域设置围堰，围堰的容积能够容纳罐的全部容积。</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对于机、泵基础周边设置废液收集设施，确保泄漏物料统一收集至排放系统。装有毒有害介质设备的设备法兰及接管法兰的密封面和垫片提高密封等级，必要时采用焊接连接。所有设备的液面计及视镜加设保护设施。设备的排净及排空口不采用螺纹密封结构，且不直接排放。搅拌设备的轴封选择适当的密封形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所有转动设备进行有效的设计，尽可能防止有害介质泄漏。对输送有毒有害介质的泵选用无密封泵。所有输送工艺物料的离心泵及回转泵采用机械密封，对输送重组分介质的离心泵及回转泵，提高密封等级。所有转动设备均提供一体化的集液盘或集液盆式底座，确保泄漏物料统一收集至排放系统。处理易燃、易爆、腐蚀性和有毒介质的承压壳体不使用铸铁（不包括球墨铸铁或可锻铸铁）。</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（2）给水排水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完善废水和雨水的收集系统，填埋可能积水的坑洼地，减少污染物下渗的可能性。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罐区及事故废水应进入消防水池及事故应急池，事故后拉运之污水处理厂处理。所有穿过构筑物壁的管道预先设置防水套管，防水套管的环缝隙采用不透水的柔性材料填塞。</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（3）总图布置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在总图布置上应尽量将重点污染防治区、一般污染防治区、非污染区区分开来，以便于按不同要求进行防治，有利于管理并节省投资。</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6.2.6.3 防渗方案设计</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为进一步减小对地下水环境的污染，项目采取分区防渗措施，主要包括厂内污染区地面的防渗措施和泄漏、渗漏污染物收集措施，即在污染区地面进行防渗处理，防止洒落地面的污染物渗入地下，并把滞留在地面的污染物收集起来，集中进行处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根据厂区可能泄漏至地面区域污染物的性质和生产单元的构筑方式，将厂区划分为重点防渗区、一般防渗区和简单防渗区。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重点防渗区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指为污染地下水环境的物料泄漏后，不容易被及时发现和处理的区域。项目地下水重点污染防治区主要为生产车间，原料储存区、成品储罐区、危险废物暂存间及事故应急池等。</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对于危险废物暂存间，按照《危险废物贮存污染控制标准》（GB18597-2023）的要求进行防渗设计，其防渗性能为至少 1m 厚粘土层（渗透系数≤10</w:t>
      </w:r>
      <w:r>
        <w:rPr>
          <w:rFonts w:hint="eastAsia" w:ascii="Times New Roman" w:hAnsi="Times New Roman" w:eastAsia="宋体" w:cs="Times New Roman"/>
          <w:color w:val="auto"/>
          <w:sz w:val="24"/>
          <w:szCs w:val="24"/>
          <w:vertAlign w:val="superscript"/>
          <w:lang w:val="en-US" w:eastAsia="zh-CN"/>
        </w:rPr>
        <w:t>-7</w:t>
      </w:r>
      <w:r>
        <w:rPr>
          <w:rFonts w:hint="eastAsia" w:ascii="Times New Roman" w:hAnsi="Times New Roman" w:eastAsia="宋体" w:cs="Times New Roman"/>
          <w:color w:val="auto"/>
          <w:sz w:val="24"/>
          <w:szCs w:val="24"/>
          <w:lang w:val="en-US" w:eastAsia="zh-CN"/>
        </w:rPr>
        <w:t>cm/s），或 2mm 厚高密度聚乙烯，或至少 2mm 厚的其它人工材料，渗透系数≤10-10cm/s。；对于生产车间，原料储存区、成品罐区等区域，参照《环境影响评价技术导则 地下水》（HJ610-2016）、《工业建筑防腐蚀设计规范》（GB50046-2008）和《石油化工企业防渗设计通则》（QSY1303-2010）相关防渗要求，等效黏土防渗层 Mb≥6.0m，K≤1×10</w:t>
      </w:r>
      <w:r>
        <w:rPr>
          <w:rFonts w:hint="eastAsia" w:ascii="Times New Roman" w:hAnsi="Times New Roman" w:eastAsia="宋体" w:cs="Times New Roman"/>
          <w:color w:val="auto"/>
          <w:sz w:val="24"/>
          <w:szCs w:val="24"/>
          <w:vertAlign w:val="superscript"/>
          <w:lang w:val="en-US" w:eastAsia="zh-CN"/>
        </w:rPr>
        <w:t>-7</w:t>
      </w:r>
      <w:r>
        <w:rPr>
          <w:rFonts w:hint="eastAsia" w:ascii="Times New Roman" w:hAnsi="Times New Roman" w:eastAsia="宋体" w:cs="Times New Roman"/>
          <w:color w:val="auto"/>
          <w:sz w:val="24"/>
          <w:szCs w:val="24"/>
          <w:lang w:val="en-US" w:eastAsia="zh-CN"/>
        </w:rPr>
        <w:t>cm/s。</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一般防渗区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是指裸露于地面的生产功能单元，污染地下水环境的物料泄漏后，容易被及时发现和处理的区域，主要包括运输道路、装卸区等区域。对于一般污染防治区，参照《环境影响评价技术导则 地下水》（HJ610-2016）、《工业建筑防腐蚀设计规范》（GB50046-2008）和《石油化工企业防渗设计通则》（QSY1303-2010）相关防渗要求，等效黏土防渗层 Mb≥1.5m，K≤1×10</w:t>
      </w:r>
      <w:r>
        <w:rPr>
          <w:rFonts w:hint="eastAsia" w:ascii="Times New Roman" w:hAnsi="Times New Roman" w:eastAsia="宋体" w:cs="Times New Roman"/>
          <w:color w:val="auto"/>
          <w:sz w:val="24"/>
          <w:szCs w:val="24"/>
          <w:vertAlign w:val="superscript"/>
          <w:lang w:val="en-US" w:eastAsia="zh-CN"/>
        </w:rPr>
        <w:t>-7</w:t>
      </w:r>
      <w:r>
        <w:rPr>
          <w:rFonts w:hint="eastAsia" w:ascii="Times New Roman" w:hAnsi="Times New Roman" w:eastAsia="宋体" w:cs="Times New Roman"/>
          <w:color w:val="auto"/>
          <w:sz w:val="24"/>
          <w:szCs w:val="24"/>
          <w:lang w:val="en-US" w:eastAsia="zh-CN"/>
        </w:rPr>
        <w:t>cm/s。。</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简单污染防治区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指不会对地下水环境造成污染的区域。主要包括消防泵房、消防水池、变配电室、门卫室、绿化区等。对于基本上不产生污染物的非污染防治区，采取一般地面硬化，不采取专门针对地下水污染的防治措施。厂区防渗内容汇总见下表 6.2.6-1，平面布置防渗分区详见</w:t>
      </w:r>
      <w:r>
        <w:rPr>
          <w:rFonts w:hint="eastAsia" w:ascii="Times New Roman" w:hAnsi="Times New Roman" w:eastAsia="宋体" w:cs="Times New Roman"/>
          <w:b/>
          <w:bCs/>
          <w:color w:val="auto"/>
          <w:sz w:val="24"/>
          <w:szCs w:val="24"/>
          <w:lang w:val="en-US" w:eastAsia="zh-CN"/>
        </w:rPr>
        <w:t>附图 6.2-1</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6.2.6-1   厂区分区防渗内容一览表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2118"/>
        <w:gridCol w:w="2465"/>
        <w:gridCol w:w="31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防渗级别</w:t>
            </w:r>
          </w:p>
        </w:tc>
        <w:tc>
          <w:tcPr>
            <w:tcW w:w="12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区域</w:t>
            </w:r>
          </w:p>
        </w:tc>
        <w:tc>
          <w:tcPr>
            <w:tcW w:w="144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防渗要求</w:t>
            </w:r>
          </w:p>
        </w:tc>
        <w:tc>
          <w:tcPr>
            <w:tcW w:w="18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防渗工艺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重点防渗区</w:t>
            </w:r>
          </w:p>
        </w:tc>
        <w:tc>
          <w:tcPr>
            <w:tcW w:w="12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生产车间，原料储存区、成品储罐区、危险废物暂存间及事故应急池</w:t>
            </w:r>
          </w:p>
        </w:tc>
        <w:tc>
          <w:tcPr>
            <w:tcW w:w="144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重点防渗区，等效黏土防渗层Mb≥6m，渗透系数k≤1.0×10</w:t>
            </w:r>
            <w:r>
              <w:rPr>
                <w:rFonts w:hint="eastAsia" w:ascii="Times New Roman" w:hAnsi="Times New Roman" w:eastAsia="宋体" w:cs="Times New Roman"/>
                <w:color w:val="auto"/>
                <w:sz w:val="21"/>
                <w:szCs w:val="21"/>
                <w:vertAlign w:val="superscript"/>
                <w:lang w:val="en-US" w:eastAsia="zh-CN"/>
              </w:rPr>
              <w:t>-7</w:t>
            </w:r>
            <w:r>
              <w:rPr>
                <w:rFonts w:hint="eastAsia" w:ascii="Times New Roman" w:hAnsi="Times New Roman" w:eastAsia="宋体" w:cs="Times New Roman"/>
                <w:color w:val="auto"/>
                <w:sz w:val="21"/>
                <w:szCs w:val="21"/>
                <w:vertAlign w:val="baseline"/>
                <w:lang w:val="en-US" w:eastAsia="zh-CN"/>
              </w:rPr>
              <w:t>cm/s</w:t>
            </w:r>
          </w:p>
        </w:tc>
        <w:tc>
          <w:tcPr>
            <w:tcW w:w="18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至少1m厚黏土层，或2mm聚乙烯，或其他人工材料混凝土池体宜采用防渗钢筋混凝土，池体内表面涂刷水泥基渗透结晶型防渗材料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一般防渗区</w:t>
            </w:r>
          </w:p>
        </w:tc>
        <w:tc>
          <w:tcPr>
            <w:tcW w:w="12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运输道路、装卸区</w:t>
            </w:r>
          </w:p>
        </w:tc>
        <w:tc>
          <w:tcPr>
            <w:tcW w:w="144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一般防渗区，等效黏土防渗层Mb≥1m，渗透系数k≤1.0×10</w:t>
            </w:r>
            <w:r>
              <w:rPr>
                <w:rFonts w:hint="eastAsia" w:ascii="Times New Roman" w:hAnsi="Times New Roman" w:eastAsia="宋体" w:cs="Times New Roman"/>
                <w:color w:val="auto"/>
                <w:sz w:val="21"/>
                <w:szCs w:val="21"/>
                <w:vertAlign w:val="superscript"/>
                <w:lang w:val="en-US" w:eastAsia="zh-CN"/>
              </w:rPr>
              <w:t>-7</w:t>
            </w:r>
            <w:r>
              <w:rPr>
                <w:rFonts w:hint="eastAsia" w:ascii="Times New Roman" w:hAnsi="Times New Roman" w:eastAsia="宋体" w:cs="Times New Roman"/>
                <w:color w:val="auto"/>
                <w:sz w:val="21"/>
                <w:szCs w:val="21"/>
                <w:vertAlign w:val="baseline"/>
                <w:lang w:val="en-US" w:eastAsia="zh-CN"/>
              </w:rPr>
              <w:t>cm/s</w:t>
            </w:r>
          </w:p>
        </w:tc>
        <w:tc>
          <w:tcPr>
            <w:tcW w:w="18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地表面采用混凝土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简单防渗区</w:t>
            </w:r>
          </w:p>
        </w:tc>
        <w:tc>
          <w:tcPr>
            <w:tcW w:w="124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消防泵房、消防水池、变配电室、门卫室、绿化区等</w:t>
            </w:r>
          </w:p>
        </w:tc>
        <w:tc>
          <w:tcPr>
            <w:tcW w:w="144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一般性的地面硬化措施</w:t>
            </w:r>
          </w:p>
        </w:tc>
        <w:tc>
          <w:tcPr>
            <w:tcW w:w="18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简单防渗</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6.2.6.4 地下水日常监控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监测井布设：根据《环境影响评价技术导则地下水环境》（HJ610-2016）以及《地下水环境监测技术规范》（HJ164-2020）的要求，二级评价的建设项目，地下水跟踪监测点一般不少于 3 个，应至少在建设项目场地、上、下游各布置 1 个。本项目拟在厂址区的地下水水流上游布设不少于 1 眼地下水背景（或对照）监控井，在厂址重点污染风险区布设不少于 1 眼地下水环境影响跟踪监控井，在地下水下游方向布设不少于 1 眼地下水污染扩散监测井。</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监测因子：根据石油化工企业产生的特征污染物、反映当地地下水功能特征的主要污染物以及《地下水质量标准》（GB/T14848-2017）中列出的项目综合考虑设定，本项目地下水污染监测项目确定为：pH、COD、BOD</w:t>
      </w:r>
      <w:r>
        <w:rPr>
          <w:rFonts w:hint="eastAsia" w:ascii="Times New Roman" w:hAnsi="Times New Roman" w:eastAsia="宋体" w:cs="Times New Roman"/>
          <w:color w:val="auto"/>
          <w:sz w:val="24"/>
          <w:szCs w:val="24"/>
          <w:vertAlign w:val="subscript"/>
          <w:lang w:val="en-US" w:eastAsia="zh-CN"/>
        </w:rPr>
        <w:t>5</w:t>
      </w:r>
      <w:r>
        <w:rPr>
          <w:rFonts w:hint="eastAsia" w:ascii="Times New Roman" w:hAnsi="Times New Roman" w:eastAsia="宋体" w:cs="Times New Roman"/>
          <w:color w:val="auto"/>
          <w:sz w:val="24"/>
          <w:szCs w:val="24"/>
          <w:lang w:val="en-US" w:eastAsia="zh-CN"/>
        </w:rPr>
        <w:t>、氨氮、悬浮物、硫酸盐、总氮、总磷、动植物油、总硬度、耗氧量、氟化物、硝酸盐、亚硝酸盐、氯化物、铁、锰、铜、锌、砷、汞、镉、六价铬、铅、石油类、挥发酚。</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地下水监测频率</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项目厂区外地下水污染监控井为每年 1 次，厂区内地下水污染监控井为每年一次；当厂区发生液体物料泄漏事故或发现地下水污染现象时，应加大取样频率，并根据实际情况增加监测项目。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监测数据管理上述监测结果应按项目有关规定及时建立档案，并定期向厂安全环保管理部门汇报，对于常规监测数据应该进行公开，满足法律中关于知情权的要求。如发现异常或发生事故，加密监测频次，改为每天监测一次，并分析污染原因，确定泄漏污染源，及采取应急措施。</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6.2.6.5 发生少量泄漏时采取的环保措施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项目在生产过程中，可能会发生少量的跑冒滴漏现象，当发生上述少量跑冒滴漏时，也应采取相应的保护措施：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（1）加强渗漏监测，确保泄漏发生时能及时发现；</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（2）当泄漏发生时，应当立即采取停产措施，对渗漏发生区域进行防渗修补，确保污染物不进入到地下水系统中。</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6.2.6.6 应急管理措施和建议</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4"/>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6.2.6.6.1 应急预案编制</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在制定厂区安全管理体制的基础上，制定专门的地下水污染风险事故的应急措施，并应与其他应急预案相协调。地下水应急预案应包括以下内容：</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应急预案的日常协调和指挥机构；</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相关部门在应急预案中的职责和分工；</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地下水环境保护目标的确定，采取的紧急处置措施和潜在污染源评估；</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特大事故应急救援组织状况和人员、装备情况，平常的训练和演习；</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⑤ 特大事故的社会支持和援助，应急救援的经费保障。</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4"/>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6.2.6.6.2 地下水污染应急措施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一旦发现地下水发生异常情况，企业按照应急预案确定的工程技术方案开展工作，迅速启动包括封堵污染源和污染物降解等防控措施。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（1）应急治理程序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制定风险事故应急预案的目的是在发生风险事故时，能以最快的速度发挥最大的效能，有序地实施救援，尽快控制事态的发展，降低事故对潜水含水层的污染。针对应急工作需要，参照相关技术导则，结合地下水污染治理的技术特点，制定地下水污染应急治理程序见图 6.2-2。</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color w:val="auto"/>
        </w:rPr>
        <w:drawing>
          <wp:inline distT="0" distB="0" distL="114300" distR="114300">
            <wp:extent cx="3752850" cy="3325495"/>
            <wp:effectExtent l="0" t="0" r="0" b="825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01"/>
                    <a:stretch>
                      <a:fillRect/>
                    </a:stretch>
                  </pic:blipFill>
                  <pic:spPr>
                    <a:xfrm>
                      <a:off x="0" y="0"/>
                      <a:ext cx="3752850" cy="33254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图 6.2-2     地下水污染应急治理程序图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（2）地下水污染治理措施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在突发地下水污染事故情况下，建议采取以下应急管理措施，以保护地下水环境：</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立即启动应急预案；</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查明并切断污染源；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查明地下水污染深度、范围和程度；</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依据查明的地下水污染情况，合理布置浅井，并进行试抽水工作；</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⑤ 依据抽水设计方案进行施工，抽出被污染的地下水体；</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⑥ 将抽出的地下水进行集中收集处理，并送实验室进行化验分析；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⑦ 监测孔中的主要污染物浓度满足《地下水质量标准》（GB/T14848-2017）相关级别标准后，逐步停止抽水，并进行土壤修复治理工作。</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（3）应急管理建议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① 地下水污染具有不易发现和一旦污染很难治理的特点，因此地下水污染防控应遵循源头控制、防止渗漏、污染监测和事故应急处理的主动和被动防渗相结合的原则进行。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地下水污染状况勘察是一项专业性很强的工作，一旦发生污染事故，应委托具有水文地质勘察资质的单位进行地下水污染勘察工作。</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当污染事故发生后，污染物首先渗透到不饱和层，然后依据污染物的特性、土壤结构以及场地状况等因素，污染物可能渗透至含水层，而污染地下水。为了预防项目实施产生意外泄漏，建议在厂区铺设排污管道。</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（4）需注意的问题</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地下水污染的治理相对于地表水来说更加复杂，在进行具体的治理时，还需要考虑以下因素：</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在具体的地下水污染治理中，往往要多种技术结合使用。一般在治理初期，先使用物理法或水动力控制法将污染区封闭，然后尽量收集污水，最后再使用抽出处理法或原位法进行治理。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因为污染区域的水文地质条件和地球化学特性都会影响到地下水污染的治理，因此地下水污染的治理通常要以水文地质工作为前提。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受污染地下水的修复往往还要包括土壤的修复。地下水和土壤是相互作用的，如果只治理了受污染的地下水而不治理土壤，由于雨水的淋滤或地下水位的波动，污染物会再次进入地下水体，形成交叉污染，使地下水的治理前功尽弃。</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对事故后果进行评估，并制定防止类似事件发生的措施。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⑤ 必要时应请求社会应急力量协助处理。</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6.2.6.7 地下水污染控制措施可行性分析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本建设项目污染防治措施以“源头控制、防渗、跟踪监测”三方面为污染源控制手段，并以“实时监测、土壤修复、抽取受污染地下水”为污染发生后的应急治理手段，可有效地保障对地下水的防护。</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污染源控制方面：根据本项目的工艺特征，对各生产设施、废水的存储与处理设施采用防渗措施可有效阻断液态污染物渗入地下，也是公认的较经济的防治手段，根据《石油化工企业防渗设计通则》（Q-SY1303-2010），防渗结构有刚性、柔性、人工、天然等多种方式多种组合，本次环评不提出具体结构要求，只提出防渗性能要求，业主可根据自身工艺特点自行选择防渗方式，既保证的地下水防治要求，又能使投资降到最低。通过采取防渗，例如废水处理站水池，假设直径 4m，池体防渗结构的渗透系数为 1×10</w:t>
      </w:r>
      <w:r>
        <w:rPr>
          <w:rFonts w:hint="eastAsia" w:ascii="Times New Roman" w:hAnsi="Times New Roman" w:eastAsia="宋体" w:cs="Times New Roman"/>
          <w:color w:val="auto"/>
          <w:sz w:val="24"/>
          <w:szCs w:val="24"/>
          <w:vertAlign w:val="superscript"/>
          <w:lang w:val="en-US" w:eastAsia="zh-CN"/>
        </w:rPr>
        <w:t xml:space="preserve"> -12</w:t>
      </w:r>
      <w:r>
        <w:rPr>
          <w:rFonts w:hint="eastAsia" w:ascii="Times New Roman" w:hAnsi="Times New Roman" w:eastAsia="宋体" w:cs="Times New Roman"/>
          <w:color w:val="auto"/>
          <w:sz w:val="24"/>
          <w:szCs w:val="24"/>
          <w:lang w:val="en-US" w:eastAsia="zh-CN"/>
        </w:rPr>
        <w:t>cm/s，则每天渗入地下水的废水为 5.4×10</w:t>
      </w:r>
      <w:r>
        <w:rPr>
          <w:rFonts w:hint="eastAsia" w:ascii="Times New Roman" w:hAnsi="Times New Roman" w:eastAsia="宋体" w:cs="Times New Roman"/>
          <w:color w:val="auto"/>
          <w:sz w:val="24"/>
          <w:szCs w:val="24"/>
          <w:vertAlign w:val="superscript"/>
          <w:lang w:val="en-US" w:eastAsia="zh-CN"/>
        </w:rPr>
        <w:t>-7</w:t>
      </w:r>
      <w:r>
        <w:rPr>
          <w:rFonts w:hint="eastAsia" w:ascii="Times New Roman" w:hAnsi="Times New Roman" w:eastAsia="宋体" w:cs="Times New Roman"/>
          <w:color w:val="auto"/>
          <w:sz w:val="24"/>
          <w:szCs w:val="24"/>
          <w:lang w:val="en-US" w:eastAsia="zh-CN"/>
        </w:rPr>
        <w:t>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/d，渗入量极少，通过地下水自身稀释后，基本不会产生影响，更不会出现污染物超标现象。</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在做好防渗工作的前提下，通过厂区内各设施合理布局、合理分配、各类其他污染物有效控制（如降雨、生活垃圾）、定期对污废水装置与防渗结构检查等工作，可防止除渗漏以外其他方面对地下水的污染，即便是事故状态下，只要防渗层未被破坏，均能有效控制污染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为能及时发现隐蔽性的废水泄漏，通过在厂址周边布设监控井，定期监测地下水质，可补充“源头控制、防渗”等措施的不足。结合厂址区水文地质条件、污染物在含水层中的运移特征、生产装置位置，来确定监控井与厂区的位置关系，既能及时发现泄漏，有可作为地下水污染治理的抽水井。</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地下水污染治理措施方面：首先应制定好合理的地下水应急预案，应包括应急指挥、环境评估、环境生态恢复、生产过程控制、安全、组织管理、医疗急救、监测、消防、工程抢险、防化、环境风险评估等各方面内容，以备不时之需。 </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6.2.7 运营期土壤污染防治措施</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6.2.7.1 保护对象及目标</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本项目保护对象为厂界外 200m 范围内的用地，项目施工、运营期间，建设用地满足《土壤环境质量 建设用地土壤污染风险管控标准（试行）》（GB36600-2018）中第二类用地筛选值相关标准。</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6.2.7.2 源头控制措施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建设运营过程中，对土壤污染主要途径为水污染物垂直入渗进入土壤环境。故本项目对产生的废水应进行合理的治理和综合利用，尽可能从源头上减少可能污染物产生；严格按照国家相关规范要求，对该厂区采取相应的措施，以防止和降低可能污染物的跑、冒、滴、漏，将水污染物泄漏的环境风险事故降低到最低程度。</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6.2.7.3 防渗措施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厂区可能泄漏至地面区域污染物的性质和生产单元的构筑方式，将厂区划分为重点防渗区、一般防渗区和简单防渗区。项目地下水重点污染防治区主要为生产车间，原料储存区、成品储罐区、危险废物仓库、事故应急池等采取重点防渗，企业需加强厂区重点部位防腐、防渗措施的检查，发现防渗层开裂、破损、腐蚀等情况应及时修缮、确保防渗效果，减少对土壤环境造成污染。</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3"/>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6.2.7.4 跟踪监测措施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为了及时准确掌握场区及周边土壤环境质量状况和土壤中污染物的动态变化，项目覆盖全场的土壤环境长期监控系统，包括科学、合理地设置土壤污染监控点，建立完善的监测制度，配备先进的检测仪器和设备，以便及时发现并及时控制。</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（1）跟踪监测点布置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依据《环境影响评价技术导则土壤环境（试行）》（HJ964-2018）要求，结合项目区地质条件，项目在重点影响区污水处理站布设 1 个监测点位，土壤环境评价等级为二级，至少每 5 年开展 1 次跟踪监测，监测计划详见表6.2.7-1。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6.2.7-1     土壤环境监测计划一览表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6"/>
        <w:gridCol w:w="1051"/>
        <w:gridCol w:w="894"/>
        <w:gridCol w:w="894"/>
        <w:gridCol w:w="50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序号</w:t>
            </w:r>
          </w:p>
        </w:tc>
        <w:tc>
          <w:tcPr>
            <w:tcW w:w="61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监测点位置</w:t>
            </w:r>
          </w:p>
        </w:tc>
        <w:tc>
          <w:tcPr>
            <w:tcW w:w="5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样品类型</w:t>
            </w:r>
          </w:p>
        </w:tc>
        <w:tc>
          <w:tcPr>
            <w:tcW w:w="5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监测频次</w:t>
            </w:r>
          </w:p>
        </w:tc>
        <w:tc>
          <w:tcPr>
            <w:tcW w:w="29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监测因子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T1</w:t>
            </w:r>
          </w:p>
        </w:tc>
        <w:tc>
          <w:tcPr>
            <w:tcW w:w="61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生产车间</w:t>
            </w:r>
          </w:p>
        </w:tc>
        <w:tc>
          <w:tcPr>
            <w:tcW w:w="5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柱状样</w:t>
            </w:r>
          </w:p>
        </w:tc>
        <w:tc>
          <w:tcPr>
            <w:tcW w:w="5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1次/5年</w:t>
            </w:r>
          </w:p>
        </w:tc>
        <w:tc>
          <w:tcPr>
            <w:tcW w:w="2989" w:type="pct"/>
            <w:vAlign w:val="center"/>
          </w:tcPr>
          <w:p>
            <w:pPr>
              <w:keepNext w:val="0"/>
              <w:keepLines w:val="0"/>
              <w:widowControl/>
              <w:suppressLineNumbers w:val="0"/>
              <w:jc w:val="center"/>
              <w:rPr>
                <w:rFonts w:hint="eastAsia"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pH</w:t>
            </w:r>
            <w:r>
              <w:rPr>
                <w:rFonts w:hint="eastAsia" w:ascii="宋体" w:hAnsi="宋体" w:eastAsia="宋体" w:cs="宋体"/>
                <w:color w:val="auto"/>
                <w:kern w:val="0"/>
                <w:sz w:val="21"/>
                <w:szCs w:val="21"/>
                <w:lang w:val="en-US" w:eastAsia="zh-CN" w:bidi="ar"/>
              </w:rPr>
              <w:t>、砷、镉、铬（六价）、铜、铅、汞、镍、石油烃、水溶性盐总量</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（2）监测数据管理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上述监测结果应按项目有关规定及时建立档案，并定期向项目所在地生态环境主管部门汇报，对于常规监测数据应该进行公开。如发现异常或发生事故，加密监测频次，改为每年监测一次，并分析污染原因，确定泄漏污染源，及时采取应急措施。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eastAsia" w:ascii="Times New Roman" w:hAnsi="Times New Roman" w:eastAsia="宋体" w:cs="Times New Roman"/>
          <w:color w:val="auto"/>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0"/>
        <w:rPr>
          <w:rFonts w:hint="default" w:ascii="Times New Roman" w:hAnsi="Times New Roman" w:eastAsia="宋体" w:cs="Times New Roman"/>
          <w:color w:val="auto"/>
          <w:sz w:val="24"/>
          <w:szCs w:val="24"/>
          <w:lang w:val="en-US" w:eastAsia="zh-CN"/>
        </w:rPr>
      </w:pPr>
      <w:bookmarkStart w:id="101" w:name="_Toc23888"/>
      <w:r>
        <w:rPr>
          <w:rFonts w:hint="eastAsia" w:ascii="Times New Roman" w:hAnsi="Times New Roman" w:eastAsia="宋体" w:cs="Times New Roman"/>
          <w:b/>
          <w:bCs/>
          <w:color w:val="auto"/>
          <w:sz w:val="32"/>
          <w:szCs w:val="32"/>
          <w:lang w:val="en-US" w:eastAsia="zh-CN"/>
        </w:rPr>
        <w:t>7 环境影响经济损益分析</w:t>
      </w:r>
      <w:bookmarkEnd w:id="101"/>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环境经济损益分析是环境影响评价的一项重要工作内容，其任务是评价建设项目实施后，对环境造成的损失费用和采取各种环保治理措施所能收到的环保效果及其带来的经济和社会效益，衡量建设项目的环保投资在经济上的合理性。经济效益比较直观，可以用货币形式直接计算出来，而社会效益和环境效益则很难用货币的形式表现出来。环境影响评价工作不能仅仅局限于项目投资方面显现的经济环保效益，更应该宏观的以发展的眼光看待项目建设带来的远期环保损益，必须全面规划、综合平衡、正确地把全局利益和局部利益、长远利益和近期利益有效的结合起来，实现社会效益、经济效益、环境效益的三统一。本环评主要从环境保护投资估算、投资比例及环保设施产生的经济效益、社会效益在一定程度上作定性描述和简要的定量分析。</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b/>
          <w:bCs/>
          <w:color w:val="auto"/>
          <w:sz w:val="30"/>
          <w:szCs w:val="30"/>
          <w:lang w:val="en-US" w:eastAsia="zh-CN"/>
        </w:rPr>
      </w:pPr>
      <w:bookmarkStart w:id="102" w:name="_Toc28860"/>
      <w:r>
        <w:rPr>
          <w:rFonts w:hint="default" w:ascii="Times New Roman" w:hAnsi="Times New Roman" w:eastAsia="宋体" w:cs="Times New Roman"/>
          <w:b/>
          <w:bCs/>
          <w:color w:val="auto"/>
          <w:sz w:val="30"/>
          <w:szCs w:val="30"/>
          <w:lang w:val="en-US" w:eastAsia="zh-CN"/>
        </w:rPr>
        <w:t>7.1 项目经济和社会效益分析</w:t>
      </w:r>
      <w:bookmarkEnd w:id="102"/>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7.1.1 项目投资经济效益分析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本项目总投资 2000 万元，根据财务评价指标，本项目运营期 10 年。存续期内，项目总收入为 11737.00 万元，总营业税金为 885.12 万元，总成本为 4620.83 万元利润为 6231.05 万元，所得税按国家规定税率为 25%，缴纳所得税约为 1557.76 万元，净利润为 4673.29 万元。从盈亏平衡分析来看，本项目具有较强的抗风险能力。本项目的建设可为企业带来可观的经济效益，同时也为国家及地方财政收入作出一定的贡献。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因此，本项目投资建设在财务上可以接受，有较好的经济效益。</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7.1.2 项目社会效益分析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建设符合国家和地方产业政策，并符合当地政府的整体规划。项目的建设过程中贯彻了清洁生产，同时通过建设“三废”处理设施，提高企业整体形象。该项目建成后，提高了企业的综合竞争能力，为企业进一步发展创造良好的条件，不仅具有经济效益，而且具有一定的社会效益。本项目的建设将带来以下社会效益：</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（1）推进呼图壁县的整体发展，促进地方产业发展，产生明显的经济效益。</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（2）项目的建设消耗大量建材、装饰材料，将扩大市场需求。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（3）项目水、电等公用工程的消耗为当地带来间接经济效益，促进区域经济发展。</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（4）项目部分配套设备的购买使用，将扩大市场需求，为当地带来间接经济效益。</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（5）对于项目所在的呼图壁工业园来说，该项目的建成在一定程度上加快了园区的发展，同时从产业上来说，有利于促进园区相关产业的发展。</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b/>
          <w:bCs/>
          <w:color w:val="auto"/>
          <w:sz w:val="30"/>
          <w:szCs w:val="30"/>
          <w:lang w:val="en-US" w:eastAsia="zh-CN"/>
        </w:rPr>
      </w:pPr>
      <w:bookmarkStart w:id="103" w:name="_Toc16497"/>
      <w:r>
        <w:rPr>
          <w:rFonts w:hint="eastAsia" w:ascii="Times New Roman" w:hAnsi="Times New Roman" w:eastAsia="宋体" w:cs="Times New Roman"/>
          <w:b/>
          <w:bCs/>
          <w:color w:val="auto"/>
          <w:sz w:val="30"/>
          <w:szCs w:val="30"/>
          <w:lang w:val="en-US" w:eastAsia="zh-CN"/>
        </w:rPr>
        <w:t>7.2 环境效益分析</w:t>
      </w:r>
      <w:bookmarkEnd w:id="103"/>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7.2.1 环保投资估算</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建设项目总投资 2000 万元，本项目环保投资金额及所占比例见表 7.2.1-1，环保投资 291 万元，占工程总投资 14.55%。</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7.2.1-1    环保设施投资一览表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9"/>
        <w:gridCol w:w="636"/>
        <w:gridCol w:w="2465"/>
        <w:gridCol w:w="3515"/>
        <w:gridCol w:w="9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399" w:type="pct"/>
            <w:gridSpan w:val="3"/>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r>
              <w:rPr>
                <w:rFonts w:hint="default"/>
                <w:color w:val="auto"/>
              </w:rPr>
              <w:t>项目名称</w:t>
            </w:r>
          </w:p>
        </w:tc>
        <w:tc>
          <w:tcPr>
            <w:tcW w:w="2062"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r>
              <w:rPr>
                <w:rFonts w:hint="default"/>
                <w:color w:val="auto"/>
              </w:rPr>
              <w:t>内容</w:t>
            </w:r>
          </w:p>
        </w:tc>
        <w:tc>
          <w:tcPr>
            <w:tcW w:w="538"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r>
              <w:rPr>
                <w:rFonts w:hint="default"/>
                <w:color w:val="auto"/>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80" w:type="pct"/>
            <w:vMerge w:val="restar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r>
              <w:rPr>
                <w:rFonts w:hint="default"/>
                <w:color w:val="auto"/>
              </w:rPr>
              <w:t>施工期环境保护措施</w:t>
            </w:r>
          </w:p>
        </w:tc>
        <w:tc>
          <w:tcPr>
            <w:tcW w:w="1819" w:type="pct"/>
            <w:gridSpan w:val="2"/>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r>
              <w:rPr>
                <w:rFonts w:hint="default"/>
                <w:color w:val="auto"/>
              </w:rPr>
              <w:t>施工扬尘</w:t>
            </w:r>
          </w:p>
        </w:tc>
        <w:tc>
          <w:tcPr>
            <w:tcW w:w="2062"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r>
              <w:rPr>
                <w:rFonts w:hint="default"/>
                <w:color w:val="auto"/>
              </w:rPr>
              <w:t>洒水降尘，设置防尘围</w:t>
            </w:r>
            <w:r>
              <w:rPr>
                <w:rFonts w:hint="eastAsia"/>
                <w:color w:val="auto"/>
                <w:lang w:eastAsia="zh-CN"/>
              </w:rPr>
              <w:t>挡</w:t>
            </w:r>
            <w:r>
              <w:rPr>
                <w:rFonts w:hint="default"/>
                <w:color w:val="auto"/>
              </w:rPr>
              <w:t>；</w:t>
            </w:r>
          </w:p>
        </w:tc>
        <w:tc>
          <w:tcPr>
            <w:tcW w:w="538"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lang w:eastAsia="zh-CN"/>
              </w:rPr>
            </w:pPr>
            <w:r>
              <w:rPr>
                <w:rFonts w:hint="eastAsia"/>
                <w:color w:val="auto"/>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80"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p>
        </w:tc>
        <w:tc>
          <w:tcPr>
            <w:tcW w:w="1819" w:type="pct"/>
            <w:gridSpan w:val="2"/>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r>
              <w:rPr>
                <w:rFonts w:hint="default"/>
                <w:color w:val="auto"/>
              </w:rPr>
              <w:t>施工废水</w:t>
            </w:r>
          </w:p>
        </w:tc>
        <w:tc>
          <w:tcPr>
            <w:tcW w:w="2062"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r>
              <w:rPr>
                <w:rFonts w:hint="default"/>
                <w:color w:val="auto"/>
              </w:rPr>
              <w:t>建临时防渗沉淀池，沉淀回用</w:t>
            </w:r>
          </w:p>
        </w:tc>
        <w:tc>
          <w:tcPr>
            <w:tcW w:w="538"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eastAsia" w:eastAsia="宋体"/>
                <w:color w:val="auto"/>
                <w:lang w:eastAsia="zh-CN"/>
              </w:rPr>
            </w:pPr>
            <w:r>
              <w:rPr>
                <w:rFonts w:hint="eastAsia"/>
                <w:color w:val="auto"/>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80"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p>
        </w:tc>
        <w:tc>
          <w:tcPr>
            <w:tcW w:w="1819" w:type="pct"/>
            <w:gridSpan w:val="2"/>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r>
              <w:rPr>
                <w:rFonts w:hint="default"/>
                <w:color w:val="auto"/>
              </w:rPr>
              <w:t>施工固废</w:t>
            </w:r>
          </w:p>
        </w:tc>
        <w:tc>
          <w:tcPr>
            <w:tcW w:w="2062"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r>
              <w:rPr>
                <w:rFonts w:hint="default"/>
                <w:color w:val="auto"/>
              </w:rPr>
              <w:t>运至当地指定堆放点</w:t>
            </w:r>
          </w:p>
        </w:tc>
        <w:tc>
          <w:tcPr>
            <w:tcW w:w="538"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lang w:val="en-US" w:eastAsia="zh-CN"/>
              </w:rPr>
            </w:pPr>
            <w:r>
              <w:rPr>
                <w:rFonts w:hint="eastAsia"/>
                <w:color w:val="auto"/>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94" w:hRule="atLeast"/>
          <w:jc w:val="center"/>
        </w:trPr>
        <w:tc>
          <w:tcPr>
            <w:tcW w:w="580" w:type="pct"/>
            <w:vMerge w:val="restar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r>
              <w:rPr>
                <w:rFonts w:hint="default"/>
                <w:color w:val="auto"/>
              </w:rPr>
              <w:t>运营期环境保护措施</w:t>
            </w:r>
          </w:p>
        </w:tc>
        <w:tc>
          <w:tcPr>
            <w:tcW w:w="373"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r>
              <w:rPr>
                <w:rFonts w:hint="default"/>
                <w:color w:val="auto"/>
              </w:rPr>
              <w:t>废水治理</w:t>
            </w:r>
          </w:p>
        </w:tc>
        <w:tc>
          <w:tcPr>
            <w:tcW w:w="1446"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r>
              <w:rPr>
                <w:rFonts w:hint="eastAsia"/>
                <w:color w:val="auto"/>
                <w:lang w:val="en-US" w:eastAsia="zh-CN"/>
              </w:rPr>
              <w:t>生活污水、生产废水</w:t>
            </w:r>
          </w:p>
        </w:tc>
        <w:tc>
          <w:tcPr>
            <w:tcW w:w="2062"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lang w:val="en-US" w:eastAsia="zh-CN"/>
              </w:rPr>
            </w:pPr>
            <w:r>
              <w:rPr>
                <w:rFonts w:hint="eastAsia"/>
                <w:color w:val="auto"/>
                <w:lang w:val="en-US" w:eastAsia="zh-CN"/>
              </w:rPr>
              <w:t>废水输送管道</w:t>
            </w:r>
          </w:p>
        </w:tc>
        <w:tc>
          <w:tcPr>
            <w:tcW w:w="538"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lang w:val="en-US" w:eastAsia="zh-CN"/>
              </w:rPr>
            </w:pPr>
            <w:r>
              <w:rPr>
                <w:rFonts w:hint="eastAsia"/>
                <w:color w:val="auto"/>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80"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p>
        </w:tc>
        <w:tc>
          <w:tcPr>
            <w:tcW w:w="373" w:type="pct"/>
            <w:vMerge w:val="restar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eastAsia="宋体"/>
                <w:color w:val="auto"/>
                <w:lang w:val="en-US" w:eastAsia="zh-CN"/>
              </w:rPr>
            </w:pPr>
            <w:r>
              <w:rPr>
                <w:rFonts w:hint="eastAsia"/>
                <w:color w:val="auto"/>
                <w:lang w:val="en-US" w:eastAsia="zh-CN"/>
              </w:rPr>
              <w:t>废气治理</w:t>
            </w:r>
          </w:p>
        </w:tc>
        <w:tc>
          <w:tcPr>
            <w:tcW w:w="1446"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firstLine="0" w:firstLineChars="0"/>
              <w:jc w:val="center"/>
              <w:textAlignment w:val="baseline"/>
              <w:outlineLvl w:val="9"/>
              <w:rPr>
                <w:rFonts w:hint="default" w:eastAsiaTheme="minorEastAsia"/>
                <w:color w:val="auto"/>
                <w:lang w:val="en-US" w:eastAsia="zh-CN"/>
              </w:rPr>
            </w:pPr>
            <w:r>
              <w:rPr>
                <w:rFonts w:hint="eastAsia"/>
                <w:color w:val="auto"/>
                <w:lang w:val="en-US" w:eastAsia="zh-CN"/>
              </w:rPr>
              <w:t>动植物油回收生产线产生的恶臭、油脂烟气</w:t>
            </w:r>
          </w:p>
        </w:tc>
        <w:tc>
          <w:tcPr>
            <w:tcW w:w="2062" w:type="pct"/>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firstLine="0" w:firstLineChars="0"/>
              <w:jc w:val="center"/>
              <w:textAlignment w:val="baseline"/>
              <w:outlineLvl w:val="9"/>
              <w:rPr>
                <w:rFonts w:hint="default"/>
                <w:color w:val="auto"/>
              </w:rPr>
            </w:pPr>
            <w:r>
              <w:rPr>
                <w:rFonts w:hint="default" w:ascii="Times New Roman" w:hAnsi="Times New Roman" w:eastAsia="宋体" w:cs="Times New Roman"/>
                <w:color w:val="auto"/>
                <w:sz w:val="21"/>
                <w:szCs w:val="21"/>
                <w:vertAlign w:val="baseline"/>
                <w:lang w:val="en-US" w:eastAsia="zh-CN"/>
              </w:rPr>
              <w:t>水喷淋+活性炭吸附+15m排气筒（DA001）</w:t>
            </w:r>
          </w:p>
        </w:tc>
        <w:tc>
          <w:tcPr>
            <w:tcW w:w="538" w:type="pct"/>
            <w:vMerge w:val="restar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lang w:val="en-US" w:eastAsia="zh-CN"/>
              </w:rPr>
            </w:pPr>
            <w:r>
              <w:rPr>
                <w:rFonts w:hint="eastAsia"/>
                <w:color w:val="auto"/>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80"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p>
        </w:tc>
        <w:tc>
          <w:tcPr>
            <w:tcW w:w="373"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p>
        </w:tc>
        <w:tc>
          <w:tcPr>
            <w:tcW w:w="1446"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firstLine="0" w:firstLineChars="0"/>
              <w:jc w:val="center"/>
              <w:textAlignment w:val="baseline"/>
              <w:outlineLvl w:val="9"/>
              <w:rPr>
                <w:rFonts w:hint="default" w:eastAsia="宋体"/>
                <w:color w:val="auto"/>
                <w:lang w:val="en-US" w:eastAsia="zh-CN"/>
              </w:rPr>
            </w:pPr>
            <w:r>
              <w:rPr>
                <w:rFonts w:hint="eastAsia"/>
                <w:color w:val="auto"/>
                <w:sz w:val="21"/>
                <w:szCs w:val="21"/>
                <w:lang w:val="en-US" w:eastAsia="zh-CN"/>
              </w:rPr>
              <w:t>罐区产生的非甲烷总烃</w:t>
            </w:r>
          </w:p>
        </w:tc>
        <w:tc>
          <w:tcPr>
            <w:tcW w:w="2062"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firstLine="0" w:firstLineChars="0"/>
              <w:jc w:val="center"/>
              <w:textAlignment w:val="baseline"/>
              <w:outlineLvl w:val="9"/>
              <w:rPr>
                <w:rFonts w:hint="default"/>
                <w:color w:val="auto"/>
              </w:rPr>
            </w:pPr>
          </w:p>
        </w:tc>
        <w:tc>
          <w:tcPr>
            <w:tcW w:w="538"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80"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p>
        </w:tc>
        <w:tc>
          <w:tcPr>
            <w:tcW w:w="373"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p>
        </w:tc>
        <w:tc>
          <w:tcPr>
            <w:tcW w:w="1446"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firstLine="0" w:firstLineChars="0"/>
              <w:jc w:val="center"/>
              <w:textAlignment w:val="baseline"/>
              <w:outlineLvl w:val="9"/>
              <w:rPr>
                <w:rFonts w:hint="default"/>
                <w:color w:val="auto"/>
                <w:sz w:val="21"/>
                <w:szCs w:val="21"/>
                <w:lang w:val="en-US" w:eastAsia="zh-CN"/>
              </w:rPr>
            </w:pPr>
            <w:r>
              <w:rPr>
                <w:rFonts w:hint="eastAsia"/>
                <w:color w:val="auto"/>
                <w:sz w:val="21"/>
                <w:szCs w:val="21"/>
                <w:lang w:val="en-US" w:eastAsia="zh-CN"/>
              </w:rPr>
              <w:t>生物燃料生产线产生的恶臭、非甲烷总烃</w:t>
            </w:r>
          </w:p>
        </w:tc>
        <w:tc>
          <w:tcPr>
            <w:tcW w:w="2062"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firstLine="0" w:firstLineChars="0"/>
              <w:jc w:val="center"/>
              <w:textAlignment w:val="baseline"/>
              <w:outlineLvl w:val="9"/>
              <w:rPr>
                <w:rFonts w:hint="default"/>
                <w:color w:val="auto"/>
              </w:rPr>
            </w:pPr>
          </w:p>
        </w:tc>
        <w:tc>
          <w:tcPr>
            <w:tcW w:w="538"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80"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p>
        </w:tc>
        <w:tc>
          <w:tcPr>
            <w:tcW w:w="373"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p>
        </w:tc>
        <w:tc>
          <w:tcPr>
            <w:tcW w:w="1446"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firstLine="0" w:firstLineChars="0"/>
              <w:jc w:val="center"/>
              <w:textAlignment w:val="baseline"/>
              <w:outlineLvl w:val="9"/>
              <w:rPr>
                <w:rFonts w:hint="default"/>
                <w:color w:val="auto"/>
                <w:sz w:val="21"/>
                <w:szCs w:val="21"/>
                <w:lang w:val="en-US" w:eastAsia="zh-CN"/>
              </w:rPr>
            </w:pPr>
            <w:r>
              <w:rPr>
                <w:rFonts w:hint="eastAsia"/>
                <w:color w:val="auto"/>
                <w:sz w:val="21"/>
                <w:szCs w:val="21"/>
                <w:lang w:val="en-US" w:eastAsia="zh-CN"/>
              </w:rPr>
              <w:t>生物燃料生产线产生的颗粒物</w:t>
            </w:r>
          </w:p>
        </w:tc>
        <w:tc>
          <w:tcPr>
            <w:tcW w:w="2062"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firstLine="0" w:firstLineChars="0"/>
              <w:jc w:val="center"/>
              <w:textAlignment w:val="baseline"/>
              <w:outlineLvl w:val="9"/>
              <w:rPr>
                <w:rFonts w:hint="eastAsia" w:eastAsiaTheme="minorEastAsia"/>
                <w:color w:val="auto"/>
                <w:lang w:val="en-US" w:eastAsia="zh-CN"/>
              </w:rPr>
            </w:pPr>
            <w:r>
              <w:rPr>
                <w:rFonts w:hint="eastAsia"/>
                <w:color w:val="auto"/>
                <w:lang w:val="en-US" w:eastAsia="zh-CN"/>
              </w:rPr>
              <w:t>集气罩+布袋除尘器</w:t>
            </w:r>
            <w:r>
              <w:rPr>
                <w:rFonts w:hint="default" w:ascii="Times New Roman" w:hAnsi="Times New Roman" w:eastAsia="宋体" w:cs="Times New Roman"/>
                <w:color w:val="auto"/>
                <w:sz w:val="21"/>
                <w:szCs w:val="21"/>
                <w:vertAlign w:val="baseline"/>
                <w:lang w:val="en-US" w:eastAsia="zh-CN"/>
              </w:rPr>
              <w:t>+15m排气筒（DA001）</w:t>
            </w:r>
          </w:p>
        </w:tc>
        <w:tc>
          <w:tcPr>
            <w:tcW w:w="538"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80"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p>
        </w:tc>
        <w:tc>
          <w:tcPr>
            <w:tcW w:w="373"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p>
        </w:tc>
        <w:tc>
          <w:tcPr>
            <w:tcW w:w="1446"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firstLine="0" w:firstLineChars="0"/>
              <w:jc w:val="center"/>
              <w:textAlignment w:val="baseline"/>
              <w:outlineLvl w:val="9"/>
              <w:rPr>
                <w:rFonts w:hint="default"/>
                <w:color w:val="auto"/>
                <w:sz w:val="21"/>
                <w:szCs w:val="21"/>
                <w:lang w:val="en-US" w:eastAsia="zh-CN"/>
              </w:rPr>
            </w:pPr>
            <w:r>
              <w:rPr>
                <w:rFonts w:hint="eastAsia"/>
                <w:color w:val="auto"/>
                <w:sz w:val="21"/>
                <w:szCs w:val="21"/>
                <w:lang w:val="en-US" w:eastAsia="zh-CN"/>
              </w:rPr>
              <w:t>水溶肥生产线产生的氨气、颗粒物</w:t>
            </w:r>
          </w:p>
        </w:tc>
        <w:tc>
          <w:tcPr>
            <w:tcW w:w="2062" w:type="pct"/>
            <w:vMerge w:val="restar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firstLine="0" w:firstLineChars="0"/>
              <w:jc w:val="center"/>
              <w:textAlignment w:val="baseline"/>
              <w:outlineLvl w:val="9"/>
              <w:rPr>
                <w:color w:val="auto"/>
                <w:sz w:val="21"/>
                <w:szCs w:val="21"/>
              </w:rPr>
            </w:pPr>
            <w:r>
              <w:rPr>
                <w:rFonts w:hint="eastAsia" w:ascii="Times New Roman" w:hAnsi="Times New Roman" w:eastAsia="宋体" w:cs="Times New Roman"/>
                <w:color w:val="auto"/>
                <w:sz w:val="21"/>
                <w:szCs w:val="21"/>
                <w:vertAlign w:val="baseline"/>
                <w:lang w:val="en-US" w:eastAsia="zh-CN"/>
              </w:rPr>
              <w:t>集气罩+</w:t>
            </w:r>
            <w:r>
              <w:rPr>
                <w:rFonts w:hint="default" w:ascii="Times New Roman" w:hAnsi="Times New Roman" w:eastAsia="宋体" w:cs="Times New Roman"/>
                <w:color w:val="auto"/>
                <w:sz w:val="21"/>
                <w:szCs w:val="21"/>
                <w:vertAlign w:val="baseline"/>
                <w:lang w:val="en-US" w:eastAsia="zh-CN"/>
              </w:rPr>
              <w:t>布袋除尘</w:t>
            </w:r>
            <w:r>
              <w:rPr>
                <w:rFonts w:hint="eastAsia" w:ascii="Times New Roman" w:hAnsi="Times New Roman" w:eastAsia="宋体" w:cs="Times New Roman"/>
                <w:color w:val="auto"/>
                <w:sz w:val="21"/>
                <w:szCs w:val="21"/>
                <w:vertAlign w:val="baseline"/>
                <w:lang w:val="en-US" w:eastAsia="zh-CN"/>
              </w:rPr>
              <w:t>+活性炭吸附箱+15m排气筒（DA002）</w:t>
            </w:r>
          </w:p>
        </w:tc>
        <w:tc>
          <w:tcPr>
            <w:tcW w:w="538"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eastAsia"/>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80"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p>
        </w:tc>
        <w:tc>
          <w:tcPr>
            <w:tcW w:w="373"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p>
        </w:tc>
        <w:tc>
          <w:tcPr>
            <w:tcW w:w="1446"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firstLine="0" w:firstLineChars="0"/>
              <w:jc w:val="center"/>
              <w:textAlignment w:val="baseline"/>
              <w:outlineLvl w:val="9"/>
              <w:rPr>
                <w:rFonts w:hint="default"/>
                <w:color w:val="auto"/>
                <w:sz w:val="21"/>
                <w:szCs w:val="21"/>
                <w:lang w:val="en-US" w:eastAsia="zh-CN"/>
              </w:rPr>
            </w:pPr>
            <w:r>
              <w:rPr>
                <w:rFonts w:hint="eastAsia"/>
                <w:color w:val="auto"/>
                <w:sz w:val="21"/>
                <w:szCs w:val="21"/>
                <w:lang w:val="en-US" w:eastAsia="zh-CN"/>
              </w:rPr>
              <w:t>生物有机肥生产线产生的恶臭、颗粒物</w:t>
            </w:r>
          </w:p>
        </w:tc>
        <w:tc>
          <w:tcPr>
            <w:tcW w:w="2062" w:type="pct"/>
            <w:vMerge w:val="continue"/>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firstLine="0" w:firstLineChars="0"/>
              <w:jc w:val="center"/>
              <w:textAlignment w:val="baseline"/>
              <w:outlineLvl w:val="9"/>
              <w:rPr>
                <w:color w:val="auto"/>
                <w:sz w:val="21"/>
                <w:szCs w:val="21"/>
              </w:rPr>
            </w:pPr>
          </w:p>
        </w:tc>
        <w:tc>
          <w:tcPr>
            <w:tcW w:w="538"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eastAsia"/>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80"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p>
        </w:tc>
        <w:tc>
          <w:tcPr>
            <w:tcW w:w="373"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r>
              <w:rPr>
                <w:rFonts w:hint="default"/>
                <w:color w:val="auto"/>
              </w:rPr>
              <w:t>噪声治理</w:t>
            </w:r>
          </w:p>
        </w:tc>
        <w:tc>
          <w:tcPr>
            <w:tcW w:w="1446"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r>
              <w:rPr>
                <w:rFonts w:hint="default"/>
                <w:color w:val="auto"/>
              </w:rPr>
              <w:t>设备等</w:t>
            </w:r>
          </w:p>
        </w:tc>
        <w:tc>
          <w:tcPr>
            <w:tcW w:w="2062"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r>
              <w:rPr>
                <w:rFonts w:hint="default"/>
                <w:color w:val="auto"/>
              </w:rPr>
              <w:t>设置减振基座等</w:t>
            </w:r>
          </w:p>
        </w:tc>
        <w:tc>
          <w:tcPr>
            <w:tcW w:w="538"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eastAsia" w:eastAsia="宋体"/>
                <w:color w:val="auto"/>
                <w:lang w:eastAsia="zh-CN"/>
              </w:rPr>
            </w:pPr>
            <w:r>
              <w:rPr>
                <w:rFonts w:hint="eastAsia"/>
                <w:color w:val="auto"/>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80"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p>
        </w:tc>
        <w:tc>
          <w:tcPr>
            <w:tcW w:w="373" w:type="pct"/>
            <w:vMerge w:val="restar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r>
              <w:rPr>
                <w:rFonts w:hint="default"/>
                <w:color w:val="auto"/>
              </w:rPr>
              <w:t>固废处置</w:t>
            </w:r>
          </w:p>
        </w:tc>
        <w:tc>
          <w:tcPr>
            <w:tcW w:w="1446"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eastAsia="宋体"/>
                <w:color w:val="auto"/>
                <w:lang w:val="en-US" w:eastAsia="zh-CN"/>
              </w:rPr>
            </w:pPr>
            <w:r>
              <w:rPr>
                <w:rFonts w:hint="eastAsia"/>
                <w:color w:val="auto"/>
                <w:lang w:val="en-US" w:eastAsia="zh-CN"/>
              </w:rPr>
              <w:t>危险废物</w:t>
            </w:r>
          </w:p>
        </w:tc>
        <w:tc>
          <w:tcPr>
            <w:tcW w:w="2062"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eastAsia="宋体"/>
                <w:color w:val="auto"/>
                <w:lang w:val="en-US" w:eastAsia="zh-CN"/>
              </w:rPr>
            </w:pPr>
            <w:r>
              <w:rPr>
                <w:rFonts w:hint="eastAsia"/>
                <w:color w:val="auto"/>
                <w:lang w:val="en-US" w:eastAsia="zh-CN"/>
              </w:rPr>
              <w:t>暂存至</w:t>
            </w:r>
            <w:r>
              <w:rPr>
                <w:rFonts w:hint="default"/>
                <w:color w:val="auto"/>
              </w:rPr>
              <w:t>危险废物暂存间</w:t>
            </w:r>
            <w:r>
              <w:rPr>
                <w:rFonts w:hint="eastAsia"/>
                <w:color w:val="auto"/>
                <w:lang w:val="en-US" w:eastAsia="zh-CN"/>
              </w:rPr>
              <w:t>内，定期交由有相应处理资质的单位处置</w:t>
            </w:r>
          </w:p>
        </w:tc>
        <w:tc>
          <w:tcPr>
            <w:tcW w:w="538"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lang w:val="en-US" w:eastAsia="zh-CN"/>
              </w:rPr>
            </w:pPr>
            <w:r>
              <w:rPr>
                <w:rFonts w:hint="eastAsia"/>
                <w:color w:val="auto"/>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80"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p>
        </w:tc>
        <w:tc>
          <w:tcPr>
            <w:tcW w:w="373"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p>
        </w:tc>
        <w:tc>
          <w:tcPr>
            <w:tcW w:w="1446"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eastAsia="宋体"/>
                <w:color w:val="auto"/>
                <w:lang w:val="en-US" w:eastAsia="zh-CN"/>
              </w:rPr>
            </w:pPr>
            <w:r>
              <w:rPr>
                <w:rFonts w:hint="eastAsia"/>
                <w:color w:val="auto"/>
                <w:lang w:val="en-US" w:eastAsia="zh-CN"/>
              </w:rPr>
              <w:t>一般固废</w:t>
            </w:r>
          </w:p>
        </w:tc>
        <w:tc>
          <w:tcPr>
            <w:tcW w:w="2062"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r>
              <w:rPr>
                <w:rFonts w:hint="default"/>
                <w:color w:val="auto"/>
                <w:lang w:val="en-US" w:eastAsia="zh-CN"/>
              </w:rPr>
              <w:t>水溶肥</w:t>
            </w:r>
            <w:r>
              <w:rPr>
                <w:rFonts w:hint="eastAsia"/>
                <w:color w:val="auto"/>
                <w:lang w:val="en-US" w:eastAsia="zh-CN"/>
              </w:rPr>
              <w:t>生产线产生的下脚料</w:t>
            </w:r>
            <w:r>
              <w:rPr>
                <w:rFonts w:hint="default"/>
                <w:color w:val="auto"/>
                <w:lang w:val="en-US" w:eastAsia="zh-CN"/>
              </w:rPr>
              <w:t>、动植物油水解</w:t>
            </w:r>
            <w:r>
              <w:rPr>
                <w:rFonts w:hint="eastAsia"/>
                <w:color w:val="auto"/>
                <w:lang w:val="en-US" w:eastAsia="zh-CN"/>
              </w:rPr>
              <w:t>产生的下脚料</w:t>
            </w:r>
            <w:r>
              <w:rPr>
                <w:rFonts w:hint="default"/>
                <w:color w:val="auto"/>
                <w:lang w:val="en-US" w:eastAsia="zh-CN"/>
              </w:rPr>
              <w:t>、皂脚</w:t>
            </w:r>
            <w:r>
              <w:rPr>
                <w:rFonts w:hint="eastAsia"/>
                <w:color w:val="auto"/>
                <w:lang w:val="en-US" w:eastAsia="zh-CN"/>
              </w:rPr>
              <w:t>酸化产生的下脚料</w:t>
            </w:r>
            <w:r>
              <w:rPr>
                <w:rFonts w:hint="default"/>
                <w:color w:val="auto"/>
                <w:lang w:val="en-US" w:eastAsia="zh-CN"/>
              </w:rPr>
              <w:t>回用于</w:t>
            </w:r>
            <w:r>
              <w:rPr>
                <w:rFonts w:hint="eastAsia"/>
                <w:color w:val="auto"/>
                <w:lang w:val="en-US" w:eastAsia="zh-CN"/>
              </w:rPr>
              <w:t>生物</w:t>
            </w:r>
            <w:r>
              <w:rPr>
                <w:rFonts w:hint="default"/>
                <w:color w:val="auto"/>
                <w:lang w:val="en-US" w:eastAsia="zh-CN"/>
              </w:rPr>
              <w:t>有机肥生产线。</w:t>
            </w:r>
          </w:p>
        </w:tc>
        <w:tc>
          <w:tcPr>
            <w:tcW w:w="538"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eastAsia" w:eastAsia="宋体"/>
                <w:color w:val="auto"/>
                <w:lang w:eastAsia="zh-CN"/>
              </w:rPr>
            </w:pPr>
            <w:r>
              <w:rPr>
                <w:rFonts w:hint="eastAsia"/>
                <w:color w:val="auto"/>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80"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p>
        </w:tc>
        <w:tc>
          <w:tcPr>
            <w:tcW w:w="373"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p>
        </w:tc>
        <w:tc>
          <w:tcPr>
            <w:tcW w:w="1446"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r>
              <w:rPr>
                <w:rFonts w:hint="default"/>
                <w:color w:val="auto"/>
              </w:rPr>
              <w:t>生活垃圾</w:t>
            </w:r>
          </w:p>
        </w:tc>
        <w:tc>
          <w:tcPr>
            <w:tcW w:w="2062"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r>
              <w:rPr>
                <w:rFonts w:hint="default"/>
                <w:color w:val="auto"/>
              </w:rPr>
              <w:t>垃圾桶</w:t>
            </w:r>
          </w:p>
        </w:tc>
        <w:tc>
          <w:tcPr>
            <w:tcW w:w="538"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eastAsia" w:eastAsia="宋体"/>
                <w:color w:val="auto"/>
                <w:lang w:eastAsia="zh-CN"/>
              </w:rPr>
            </w:pPr>
            <w:r>
              <w:rPr>
                <w:rFonts w:hint="eastAsia"/>
                <w:color w:val="auto"/>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80"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p>
        </w:tc>
        <w:tc>
          <w:tcPr>
            <w:tcW w:w="1819" w:type="pct"/>
            <w:gridSpan w:val="2"/>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r>
              <w:rPr>
                <w:rFonts w:hint="default"/>
                <w:color w:val="auto"/>
              </w:rPr>
              <w:t>防渗措施</w:t>
            </w:r>
          </w:p>
        </w:tc>
        <w:tc>
          <w:tcPr>
            <w:tcW w:w="2062"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lang w:val="en-US"/>
              </w:rPr>
            </w:pPr>
            <w:r>
              <w:rPr>
                <w:rFonts w:hint="default"/>
                <w:color w:val="auto"/>
                <w:lang w:val="en-US" w:eastAsia="zh-CN"/>
              </w:rPr>
              <w:t>生产车间，原料</w:t>
            </w:r>
            <w:r>
              <w:rPr>
                <w:rFonts w:hint="eastAsia"/>
                <w:color w:val="auto"/>
                <w:lang w:val="en-US" w:eastAsia="zh-CN"/>
              </w:rPr>
              <w:t>储存区</w:t>
            </w:r>
            <w:r>
              <w:rPr>
                <w:rFonts w:hint="default"/>
                <w:color w:val="auto"/>
                <w:lang w:val="en-US" w:eastAsia="zh-CN"/>
              </w:rPr>
              <w:t>、成品储罐区、危险废物暂存间及事故应急池</w:t>
            </w:r>
            <w:r>
              <w:rPr>
                <w:rFonts w:hint="eastAsia"/>
                <w:color w:val="auto"/>
                <w:lang w:val="en-US" w:eastAsia="zh-CN"/>
              </w:rPr>
              <w:t>重点防渗</w:t>
            </w:r>
          </w:p>
        </w:tc>
        <w:tc>
          <w:tcPr>
            <w:tcW w:w="538"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lang w:val="en-US" w:eastAsia="zh-CN"/>
              </w:rPr>
            </w:pPr>
            <w:r>
              <w:rPr>
                <w:rFonts w:hint="eastAsia"/>
                <w:color w:val="auto"/>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80" w:type="pct"/>
            <w:vMerge w:val="restar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eastAsia" w:eastAsia="宋体"/>
                <w:color w:val="auto"/>
                <w:lang w:val="en-US" w:eastAsia="zh-CN"/>
              </w:rPr>
            </w:pPr>
            <w:r>
              <w:rPr>
                <w:rFonts w:hint="eastAsia"/>
                <w:color w:val="auto"/>
                <w:lang w:val="en-US" w:eastAsia="zh-CN"/>
              </w:rPr>
              <w:t>其他</w:t>
            </w:r>
          </w:p>
        </w:tc>
        <w:tc>
          <w:tcPr>
            <w:tcW w:w="3881" w:type="pct"/>
            <w:gridSpan w:val="3"/>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lang w:val="en-US" w:eastAsia="zh-CN"/>
              </w:rPr>
            </w:pPr>
            <w:r>
              <w:rPr>
                <w:rFonts w:hint="eastAsia"/>
                <w:color w:val="auto"/>
                <w:lang w:val="en-US" w:eastAsia="zh-CN"/>
              </w:rPr>
              <w:t>环境监理</w:t>
            </w:r>
          </w:p>
        </w:tc>
        <w:tc>
          <w:tcPr>
            <w:tcW w:w="538"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eastAsia"/>
                <w:color w:val="auto"/>
                <w:lang w:val="en-US" w:eastAsia="zh-CN"/>
              </w:rPr>
            </w:pPr>
            <w:r>
              <w:rPr>
                <w:rFonts w:hint="eastAsia"/>
                <w:color w:val="auto"/>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80" w:type="pct"/>
            <w:vMerge w:val="continue"/>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p>
        </w:tc>
        <w:tc>
          <w:tcPr>
            <w:tcW w:w="3881" w:type="pct"/>
            <w:gridSpan w:val="3"/>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lang w:val="en-US" w:eastAsia="zh-CN"/>
              </w:rPr>
            </w:pPr>
            <w:r>
              <w:rPr>
                <w:rFonts w:hint="eastAsia"/>
                <w:color w:val="auto"/>
                <w:lang w:val="en-US" w:eastAsia="zh-CN"/>
              </w:rPr>
              <w:t>环境管理、竣工环境保护验收调查费</w:t>
            </w:r>
          </w:p>
        </w:tc>
        <w:tc>
          <w:tcPr>
            <w:tcW w:w="538"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lang w:val="en-US" w:eastAsia="zh-CN"/>
              </w:rPr>
            </w:pPr>
            <w:r>
              <w:rPr>
                <w:rFonts w:hint="eastAsia"/>
                <w:color w:val="auto"/>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461" w:type="pct"/>
            <w:gridSpan w:val="4"/>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rPr>
            </w:pPr>
            <w:r>
              <w:rPr>
                <w:rFonts w:hint="default"/>
                <w:color w:val="auto"/>
              </w:rPr>
              <w:t>合计</w:t>
            </w:r>
          </w:p>
        </w:tc>
        <w:tc>
          <w:tcPr>
            <w:tcW w:w="538" w:type="pct"/>
            <w:tcBorders>
              <w:tl2br w:val="nil"/>
              <w:tr2bl w:val="nil"/>
            </w:tcBorders>
            <w:noWrap w:val="0"/>
            <w:vAlign w:val="center"/>
          </w:tcPr>
          <w:p>
            <w:pPr>
              <w:pStyle w:val="34"/>
              <w:keepNext w:val="0"/>
              <w:keepLines w:val="0"/>
              <w:pageBreakBefore w:val="0"/>
              <w:widowControl w:val="0"/>
              <w:kinsoku/>
              <w:wordWrap/>
              <w:overflowPunct/>
              <w:topLinePunct/>
              <w:autoSpaceDE/>
              <w:autoSpaceDN/>
              <w:bidi w:val="0"/>
              <w:adjustRightInd w:val="0"/>
              <w:snapToGrid w:val="0"/>
              <w:ind w:left="0"/>
              <w:textAlignment w:val="baseline"/>
              <w:outlineLvl w:val="9"/>
              <w:rPr>
                <w:rFonts w:hint="default"/>
                <w:color w:val="auto"/>
                <w:lang w:val="en-US" w:eastAsia="zh-CN"/>
              </w:rPr>
            </w:pPr>
            <w:r>
              <w:rPr>
                <w:rFonts w:hint="eastAsia"/>
                <w:color w:val="auto"/>
                <w:lang w:val="en-US" w:eastAsia="zh-CN"/>
              </w:rPr>
              <w:t>291</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8"/>
          <w:szCs w:val="28"/>
          <w:lang w:val="en-US" w:eastAsia="zh-CN"/>
        </w:rPr>
      </w:pPr>
      <w:r>
        <w:rPr>
          <w:rFonts w:hint="eastAsia" w:ascii="Times New Roman" w:hAnsi="Times New Roman" w:eastAsia="宋体" w:cs="Times New Roman"/>
          <w:b/>
          <w:bCs/>
          <w:color w:val="auto"/>
          <w:sz w:val="28"/>
          <w:szCs w:val="28"/>
          <w:lang w:val="en-US" w:eastAsia="zh-CN"/>
        </w:rPr>
        <w:t>7.2.2 环境收益</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环保工程的投入可带来良好的环境效益，主要表现在：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采用有效的废气治理设施，减轻了对周围大气环境质量的影响；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固体废物的妥善处置，避免了固废对周围环境产生二次污染；</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对噪声污染源采取积极的治理措施，改善车间作业环境，使厂界环境噪声符合《工业企业厂界环境噪声排放标准》（GB12348-2008）3 类标准；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 加强厂区环境质量的监测，将监测结果及时反馈回生产调度管理，使生产过程出现的不正常现象能够得以及时准确的纠正。</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8"/>
          <w:szCs w:val="28"/>
          <w:lang w:val="en-US" w:eastAsia="zh-CN"/>
        </w:rPr>
        <w:t>7.2.3 潜在收益分析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 促进清洁生产，产品品质提高，销售收入增加，降低促销费用及其他公关费用。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 企业声誉提升，社会信用度提高，订单增加，客户忠诚度提高，降低交易成本和经营风险。</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 社会责任作为企业的战略，顺应大趋势，提高企业可持续发展的能力，树立企业文化、企业理念及培养有责任心的员工，降低管理成本，满足公众利益，更易获得公众和相关利益集团支持。</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color w:val="auto"/>
          <w:sz w:val="24"/>
          <w:szCs w:val="24"/>
          <w:lang w:val="en-US" w:eastAsia="zh-CN"/>
        </w:rPr>
      </w:pPr>
      <w:bookmarkStart w:id="104" w:name="_Toc26390"/>
      <w:r>
        <w:rPr>
          <w:rFonts w:hint="eastAsia" w:ascii="Times New Roman" w:hAnsi="Times New Roman" w:eastAsia="宋体" w:cs="Times New Roman"/>
          <w:b/>
          <w:bCs/>
          <w:color w:val="auto"/>
          <w:sz w:val="30"/>
          <w:szCs w:val="30"/>
          <w:lang w:val="en-US" w:eastAsia="zh-CN"/>
        </w:rPr>
        <w:t>7.3 小结</w:t>
      </w:r>
      <w:bookmarkEnd w:id="104"/>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通过以上分析可知，本项目建成投产后，在给企业带来可观的经济效益，增强企业的市场竞争力、有利于职工就业的同时，通过运行环保设施，实现了污染物减排和废弃物的综合利用，又增加了企业的经济效益。因此，项目建设和运行会收到明显的环境效益。</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eastAsia" w:ascii="Times New Roman" w:hAnsi="Times New Roman" w:eastAsia="宋体" w:cs="Times New Roman"/>
          <w:color w:val="auto"/>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0"/>
        <w:rPr>
          <w:rFonts w:hint="default" w:ascii="Times New Roman" w:hAnsi="Times New Roman" w:eastAsia="宋体" w:cs="Times New Roman"/>
          <w:color w:val="auto"/>
          <w:sz w:val="24"/>
          <w:szCs w:val="24"/>
          <w:lang w:val="en-US" w:eastAsia="zh-CN"/>
        </w:rPr>
      </w:pPr>
      <w:bookmarkStart w:id="105" w:name="_Toc22219"/>
      <w:r>
        <w:rPr>
          <w:rFonts w:hint="eastAsia" w:ascii="Times New Roman" w:hAnsi="Times New Roman" w:eastAsia="宋体" w:cs="Times New Roman"/>
          <w:b/>
          <w:bCs/>
          <w:color w:val="auto"/>
          <w:sz w:val="32"/>
          <w:szCs w:val="32"/>
          <w:lang w:val="en-US" w:eastAsia="zh-CN"/>
        </w:rPr>
        <w:t>8 环境管理与监测计划</w:t>
      </w:r>
      <w:bookmarkEnd w:id="105"/>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color w:val="auto"/>
          <w:sz w:val="24"/>
          <w:szCs w:val="24"/>
          <w:lang w:val="en-US" w:eastAsia="zh-CN"/>
        </w:rPr>
      </w:pPr>
      <w:bookmarkStart w:id="106" w:name="_Toc11764"/>
      <w:r>
        <w:rPr>
          <w:rFonts w:hint="eastAsia" w:ascii="Times New Roman" w:hAnsi="Times New Roman" w:eastAsia="宋体" w:cs="Times New Roman"/>
          <w:b/>
          <w:bCs/>
          <w:color w:val="auto"/>
          <w:sz w:val="30"/>
          <w:szCs w:val="30"/>
          <w:lang w:val="en-US" w:eastAsia="zh-CN"/>
        </w:rPr>
        <w:t>8.1 环境管理</w:t>
      </w:r>
      <w:bookmarkEnd w:id="106"/>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企业环境管理的基本任务是以保护环境为目标，清洁生产为手段，发展生产与经济效益为目的，可以促进企业的生产管理、物资管理和技术管理，使资源、能源得到充分利用，降低企业能耗、物耗，减少污染物排放总量，起到保护环境，同时也使企业达到提高经济效益的目的。</w:t>
      </w:r>
    </w:p>
    <w:p>
      <w:pPr>
        <w:pStyle w:val="4"/>
        <w:keepNext w:val="0"/>
        <w:keepLines w:val="0"/>
        <w:pageBreakBefore w:val="0"/>
        <w:widowControl w:val="0"/>
        <w:kinsoku/>
        <w:wordWrap/>
        <w:overflowPunct/>
        <w:topLinePunct/>
        <w:autoSpaceDE/>
        <w:autoSpaceDN/>
        <w:bidi w:val="0"/>
        <w:adjustRightInd/>
        <w:snapToGrid/>
        <w:spacing w:line="560" w:lineRule="exact"/>
        <w:textAlignment w:val="auto"/>
        <w:rPr>
          <w:rFonts w:hint="default" w:ascii="Times New Roman" w:hAnsi="Times New Roman" w:eastAsia="宋体" w:cs="Times New Roman"/>
          <w:color w:val="auto"/>
        </w:rPr>
      </w:pPr>
      <w:bookmarkStart w:id="107" w:name="_Toc521581890"/>
      <w:r>
        <w:rPr>
          <w:rFonts w:hint="default" w:ascii="Times New Roman" w:hAnsi="Times New Roman" w:eastAsia="宋体" w:cs="Times New Roman"/>
          <w:color w:val="auto"/>
        </w:rPr>
        <w:t>8.1.1</w:t>
      </w:r>
      <w:r>
        <w:rPr>
          <w:rFonts w:hint="default"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rPr>
        <w:t>环境管理机构</w:t>
      </w:r>
      <w:bookmarkEnd w:id="107"/>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bookmarkStart w:id="108" w:name="_Toc327429167"/>
      <w:bookmarkStart w:id="109" w:name="_Toc331606661"/>
      <w:bookmarkStart w:id="110" w:name="_Toc320279722"/>
      <w:bookmarkStart w:id="111" w:name="_Toc318700903"/>
      <w:bookmarkStart w:id="112" w:name="_Toc320966875"/>
      <w:bookmarkStart w:id="113" w:name="_Toc326046155"/>
      <w:bookmarkStart w:id="114" w:name="_Toc318701139"/>
      <w:bookmarkStart w:id="115" w:name="_Toc330818480"/>
      <w:bookmarkStart w:id="116" w:name="_Toc320896964"/>
      <w:r>
        <w:rPr>
          <w:rFonts w:hint="default" w:ascii="Times New Roman" w:hAnsi="Times New Roman" w:eastAsia="宋体" w:cs="Times New Roman"/>
          <w:color w:val="auto"/>
          <w:sz w:val="24"/>
          <w:szCs w:val="24"/>
          <w:lang w:val="en-US" w:eastAsia="zh-CN"/>
        </w:rPr>
        <w:t>为了保证将环境保护纳入企业管理和生产计划，并制定企业管理的污染控制指标，使企业排污符合国家和地方有关排放标准，并实现企业管理总量控制，企业内部必须建立行之有效的环境管理机构。</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项目环境管理采取总经理负责制，企业环境保护工作由总经理负责监督落实。各生产装置设置</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名兼职环境管理人员负责日常环保管理工作。</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（1）主管总经理职责 </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A.负责贯彻执行国家环境保护法、环境保护方针和政策。</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B.负责建立完整的环保机构，保证人员的落实。</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（2）车间环保人员职责</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A.负责本部门的具体环境保护工作。</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B.按照安全环保部的统一部署，提出本部门环保治理项目计划，报安全环保部及各职能部门。</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C.负责本部门环保设施的使用、管理和检查，保证环保设施处于最佳状态。车间主管环保的领导和环保员至少每半个月应对所辖范围内的环保设备工作情况进行一次巡回检查。</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D.参加厂内环保会议和污染事故调查，并上报本部门出现的污染事故报告。</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本项目按照现代企业制度组建运行，环保工作实行总经理负责制，建立企业内部的环境保护管理机构。针对企业内部的环境管理除总经理负总责外，建议公司指定相关部门作为公司的环境管理部门，并设专职管理人员。另外，在生产车间和主要污染源均设置环境管理责任人，组成公司、车间、污染源三级环境管理体系，明确分工，各负其责。</w:t>
      </w:r>
    </w:p>
    <w:bookmarkEnd w:id="108"/>
    <w:bookmarkEnd w:id="109"/>
    <w:bookmarkEnd w:id="110"/>
    <w:bookmarkEnd w:id="111"/>
    <w:bookmarkEnd w:id="112"/>
    <w:bookmarkEnd w:id="113"/>
    <w:bookmarkEnd w:id="114"/>
    <w:bookmarkEnd w:id="115"/>
    <w:bookmarkEnd w:id="116"/>
    <w:p>
      <w:pPr>
        <w:pStyle w:val="4"/>
        <w:keepNext w:val="0"/>
        <w:keepLines w:val="0"/>
        <w:pageBreakBefore w:val="0"/>
        <w:widowControl w:val="0"/>
        <w:kinsoku/>
        <w:wordWrap/>
        <w:overflowPunct/>
        <w:topLinePunct/>
        <w:autoSpaceDE/>
        <w:autoSpaceDN/>
        <w:bidi w:val="0"/>
        <w:adjustRightInd/>
        <w:snapToGrid/>
        <w:spacing w:line="560" w:lineRule="exact"/>
        <w:textAlignment w:val="auto"/>
        <w:rPr>
          <w:rFonts w:hint="default" w:ascii="Times New Roman" w:hAnsi="Times New Roman" w:eastAsia="宋体" w:cs="Times New Roman"/>
          <w:color w:val="auto"/>
          <w:lang w:val="en-US" w:eastAsia="zh-CN"/>
        </w:rPr>
      </w:pPr>
      <w:bookmarkStart w:id="117" w:name="_Toc521581891"/>
      <w:r>
        <w:rPr>
          <w:rFonts w:hint="default" w:ascii="Times New Roman" w:hAnsi="Times New Roman" w:eastAsia="宋体" w:cs="Times New Roman"/>
          <w:color w:val="auto"/>
        </w:rPr>
        <w:t>8.1.2</w:t>
      </w:r>
      <w:bookmarkEnd w:id="117"/>
      <w:r>
        <w:rPr>
          <w:rFonts w:hint="default" w:ascii="Times New Roman" w:hAnsi="Times New Roman" w:eastAsia="宋体" w:cs="Times New Roman"/>
          <w:color w:val="auto"/>
          <w:lang w:val="en-US" w:eastAsia="zh-CN"/>
        </w:rPr>
        <w:t xml:space="preserve"> </w:t>
      </w:r>
      <w:r>
        <w:rPr>
          <w:rFonts w:hint="eastAsia" w:ascii="Times New Roman" w:hAnsi="Times New Roman" w:eastAsia="宋体" w:cs="Times New Roman"/>
          <w:color w:val="auto"/>
          <w:lang w:val="en-US" w:eastAsia="zh-CN"/>
        </w:rPr>
        <w:t>各阶段环境管理要求</w:t>
      </w:r>
    </w:p>
    <w:p>
      <w:pPr>
        <w:keepNext w:val="0"/>
        <w:keepLines w:val="0"/>
        <w:pageBreakBefore w:val="0"/>
        <w:widowControl w:val="0"/>
        <w:kinsoku/>
        <w:wordWrap/>
        <w:overflowPunct/>
        <w:topLinePunct/>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8.1.2.1 项目审批阶段</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项目环境影响评价文件要按照环境保护部公布《建设项目环境影响评价分类管理目录》的规定，确定环境影响评价文件的类别，委托相应机构编制环境影响评价文件。</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企业在委托环评文件编制后应积极配合环评编制单位查勘现场，及时提供环评文件编写所需的各类资料。</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在环境影响报告书的编制和环境保护主管部门审批或者重新审核环境影响报告书的过程中，应该按规定公开有关环境影响评价的信息，征求公众意见。</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企业有权要求环评文件编制及审批等单位和个人为其保守商业、技术等秘密。</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环境影响评价文件，由建设单位报有审批权的生态环境行政主管部门审批，环境影响评价文件未经批准，不得开工建设，自批准之日起超过</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5</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年方决定该项目开工建设的，其环境影响评价文件应当报原审批部门重新审核。</w:t>
      </w:r>
    </w:p>
    <w:p>
      <w:pPr>
        <w:keepNext w:val="0"/>
        <w:keepLines w:val="0"/>
        <w:pageBreakBefore w:val="0"/>
        <w:widowControl w:val="0"/>
        <w:kinsoku/>
        <w:wordWrap/>
        <w:overflowPunct/>
        <w:topLinePunct/>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8.1.2.2 建设施工阶段</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项目建设中应根据环境影响评价报告中有关施工期污染防治措施及生态环境保护措施的具体要求，进行规范管理，保证守法的规范性。建设单位应会同施工单位做好环保工程设施的施工建设、资金使用情况等资料、文件的整理，建档备查，以季报的形式将环保工程进度情况上报当地环境保护主管部门。</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建设单位与施工单位负责落实环境保护主管部门对施工阶段的环保要求以及施工过程中的环保措施；主要是保护施工现场周围的环境，防止对自然环境造成不应有的破坏；防止和减轻废气、污水、粉尘、噪声、震动等对周围区域的污染和危害。具体的管理要求见施工期污染防治措施分析内容。</w:t>
      </w:r>
    </w:p>
    <w:p>
      <w:pPr>
        <w:keepNext w:val="0"/>
        <w:keepLines w:val="0"/>
        <w:pageBreakBefore w:val="0"/>
        <w:widowControl w:val="0"/>
        <w:kinsoku/>
        <w:wordWrap/>
        <w:overflowPunct/>
        <w:topLinePunct/>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8.1.2.3 竣工环境保护验收阶段</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根据《建设项目竣工环境保护验收暂行办法》，建设项目竣工后建设单位自主开展环境保护验收及相关监督管理。</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项目建设中应配套建设气、水、噪声或者固体废物污染防治设施，正式投入生产或使用之前自主开展环境保护验收，建设单位是建设项目竣工环境保护验收的责任主体，应当按照办法规定的程序和标准，组织对配套建设的环境保护设施进行验收，编制验收报告，公开相关信息，接受社会监督，确保建设项目需要配套建设的环境保护设施与主体工程同时投产或者使用，并对验收内容、结论和所公开信息的真实性、准确性和完整 性负责，不得在验收过程中弄虚作假。环境保护设施是指防治环境污染和生态破坏以及开展环境监测所需的装置、设备和工程设施等。</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验收报告分为验收监测（调查）报告、验收意见和其他需要说明的事项等三项内容。</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建设项目竣工环境保护验收的主要依据、验收的程序和内容具体详见《建设项目竣工环境保护验收暂行办法》中的相关要求。应当在项目产生实际污染物排放之前，按照国家排污许可有关管理规定要求，申请变更排污许可证，不得无证排污或不按证排污。建设项目验收报告中与污染物排放相关的主要内容应当纳入该项目验收完成当年排污许可证执行年报。</w:t>
      </w:r>
    </w:p>
    <w:p>
      <w:pPr>
        <w:keepNext w:val="0"/>
        <w:keepLines w:val="0"/>
        <w:pageBreakBefore w:val="0"/>
        <w:widowControl w:val="0"/>
        <w:kinsoku/>
        <w:wordWrap/>
        <w:overflowPunct/>
        <w:topLinePunct/>
        <w:autoSpaceDE/>
        <w:autoSpaceDN/>
        <w:bidi w:val="0"/>
        <w:adjustRightInd/>
        <w:snapToGrid/>
        <w:spacing w:line="560" w:lineRule="exact"/>
        <w:textAlignment w:val="auto"/>
        <w:outlineLvl w:val="3"/>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8.1.2.4 运营期的环境保护管理</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（1）根据国家环保政策、标准及环境监测要求，制定该项目运行期环保管理规章制度、各种污染物排放控制指标；</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（2）负责该项目内所有环保设施的日常运行管理，保障各环保设施的正常运行，并保证处理的规范性、台账运行规范性，处理效果检测落实情况；</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（3）负责该项目运行期环境监测工作，及时掌握该项目污染状况，整理监测数据，建立污染源档案；</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（4）项目运行期的环境管理由安环科承担；负责该项目内所有环保设施的日常运行管理，保障各环保设施的正常运行，并对环保设施的改进提出积极的建议；</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（5）负责对职工进行环保宣传教育工作，以及检查、监督各单位环保制度的执行情况；</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（6）建立健全环境台账和环境档案管理与保密制度、污染防治设施设计技术改进及运行资料、污染源调查技术档案、环境监测及评价资料、项目平面图和转移联单。</w:t>
      </w:r>
    </w:p>
    <w:p>
      <w:pPr>
        <w:keepNext w:val="0"/>
        <w:keepLines w:val="0"/>
        <w:pageBreakBefore w:val="0"/>
        <w:widowControl w:val="0"/>
        <w:kinsoku/>
        <w:wordWrap/>
        <w:overflowPunct/>
        <w:topLinePunct/>
        <w:autoSpaceDE/>
        <w:autoSpaceDN/>
        <w:bidi w:val="0"/>
        <w:adjustRightInd/>
        <w:snapToGrid/>
        <w:spacing w:line="560" w:lineRule="exact"/>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项目具体废气、废水、噪声、固体废物污染防治措施见运营期污染防治措施分析内容。</w:t>
      </w:r>
    </w:p>
    <w:p>
      <w:pPr>
        <w:pStyle w:val="4"/>
        <w:keepNext w:val="0"/>
        <w:keepLines w:val="0"/>
        <w:pageBreakBefore w:val="0"/>
        <w:widowControl w:val="0"/>
        <w:kinsoku/>
        <w:wordWrap/>
        <w:overflowPunct/>
        <w:topLinePunct/>
        <w:autoSpaceDE/>
        <w:autoSpaceDN/>
        <w:bidi w:val="0"/>
        <w:adjustRightInd/>
        <w:snapToGrid/>
        <w:spacing w:line="560" w:lineRule="exac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8.1.3</w:t>
      </w:r>
      <w:r>
        <w:rPr>
          <w:rFonts w:hint="default" w:ascii="Times New Roman" w:hAnsi="Times New Roman" w:eastAsia="宋体" w:cs="Times New Roman"/>
          <w:color w:val="auto"/>
          <w:lang w:val="en-US" w:eastAsia="zh-CN"/>
        </w:rPr>
        <w:t xml:space="preserve"> </w:t>
      </w:r>
      <w:r>
        <w:rPr>
          <w:rFonts w:hint="eastAsia" w:ascii="Times New Roman" w:hAnsi="Times New Roman" w:eastAsia="宋体" w:cs="Times New Roman"/>
          <w:color w:val="auto"/>
          <w:lang w:val="en-US" w:eastAsia="zh-CN"/>
        </w:rPr>
        <w:t>环境管理制度</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企业应建立健全环境管理制度体系，将环保工作纳入考核体系，确保在日常运行中将环保目标落到实处。</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（1）“三同时”制度</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根据《建设项目环境保护管理条例》，建设项目需要配套建设的环境保护设施，必须与主体工程同时设计、同时施工、同时投产使用。项目竣工后，建设单位应当按照国务院环境保护行政主管部门规定的标准和程序，对配套建设的环境保护设施进行验收，编制验收报告。建设单位在环境保护设施验收过程中，应当如实查验、监测、记载建设项目环境保护设施的建设和调试情况，不得弄虚作假，验收报告应依法向社会公开。本项目配套建设的环境保护设施经验收合格，方可投入生产或者使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本项目的性质、规模、地点、生产工艺和环境保护措施等发生变动的，必须向环保部门报告，并履行相关手续，如发生重大变动并且可能导致环境影响显著变化（特别是不利环境影响加重）的应当重新报批环评。</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（2）排污许可证制度</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建设单位应当在项目投入生产或使用并产生实际排污行为之前申请变更排污许可证。依法按照排污许可证申请与核发技术规范提交排污许可申请，申报排放污染物种类、排放浓度等，测算并申报污染物排放量。建设单位应当严格执行排污许可证的规定，禁止无证排污或不按证排污。</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 xml:space="preserve">（3）环保台账制度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厂内需完善记录制度和档案保存制度，有利于环境管理质量的追踪和持续改进；记录和台帐包括设施运行和维护记录、危险废物进出台帐、废水、废气污染物监测台帐、所有化学品使用台帐、突发性事件的处理、调查记录等，妥善保存所有记录、台帐及污染物排放监测资料、环境管理档案资料等。厂内环境保护相关的所有记录、台帐及污染物排放监测资料、环境管理档案资料等应妥善保存并定期上报，发现污染因子超标，要在监测数据出来后以书面形式上报公司管理层，快速果断采取应对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（4）污染治理设施管理制度</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项目建成后，必须确保污染处理设施长期、稳定、有效地运行，不得擅自拆除或者闲置污染处理设施，不得故意不正常使用污染处理设施。污染处理设施的管理必须与生产经营活动一起纳入单位日常管理工作的范畴，落实责任人、操作人员、维修人员、运行经费、设备的备品备件、化学药品和其他原辅材料。同时要建立岗位责任制、制定操作规程、建立管理台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（5）报告制度</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项目取得排污许可证后，执行排污许可证执行报告制度，执行报告按报告周期分为年度执行报告、季度执行报告和月度执行报告，建设单位应至少提交年度执行报告与季度执行报告。年度执行报告每年上报一次，季度执行报告每季度上报一次。</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其中年报编制内容分为</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13</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 xml:space="preserve">个部分，包括基本生产信息，遵守法律法规情况，污染防治设施运行情况，自行监测情况，台账管理情况，实际排放情况及合规判定分析，环境保护税缴纳情况，信息公开情况，单位内部环境管理体系建设与运行情况，其他排污许可证规定的内容执行情况，其他需要说明的问题，结论，附图附件要求。季报内容至少包括污染物实际排放情况及合规判定分析，污染防治设施运行情况中异常情况的说明及所采取的措施。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（6）环保奖惩制度</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 xml:space="preserve">企业应加强宣传教育，提高员工的污染隐患意识和环境风险意识；制定员工参与环保技术培训的计划，提高员工技术素质水平；设立岗位实责制，制定严格的奖、罚制度。建议企业设置环境保护奖励条例，纳入人员考核体系。对爱护环保设施、节能降耗、改善环境者实行奖励；对环保观念淡薄、不按环保管理要求，造成环保设施损坏、环境污染及资源和能源浪费者一律处以重罚。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（7）信息公开制度</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建设单位在环评编制、审批、竣工环保验收、正常运行、取得排污许可证等各阶段均应按照有关要求，通过网站或者其他便于公众知悉的方式，依法向社会公开项目污染物排放清单，明确污染物排放的管理要求。包括工程组成及原辅材料组分要求，建设项目拟采取的环境保护措施及主要运行参数，排放的污染物种类、排放浓度和总量指标，排污口信息，执行的环境标准，环境风险防范措施以及环境监测等相关内容。</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（8）加强污染物监控体系建设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企业应遵守排污许可证规定和有关标准规范，严格执行污染源自行监测和信息公开制度。企业对自行监测数据的真实性和准确性负责，并向社会主动公开自行监测数据；建立健全内部质量控制为主、外部质量监督为辅的质量管理制度。企业内部加强对污染物的监控、监测，并接受</w:t>
      </w:r>
      <w:r>
        <w:rPr>
          <w:rFonts w:hint="eastAsia" w:ascii="Times New Roman" w:hAnsi="Times New Roman" w:eastAsia="宋体" w:cs="Times New Roman"/>
          <w:color w:val="auto"/>
          <w:sz w:val="24"/>
          <w:szCs w:val="24"/>
          <w:lang w:val="en-US" w:eastAsia="zh-CN"/>
        </w:rPr>
        <w:t>昌吉州</w:t>
      </w:r>
      <w:r>
        <w:rPr>
          <w:rFonts w:hint="default" w:ascii="Times New Roman" w:hAnsi="Times New Roman" w:eastAsia="宋体" w:cs="Times New Roman"/>
          <w:color w:val="auto"/>
          <w:sz w:val="24"/>
          <w:szCs w:val="24"/>
          <w:lang w:val="en-US" w:eastAsia="zh-CN"/>
        </w:rPr>
        <w:t>生态环境部门监督检查。</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b/>
          <w:bCs/>
          <w:color w:val="auto"/>
          <w:sz w:val="30"/>
          <w:szCs w:val="30"/>
          <w:lang w:val="en-US" w:eastAsia="zh-CN"/>
        </w:rPr>
      </w:pPr>
      <w:bookmarkStart w:id="118" w:name="_Toc526"/>
      <w:r>
        <w:rPr>
          <w:rFonts w:hint="eastAsia" w:ascii="Times New Roman" w:hAnsi="Times New Roman" w:eastAsia="宋体" w:cs="Times New Roman"/>
          <w:b/>
          <w:bCs/>
          <w:color w:val="auto"/>
          <w:sz w:val="30"/>
          <w:szCs w:val="30"/>
          <w:lang w:val="en-US" w:eastAsia="zh-CN"/>
        </w:rPr>
        <w:t>8.2 环境监理</w:t>
      </w:r>
      <w:bookmarkEnd w:id="118"/>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环境监理是工程监理的重要组成部分，应贯穿工程建设全过程。环境监理工作的主要目的是监督落实本工程环评报告中所提出的各项环保措施，将工程施工活动产生的不利影响降到最低程度。环境监理单位受业主的委托，主要在施工期间对所有实施环保项目的专业部门及工程项目承包商的环境保护工作进行监督、检查、管理。</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8.2.1 监理范围及监理方式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环境监理范围：工程所在区域与工程影响的区域。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监理方式：环境监理人员常驻工地，对项目涉及区环境保护工作进行动态管理，以巡视为主，并辅助必要的仪器，随时关注各项环境测试数据。发现问题后，监理人员应立即要求承包商限期处理，并以公文函件确认，对于处理完毕的环境问题，应按期进行检验查收，将检查结果形成纪要下发承包商。</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8.2.2 环境监理工作内容</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（1）本项目环境监理应重点关注的主要内容</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①</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重点检查建设项目设计和施工过程中，项目的性质、规模、选址、平面布置、工艺及环保措施是否发生重大变动；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②</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主体工程环保“三同时”落实情况；</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③</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环境风险防范与事故应急设施与措施的落实情况；</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④</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与环保相关的重要隐蔽工程；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⑤</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项目建设和运行过程中与公众环境权益密切相关、社会关注度高的环保措施和要求，重点检查本项目环境防护距离内是否新增环境敏感目标。</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（2）施工过程中的其他环境监理内容</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①</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注意对环境敏感目标的保护。要监督检查施工对周围环境敏感目标的影响，落实污染防治措施，防止施工中水、土、气、渣等污染物排放对居民区等敏感目标造成污染损害。</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②</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对突发性的环境污染事故应立即采取应对措施，并及时向有关部门反馈、通报，做好善后工作。</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③</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认真配合有关部门做好施工期间的水、气、声环境的监督监测工作。</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④</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所有的监督检查计划、检查和处理情况都应当有现场的文字记录，并定期总结、归档。</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 xml:space="preserve">（3）试运行及竣工验收阶段环境监理内容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①</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检查施工所在的建筑固废、生活垃圾、工地平整的清理情况。以及被工程破坏的绿地、植被、景观的恢复程度，检查施工占领的工棚、料场、仓库等临时占地的清整情况。</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②</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申请试运行前，检查与主体工程同步建设的防治污染的措施是否完善。</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③</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项目完成后协助建设单位申请试运行，编制环境监理阶段报告。</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④</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试运行阶段，协助建设单位完善主体工程配套环保设施和生态保护措施，健全环境管理体系并有效运转。</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⑤</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协助建设单位组织开展建设项目竣工环境保护验收准备工作，编制环境监理总结报告，向建设单位移交环境监理档案资料。</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b/>
          <w:bCs/>
          <w:color w:val="auto"/>
          <w:sz w:val="30"/>
          <w:szCs w:val="30"/>
          <w:lang w:val="en-US" w:eastAsia="zh-CN"/>
        </w:rPr>
      </w:pPr>
      <w:bookmarkStart w:id="119" w:name="_Toc21420"/>
      <w:r>
        <w:rPr>
          <w:rFonts w:hint="eastAsia" w:ascii="Times New Roman" w:hAnsi="Times New Roman" w:eastAsia="宋体" w:cs="Times New Roman"/>
          <w:b/>
          <w:bCs/>
          <w:color w:val="auto"/>
          <w:sz w:val="30"/>
          <w:szCs w:val="30"/>
          <w:lang w:val="en-US" w:eastAsia="zh-CN"/>
        </w:rPr>
        <w:t>8.3 环境监测</w:t>
      </w:r>
      <w:bookmarkEnd w:id="119"/>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8.3.1 环境监测的意义</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环境监测（包括污染源监测）是企业环境保护的重要组成部分，也是企业的一项规范化制度。通过环境监测，进行数据整理分析，建立监测档案，可为污染源治理，掌握污染物排放变化规律提供依据，为上级生态环境部门进行区域环境规划、管理执法提供依据。同时，环境监测也是企业实现污染物总量控制，做到清洁生产的重要保证手段之一。</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8.3.2 污染源监测计划</w:t>
      </w:r>
    </w:p>
    <w:p>
      <w:pPr>
        <w:keepNext w:val="0"/>
        <w:keepLines w:val="0"/>
        <w:pageBreakBefore w:val="0"/>
        <w:widowControl w:val="0"/>
        <w:kinsoku/>
        <w:wordWrap w:val="0"/>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本项目所属生产线对应的技术规范及技术监测指南详见下表。</w:t>
      </w:r>
    </w:p>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8.3.2-1    项目所属生产线对应的技术规范及技术监测指南一览表</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2"/>
        <w:gridCol w:w="1591"/>
        <w:gridCol w:w="3248"/>
        <w:gridCol w:w="29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0"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序号</w:t>
            </w:r>
          </w:p>
        </w:tc>
        <w:tc>
          <w:tcPr>
            <w:tcW w:w="933"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项目生产线</w:t>
            </w:r>
          </w:p>
        </w:tc>
        <w:tc>
          <w:tcPr>
            <w:tcW w:w="1905"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核发技术规范</w:t>
            </w:r>
          </w:p>
        </w:tc>
        <w:tc>
          <w:tcPr>
            <w:tcW w:w="1729"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技术监测指南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0"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933"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生物有机肥生产线</w:t>
            </w:r>
          </w:p>
        </w:tc>
        <w:tc>
          <w:tcPr>
            <w:tcW w:w="1905"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《排污许可证申请与核发技术规范 化肥工业-氮肥》（HJ864.1-2017）</w:t>
            </w:r>
          </w:p>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《排污许可证申请与核发技术规范 磷肥、钾肥、复混肥料、有机肥料及微生物肥料》（HJ864.2-2018）</w:t>
            </w:r>
          </w:p>
        </w:tc>
        <w:tc>
          <w:tcPr>
            <w:tcW w:w="1729"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《排污单位自行监测技术指南 化肥工业-氮肥》（HJ948.1-2018）</w:t>
            </w:r>
          </w:p>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《排污单位自行监测技术指南 磷肥、钾肥、复混肥料、有机肥料及微生物肥料》（HJ1088-2020）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0"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933"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水溶肥生产线</w:t>
            </w:r>
          </w:p>
        </w:tc>
        <w:tc>
          <w:tcPr>
            <w:tcW w:w="1905"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《排污许可证申请与核发技术规范 化肥工业-氮肥》（HJ864.1-2017）</w:t>
            </w:r>
          </w:p>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《排污许可证申请与核发技术规范 磷肥、钾肥、复混肥料、有机肥料及微生物肥料》（HJ864.2-2018）</w:t>
            </w:r>
          </w:p>
        </w:tc>
        <w:tc>
          <w:tcPr>
            <w:tcW w:w="1729"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《排污单位自行监测技术指南 化肥工业-氮肥》（HJ948.1-2018）</w:t>
            </w:r>
          </w:p>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《排污单位自行监测技术指南 磷肥、钾肥、复混肥料、有机肥料及微生物肥料》（HJ1088-2020）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0"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933"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生物燃料生产线</w:t>
            </w:r>
          </w:p>
        </w:tc>
        <w:tc>
          <w:tcPr>
            <w:tcW w:w="1905"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《排污许可证申请与核发技术规范 专用化学产品制造工业》（HJ1103-2020）</w:t>
            </w:r>
          </w:p>
        </w:tc>
        <w:tc>
          <w:tcPr>
            <w:tcW w:w="1729"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《排污单位自行监测技术指南 总则》（HJ819-2017）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0"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933"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饲料油、磷脂油加工生产线</w:t>
            </w:r>
          </w:p>
        </w:tc>
        <w:tc>
          <w:tcPr>
            <w:tcW w:w="1905"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《排污许可证申请与核发技术规范 农副食品加工工业-屠宰及肉类加工工业》（HJ860.3-2018）</w:t>
            </w:r>
          </w:p>
        </w:tc>
        <w:tc>
          <w:tcPr>
            <w:tcW w:w="1729" w:type="pct"/>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《排污单位自行监测技术指南 农副食品加工工业》（HJ986-2018）</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根据《环境影响评价技术导则大气环境》（HJ2.2-2018）、《环境影响评价技术导则地下水环境》（HJ610-2016）、《环境影响评价技术导则土壤环境（试行）》（HJ964-2018）等相关规范要求执行。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eastAsia" w:ascii="Times New Roman" w:hAnsi="Times New Roman" w:eastAsia="宋体" w:cs="Times New Roman"/>
          <w:color w:val="auto"/>
          <w:sz w:val="24"/>
          <w:szCs w:val="24"/>
          <w:lang w:val="en-US" w:eastAsia="zh-CN"/>
        </w:rPr>
        <w:t>结合项目特点，项目污染源自行监测计划见表 8.3.2-2。</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表 8.3.2-2 本项目污染源自行监测计划表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9"/>
        <w:gridCol w:w="454"/>
        <w:gridCol w:w="513"/>
        <w:gridCol w:w="2539"/>
        <w:gridCol w:w="911"/>
        <w:gridCol w:w="2805"/>
        <w:gridCol w:w="1413"/>
        <w:gridCol w:w="5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项目</w:t>
            </w:r>
          </w:p>
        </w:tc>
        <w:tc>
          <w:tcPr>
            <w:tcW w:w="341"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监测对象</w:t>
            </w:r>
          </w:p>
        </w:tc>
        <w:tc>
          <w:tcPr>
            <w:tcW w:w="89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eastAsia" w:ascii="Times New Roman" w:hAnsi="Times New Roman" w:eastAsia="宋体" w:cs="Times New Roman"/>
                <w:b/>
                <w:bCs/>
                <w:color w:val="auto"/>
                <w:sz w:val="21"/>
                <w:szCs w:val="21"/>
                <w:vertAlign w:val="baseline"/>
                <w:lang w:val="en-US" w:eastAsia="zh-CN"/>
              </w:rPr>
              <w:t>污染源</w:t>
            </w:r>
          </w:p>
        </w:tc>
        <w:tc>
          <w:tcPr>
            <w:tcW w:w="3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eastAsia" w:ascii="Times New Roman" w:hAnsi="Times New Roman" w:eastAsia="宋体" w:cs="Times New Roman"/>
                <w:b/>
                <w:bCs/>
                <w:color w:val="auto"/>
                <w:sz w:val="21"/>
                <w:szCs w:val="21"/>
                <w:vertAlign w:val="baseline"/>
                <w:lang w:val="en-US" w:eastAsia="zh-CN"/>
              </w:rPr>
              <w:t>监测口</w:t>
            </w:r>
          </w:p>
        </w:tc>
        <w:tc>
          <w:tcPr>
            <w:tcW w:w="9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eastAsia" w:ascii="Times New Roman" w:hAnsi="Times New Roman" w:eastAsia="宋体" w:cs="Times New Roman"/>
                <w:b/>
                <w:bCs/>
                <w:color w:val="auto"/>
                <w:sz w:val="21"/>
                <w:szCs w:val="21"/>
                <w:vertAlign w:val="baseline"/>
                <w:lang w:val="en-US" w:eastAsia="zh-CN"/>
              </w:rPr>
              <w:t>监测项目</w:t>
            </w:r>
          </w:p>
        </w:tc>
        <w:tc>
          <w:tcPr>
            <w:tcW w:w="4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kern w:val="2"/>
                <w:sz w:val="21"/>
                <w:szCs w:val="21"/>
                <w:vertAlign w:val="baseline"/>
                <w:lang w:val="en-US" w:eastAsia="zh-CN" w:bidi="ar-SA"/>
              </w:rPr>
            </w:pPr>
            <w:r>
              <w:rPr>
                <w:rFonts w:hint="eastAsia" w:ascii="Times New Roman" w:hAnsi="Times New Roman" w:eastAsia="宋体" w:cs="Times New Roman"/>
                <w:b/>
                <w:bCs/>
                <w:color w:val="auto"/>
                <w:sz w:val="21"/>
                <w:szCs w:val="21"/>
                <w:vertAlign w:val="baseline"/>
                <w:lang w:val="en-US" w:eastAsia="zh-CN"/>
              </w:rPr>
              <w:t>监测频次</w:t>
            </w:r>
          </w:p>
        </w:tc>
        <w:tc>
          <w:tcPr>
            <w:tcW w:w="178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施工期</w:t>
            </w:r>
          </w:p>
        </w:tc>
        <w:tc>
          <w:tcPr>
            <w:tcW w:w="341"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废气</w:t>
            </w:r>
          </w:p>
        </w:tc>
        <w:tc>
          <w:tcPr>
            <w:tcW w:w="89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施工扬尘</w:t>
            </w:r>
          </w:p>
        </w:tc>
        <w:tc>
          <w:tcPr>
            <w:tcW w:w="3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施工场界</w:t>
            </w:r>
          </w:p>
        </w:tc>
        <w:tc>
          <w:tcPr>
            <w:tcW w:w="9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颗粒物</w:t>
            </w:r>
          </w:p>
        </w:tc>
        <w:tc>
          <w:tcPr>
            <w:tcW w:w="4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1次/季</w:t>
            </w:r>
          </w:p>
        </w:tc>
        <w:tc>
          <w:tcPr>
            <w:tcW w:w="178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341"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噪声</w:t>
            </w:r>
          </w:p>
        </w:tc>
        <w:tc>
          <w:tcPr>
            <w:tcW w:w="89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施工机械</w:t>
            </w:r>
          </w:p>
        </w:tc>
        <w:tc>
          <w:tcPr>
            <w:tcW w:w="3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施工场界</w:t>
            </w:r>
          </w:p>
        </w:tc>
        <w:tc>
          <w:tcPr>
            <w:tcW w:w="9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连续等效 A 声级</w:t>
            </w:r>
          </w:p>
        </w:tc>
        <w:tc>
          <w:tcPr>
            <w:tcW w:w="4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1次/季</w:t>
            </w:r>
          </w:p>
        </w:tc>
        <w:tc>
          <w:tcPr>
            <w:tcW w:w="178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《建筑施工场界环境噪声排放标准》（GB12523-2011）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运营期</w:t>
            </w:r>
          </w:p>
        </w:tc>
        <w:tc>
          <w:tcPr>
            <w:tcW w:w="16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废气</w:t>
            </w:r>
          </w:p>
        </w:tc>
        <w:tc>
          <w:tcPr>
            <w:tcW w:w="18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有组织</w:t>
            </w:r>
          </w:p>
        </w:tc>
        <w:tc>
          <w:tcPr>
            <w:tcW w:w="89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罐底植物油、动物油回收生产线废气</w:t>
            </w:r>
          </w:p>
        </w:tc>
        <w:tc>
          <w:tcPr>
            <w:tcW w:w="321"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DA001</w:t>
            </w:r>
          </w:p>
        </w:tc>
        <w:tc>
          <w:tcPr>
            <w:tcW w:w="989"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油脂烟气</w:t>
            </w:r>
            <w:r>
              <w:rPr>
                <w:rFonts w:hint="eastAsia" w:ascii="Times New Roman" w:hAnsi="Times New Roman" w:eastAsia="宋体" w:cs="Times New Roman"/>
                <w:color w:val="auto"/>
                <w:sz w:val="21"/>
                <w:szCs w:val="21"/>
                <w:vertAlign w:val="baseline"/>
                <w:lang w:val="en-US" w:eastAsia="zh-CN"/>
              </w:rPr>
              <w:t>、非甲烷总烃、</w:t>
            </w:r>
            <w:r>
              <w:rPr>
                <w:rFonts w:hint="default" w:ascii="Times New Roman" w:hAnsi="Times New Roman" w:eastAsia="宋体" w:cs="Times New Roman"/>
                <w:color w:val="auto"/>
                <w:sz w:val="21"/>
                <w:szCs w:val="21"/>
                <w:vertAlign w:val="baseline"/>
                <w:lang w:val="en-US" w:eastAsia="zh-CN"/>
              </w:rPr>
              <w:t>NH</w:t>
            </w:r>
            <w:r>
              <w:rPr>
                <w:rFonts w:hint="default" w:ascii="Times New Roman" w:hAnsi="Times New Roman" w:eastAsia="宋体" w:cs="Times New Roman"/>
                <w:color w:val="auto"/>
                <w:sz w:val="21"/>
                <w:szCs w:val="21"/>
                <w:vertAlign w:val="subscript"/>
                <w:lang w:val="en-US" w:eastAsia="zh-CN"/>
              </w:rPr>
              <w:t>3</w:t>
            </w:r>
            <w:r>
              <w:rPr>
                <w:rFonts w:hint="eastAsia" w:ascii="Times New Roman" w:hAnsi="Times New Roman" w:eastAsia="宋体" w:cs="Times New Roman"/>
                <w:color w:val="auto"/>
                <w:sz w:val="21"/>
                <w:szCs w:val="21"/>
                <w:vertAlign w:val="baseline"/>
                <w:lang w:val="en-US" w:eastAsia="zh-CN"/>
              </w:rPr>
              <w:t>、</w:t>
            </w:r>
            <w:r>
              <w:rPr>
                <w:rFonts w:hint="default" w:ascii="Times New Roman" w:hAnsi="Times New Roman" w:eastAsia="宋体" w:cs="Times New Roman"/>
                <w:color w:val="auto"/>
                <w:sz w:val="21"/>
                <w:szCs w:val="21"/>
                <w:vertAlign w:val="baseline"/>
                <w:lang w:val="en-US" w:eastAsia="zh-CN"/>
              </w:rPr>
              <w:t>H</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vertAlign w:val="baseline"/>
                <w:lang w:val="en-US" w:eastAsia="zh-CN"/>
              </w:rPr>
              <w:t>S</w:t>
            </w:r>
            <w:r>
              <w:rPr>
                <w:rFonts w:hint="eastAsia" w:ascii="Times New Roman" w:hAnsi="Times New Roman" w:eastAsia="宋体" w:cs="Times New Roman"/>
                <w:color w:val="auto"/>
                <w:sz w:val="21"/>
                <w:szCs w:val="21"/>
                <w:vertAlign w:val="baseline"/>
                <w:lang w:val="en-US" w:eastAsia="zh-CN"/>
              </w:rPr>
              <w:t>、颗粒物</w:t>
            </w:r>
          </w:p>
        </w:tc>
        <w:tc>
          <w:tcPr>
            <w:tcW w:w="498"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1次/半年</w:t>
            </w:r>
          </w:p>
        </w:tc>
        <w:tc>
          <w:tcPr>
            <w:tcW w:w="1784"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《饮食业油烟排放标准（试行）》（GB18483-2001）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《大气污染物综合排放标准（GB16297-1996）</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《恶臭污染物排放标准》（GB14554-93）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16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18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89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罐区废气</w:t>
            </w:r>
          </w:p>
        </w:tc>
        <w:tc>
          <w:tcPr>
            <w:tcW w:w="32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98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498"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178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16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18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89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生物燃料生产线废气</w:t>
            </w:r>
          </w:p>
        </w:tc>
        <w:tc>
          <w:tcPr>
            <w:tcW w:w="32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98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498"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178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16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18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89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水溶肥生产线投料废气</w:t>
            </w:r>
          </w:p>
        </w:tc>
        <w:tc>
          <w:tcPr>
            <w:tcW w:w="321"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DA002</w:t>
            </w:r>
          </w:p>
        </w:tc>
        <w:tc>
          <w:tcPr>
            <w:tcW w:w="989"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颗粒物、</w:t>
            </w:r>
            <w:r>
              <w:rPr>
                <w:rFonts w:hint="default" w:ascii="Times New Roman" w:hAnsi="Times New Roman" w:eastAsia="宋体" w:cs="Times New Roman"/>
                <w:color w:val="auto"/>
                <w:sz w:val="21"/>
                <w:szCs w:val="21"/>
                <w:vertAlign w:val="baseline"/>
                <w:lang w:val="en-US" w:eastAsia="zh-CN"/>
              </w:rPr>
              <w:t>NH</w:t>
            </w:r>
            <w:r>
              <w:rPr>
                <w:rFonts w:hint="default" w:ascii="Times New Roman" w:hAnsi="Times New Roman" w:eastAsia="宋体" w:cs="Times New Roman"/>
                <w:color w:val="auto"/>
                <w:sz w:val="21"/>
                <w:szCs w:val="21"/>
                <w:vertAlign w:val="subscript"/>
                <w:lang w:val="en-US" w:eastAsia="zh-CN"/>
              </w:rPr>
              <w:t>3</w:t>
            </w:r>
            <w:r>
              <w:rPr>
                <w:rFonts w:hint="eastAsia" w:ascii="Times New Roman" w:hAnsi="Times New Roman" w:eastAsia="宋体" w:cs="Times New Roman"/>
                <w:color w:val="auto"/>
                <w:sz w:val="21"/>
                <w:szCs w:val="21"/>
                <w:vertAlign w:val="baseline"/>
                <w:lang w:val="en-US" w:eastAsia="zh-CN"/>
              </w:rPr>
              <w:t>、</w:t>
            </w:r>
            <w:r>
              <w:rPr>
                <w:rFonts w:hint="default" w:ascii="Times New Roman" w:hAnsi="Times New Roman" w:eastAsia="宋体" w:cs="Times New Roman"/>
                <w:color w:val="auto"/>
                <w:sz w:val="21"/>
                <w:szCs w:val="21"/>
                <w:vertAlign w:val="baseline"/>
                <w:lang w:val="en-US" w:eastAsia="zh-CN"/>
              </w:rPr>
              <w:t>H</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vertAlign w:val="baseline"/>
                <w:lang w:val="en-US" w:eastAsia="zh-CN"/>
              </w:rPr>
              <w:t>S</w:t>
            </w:r>
          </w:p>
        </w:tc>
        <w:tc>
          <w:tcPr>
            <w:tcW w:w="498"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1次/半年</w:t>
            </w:r>
          </w:p>
        </w:tc>
        <w:tc>
          <w:tcPr>
            <w:tcW w:w="1784"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《大气污染物综合排放标准（GB16297-1996）</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《恶臭污染物排放标准》（GB14554-93）</w:t>
            </w:r>
            <w:r>
              <w:rPr>
                <w:rFonts w:hint="eastAsia" w:ascii="Times New Roman" w:hAnsi="Times New Roman" w:eastAsia="宋体" w:cs="Times New Roman"/>
                <w:color w:val="auto"/>
                <w:sz w:val="21"/>
                <w:szCs w:val="21"/>
                <w:vertAlign w:val="baseline"/>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16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18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89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生物有机肥生产线</w:t>
            </w:r>
          </w:p>
        </w:tc>
        <w:tc>
          <w:tcPr>
            <w:tcW w:w="32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98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498"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178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16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18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无组织</w:t>
            </w:r>
          </w:p>
        </w:tc>
        <w:tc>
          <w:tcPr>
            <w:tcW w:w="89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厂房外</w:t>
            </w:r>
          </w:p>
        </w:tc>
        <w:tc>
          <w:tcPr>
            <w:tcW w:w="3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w:t>
            </w:r>
          </w:p>
        </w:tc>
        <w:tc>
          <w:tcPr>
            <w:tcW w:w="9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非甲烷总烃</w:t>
            </w:r>
          </w:p>
        </w:tc>
        <w:tc>
          <w:tcPr>
            <w:tcW w:w="4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1次/半年</w:t>
            </w:r>
          </w:p>
        </w:tc>
        <w:tc>
          <w:tcPr>
            <w:tcW w:w="1784"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《挥发性有机物无组织排放控制标准》（GB37822-2019）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16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18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89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罐区周围</w:t>
            </w:r>
          </w:p>
        </w:tc>
        <w:tc>
          <w:tcPr>
            <w:tcW w:w="3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w:t>
            </w:r>
          </w:p>
        </w:tc>
        <w:tc>
          <w:tcPr>
            <w:tcW w:w="9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非甲烷总烃</w:t>
            </w:r>
          </w:p>
        </w:tc>
        <w:tc>
          <w:tcPr>
            <w:tcW w:w="4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1次/半年</w:t>
            </w:r>
          </w:p>
        </w:tc>
        <w:tc>
          <w:tcPr>
            <w:tcW w:w="178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16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18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89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厂界</w:t>
            </w:r>
          </w:p>
        </w:tc>
        <w:tc>
          <w:tcPr>
            <w:tcW w:w="321"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w:t>
            </w:r>
          </w:p>
        </w:tc>
        <w:tc>
          <w:tcPr>
            <w:tcW w:w="9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非甲烷总烃、颗粒物、甲醇</w:t>
            </w:r>
          </w:p>
        </w:tc>
        <w:tc>
          <w:tcPr>
            <w:tcW w:w="498"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1次/半年</w:t>
            </w:r>
          </w:p>
        </w:tc>
        <w:tc>
          <w:tcPr>
            <w:tcW w:w="178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16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18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89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p>
        </w:tc>
        <w:tc>
          <w:tcPr>
            <w:tcW w:w="32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9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NH</w:t>
            </w:r>
            <w:r>
              <w:rPr>
                <w:rFonts w:hint="default" w:ascii="Times New Roman" w:hAnsi="Times New Roman" w:eastAsia="宋体" w:cs="Times New Roman"/>
                <w:color w:val="auto"/>
                <w:sz w:val="21"/>
                <w:szCs w:val="21"/>
                <w:vertAlign w:val="subscript"/>
                <w:lang w:val="en-US" w:eastAsia="zh-CN"/>
              </w:rPr>
              <w:t>3</w:t>
            </w:r>
            <w:r>
              <w:rPr>
                <w:rFonts w:hint="eastAsia" w:ascii="Times New Roman" w:hAnsi="Times New Roman" w:eastAsia="宋体" w:cs="Times New Roman"/>
                <w:color w:val="auto"/>
                <w:sz w:val="21"/>
                <w:szCs w:val="21"/>
                <w:vertAlign w:val="baseline"/>
                <w:lang w:val="en-US" w:eastAsia="zh-CN"/>
              </w:rPr>
              <w:t>、</w:t>
            </w:r>
            <w:r>
              <w:rPr>
                <w:rFonts w:hint="default" w:ascii="Times New Roman" w:hAnsi="Times New Roman" w:eastAsia="宋体" w:cs="Times New Roman"/>
                <w:color w:val="auto"/>
                <w:sz w:val="21"/>
                <w:szCs w:val="21"/>
                <w:vertAlign w:val="baseline"/>
                <w:lang w:val="en-US" w:eastAsia="zh-CN"/>
              </w:rPr>
              <w:t>H</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vertAlign w:val="baseline"/>
                <w:lang w:val="en-US" w:eastAsia="zh-CN"/>
              </w:rPr>
              <w:t>S</w:t>
            </w:r>
          </w:p>
        </w:tc>
        <w:tc>
          <w:tcPr>
            <w:tcW w:w="498"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178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《恶臭污染物排放标准》（GB14554-93）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341"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噪声</w:t>
            </w:r>
          </w:p>
        </w:tc>
        <w:tc>
          <w:tcPr>
            <w:tcW w:w="89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生产设备</w:t>
            </w:r>
          </w:p>
        </w:tc>
        <w:tc>
          <w:tcPr>
            <w:tcW w:w="32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厂界四周</w:t>
            </w:r>
          </w:p>
        </w:tc>
        <w:tc>
          <w:tcPr>
            <w:tcW w:w="98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等效连续 A 声级</w:t>
            </w:r>
          </w:p>
        </w:tc>
        <w:tc>
          <w:tcPr>
            <w:tcW w:w="4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1次/季度</w:t>
            </w:r>
          </w:p>
        </w:tc>
        <w:tc>
          <w:tcPr>
            <w:tcW w:w="178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《工业企业厂界环境噪声排放标准》（GB12348-2008）</w:t>
            </w:r>
          </w:p>
        </w:tc>
      </w:tr>
    </w:tbl>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8.3.3 跟踪监测计划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环境影响评价技术导则大气环境》（HJ2.2-2018）、《环境影响评价技术导则地下水环境》（HJ610-2016）、《环境影响评价技术导则土壤环境（试行）》（HJ964-2018）、《排污单位自行监测技术指南总则》（HJ819-2017）及《排污许可证申请与核发技术规范总则》（HJ942-2018）等相关规范要求执行。结合项目特点，项目环境质量监测计划见表 8.3.3-1。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8.3.3-1  环境质量监测工作计划内容</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0"/>
        <w:gridCol w:w="1459"/>
        <w:gridCol w:w="4696"/>
        <w:gridCol w:w="1081"/>
        <w:gridCol w:w="6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环境要素</w:t>
            </w:r>
          </w:p>
        </w:tc>
        <w:tc>
          <w:tcPr>
            <w:tcW w:w="8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监测对象</w:t>
            </w:r>
          </w:p>
        </w:tc>
        <w:tc>
          <w:tcPr>
            <w:tcW w:w="27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监测项目</w:t>
            </w: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监测频率</w:t>
            </w:r>
          </w:p>
        </w:tc>
        <w:tc>
          <w:tcPr>
            <w:tcW w:w="40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监测方式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地下水</w:t>
            </w:r>
          </w:p>
        </w:tc>
        <w:tc>
          <w:tcPr>
            <w:tcW w:w="8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地下水流方向上游、下游监控井，场地</w:t>
            </w:r>
          </w:p>
        </w:tc>
        <w:tc>
          <w:tcPr>
            <w:tcW w:w="27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pH、COD、BOD</w:t>
            </w:r>
            <w:r>
              <w:rPr>
                <w:rFonts w:hint="eastAsia" w:ascii="Times New Roman" w:hAnsi="Times New Roman" w:eastAsia="宋体" w:cs="Times New Roman"/>
                <w:color w:val="auto"/>
                <w:sz w:val="21"/>
                <w:szCs w:val="21"/>
                <w:vertAlign w:val="subscript"/>
                <w:lang w:val="en-US" w:eastAsia="zh-CN"/>
              </w:rPr>
              <w:t>5</w:t>
            </w:r>
            <w:r>
              <w:rPr>
                <w:rFonts w:hint="eastAsia" w:ascii="Times New Roman" w:hAnsi="Times New Roman" w:eastAsia="宋体" w:cs="Times New Roman"/>
                <w:color w:val="auto"/>
                <w:sz w:val="21"/>
                <w:szCs w:val="21"/>
                <w:vertAlign w:val="baseline"/>
                <w:lang w:val="en-US" w:eastAsia="zh-CN"/>
              </w:rPr>
              <w:t>、氨氮、悬浮物、硫酸盐、总氮、总磷、动植物油、总硬度、耗氧量、氟化物、硝酸盐、亚硝酸盐、氯化物、铁、锰、铜、锌、砷、汞、镉、六价铬、铅、石油类、挥发酚</w:t>
            </w: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1次/年</w:t>
            </w:r>
          </w:p>
        </w:tc>
        <w:tc>
          <w:tcPr>
            <w:tcW w:w="40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委托监测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土壤</w:t>
            </w:r>
          </w:p>
        </w:tc>
        <w:tc>
          <w:tcPr>
            <w:tcW w:w="85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厂区重点影响区</w:t>
            </w:r>
          </w:p>
        </w:tc>
        <w:tc>
          <w:tcPr>
            <w:tcW w:w="27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pH、砷、镉、铬（六价）、铜、铅、汞、镍、石油烃、水溶性盐总量</w:t>
            </w: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1次/5年</w:t>
            </w:r>
          </w:p>
        </w:tc>
        <w:tc>
          <w:tcPr>
            <w:tcW w:w="40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委托监测</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8.3.4 事故应急监测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项目事故预案中需包括应急监测程序，项目运行过程中一旦发生事故，应立即启动应急监测程序，并跟踪监测污染物的迁移情况，直到事故影响根本消除。事故应急监测方案应与当地环境监测站共同制订和实施，环境监测人员（本企业）在工作时间</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10min</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内、非工作时间</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20min</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内要到达事故现场，需实验室分析测试的项目，在采样后</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24h</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内必须报出，应急监测专题报告在</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48h</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内要报出。根据事故发生源、污染物泄漏种类的分析成果、监测事故的特征因子、监测范围应对事故附近的辐射圈周界进行采样监测。在事故单元出口、事故水池、废水排放口监测事故废水，监测因子主要包括：流量、pH 值、COD、氨氮、悬浮物、色度、BOD</w:t>
      </w:r>
      <w:r>
        <w:rPr>
          <w:rFonts w:hint="default" w:ascii="Times New Roman" w:hAnsi="Times New Roman" w:eastAsia="宋体" w:cs="Times New Roman"/>
          <w:color w:val="auto"/>
          <w:sz w:val="24"/>
          <w:szCs w:val="24"/>
          <w:vertAlign w:val="subscript"/>
          <w:lang w:val="en-US" w:eastAsia="zh-CN"/>
        </w:rPr>
        <w:t>5</w:t>
      </w:r>
      <w:r>
        <w:rPr>
          <w:rFonts w:hint="default" w:ascii="Times New Roman" w:hAnsi="Times New Roman" w:eastAsia="宋体" w:cs="Times New Roman"/>
          <w:color w:val="auto"/>
          <w:sz w:val="24"/>
          <w:szCs w:val="24"/>
          <w:lang w:val="en-US" w:eastAsia="zh-CN"/>
        </w:rPr>
        <w:t>、总磷、总氮、硫化物、石油烃。监测频率初始加密监测，视污染物浓度递减。</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b/>
          <w:bCs/>
          <w:color w:val="auto"/>
          <w:sz w:val="30"/>
          <w:szCs w:val="30"/>
          <w:lang w:val="en-US" w:eastAsia="zh-CN"/>
        </w:rPr>
      </w:pPr>
      <w:bookmarkStart w:id="120" w:name="_Toc9472"/>
      <w:r>
        <w:rPr>
          <w:rFonts w:hint="eastAsia" w:ascii="Times New Roman" w:hAnsi="Times New Roman" w:eastAsia="宋体" w:cs="Times New Roman"/>
          <w:b/>
          <w:bCs/>
          <w:color w:val="auto"/>
          <w:sz w:val="30"/>
          <w:szCs w:val="30"/>
          <w:lang w:val="en-US" w:eastAsia="zh-CN"/>
        </w:rPr>
        <w:t>8.4 污染源排放管理</w:t>
      </w:r>
      <w:bookmarkEnd w:id="120"/>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8.4.1 污染源排放清单</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default" w:ascii="Times New Roman" w:hAnsi="Times New Roman" w:eastAsia="宋体" w:cs="Times New Roman"/>
          <w:color w:val="auto"/>
          <w:sz w:val="24"/>
          <w:szCs w:val="24"/>
          <w:lang w:val="en-US" w:eastAsia="zh-CN"/>
        </w:rPr>
        <w:t>根据“关于做好环境影响评价制度与排污许可制衔接相关工作的通知（环办环评〔2017〕84号）”：结合排污许可证申请与核发技术规范，核定建设项目的产排污环节、污染物种类及污染防治设施和措施等基本信息；依据国家或地方污染物排放标准、环境质量标准和总量控制要求等管理规定，按照污染源源强核算技术指南、环境影响评价要素导则等技术文件，严格核定排放口数量、位置以及每个排放口的污染物种类、允许排放浓度和允许排放量、排放方式、排放去向、自行监测计划等与污染物排放相关的主要内容。本项目全厂投运后的污染物排放清单详见下表</w:t>
      </w:r>
      <w:r>
        <w:rPr>
          <w:rFonts w:hint="eastAsia" w:ascii="Times New Roman" w:hAnsi="Times New Roman" w:eastAsia="宋体" w:cs="Times New Roman"/>
          <w:color w:val="auto"/>
          <w:sz w:val="24"/>
          <w:szCs w:val="24"/>
          <w:lang w:val="en-US" w:eastAsia="zh-CN"/>
        </w:rPr>
        <w:t xml:space="preserve"> 8</w:t>
      </w:r>
      <w:r>
        <w:rPr>
          <w:rFonts w:hint="default" w:ascii="Times New Roman" w:hAnsi="Times New Roman" w:eastAsia="宋体" w:cs="Times New Roman"/>
          <w:color w:val="auto"/>
          <w:sz w:val="24"/>
          <w:szCs w:val="24"/>
          <w:lang w:val="en-US" w:eastAsia="zh-CN"/>
        </w:rPr>
        <w:t>.4.1-1。</w:t>
      </w:r>
      <w:r>
        <w:rPr>
          <w:rFonts w:hint="eastAsia" w:ascii="Times New Roman" w:hAnsi="Times New Roman" w:eastAsia="宋体" w:cs="Times New Roman"/>
          <w:color w:val="auto"/>
          <w:sz w:val="24"/>
          <w:szCs w:val="24"/>
          <w:lang w:val="en-US" w:eastAsia="zh-CN"/>
        </w:rPr>
        <w:t xml:space="preserve"> </w:t>
      </w:r>
    </w:p>
    <w:p>
      <w:pPr>
        <w:pStyle w:val="26"/>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color w:val="auto"/>
          <w:lang w:val="en-US" w:eastAsia="zh-CN"/>
        </w:rPr>
      </w:pPr>
      <w:r>
        <w:rPr>
          <w:rFonts w:hint="eastAsia" w:ascii="Times New Roman" w:hAnsi="Times New Roman" w:eastAsia="宋体" w:cs="Times New Roman"/>
          <w:b/>
          <w:bCs/>
          <w:color w:val="auto"/>
          <w:sz w:val="24"/>
          <w:szCs w:val="24"/>
          <w:lang w:val="en-US" w:eastAsia="zh-CN"/>
        </w:rPr>
        <w:t>表 8.4.1-1   项目建成后污染物排放清单</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8"/>
        <w:gridCol w:w="835"/>
        <w:gridCol w:w="592"/>
        <w:gridCol w:w="747"/>
        <w:gridCol w:w="997"/>
        <w:gridCol w:w="1255"/>
        <w:gridCol w:w="994"/>
        <w:gridCol w:w="1147"/>
        <w:gridCol w:w="1181"/>
        <w:gridCol w:w="1295"/>
        <w:gridCol w:w="1108"/>
        <w:gridCol w:w="1292"/>
        <w:gridCol w:w="2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 w:type="pct"/>
            <w:vMerge w:val="restart"/>
            <w:tcBorders>
              <w:tl2br w:val="nil"/>
              <w:tr2bl w:val="nil"/>
            </w:tcBorders>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类型</w:t>
            </w:r>
          </w:p>
        </w:tc>
        <w:tc>
          <w:tcPr>
            <w:tcW w:w="295" w:type="pct"/>
            <w:vMerge w:val="restart"/>
            <w:tcBorders>
              <w:tl2br w:val="nil"/>
              <w:tr2bl w:val="nil"/>
            </w:tcBorders>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排放口</w:t>
            </w:r>
          </w:p>
        </w:tc>
        <w:tc>
          <w:tcPr>
            <w:tcW w:w="479" w:type="pct"/>
            <w:gridSpan w:val="2"/>
            <w:vMerge w:val="restart"/>
            <w:tcBorders>
              <w:tl2br w:val="nil"/>
              <w:tr2bl w:val="nil"/>
            </w:tcBorders>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污染源</w:t>
            </w:r>
          </w:p>
        </w:tc>
        <w:tc>
          <w:tcPr>
            <w:tcW w:w="354" w:type="pct"/>
            <w:vMerge w:val="restart"/>
            <w:tcBorders>
              <w:tl2br w:val="nil"/>
              <w:tr2bl w:val="nil"/>
            </w:tcBorders>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产生污染物</w:t>
            </w:r>
          </w:p>
        </w:tc>
        <w:tc>
          <w:tcPr>
            <w:tcW w:w="413" w:type="pct"/>
            <w:vMerge w:val="restart"/>
            <w:tcBorders>
              <w:tl2br w:val="nil"/>
              <w:tr2bl w:val="nil"/>
            </w:tcBorders>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治理措施</w:t>
            </w:r>
          </w:p>
        </w:tc>
        <w:tc>
          <w:tcPr>
            <w:tcW w:w="1638" w:type="pct"/>
            <w:gridSpan w:val="4"/>
            <w:tcBorders>
              <w:tl2br w:val="nil"/>
              <w:tr2bl w:val="nil"/>
            </w:tcBorders>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排放情况</w:t>
            </w:r>
          </w:p>
        </w:tc>
        <w:tc>
          <w:tcPr>
            <w:tcW w:w="851" w:type="pct"/>
            <w:gridSpan w:val="2"/>
            <w:tcBorders>
              <w:tl2br w:val="nil"/>
              <w:tr2bl w:val="nil"/>
            </w:tcBorders>
            <w:noWrap w:val="0"/>
            <w:vAlign w:val="center"/>
          </w:tcPr>
          <w:p>
            <w:pPr>
              <w:pStyle w:val="34"/>
              <w:bidi w:val="0"/>
              <w:jc w:val="center"/>
              <w:rPr>
                <w:rFonts w:hint="eastAsia"/>
                <w:b/>
                <w:bCs/>
                <w:color w:val="auto"/>
                <w:highlight w:val="none"/>
                <w:lang w:val="en-US" w:eastAsia="zh-CN"/>
              </w:rPr>
            </w:pPr>
            <w:r>
              <w:rPr>
                <w:rFonts w:hint="eastAsia"/>
                <w:b/>
                <w:bCs/>
                <w:color w:val="auto"/>
                <w:highlight w:val="none"/>
                <w:lang w:val="en-US" w:eastAsia="zh-CN"/>
              </w:rPr>
              <w:t>排放标准限值</w:t>
            </w:r>
          </w:p>
        </w:tc>
        <w:tc>
          <w:tcPr>
            <w:tcW w:w="790" w:type="pct"/>
            <w:vMerge w:val="restart"/>
            <w:tcBorders>
              <w:tl2br w:val="nil"/>
              <w:tr2bl w:val="nil"/>
            </w:tcBorders>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排放标准名称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 w:type="pct"/>
            <w:vMerge w:val="continue"/>
            <w:tcBorders>
              <w:tl2br w:val="nil"/>
              <w:tr2bl w:val="nil"/>
            </w:tcBorders>
            <w:noWrap w:val="0"/>
            <w:vAlign w:val="center"/>
          </w:tcPr>
          <w:p>
            <w:pPr>
              <w:pStyle w:val="34"/>
              <w:bidi w:val="0"/>
              <w:jc w:val="center"/>
              <w:rPr>
                <w:rFonts w:hint="eastAsia"/>
                <w:b/>
                <w:bCs/>
                <w:color w:val="auto"/>
                <w:highlight w:val="none"/>
                <w:lang w:val="en-US" w:eastAsia="zh-CN"/>
              </w:rPr>
            </w:pPr>
          </w:p>
        </w:tc>
        <w:tc>
          <w:tcPr>
            <w:tcW w:w="295" w:type="pct"/>
            <w:vMerge w:val="continue"/>
            <w:tcBorders>
              <w:tl2br w:val="nil"/>
              <w:tr2bl w:val="nil"/>
            </w:tcBorders>
            <w:noWrap w:val="0"/>
            <w:vAlign w:val="center"/>
          </w:tcPr>
          <w:p>
            <w:pPr>
              <w:pStyle w:val="34"/>
              <w:bidi w:val="0"/>
              <w:jc w:val="center"/>
              <w:rPr>
                <w:rFonts w:hint="eastAsia"/>
                <w:b/>
                <w:bCs/>
                <w:color w:val="auto"/>
                <w:highlight w:val="none"/>
                <w:lang w:val="en-US" w:eastAsia="zh-CN"/>
              </w:rPr>
            </w:pPr>
          </w:p>
        </w:tc>
        <w:tc>
          <w:tcPr>
            <w:tcW w:w="479" w:type="pct"/>
            <w:gridSpan w:val="2"/>
            <w:vMerge w:val="continue"/>
            <w:tcBorders>
              <w:tl2br w:val="nil"/>
              <w:tr2bl w:val="nil"/>
            </w:tcBorders>
            <w:noWrap w:val="0"/>
            <w:vAlign w:val="center"/>
          </w:tcPr>
          <w:p>
            <w:pPr>
              <w:pStyle w:val="34"/>
              <w:bidi w:val="0"/>
              <w:jc w:val="center"/>
              <w:rPr>
                <w:rFonts w:hint="eastAsia"/>
                <w:b/>
                <w:bCs/>
                <w:color w:val="auto"/>
                <w:highlight w:val="none"/>
                <w:lang w:val="en-US" w:eastAsia="zh-CN"/>
              </w:rPr>
            </w:pPr>
          </w:p>
        </w:tc>
        <w:tc>
          <w:tcPr>
            <w:tcW w:w="354" w:type="pct"/>
            <w:vMerge w:val="continue"/>
            <w:tcBorders>
              <w:tl2br w:val="nil"/>
              <w:tr2bl w:val="nil"/>
            </w:tcBorders>
            <w:noWrap w:val="0"/>
            <w:vAlign w:val="center"/>
          </w:tcPr>
          <w:p>
            <w:pPr>
              <w:pStyle w:val="34"/>
              <w:bidi w:val="0"/>
              <w:jc w:val="center"/>
              <w:rPr>
                <w:rFonts w:hint="eastAsia"/>
                <w:b/>
                <w:bCs/>
                <w:color w:val="auto"/>
                <w:highlight w:val="none"/>
                <w:lang w:val="en-US" w:eastAsia="zh-CN"/>
              </w:rPr>
            </w:pPr>
          </w:p>
        </w:tc>
        <w:tc>
          <w:tcPr>
            <w:tcW w:w="413" w:type="pct"/>
            <w:vMerge w:val="continue"/>
            <w:tcBorders>
              <w:tl2br w:val="nil"/>
              <w:tr2bl w:val="nil"/>
            </w:tcBorders>
            <w:noWrap w:val="0"/>
            <w:vAlign w:val="center"/>
          </w:tcPr>
          <w:p>
            <w:pPr>
              <w:pStyle w:val="34"/>
              <w:bidi w:val="0"/>
              <w:jc w:val="center"/>
              <w:rPr>
                <w:rFonts w:hint="default"/>
                <w:b/>
                <w:bCs/>
                <w:color w:val="auto"/>
                <w:highlight w:val="none"/>
                <w:lang w:val="en-US" w:eastAsia="zh-CN"/>
              </w:rPr>
            </w:pPr>
          </w:p>
        </w:tc>
        <w:tc>
          <w:tcPr>
            <w:tcW w:w="353" w:type="pct"/>
            <w:tcBorders>
              <w:tl2br w:val="nil"/>
              <w:tr2bl w:val="nil"/>
            </w:tcBorders>
            <w:noWrap w:val="0"/>
            <w:vAlign w:val="center"/>
          </w:tcPr>
          <w:p>
            <w:pPr>
              <w:pStyle w:val="34"/>
              <w:bidi w:val="0"/>
              <w:jc w:val="center"/>
              <w:rPr>
                <w:rFonts w:hint="eastAsia"/>
                <w:b/>
                <w:bCs/>
                <w:color w:val="auto"/>
                <w:highlight w:val="none"/>
                <w:lang w:val="en-US" w:eastAsia="zh-CN"/>
              </w:rPr>
            </w:pPr>
            <w:r>
              <w:rPr>
                <w:rFonts w:hint="eastAsia"/>
                <w:b/>
                <w:bCs/>
                <w:color w:val="auto"/>
                <w:highlight w:val="none"/>
                <w:lang w:val="en-US" w:eastAsia="zh-CN"/>
              </w:rPr>
              <w:t>污染物</w:t>
            </w:r>
          </w:p>
        </w:tc>
        <w:tc>
          <w:tcPr>
            <w:tcW w:w="407" w:type="pct"/>
            <w:tcBorders>
              <w:tl2br w:val="nil"/>
              <w:tr2bl w:val="nil"/>
            </w:tcBorders>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排放量（t/a）</w:t>
            </w:r>
          </w:p>
        </w:tc>
        <w:tc>
          <w:tcPr>
            <w:tcW w:w="419" w:type="pct"/>
            <w:tcBorders>
              <w:tl2br w:val="nil"/>
              <w:tr2bl w:val="nil"/>
            </w:tcBorders>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排放速率（kg/h）</w:t>
            </w:r>
          </w:p>
        </w:tc>
        <w:tc>
          <w:tcPr>
            <w:tcW w:w="459" w:type="pct"/>
            <w:tcBorders>
              <w:tl2br w:val="nil"/>
              <w:tr2bl w:val="nil"/>
            </w:tcBorders>
            <w:noWrap w:val="0"/>
            <w:vAlign w:val="center"/>
          </w:tcPr>
          <w:p>
            <w:pPr>
              <w:pStyle w:val="34"/>
              <w:bidi w:val="0"/>
              <w:jc w:val="center"/>
              <w:rPr>
                <w:rFonts w:hint="eastAsia"/>
                <w:b/>
                <w:bCs/>
                <w:color w:val="auto"/>
                <w:highlight w:val="none"/>
                <w:lang w:val="en-US" w:eastAsia="zh-CN"/>
              </w:rPr>
            </w:pPr>
            <w:r>
              <w:rPr>
                <w:rFonts w:hint="eastAsia"/>
                <w:b/>
                <w:bCs/>
                <w:color w:val="auto"/>
                <w:highlight w:val="none"/>
                <w:lang w:val="en-US" w:eastAsia="zh-CN"/>
              </w:rPr>
              <w:t>排放浓度（mg/m</w:t>
            </w:r>
            <w:r>
              <w:rPr>
                <w:rFonts w:hint="eastAsia"/>
                <w:b/>
                <w:bCs/>
                <w:color w:val="auto"/>
                <w:highlight w:val="none"/>
                <w:vertAlign w:val="superscript"/>
                <w:lang w:val="en-US" w:eastAsia="zh-CN"/>
              </w:rPr>
              <w:t>3</w:t>
            </w:r>
            <w:r>
              <w:rPr>
                <w:rFonts w:hint="eastAsia"/>
                <w:b/>
                <w:bCs/>
                <w:color w:val="auto"/>
                <w:highlight w:val="none"/>
                <w:lang w:val="en-US" w:eastAsia="zh-CN"/>
              </w:rPr>
              <w:t>）</w:t>
            </w:r>
          </w:p>
        </w:tc>
        <w:tc>
          <w:tcPr>
            <w:tcW w:w="393" w:type="pct"/>
            <w:tcBorders>
              <w:tl2br w:val="nil"/>
              <w:tr2bl w:val="nil"/>
            </w:tcBorders>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排放速率（kg/h）</w:t>
            </w:r>
          </w:p>
        </w:tc>
        <w:tc>
          <w:tcPr>
            <w:tcW w:w="458" w:type="pct"/>
            <w:tcBorders>
              <w:tl2br w:val="nil"/>
              <w:tr2bl w:val="nil"/>
            </w:tcBorders>
            <w:noWrap w:val="0"/>
            <w:vAlign w:val="center"/>
          </w:tcPr>
          <w:p>
            <w:pPr>
              <w:pStyle w:val="34"/>
              <w:bidi w:val="0"/>
              <w:jc w:val="center"/>
              <w:rPr>
                <w:rFonts w:hint="default"/>
                <w:b/>
                <w:bCs/>
                <w:color w:val="auto"/>
                <w:highlight w:val="none"/>
                <w:lang w:val="en-US" w:eastAsia="zh-CN"/>
              </w:rPr>
            </w:pPr>
            <w:r>
              <w:rPr>
                <w:rFonts w:hint="eastAsia"/>
                <w:b/>
                <w:bCs/>
                <w:color w:val="auto"/>
                <w:highlight w:val="none"/>
                <w:lang w:val="en-US" w:eastAsia="zh-CN"/>
              </w:rPr>
              <w:t>排放浓度（mg/m</w:t>
            </w:r>
            <w:r>
              <w:rPr>
                <w:rFonts w:hint="eastAsia"/>
                <w:b/>
                <w:bCs/>
                <w:color w:val="auto"/>
                <w:highlight w:val="none"/>
                <w:vertAlign w:val="superscript"/>
                <w:lang w:val="en-US" w:eastAsia="zh-CN"/>
              </w:rPr>
              <w:t>3</w:t>
            </w:r>
            <w:r>
              <w:rPr>
                <w:rFonts w:hint="eastAsia"/>
                <w:b/>
                <w:bCs/>
                <w:color w:val="auto"/>
                <w:highlight w:val="none"/>
                <w:lang w:val="en-US" w:eastAsia="zh-CN"/>
              </w:rPr>
              <w:t>）</w:t>
            </w:r>
          </w:p>
        </w:tc>
        <w:tc>
          <w:tcPr>
            <w:tcW w:w="790" w:type="pct"/>
            <w:vMerge w:val="continue"/>
            <w:tcBorders>
              <w:tl2br w:val="nil"/>
              <w:tr2bl w:val="nil"/>
            </w:tcBorders>
            <w:noWrap w:val="0"/>
            <w:vAlign w:val="center"/>
          </w:tcPr>
          <w:p>
            <w:pPr>
              <w:pStyle w:val="34"/>
              <w:bidi w:val="0"/>
              <w:jc w:val="center"/>
              <w:rPr>
                <w:rFonts w:hint="eastAsia"/>
                <w:b/>
                <w:bCs/>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 w:type="pct"/>
            <w:vMerge w:val="restar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有组织废气</w:t>
            </w:r>
          </w:p>
        </w:tc>
        <w:tc>
          <w:tcPr>
            <w:tcW w:w="295" w:type="pct"/>
            <w:vMerge w:val="restar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DA001</w:t>
            </w:r>
          </w:p>
        </w:tc>
        <w:tc>
          <w:tcPr>
            <w:tcW w:w="213" w:type="pct"/>
            <w:vMerge w:val="restar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动植物油脂回收生产线</w:t>
            </w:r>
          </w:p>
        </w:tc>
        <w:tc>
          <w:tcPr>
            <w:tcW w:w="265" w:type="pct"/>
            <w:vMerge w:val="restar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熔炼废气</w:t>
            </w:r>
          </w:p>
        </w:tc>
        <w:tc>
          <w:tcPr>
            <w:tcW w:w="35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油烟</w:t>
            </w:r>
          </w:p>
        </w:tc>
        <w:tc>
          <w:tcPr>
            <w:tcW w:w="413" w:type="pct"/>
            <w:vMerge w:val="restart"/>
            <w:tcBorders>
              <w:tl2br w:val="nil"/>
              <w:tr2bl w:val="nil"/>
            </w:tcBorders>
            <w:noWrap w:val="0"/>
            <w:vAlign w:val="center"/>
          </w:tcPr>
          <w:p>
            <w:pPr>
              <w:pStyle w:val="34"/>
              <w:bidi w:val="0"/>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管道收集+净电除油+二级碱液喷淋塔+除湿+活性炭吸附箱+15m高排气筒排放（DA001）</w:t>
            </w:r>
          </w:p>
        </w:tc>
        <w:tc>
          <w:tcPr>
            <w:tcW w:w="353" w:type="pct"/>
            <w:tcBorders>
              <w:tl2br w:val="nil"/>
              <w:tr2bl w:val="nil"/>
            </w:tcBorders>
            <w:noWrap w:val="0"/>
            <w:vAlign w:val="center"/>
          </w:tcPr>
          <w:p>
            <w:pPr>
              <w:pStyle w:val="34"/>
              <w:bidi w:val="0"/>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油烟</w:t>
            </w:r>
          </w:p>
        </w:tc>
        <w:tc>
          <w:tcPr>
            <w:tcW w:w="407" w:type="pct"/>
            <w:tcBorders>
              <w:tl2br w:val="nil"/>
              <w:tr2bl w:val="nil"/>
            </w:tcBorders>
            <w:noWrap w:val="0"/>
            <w:vAlign w:val="center"/>
          </w:tcPr>
          <w:p>
            <w:pPr>
              <w:pStyle w:val="34"/>
              <w:bidi w:val="0"/>
              <w:ind w:left="0" w:leftChars="0" w:right="0" w:rightChars="0" w:firstLine="0" w:firstLineChars="0"/>
              <w:jc w:val="center"/>
              <w:rPr>
                <w:rFonts w:hint="default"/>
                <w:color w:val="auto"/>
                <w:lang w:val="en-US" w:eastAsia="zh-CN"/>
              </w:rPr>
            </w:pPr>
            <w:r>
              <w:rPr>
                <w:rFonts w:hint="eastAsia"/>
                <w:color w:val="auto"/>
                <w:lang w:val="en-US" w:eastAsia="zh-CN"/>
              </w:rPr>
              <w:t>6.45×10</w:t>
            </w:r>
            <w:r>
              <w:rPr>
                <w:rFonts w:hint="eastAsia"/>
                <w:color w:val="auto"/>
                <w:vertAlign w:val="superscript"/>
                <w:lang w:val="en-US" w:eastAsia="zh-CN"/>
              </w:rPr>
              <w:t>-3</w:t>
            </w:r>
          </w:p>
        </w:tc>
        <w:tc>
          <w:tcPr>
            <w:tcW w:w="419" w:type="pct"/>
            <w:tcBorders>
              <w:tl2br w:val="nil"/>
              <w:tr2bl w:val="nil"/>
            </w:tcBorders>
            <w:noWrap w:val="0"/>
            <w:vAlign w:val="center"/>
          </w:tcPr>
          <w:p>
            <w:pPr>
              <w:pStyle w:val="34"/>
              <w:bidi w:val="0"/>
              <w:ind w:left="0" w:leftChars="0" w:right="0" w:rightChars="0" w:firstLine="0" w:firstLineChars="0"/>
              <w:jc w:val="center"/>
              <w:rPr>
                <w:rFonts w:hint="default"/>
                <w:color w:val="auto"/>
                <w:lang w:val="en-US" w:eastAsia="zh-CN"/>
              </w:rPr>
            </w:pPr>
            <w:r>
              <w:rPr>
                <w:rFonts w:hint="eastAsia"/>
                <w:color w:val="auto"/>
                <w:lang w:val="en-US" w:eastAsia="zh-CN"/>
              </w:rPr>
              <w:t>1.12×10</w:t>
            </w:r>
            <w:r>
              <w:rPr>
                <w:rFonts w:hint="eastAsia"/>
                <w:color w:val="auto"/>
                <w:vertAlign w:val="superscript"/>
                <w:lang w:val="en-US" w:eastAsia="zh-CN"/>
              </w:rPr>
              <w:t>-3</w:t>
            </w:r>
          </w:p>
        </w:tc>
        <w:tc>
          <w:tcPr>
            <w:tcW w:w="459" w:type="pct"/>
            <w:tcBorders>
              <w:tl2br w:val="nil"/>
              <w:tr2bl w:val="nil"/>
            </w:tcBorders>
            <w:noWrap w:val="0"/>
            <w:vAlign w:val="center"/>
          </w:tcPr>
          <w:p>
            <w:pPr>
              <w:pStyle w:val="34"/>
              <w:bidi w:val="0"/>
              <w:ind w:left="0" w:leftChars="0" w:right="0" w:rightChars="0" w:firstLine="0" w:firstLineChars="0"/>
              <w:jc w:val="center"/>
              <w:rPr>
                <w:rFonts w:hint="default"/>
                <w:color w:val="auto"/>
                <w:lang w:val="en-US" w:eastAsia="zh-CN"/>
              </w:rPr>
            </w:pPr>
            <w:r>
              <w:rPr>
                <w:rFonts w:hint="eastAsia"/>
                <w:color w:val="auto"/>
                <w:lang w:val="en-US" w:eastAsia="zh-CN"/>
              </w:rPr>
              <w:t>0.05</w:t>
            </w:r>
          </w:p>
        </w:tc>
        <w:tc>
          <w:tcPr>
            <w:tcW w:w="393" w:type="pct"/>
            <w:tcBorders>
              <w:tl2br w:val="nil"/>
              <w:tr2bl w:val="nil"/>
            </w:tcBorders>
            <w:noWrap w:val="0"/>
            <w:vAlign w:val="center"/>
          </w:tcPr>
          <w:p>
            <w:pPr>
              <w:pStyle w:val="34"/>
              <w:bidi w:val="0"/>
              <w:ind w:left="0" w:leftChars="0" w:right="0" w:rightChars="0" w:firstLine="0" w:firstLineChars="0"/>
              <w:jc w:val="center"/>
              <w:rPr>
                <w:rFonts w:hint="default"/>
                <w:color w:val="auto"/>
                <w:lang w:val="en-US" w:eastAsia="zh-CN"/>
              </w:rPr>
            </w:pPr>
            <w:r>
              <w:rPr>
                <w:rFonts w:hint="eastAsia"/>
                <w:color w:val="auto"/>
                <w:lang w:val="en-US" w:eastAsia="zh-CN"/>
              </w:rPr>
              <w:t>-</w:t>
            </w:r>
          </w:p>
        </w:tc>
        <w:tc>
          <w:tcPr>
            <w:tcW w:w="458" w:type="pct"/>
            <w:tcBorders>
              <w:tl2br w:val="nil"/>
              <w:tr2bl w:val="nil"/>
            </w:tcBorders>
            <w:noWrap w:val="0"/>
            <w:vAlign w:val="center"/>
          </w:tcPr>
          <w:p>
            <w:pPr>
              <w:pStyle w:val="34"/>
              <w:bidi w:val="0"/>
              <w:ind w:left="0" w:leftChars="0" w:right="0" w:rightChars="0" w:firstLine="0" w:firstLineChars="0"/>
              <w:jc w:val="center"/>
              <w:rPr>
                <w:rFonts w:hint="default"/>
                <w:color w:val="auto"/>
                <w:lang w:val="en-US" w:eastAsia="zh-CN"/>
              </w:rPr>
            </w:pPr>
            <w:r>
              <w:rPr>
                <w:rFonts w:hint="eastAsia"/>
                <w:color w:val="auto"/>
                <w:lang w:val="en-US" w:eastAsia="zh-CN"/>
              </w:rPr>
              <w:t>2.0</w:t>
            </w:r>
          </w:p>
        </w:tc>
        <w:tc>
          <w:tcPr>
            <w:tcW w:w="790" w:type="pct"/>
            <w:tcBorders>
              <w:tl2br w:val="nil"/>
              <w:tr2bl w:val="nil"/>
            </w:tcBorders>
            <w:noWrap w:val="0"/>
            <w:vAlign w:val="center"/>
          </w:tcPr>
          <w:p>
            <w:pPr>
              <w:pStyle w:val="34"/>
              <w:bidi w:val="0"/>
              <w:ind w:left="0" w:leftChars="0" w:right="0" w:rightChars="0" w:firstLine="0" w:firstLineChars="0"/>
              <w:jc w:val="center"/>
              <w:rPr>
                <w:rFonts w:hint="eastAsia"/>
                <w:color w:val="auto"/>
                <w:lang w:val="en-US" w:eastAsia="zh-CN"/>
              </w:rPr>
            </w:pPr>
            <w:r>
              <w:rPr>
                <w:rFonts w:hint="default" w:ascii="Times New Roman" w:hAnsi="Times New Roman" w:eastAsia="宋体" w:cs="Times New Roman"/>
                <w:color w:val="auto"/>
                <w:sz w:val="21"/>
                <w:szCs w:val="21"/>
                <w:vertAlign w:val="baseline"/>
                <w:lang w:val="en-US" w:eastAsia="zh-CN"/>
              </w:rPr>
              <w:t>《饮食业油烟排放标准（试行）》（GB18483-2001）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8"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95"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13"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65"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354" w:type="pc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非甲烷总烃</w:t>
            </w:r>
          </w:p>
        </w:tc>
        <w:tc>
          <w:tcPr>
            <w:tcW w:w="413" w:type="pct"/>
            <w:vMerge w:val="continue"/>
            <w:tcBorders>
              <w:tl2br w:val="nil"/>
              <w:tr2bl w:val="nil"/>
            </w:tcBorders>
            <w:noWrap w:val="0"/>
            <w:vAlign w:val="center"/>
          </w:tcPr>
          <w:p>
            <w:pPr>
              <w:pStyle w:val="34"/>
              <w:bidi w:val="0"/>
              <w:ind w:left="0" w:leftChars="0" w:right="0" w:rightChars="0" w:firstLine="0" w:firstLineChars="0"/>
              <w:jc w:val="center"/>
              <w:rPr>
                <w:rFonts w:hint="default"/>
                <w:color w:val="auto"/>
                <w:highlight w:val="none"/>
                <w:lang w:val="en-US" w:eastAsia="zh-CN"/>
              </w:rPr>
            </w:pPr>
          </w:p>
        </w:tc>
        <w:tc>
          <w:tcPr>
            <w:tcW w:w="35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非甲烷总烃</w:t>
            </w:r>
          </w:p>
        </w:tc>
        <w:tc>
          <w:tcPr>
            <w:tcW w:w="407"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0.53</w:t>
            </w:r>
          </w:p>
        </w:tc>
        <w:tc>
          <w:tcPr>
            <w:tcW w:w="419"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0.092</w:t>
            </w:r>
          </w:p>
        </w:tc>
        <w:tc>
          <w:tcPr>
            <w:tcW w:w="459"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3.68</w:t>
            </w:r>
          </w:p>
        </w:tc>
        <w:tc>
          <w:tcPr>
            <w:tcW w:w="393" w:type="pct"/>
            <w:tcBorders>
              <w:tl2br w:val="nil"/>
              <w:tr2bl w:val="nil"/>
            </w:tcBorders>
            <w:noWrap w:val="0"/>
            <w:vAlign w:val="center"/>
          </w:tcPr>
          <w:p>
            <w:pPr>
              <w:pStyle w:val="34"/>
              <w:bidi w:val="0"/>
              <w:ind w:left="0" w:leftChars="0" w:right="0" w:rightChars="0"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10</w:t>
            </w:r>
          </w:p>
        </w:tc>
        <w:tc>
          <w:tcPr>
            <w:tcW w:w="458" w:type="pct"/>
            <w:tcBorders>
              <w:tl2br w:val="nil"/>
              <w:tr2bl w:val="nil"/>
            </w:tcBorders>
            <w:noWrap w:val="0"/>
            <w:vAlign w:val="center"/>
          </w:tcPr>
          <w:p>
            <w:pPr>
              <w:pStyle w:val="34"/>
              <w:bidi w:val="0"/>
              <w:ind w:left="0" w:leftChars="0" w:right="0" w:rightChars="0"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120</w:t>
            </w:r>
          </w:p>
        </w:tc>
        <w:tc>
          <w:tcPr>
            <w:tcW w:w="790" w:type="pct"/>
            <w:tcBorders>
              <w:tl2br w:val="nil"/>
              <w:tr2bl w:val="nil"/>
            </w:tcBorders>
            <w:noWrap w:val="0"/>
            <w:vAlign w:val="center"/>
          </w:tcPr>
          <w:p>
            <w:pPr>
              <w:pStyle w:val="34"/>
              <w:bidi w:val="0"/>
              <w:ind w:left="0" w:leftChars="0" w:right="0" w:rightChars="0" w:firstLine="0" w:firstLineChars="0"/>
              <w:jc w:val="center"/>
              <w:rPr>
                <w:rFonts w:hint="eastAsia"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178"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95"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13"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65" w:type="pct"/>
            <w:vMerge w:val="restar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动植物油精炼恶臭</w:t>
            </w:r>
          </w:p>
        </w:tc>
        <w:tc>
          <w:tcPr>
            <w:tcW w:w="35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NH</w:t>
            </w:r>
            <w:r>
              <w:rPr>
                <w:rFonts w:hint="eastAsia" w:ascii="Times New Roman" w:hAnsi="Times New Roman" w:eastAsia="宋体" w:cs="Times New Roman"/>
                <w:color w:val="auto"/>
                <w:kern w:val="0"/>
                <w:sz w:val="21"/>
                <w:szCs w:val="21"/>
                <w:highlight w:val="none"/>
                <w:vertAlign w:val="subscript"/>
                <w:lang w:val="en-US" w:eastAsia="zh-CN" w:bidi="ar-SA"/>
              </w:rPr>
              <w:t>3</w:t>
            </w:r>
          </w:p>
        </w:tc>
        <w:tc>
          <w:tcPr>
            <w:tcW w:w="413"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353"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NH</w:t>
            </w:r>
            <w:r>
              <w:rPr>
                <w:rFonts w:hint="eastAsia" w:ascii="Times New Roman" w:hAnsi="Times New Roman" w:eastAsia="宋体" w:cs="Times New Roman"/>
                <w:color w:val="auto"/>
                <w:kern w:val="0"/>
                <w:sz w:val="21"/>
                <w:szCs w:val="21"/>
                <w:highlight w:val="none"/>
                <w:vertAlign w:val="subscript"/>
                <w:lang w:val="en-US" w:eastAsia="zh-CN" w:bidi="ar-SA"/>
              </w:rPr>
              <w:t>3</w:t>
            </w:r>
          </w:p>
        </w:tc>
        <w:tc>
          <w:tcPr>
            <w:tcW w:w="407"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0.07</w:t>
            </w:r>
          </w:p>
        </w:tc>
        <w:tc>
          <w:tcPr>
            <w:tcW w:w="419"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0.012</w:t>
            </w:r>
          </w:p>
        </w:tc>
        <w:tc>
          <w:tcPr>
            <w:tcW w:w="459"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0.47</w:t>
            </w:r>
          </w:p>
        </w:tc>
        <w:tc>
          <w:tcPr>
            <w:tcW w:w="393" w:type="pct"/>
            <w:vMerge w:val="restart"/>
            <w:tcBorders>
              <w:tl2br w:val="nil"/>
              <w:tr2bl w:val="nil"/>
            </w:tcBorders>
            <w:noWrap w:val="0"/>
            <w:vAlign w:val="center"/>
          </w:tcPr>
          <w:p>
            <w:pPr>
              <w:pStyle w:val="34"/>
              <w:bidi w:val="0"/>
              <w:ind w:left="0" w:leftChars="0" w:right="0" w:rightChars="0"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4.9</w:t>
            </w:r>
          </w:p>
        </w:tc>
        <w:tc>
          <w:tcPr>
            <w:tcW w:w="458" w:type="pct"/>
            <w:vMerge w:val="restart"/>
            <w:tcBorders>
              <w:tl2br w:val="nil"/>
              <w:tr2bl w:val="nil"/>
            </w:tcBorders>
            <w:noWrap w:val="0"/>
            <w:vAlign w:val="center"/>
          </w:tcPr>
          <w:p>
            <w:pPr>
              <w:pStyle w:val="34"/>
              <w:bidi w:val="0"/>
              <w:ind w:left="0" w:leftChars="0" w:right="0" w:rightChars="0"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790"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《恶臭污染物排放标准》（GB14554-93）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95"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13"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65"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35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t>
            </w:r>
            <w:r>
              <w:rPr>
                <w:rFonts w:hint="eastAsia" w:ascii="Times New Roman" w:hAnsi="Times New Roman" w:eastAsia="宋体" w:cs="Times New Roman"/>
                <w:color w:val="auto"/>
                <w:kern w:val="0"/>
                <w:sz w:val="21"/>
                <w:szCs w:val="21"/>
                <w:highlight w:val="none"/>
                <w:vertAlign w:val="subscript"/>
                <w:lang w:val="en-US" w:eastAsia="zh-CN" w:bidi="ar-SA"/>
              </w:rPr>
              <w:t>2</w:t>
            </w:r>
            <w:r>
              <w:rPr>
                <w:rFonts w:hint="eastAsia" w:ascii="Times New Roman" w:hAnsi="Times New Roman" w:eastAsia="宋体" w:cs="Times New Roman"/>
                <w:color w:val="auto"/>
                <w:kern w:val="0"/>
                <w:sz w:val="21"/>
                <w:szCs w:val="21"/>
                <w:highlight w:val="none"/>
                <w:lang w:val="en-US" w:eastAsia="zh-CN" w:bidi="ar-SA"/>
              </w:rPr>
              <w:t>S</w:t>
            </w:r>
          </w:p>
        </w:tc>
        <w:tc>
          <w:tcPr>
            <w:tcW w:w="413"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353"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07"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419"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459"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393"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458"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790"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 w:type="pct"/>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p>
        </w:tc>
        <w:tc>
          <w:tcPr>
            <w:tcW w:w="295" w:type="pct"/>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p>
        </w:tc>
        <w:tc>
          <w:tcPr>
            <w:tcW w:w="21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储罐</w:t>
            </w:r>
          </w:p>
        </w:tc>
        <w:tc>
          <w:tcPr>
            <w:tcW w:w="265" w:type="pct"/>
            <w:tcBorders>
              <w:tl2br w:val="nil"/>
              <w:tr2bl w:val="nil"/>
            </w:tcBorders>
            <w:noWrap w:val="0"/>
            <w:vAlign w:val="center"/>
          </w:tcPr>
          <w:p>
            <w:pPr>
              <w:pStyle w:val="34"/>
              <w:bidi w:val="0"/>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储罐呼吸废气</w:t>
            </w:r>
          </w:p>
        </w:tc>
        <w:tc>
          <w:tcPr>
            <w:tcW w:w="354" w:type="pc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非甲烷总烃</w:t>
            </w:r>
          </w:p>
        </w:tc>
        <w:tc>
          <w:tcPr>
            <w:tcW w:w="413" w:type="pct"/>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lang w:val="en-US" w:eastAsia="zh-CN"/>
              </w:rPr>
            </w:pPr>
          </w:p>
        </w:tc>
        <w:tc>
          <w:tcPr>
            <w:tcW w:w="353" w:type="pct"/>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lang w:val="en-US" w:eastAsia="zh-CN"/>
              </w:rPr>
            </w:pPr>
          </w:p>
        </w:tc>
        <w:tc>
          <w:tcPr>
            <w:tcW w:w="407" w:type="pct"/>
            <w:vMerge w:val="continue"/>
            <w:tcBorders>
              <w:tl2br w:val="nil"/>
              <w:tr2bl w:val="nil"/>
            </w:tcBorders>
            <w:noWrap w:val="0"/>
            <w:vAlign w:val="center"/>
          </w:tcPr>
          <w:p>
            <w:pPr>
              <w:pStyle w:val="34"/>
              <w:bidi w:val="0"/>
              <w:ind w:left="0" w:leftChars="0" w:right="0" w:rightChars="0" w:firstLine="0" w:firstLineChars="0"/>
              <w:jc w:val="center"/>
              <w:rPr>
                <w:rFonts w:hint="default" w:cs="Times New Roman"/>
                <w:color w:val="auto"/>
                <w:sz w:val="21"/>
                <w:szCs w:val="21"/>
                <w:highlight w:val="none"/>
                <w:lang w:val="en-US" w:eastAsia="zh-CN"/>
              </w:rPr>
            </w:pPr>
          </w:p>
        </w:tc>
        <w:tc>
          <w:tcPr>
            <w:tcW w:w="419" w:type="pct"/>
            <w:vMerge w:val="continue"/>
            <w:tcBorders>
              <w:tl2br w:val="nil"/>
              <w:tr2bl w:val="nil"/>
            </w:tcBorders>
            <w:noWrap w:val="0"/>
            <w:vAlign w:val="center"/>
          </w:tcPr>
          <w:p>
            <w:pPr>
              <w:pStyle w:val="34"/>
              <w:bidi w:val="0"/>
              <w:ind w:left="0" w:leftChars="0" w:right="0" w:rightChars="0" w:firstLine="0" w:firstLineChars="0"/>
              <w:jc w:val="center"/>
              <w:rPr>
                <w:rFonts w:hint="default" w:cs="Times New Roman"/>
                <w:color w:val="auto"/>
                <w:sz w:val="21"/>
                <w:szCs w:val="21"/>
                <w:highlight w:val="none"/>
                <w:lang w:val="en-US" w:eastAsia="zh-CN"/>
              </w:rPr>
            </w:pPr>
          </w:p>
        </w:tc>
        <w:tc>
          <w:tcPr>
            <w:tcW w:w="459" w:type="pct"/>
            <w:vMerge w:val="continue"/>
            <w:tcBorders>
              <w:tl2br w:val="nil"/>
              <w:tr2bl w:val="nil"/>
            </w:tcBorders>
            <w:noWrap w:val="0"/>
            <w:vAlign w:val="center"/>
          </w:tcPr>
          <w:p>
            <w:pPr>
              <w:pStyle w:val="34"/>
              <w:bidi w:val="0"/>
              <w:ind w:left="0" w:leftChars="0" w:right="0" w:rightChars="0" w:firstLine="0" w:firstLineChars="0"/>
              <w:jc w:val="center"/>
              <w:rPr>
                <w:rFonts w:hint="default" w:eastAsia="宋体" w:cs="Times New Roman"/>
                <w:color w:val="auto"/>
                <w:sz w:val="21"/>
                <w:szCs w:val="21"/>
                <w:highlight w:val="none"/>
                <w:lang w:val="en-US" w:eastAsia="zh-CN"/>
              </w:rPr>
            </w:pPr>
          </w:p>
        </w:tc>
        <w:tc>
          <w:tcPr>
            <w:tcW w:w="393" w:type="pct"/>
            <w:vMerge w:val="continue"/>
            <w:tcBorders>
              <w:tl2br w:val="nil"/>
              <w:tr2bl w:val="nil"/>
            </w:tcBorders>
            <w:noWrap w:val="0"/>
            <w:vAlign w:val="center"/>
          </w:tcPr>
          <w:p>
            <w:pPr>
              <w:pStyle w:val="34"/>
              <w:bidi w:val="0"/>
              <w:ind w:left="0" w:leftChars="0" w:right="0" w:rightChars="0" w:firstLine="0" w:firstLineChars="0"/>
              <w:jc w:val="center"/>
              <w:rPr>
                <w:rFonts w:hint="default" w:eastAsia="宋体" w:cs="Times New Roman"/>
                <w:color w:val="auto"/>
                <w:sz w:val="21"/>
                <w:szCs w:val="21"/>
                <w:highlight w:val="none"/>
                <w:lang w:val="en-US" w:eastAsia="zh-CN"/>
              </w:rPr>
            </w:pPr>
          </w:p>
        </w:tc>
        <w:tc>
          <w:tcPr>
            <w:tcW w:w="458" w:type="pct"/>
            <w:vMerge w:val="continue"/>
            <w:tcBorders>
              <w:tl2br w:val="nil"/>
              <w:tr2bl w:val="nil"/>
            </w:tcBorders>
            <w:noWrap w:val="0"/>
            <w:vAlign w:val="center"/>
          </w:tcPr>
          <w:p>
            <w:pPr>
              <w:pStyle w:val="34"/>
              <w:bidi w:val="0"/>
              <w:ind w:left="0" w:leftChars="0" w:right="0" w:rightChars="0" w:firstLine="0" w:firstLineChars="0"/>
              <w:jc w:val="center"/>
              <w:rPr>
                <w:rFonts w:hint="default" w:eastAsia="宋体" w:cs="Times New Roman"/>
                <w:color w:val="auto"/>
                <w:sz w:val="21"/>
                <w:szCs w:val="21"/>
                <w:highlight w:val="none"/>
                <w:lang w:val="en-US" w:eastAsia="zh-CN"/>
              </w:rPr>
            </w:pPr>
          </w:p>
        </w:tc>
        <w:tc>
          <w:tcPr>
            <w:tcW w:w="790" w:type="pct"/>
            <w:vMerge w:val="continue"/>
            <w:tcBorders>
              <w:tl2br w:val="nil"/>
              <w:tr2bl w:val="nil"/>
            </w:tcBorders>
            <w:noWrap w:val="0"/>
            <w:vAlign w:val="center"/>
          </w:tcPr>
          <w:p>
            <w:pPr>
              <w:pStyle w:val="34"/>
              <w:bidi w:val="0"/>
              <w:ind w:left="0" w:leftChars="0" w:right="0" w:rightChars="0" w:firstLine="0" w:firstLineChars="0"/>
              <w:jc w:val="center"/>
              <w:rPr>
                <w:rFonts w:hint="default" w:eastAsia="宋体"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95"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13" w:type="pct"/>
            <w:vMerge w:val="restar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生物燃料</w:t>
            </w:r>
          </w:p>
        </w:tc>
        <w:tc>
          <w:tcPr>
            <w:tcW w:w="265" w:type="pct"/>
            <w:vMerge w:val="restar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恶臭</w:t>
            </w:r>
          </w:p>
        </w:tc>
        <w:tc>
          <w:tcPr>
            <w:tcW w:w="354" w:type="pc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NH</w:t>
            </w:r>
            <w:r>
              <w:rPr>
                <w:rFonts w:hint="eastAsia" w:ascii="Times New Roman" w:hAnsi="Times New Roman" w:eastAsia="宋体" w:cs="Times New Roman"/>
                <w:color w:val="auto"/>
                <w:kern w:val="0"/>
                <w:sz w:val="21"/>
                <w:szCs w:val="21"/>
                <w:highlight w:val="none"/>
                <w:vertAlign w:val="subscript"/>
                <w:lang w:val="en-US" w:eastAsia="zh-CN" w:bidi="ar-SA"/>
              </w:rPr>
              <w:t>3</w:t>
            </w:r>
          </w:p>
        </w:tc>
        <w:tc>
          <w:tcPr>
            <w:tcW w:w="413"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353"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t>
            </w:r>
            <w:r>
              <w:rPr>
                <w:rFonts w:hint="eastAsia" w:ascii="Times New Roman" w:hAnsi="Times New Roman" w:eastAsia="宋体" w:cs="Times New Roman"/>
                <w:color w:val="auto"/>
                <w:kern w:val="0"/>
                <w:sz w:val="21"/>
                <w:szCs w:val="21"/>
                <w:highlight w:val="none"/>
                <w:vertAlign w:val="subscript"/>
                <w:lang w:val="en-US" w:eastAsia="zh-CN" w:bidi="ar-SA"/>
              </w:rPr>
              <w:t>2</w:t>
            </w:r>
            <w:r>
              <w:rPr>
                <w:rFonts w:hint="eastAsia" w:ascii="Times New Roman" w:hAnsi="Times New Roman" w:eastAsia="宋体" w:cs="Times New Roman"/>
                <w:color w:val="auto"/>
                <w:kern w:val="0"/>
                <w:sz w:val="21"/>
                <w:szCs w:val="21"/>
                <w:highlight w:val="none"/>
                <w:lang w:val="en-US" w:eastAsia="zh-CN" w:bidi="ar-SA"/>
              </w:rPr>
              <w:t>S</w:t>
            </w:r>
          </w:p>
        </w:tc>
        <w:tc>
          <w:tcPr>
            <w:tcW w:w="407"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0.13</w:t>
            </w:r>
          </w:p>
        </w:tc>
        <w:tc>
          <w:tcPr>
            <w:tcW w:w="419"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0.023</w:t>
            </w:r>
          </w:p>
        </w:tc>
        <w:tc>
          <w:tcPr>
            <w:tcW w:w="459"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0.9</w:t>
            </w:r>
          </w:p>
        </w:tc>
        <w:tc>
          <w:tcPr>
            <w:tcW w:w="393" w:type="pct"/>
            <w:vMerge w:val="restart"/>
            <w:tcBorders>
              <w:tl2br w:val="nil"/>
              <w:tr2bl w:val="nil"/>
            </w:tcBorders>
            <w:noWrap w:val="0"/>
            <w:vAlign w:val="center"/>
          </w:tcPr>
          <w:p>
            <w:pPr>
              <w:pStyle w:val="34"/>
              <w:bidi w:val="0"/>
              <w:ind w:left="0" w:leftChars="0" w:right="0" w:rightChars="0"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0.33</w:t>
            </w:r>
          </w:p>
        </w:tc>
        <w:tc>
          <w:tcPr>
            <w:tcW w:w="458" w:type="pct"/>
            <w:vMerge w:val="restart"/>
            <w:tcBorders>
              <w:tl2br w:val="nil"/>
              <w:tr2bl w:val="nil"/>
            </w:tcBorders>
            <w:noWrap w:val="0"/>
            <w:vAlign w:val="center"/>
          </w:tcPr>
          <w:p>
            <w:pPr>
              <w:pStyle w:val="34"/>
              <w:bidi w:val="0"/>
              <w:ind w:left="0" w:leftChars="0" w:right="0" w:rightChars="0"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790" w:type="pct"/>
            <w:vMerge w:val="continue"/>
            <w:tcBorders>
              <w:tl2br w:val="nil"/>
              <w:tr2bl w:val="nil"/>
            </w:tcBorders>
            <w:noWrap w:val="0"/>
            <w:vAlign w:val="center"/>
          </w:tcPr>
          <w:p>
            <w:pPr>
              <w:pStyle w:val="34"/>
              <w:bidi w:val="0"/>
              <w:ind w:left="0" w:leftChars="0" w:right="0" w:rightChars="0" w:firstLine="0" w:firstLineChars="0"/>
              <w:jc w:val="center"/>
              <w:rPr>
                <w:rFonts w:hint="eastAsia"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95"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13"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65"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354" w:type="pct"/>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r>
              <w:rPr>
                <w:rFonts w:hint="eastAsia" w:ascii="Times New Roman" w:hAnsi="Times New Roman" w:eastAsia="宋体" w:cs="Times New Roman"/>
                <w:color w:val="auto"/>
                <w:kern w:val="0"/>
                <w:sz w:val="21"/>
                <w:szCs w:val="21"/>
                <w:highlight w:val="none"/>
                <w:lang w:val="en-US" w:eastAsia="zh-CN" w:bidi="ar-SA"/>
              </w:rPr>
              <w:t>H</w:t>
            </w:r>
            <w:r>
              <w:rPr>
                <w:rFonts w:hint="eastAsia" w:ascii="Times New Roman" w:hAnsi="Times New Roman" w:eastAsia="宋体" w:cs="Times New Roman"/>
                <w:color w:val="auto"/>
                <w:kern w:val="0"/>
                <w:sz w:val="21"/>
                <w:szCs w:val="21"/>
                <w:highlight w:val="none"/>
                <w:vertAlign w:val="subscript"/>
                <w:lang w:val="en-US" w:eastAsia="zh-CN" w:bidi="ar-SA"/>
              </w:rPr>
              <w:t>2</w:t>
            </w:r>
            <w:r>
              <w:rPr>
                <w:rFonts w:hint="eastAsia" w:ascii="Times New Roman" w:hAnsi="Times New Roman" w:eastAsia="宋体" w:cs="Times New Roman"/>
                <w:color w:val="auto"/>
                <w:kern w:val="0"/>
                <w:sz w:val="21"/>
                <w:szCs w:val="21"/>
                <w:highlight w:val="none"/>
                <w:lang w:val="en-US" w:eastAsia="zh-CN" w:bidi="ar-SA"/>
              </w:rPr>
              <w:t>S</w:t>
            </w:r>
          </w:p>
        </w:tc>
        <w:tc>
          <w:tcPr>
            <w:tcW w:w="413" w:type="pct"/>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p>
        </w:tc>
        <w:tc>
          <w:tcPr>
            <w:tcW w:w="353" w:type="pct"/>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p>
        </w:tc>
        <w:tc>
          <w:tcPr>
            <w:tcW w:w="407" w:type="pct"/>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lang w:val="en-US" w:eastAsia="zh-CN"/>
              </w:rPr>
            </w:pPr>
          </w:p>
        </w:tc>
        <w:tc>
          <w:tcPr>
            <w:tcW w:w="419" w:type="pct"/>
            <w:vMerge w:val="continue"/>
            <w:tcBorders>
              <w:tl2br w:val="nil"/>
              <w:tr2bl w:val="nil"/>
            </w:tcBorders>
            <w:noWrap w:val="0"/>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c>
          <w:tcPr>
            <w:tcW w:w="459" w:type="pct"/>
            <w:vMerge w:val="continue"/>
            <w:tcBorders>
              <w:tl2br w:val="nil"/>
              <w:tr2bl w:val="nil"/>
            </w:tcBorders>
            <w:noWrap w:val="0"/>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c>
          <w:tcPr>
            <w:tcW w:w="393" w:type="pct"/>
            <w:vMerge w:val="continue"/>
            <w:tcBorders>
              <w:tl2br w:val="nil"/>
              <w:tr2bl w:val="nil"/>
            </w:tcBorders>
            <w:noWrap w:val="0"/>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c>
          <w:tcPr>
            <w:tcW w:w="458" w:type="pct"/>
            <w:vMerge w:val="continue"/>
            <w:tcBorders>
              <w:tl2br w:val="nil"/>
              <w:tr2bl w:val="nil"/>
            </w:tcBorders>
            <w:noWrap w:val="0"/>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c>
          <w:tcPr>
            <w:tcW w:w="790" w:type="pct"/>
            <w:vMerge w:val="continue"/>
            <w:tcBorders>
              <w:tl2br w:val="nil"/>
              <w:tr2bl w:val="nil"/>
            </w:tcBorders>
            <w:noWrap w:val="0"/>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95"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13"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65" w:type="pc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加热废气</w:t>
            </w:r>
          </w:p>
        </w:tc>
        <w:tc>
          <w:tcPr>
            <w:tcW w:w="354" w:type="pct"/>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r>
              <w:rPr>
                <w:rFonts w:hint="eastAsia"/>
                <w:color w:val="auto"/>
                <w:highlight w:val="none"/>
                <w:lang w:val="en-US" w:eastAsia="zh-CN"/>
              </w:rPr>
              <w:t>非甲烷总烃</w:t>
            </w:r>
          </w:p>
        </w:tc>
        <w:tc>
          <w:tcPr>
            <w:tcW w:w="413"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353"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407"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p>
        </w:tc>
        <w:tc>
          <w:tcPr>
            <w:tcW w:w="419"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459"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393"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458"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790"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 w:type="pct"/>
            <w:vMerge w:val="continue"/>
            <w:tcBorders>
              <w:tl2br w:val="nil"/>
              <w:tr2bl w:val="nil"/>
            </w:tcBorders>
            <w:noWrap w:val="0"/>
            <w:vAlign w:val="center"/>
          </w:tcPr>
          <w:p>
            <w:pPr>
              <w:pStyle w:val="34"/>
              <w:bidi w:val="0"/>
              <w:jc w:val="center"/>
              <w:rPr>
                <w:rFonts w:hint="default"/>
                <w:color w:val="auto"/>
                <w:highlight w:val="none"/>
                <w:lang w:val="en-US" w:eastAsia="zh-CN"/>
              </w:rPr>
            </w:pPr>
          </w:p>
        </w:tc>
        <w:tc>
          <w:tcPr>
            <w:tcW w:w="295" w:type="pct"/>
            <w:vMerge w:val="continue"/>
            <w:tcBorders>
              <w:tl2br w:val="nil"/>
              <w:tr2bl w:val="nil"/>
            </w:tcBorders>
            <w:noWrap w:val="0"/>
            <w:vAlign w:val="center"/>
          </w:tcPr>
          <w:p>
            <w:pPr>
              <w:pStyle w:val="34"/>
              <w:bidi w:val="0"/>
              <w:jc w:val="center"/>
              <w:rPr>
                <w:rFonts w:hint="default"/>
                <w:color w:val="auto"/>
                <w:highlight w:val="none"/>
                <w:lang w:val="en-US" w:eastAsia="zh-CN"/>
              </w:rPr>
            </w:pPr>
          </w:p>
        </w:tc>
        <w:tc>
          <w:tcPr>
            <w:tcW w:w="213" w:type="pct"/>
            <w:vMerge w:val="continue"/>
            <w:tcBorders>
              <w:tl2br w:val="nil"/>
              <w:tr2bl w:val="nil"/>
            </w:tcBorders>
            <w:noWrap w:val="0"/>
            <w:vAlign w:val="center"/>
          </w:tcPr>
          <w:p>
            <w:pPr>
              <w:pStyle w:val="34"/>
              <w:bidi w:val="0"/>
              <w:jc w:val="center"/>
              <w:rPr>
                <w:rFonts w:hint="default"/>
                <w:color w:val="auto"/>
                <w:highlight w:val="none"/>
                <w:lang w:val="en-US" w:eastAsia="zh-CN"/>
              </w:rPr>
            </w:pPr>
          </w:p>
        </w:tc>
        <w:tc>
          <w:tcPr>
            <w:tcW w:w="265" w:type="pc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投料、破碎废气</w:t>
            </w:r>
          </w:p>
        </w:tc>
        <w:tc>
          <w:tcPr>
            <w:tcW w:w="354" w:type="pc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颗粒物</w:t>
            </w:r>
          </w:p>
        </w:tc>
        <w:tc>
          <w:tcPr>
            <w:tcW w:w="41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集气罩收集+布袋除尘器，处理后汇集到DA001排放口排放</w:t>
            </w:r>
          </w:p>
        </w:tc>
        <w:tc>
          <w:tcPr>
            <w:tcW w:w="353" w:type="pct"/>
            <w:tcBorders>
              <w:tl2br w:val="nil"/>
              <w:tr2bl w:val="nil"/>
            </w:tcBorders>
            <w:noWrap w:val="0"/>
            <w:vAlign w:val="center"/>
          </w:tcPr>
          <w:p>
            <w:pPr>
              <w:pStyle w:val="34"/>
              <w:bidi w:val="0"/>
              <w:ind w:left="0" w:leftChars="0" w:right="0" w:rightChars="0" w:firstLine="0" w:firstLineChars="0"/>
              <w:jc w:val="center"/>
              <w:rPr>
                <w:rFonts w:hint="eastAsia" w:cs="Times New Roman"/>
                <w:color w:val="auto"/>
                <w:kern w:val="0"/>
                <w:sz w:val="21"/>
                <w:szCs w:val="21"/>
                <w:highlight w:val="none"/>
                <w:lang w:val="en-US" w:eastAsia="zh-CN" w:bidi="ar-SA"/>
              </w:rPr>
            </w:pPr>
            <w:r>
              <w:rPr>
                <w:rFonts w:hint="eastAsia"/>
                <w:color w:val="auto"/>
                <w:highlight w:val="none"/>
                <w:lang w:val="en-US" w:eastAsia="zh-CN"/>
              </w:rPr>
              <w:t>颗粒物</w:t>
            </w:r>
          </w:p>
        </w:tc>
        <w:tc>
          <w:tcPr>
            <w:tcW w:w="407"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0.02</w:t>
            </w:r>
          </w:p>
        </w:tc>
        <w:tc>
          <w:tcPr>
            <w:tcW w:w="419"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3.47×10</w:t>
            </w:r>
            <w:r>
              <w:rPr>
                <w:rFonts w:hint="eastAsia" w:ascii="Times New Roman" w:hAnsi="Times New Roman" w:eastAsia="宋体" w:cs="Times New Roman"/>
                <w:color w:val="auto"/>
                <w:kern w:val="0"/>
                <w:sz w:val="21"/>
                <w:szCs w:val="21"/>
                <w:highlight w:val="none"/>
                <w:vertAlign w:val="superscript"/>
                <w:lang w:val="en-US" w:eastAsia="zh-CN" w:bidi="ar-SA"/>
              </w:rPr>
              <w:t>-3</w:t>
            </w:r>
          </w:p>
        </w:tc>
        <w:tc>
          <w:tcPr>
            <w:tcW w:w="459"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0.69</w:t>
            </w:r>
          </w:p>
        </w:tc>
        <w:tc>
          <w:tcPr>
            <w:tcW w:w="39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3.5</w:t>
            </w:r>
          </w:p>
        </w:tc>
        <w:tc>
          <w:tcPr>
            <w:tcW w:w="458"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120</w:t>
            </w:r>
          </w:p>
        </w:tc>
        <w:tc>
          <w:tcPr>
            <w:tcW w:w="790" w:type="pc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95" w:type="pct"/>
            <w:vMerge w:val="restar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DA002</w:t>
            </w:r>
          </w:p>
        </w:tc>
        <w:tc>
          <w:tcPr>
            <w:tcW w:w="213" w:type="pct"/>
            <w:vMerge w:val="restar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水溶肥生产线</w:t>
            </w:r>
          </w:p>
        </w:tc>
        <w:tc>
          <w:tcPr>
            <w:tcW w:w="265" w:type="pc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投料废气</w:t>
            </w:r>
          </w:p>
        </w:tc>
        <w:tc>
          <w:tcPr>
            <w:tcW w:w="354" w:type="pc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颗粒物</w:t>
            </w:r>
          </w:p>
        </w:tc>
        <w:tc>
          <w:tcPr>
            <w:tcW w:w="413" w:type="pct"/>
            <w:vMerge w:val="restart"/>
            <w:tcBorders>
              <w:tl2br w:val="nil"/>
              <w:tr2bl w:val="nil"/>
            </w:tcBorders>
            <w:noWrap w:val="0"/>
            <w:vAlign w:val="center"/>
          </w:tcPr>
          <w:p>
            <w:pPr>
              <w:pStyle w:val="34"/>
              <w:bidi w:val="0"/>
              <w:ind w:left="0" w:leftChars="0" w:right="0" w:rightChars="0" w:firstLine="0" w:firstLineChars="0"/>
              <w:jc w:val="center"/>
              <w:rPr>
                <w:rFonts w:hint="default"/>
                <w:color w:val="auto"/>
                <w:highlight w:val="none"/>
                <w:lang w:val="en-US" w:eastAsia="zh-CN"/>
              </w:rPr>
            </w:pPr>
            <w:r>
              <w:rPr>
                <w:rFonts w:hint="eastAsia" w:cs="Times New Roman"/>
                <w:color w:val="auto"/>
                <w:highlight w:val="none"/>
                <w:lang w:val="en-US" w:eastAsia="zh-CN"/>
              </w:rPr>
              <w:t>集气罩收集+布袋除尘器+活性炭吸附</w:t>
            </w:r>
          </w:p>
        </w:tc>
        <w:tc>
          <w:tcPr>
            <w:tcW w:w="353" w:type="pct"/>
            <w:tcBorders>
              <w:tl2br w:val="nil"/>
              <w:tr2bl w:val="nil"/>
            </w:tcBorders>
            <w:noWrap w:val="0"/>
            <w:vAlign w:val="center"/>
          </w:tcPr>
          <w:p>
            <w:pPr>
              <w:pStyle w:val="34"/>
              <w:bidi w:val="0"/>
              <w:ind w:left="0" w:leftChars="0" w:right="0" w:rightChars="0" w:firstLine="0" w:firstLineChars="0"/>
              <w:jc w:val="center"/>
              <w:rPr>
                <w:rFonts w:hint="default" w:cs="Times New Roman"/>
                <w:color w:val="auto"/>
                <w:highlight w:val="none"/>
                <w:lang w:val="en-US" w:eastAsia="zh-CN"/>
              </w:rPr>
            </w:pPr>
            <w:r>
              <w:rPr>
                <w:rFonts w:hint="eastAsia" w:cs="Times New Roman"/>
                <w:color w:val="auto"/>
                <w:highlight w:val="none"/>
                <w:lang w:val="en-US" w:eastAsia="zh-CN"/>
              </w:rPr>
              <w:t>颗粒物</w:t>
            </w:r>
          </w:p>
        </w:tc>
        <w:tc>
          <w:tcPr>
            <w:tcW w:w="407"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0.07</w:t>
            </w:r>
          </w:p>
        </w:tc>
        <w:tc>
          <w:tcPr>
            <w:tcW w:w="419"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0.01</w:t>
            </w:r>
          </w:p>
        </w:tc>
        <w:tc>
          <w:tcPr>
            <w:tcW w:w="459"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2.43</w:t>
            </w:r>
          </w:p>
        </w:tc>
        <w:tc>
          <w:tcPr>
            <w:tcW w:w="39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3.5</w:t>
            </w:r>
          </w:p>
        </w:tc>
        <w:tc>
          <w:tcPr>
            <w:tcW w:w="458"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120</w:t>
            </w:r>
          </w:p>
        </w:tc>
        <w:tc>
          <w:tcPr>
            <w:tcW w:w="790" w:type="pc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 w:type="pct"/>
            <w:vMerge w:val="continue"/>
            <w:tcBorders>
              <w:tl2br w:val="nil"/>
              <w:tr2bl w:val="nil"/>
            </w:tcBorders>
            <w:noWrap w:val="0"/>
            <w:vAlign w:val="center"/>
          </w:tcPr>
          <w:p>
            <w:pPr>
              <w:pStyle w:val="34"/>
              <w:bidi w:val="0"/>
              <w:jc w:val="center"/>
              <w:rPr>
                <w:rFonts w:hint="default"/>
                <w:color w:val="auto"/>
                <w:highlight w:val="none"/>
                <w:lang w:val="en-US" w:eastAsia="zh-CN"/>
              </w:rPr>
            </w:pPr>
          </w:p>
        </w:tc>
        <w:tc>
          <w:tcPr>
            <w:tcW w:w="295" w:type="pct"/>
            <w:vMerge w:val="continue"/>
            <w:tcBorders>
              <w:tl2br w:val="nil"/>
              <w:tr2bl w:val="nil"/>
            </w:tcBorders>
            <w:noWrap w:val="0"/>
            <w:vAlign w:val="center"/>
          </w:tcPr>
          <w:p>
            <w:pPr>
              <w:pStyle w:val="34"/>
              <w:bidi w:val="0"/>
              <w:jc w:val="center"/>
              <w:rPr>
                <w:rFonts w:hint="default"/>
                <w:color w:val="auto"/>
                <w:highlight w:val="none"/>
                <w:lang w:val="en-US" w:eastAsia="zh-CN"/>
              </w:rPr>
            </w:pPr>
          </w:p>
        </w:tc>
        <w:tc>
          <w:tcPr>
            <w:tcW w:w="213" w:type="pct"/>
            <w:vMerge w:val="continue"/>
            <w:tcBorders>
              <w:tl2br w:val="nil"/>
              <w:tr2bl w:val="nil"/>
            </w:tcBorders>
            <w:noWrap w:val="0"/>
            <w:vAlign w:val="center"/>
          </w:tcPr>
          <w:p>
            <w:pPr>
              <w:pStyle w:val="34"/>
              <w:bidi w:val="0"/>
              <w:jc w:val="center"/>
              <w:rPr>
                <w:rFonts w:hint="default"/>
                <w:color w:val="auto"/>
                <w:highlight w:val="none"/>
                <w:lang w:val="en-US" w:eastAsia="zh-CN"/>
              </w:rPr>
            </w:pPr>
          </w:p>
        </w:tc>
        <w:tc>
          <w:tcPr>
            <w:tcW w:w="265" w:type="pc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呼吸口废气</w:t>
            </w:r>
          </w:p>
        </w:tc>
        <w:tc>
          <w:tcPr>
            <w:tcW w:w="35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NH</w:t>
            </w:r>
            <w:r>
              <w:rPr>
                <w:rFonts w:hint="eastAsia"/>
                <w:color w:val="auto"/>
                <w:highlight w:val="none"/>
                <w:vertAlign w:val="subscript"/>
                <w:lang w:val="en-US" w:eastAsia="zh-CN"/>
              </w:rPr>
              <w:t>3</w:t>
            </w:r>
          </w:p>
        </w:tc>
        <w:tc>
          <w:tcPr>
            <w:tcW w:w="413" w:type="pct"/>
            <w:vMerge w:val="continue"/>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p>
        </w:tc>
        <w:tc>
          <w:tcPr>
            <w:tcW w:w="353" w:type="pct"/>
            <w:vMerge w:val="restart"/>
            <w:tcBorders>
              <w:tl2br w:val="nil"/>
              <w:tr2bl w:val="nil"/>
            </w:tcBorders>
            <w:noWrap w:val="0"/>
            <w:vAlign w:val="center"/>
          </w:tcPr>
          <w:p>
            <w:pPr>
              <w:pStyle w:val="34"/>
              <w:bidi w:val="0"/>
              <w:ind w:left="0" w:leftChars="0" w:right="0" w:rightChars="0" w:firstLine="0" w:firstLineChars="0"/>
              <w:jc w:val="center"/>
              <w:rPr>
                <w:rFonts w:hint="eastAsia"/>
                <w:color w:val="auto"/>
                <w:highlight w:val="none"/>
                <w:lang w:val="en-US" w:eastAsia="zh-CN"/>
              </w:rPr>
            </w:pPr>
            <w:r>
              <w:rPr>
                <w:rFonts w:hint="eastAsia"/>
                <w:color w:val="auto"/>
                <w:highlight w:val="none"/>
                <w:lang w:val="en-US" w:eastAsia="zh-CN"/>
              </w:rPr>
              <w:t>NH</w:t>
            </w:r>
            <w:r>
              <w:rPr>
                <w:rFonts w:hint="eastAsia"/>
                <w:color w:val="auto"/>
                <w:highlight w:val="none"/>
                <w:vertAlign w:val="subscript"/>
                <w:lang w:val="en-US" w:eastAsia="zh-CN"/>
              </w:rPr>
              <w:t>3</w:t>
            </w:r>
          </w:p>
        </w:tc>
        <w:tc>
          <w:tcPr>
            <w:tcW w:w="407"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0.025</w:t>
            </w:r>
          </w:p>
        </w:tc>
        <w:tc>
          <w:tcPr>
            <w:tcW w:w="419"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4.34×10</w:t>
            </w:r>
            <w:r>
              <w:rPr>
                <w:rFonts w:hint="eastAsia" w:cs="Times New Roman"/>
                <w:color w:val="auto"/>
                <w:kern w:val="0"/>
                <w:sz w:val="21"/>
                <w:szCs w:val="21"/>
                <w:highlight w:val="none"/>
                <w:vertAlign w:val="superscript"/>
                <w:lang w:val="en-US" w:eastAsia="zh-CN" w:bidi="ar-SA"/>
              </w:rPr>
              <w:t>-3</w:t>
            </w:r>
          </w:p>
        </w:tc>
        <w:tc>
          <w:tcPr>
            <w:tcW w:w="459"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0.87</w:t>
            </w:r>
          </w:p>
        </w:tc>
        <w:tc>
          <w:tcPr>
            <w:tcW w:w="393" w:type="pct"/>
            <w:vMerge w:val="restart"/>
            <w:tcBorders>
              <w:tl2br w:val="nil"/>
              <w:tr2bl w:val="nil"/>
            </w:tcBorders>
            <w:noWrap w:val="0"/>
            <w:vAlign w:val="center"/>
          </w:tcPr>
          <w:p>
            <w:pPr>
              <w:pStyle w:val="34"/>
              <w:bidi w:val="0"/>
              <w:ind w:left="0" w:leftChars="0" w:right="0" w:rightChars="0"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4.9</w:t>
            </w:r>
          </w:p>
        </w:tc>
        <w:tc>
          <w:tcPr>
            <w:tcW w:w="458" w:type="pct"/>
            <w:vMerge w:val="restart"/>
            <w:tcBorders>
              <w:tl2br w:val="nil"/>
              <w:tr2bl w:val="nil"/>
            </w:tcBorders>
            <w:noWrap w:val="0"/>
            <w:vAlign w:val="center"/>
          </w:tcPr>
          <w:p>
            <w:pPr>
              <w:pStyle w:val="34"/>
              <w:bidi w:val="0"/>
              <w:ind w:left="0" w:leftChars="0" w:right="0" w:rightChars="0" w:firstLine="0" w:firstLineChars="0"/>
              <w:jc w:val="center"/>
              <w:rPr>
                <w:rFonts w:hint="eastAsia"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790" w:type="pct"/>
            <w:vMerge w:val="restart"/>
            <w:tcBorders>
              <w:tl2br w:val="nil"/>
              <w:tr2bl w:val="nil"/>
            </w:tcBorders>
            <w:noWrap w:val="0"/>
            <w:vAlign w:val="center"/>
          </w:tcPr>
          <w:p>
            <w:pPr>
              <w:pStyle w:val="34"/>
              <w:bidi w:val="0"/>
              <w:ind w:left="0" w:leftChars="0" w:right="0" w:rightChars="0" w:firstLine="0" w:firstLineChars="0"/>
              <w:jc w:val="center"/>
              <w:rPr>
                <w:rFonts w:hint="eastAsia"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《恶臭污染物排放标准》（GB14554-93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95"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13" w:type="pct"/>
            <w:vMerge w:val="restar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生物有机肥生产线</w:t>
            </w:r>
          </w:p>
        </w:tc>
        <w:tc>
          <w:tcPr>
            <w:tcW w:w="265" w:type="pct"/>
            <w:vMerge w:val="restar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发酵废气</w:t>
            </w:r>
          </w:p>
        </w:tc>
        <w:tc>
          <w:tcPr>
            <w:tcW w:w="354" w:type="pct"/>
            <w:tcBorders>
              <w:tl2br w:val="nil"/>
              <w:tr2bl w:val="nil"/>
            </w:tcBorders>
            <w:noWrap w:val="0"/>
            <w:vAlign w:val="center"/>
          </w:tcPr>
          <w:p>
            <w:pPr>
              <w:pStyle w:val="34"/>
              <w:bidi w:val="0"/>
              <w:ind w:left="0" w:leftChars="0" w:right="0" w:rightChars="0" w:firstLine="0" w:firstLineChars="0"/>
              <w:jc w:val="center"/>
              <w:rPr>
                <w:rFonts w:hint="default"/>
                <w:color w:val="auto"/>
                <w:highlight w:val="none"/>
                <w:lang w:val="en-US" w:eastAsia="zh-CN"/>
              </w:rPr>
            </w:pPr>
            <w:r>
              <w:rPr>
                <w:rFonts w:hint="eastAsia" w:ascii="Times New Roman" w:hAnsi="Times New Roman" w:eastAsia="宋体" w:cs="Times New Roman"/>
                <w:color w:val="auto"/>
                <w:kern w:val="0"/>
                <w:sz w:val="21"/>
                <w:szCs w:val="21"/>
                <w:highlight w:val="none"/>
                <w:lang w:val="en-US" w:eastAsia="zh-CN" w:bidi="ar-SA"/>
              </w:rPr>
              <w:t>NH</w:t>
            </w:r>
            <w:r>
              <w:rPr>
                <w:rFonts w:hint="eastAsia" w:ascii="Times New Roman" w:hAnsi="Times New Roman" w:eastAsia="宋体" w:cs="Times New Roman"/>
                <w:color w:val="auto"/>
                <w:kern w:val="0"/>
                <w:sz w:val="21"/>
                <w:szCs w:val="21"/>
                <w:highlight w:val="none"/>
                <w:vertAlign w:val="subscript"/>
                <w:lang w:val="en-US" w:eastAsia="zh-CN" w:bidi="ar-SA"/>
              </w:rPr>
              <w:t>3</w:t>
            </w:r>
          </w:p>
        </w:tc>
        <w:tc>
          <w:tcPr>
            <w:tcW w:w="413"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353"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07"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419"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459"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393"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458"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790" w:type="pct"/>
            <w:vMerge w:val="continue"/>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95"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13"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65"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354" w:type="pc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t>
            </w:r>
            <w:r>
              <w:rPr>
                <w:rFonts w:hint="eastAsia" w:ascii="Times New Roman" w:hAnsi="Times New Roman" w:eastAsia="宋体" w:cs="Times New Roman"/>
                <w:color w:val="auto"/>
                <w:kern w:val="0"/>
                <w:sz w:val="21"/>
                <w:szCs w:val="21"/>
                <w:highlight w:val="none"/>
                <w:vertAlign w:val="subscript"/>
                <w:lang w:val="en-US" w:eastAsia="zh-CN" w:bidi="ar-SA"/>
              </w:rPr>
              <w:t>2</w:t>
            </w:r>
            <w:r>
              <w:rPr>
                <w:rFonts w:hint="eastAsia" w:ascii="Times New Roman" w:hAnsi="Times New Roman" w:eastAsia="宋体" w:cs="Times New Roman"/>
                <w:color w:val="auto"/>
                <w:kern w:val="0"/>
                <w:sz w:val="21"/>
                <w:szCs w:val="21"/>
                <w:highlight w:val="none"/>
                <w:lang w:val="en-US" w:eastAsia="zh-CN" w:bidi="ar-SA"/>
              </w:rPr>
              <w:t>S</w:t>
            </w:r>
          </w:p>
        </w:tc>
        <w:tc>
          <w:tcPr>
            <w:tcW w:w="413"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353" w:type="pct"/>
            <w:vMerge w:val="restar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t>
            </w:r>
            <w:r>
              <w:rPr>
                <w:rFonts w:hint="eastAsia" w:ascii="Times New Roman" w:hAnsi="Times New Roman" w:eastAsia="宋体" w:cs="Times New Roman"/>
                <w:color w:val="auto"/>
                <w:kern w:val="0"/>
                <w:sz w:val="21"/>
                <w:szCs w:val="21"/>
                <w:highlight w:val="none"/>
                <w:vertAlign w:val="subscript"/>
                <w:lang w:val="en-US" w:eastAsia="zh-CN" w:bidi="ar-SA"/>
              </w:rPr>
              <w:t>2</w:t>
            </w:r>
            <w:r>
              <w:rPr>
                <w:rFonts w:hint="eastAsia" w:ascii="Times New Roman" w:hAnsi="Times New Roman" w:eastAsia="宋体" w:cs="Times New Roman"/>
                <w:color w:val="auto"/>
                <w:kern w:val="0"/>
                <w:sz w:val="21"/>
                <w:szCs w:val="21"/>
                <w:highlight w:val="none"/>
                <w:lang w:val="en-US" w:eastAsia="zh-CN" w:bidi="ar-SA"/>
              </w:rPr>
              <w:t>S</w:t>
            </w:r>
          </w:p>
        </w:tc>
        <w:tc>
          <w:tcPr>
            <w:tcW w:w="407"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3.28×10</w:t>
            </w:r>
            <w:r>
              <w:rPr>
                <w:rFonts w:hint="eastAsia" w:ascii="Times New Roman" w:hAnsi="Times New Roman" w:eastAsia="宋体" w:cs="Times New Roman"/>
                <w:color w:val="auto"/>
                <w:kern w:val="0"/>
                <w:sz w:val="21"/>
                <w:szCs w:val="21"/>
                <w:highlight w:val="none"/>
                <w:vertAlign w:val="superscript"/>
                <w:lang w:val="en-US" w:eastAsia="zh-CN" w:bidi="ar-SA"/>
              </w:rPr>
              <w:t>-4</w:t>
            </w:r>
          </w:p>
        </w:tc>
        <w:tc>
          <w:tcPr>
            <w:tcW w:w="419"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5.69×10</w:t>
            </w:r>
            <w:r>
              <w:rPr>
                <w:rFonts w:hint="eastAsia" w:ascii="Times New Roman" w:hAnsi="Times New Roman" w:eastAsia="宋体" w:cs="Times New Roman"/>
                <w:color w:val="auto"/>
                <w:kern w:val="0"/>
                <w:sz w:val="21"/>
                <w:szCs w:val="21"/>
                <w:highlight w:val="none"/>
                <w:vertAlign w:val="superscript"/>
                <w:lang w:val="en-US" w:eastAsia="zh-CN" w:bidi="ar-SA"/>
              </w:rPr>
              <w:t>-5</w:t>
            </w:r>
          </w:p>
        </w:tc>
        <w:tc>
          <w:tcPr>
            <w:tcW w:w="459"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0.01</w:t>
            </w:r>
          </w:p>
        </w:tc>
        <w:tc>
          <w:tcPr>
            <w:tcW w:w="393" w:type="pct"/>
            <w:vMerge w:val="restar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0.33</w:t>
            </w:r>
          </w:p>
        </w:tc>
        <w:tc>
          <w:tcPr>
            <w:tcW w:w="458" w:type="pct"/>
            <w:vMerge w:val="restar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790"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95"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13"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65" w:type="pct"/>
            <w:tcBorders>
              <w:tl2br w:val="nil"/>
              <w:tr2bl w:val="nil"/>
            </w:tcBorders>
            <w:noWrap w:val="0"/>
            <w:vAlign w:val="center"/>
          </w:tcPr>
          <w:p>
            <w:pPr>
              <w:pStyle w:val="34"/>
              <w:bidi w:val="0"/>
              <w:jc w:val="center"/>
              <w:rPr>
                <w:rFonts w:hint="default"/>
                <w:color w:val="auto"/>
                <w:highlight w:val="none"/>
                <w:lang w:val="en-US" w:eastAsia="zh-CN"/>
              </w:rPr>
            </w:pPr>
            <w:r>
              <w:rPr>
                <w:rFonts w:hint="eastAsia"/>
                <w:color w:val="auto"/>
                <w:highlight w:val="none"/>
                <w:lang w:val="en-US" w:eastAsia="zh-CN"/>
              </w:rPr>
              <w:t>加工废气</w:t>
            </w:r>
          </w:p>
        </w:tc>
        <w:tc>
          <w:tcPr>
            <w:tcW w:w="354"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颗粒物</w:t>
            </w:r>
          </w:p>
        </w:tc>
        <w:tc>
          <w:tcPr>
            <w:tcW w:w="413"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353"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407" w:type="pct"/>
            <w:vMerge w:val="continue"/>
            <w:tcBorders>
              <w:tl2br w:val="nil"/>
              <w:tr2bl w:val="nil"/>
            </w:tcBorders>
            <w:noWrap w:val="0"/>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c>
          <w:tcPr>
            <w:tcW w:w="419" w:type="pct"/>
            <w:vMerge w:val="continue"/>
            <w:tcBorders>
              <w:tl2br w:val="nil"/>
              <w:tr2bl w:val="nil"/>
            </w:tcBorders>
            <w:noWrap w:val="0"/>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c>
          <w:tcPr>
            <w:tcW w:w="459" w:type="pct"/>
            <w:vMerge w:val="continue"/>
            <w:tcBorders>
              <w:tl2br w:val="nil"/>
              <w:tr2bl w:val="nil"/>
            </w:tcBorders>
            <w:noWrap w:val="0"/>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c>
          <w:tcPr>
            <w:tcW w:w="393"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458"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790" w:type="pct"/>
            <w:vMerge w:val="continue"/>
            <w:tcBorders>
              <w:tl2br w:val="nil"/>
              <w:tr2bl w:val="nil"/>
            </w:tcBorders>
            <w:noWrap w:val="0"/>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gridSpan w:val="2"/>
            <w:vMerge w:val="restart"/>
            <w:tcBorders>
              <w:tl2br w:val="nil"/>
              <w:tr2bl w:val="nil"/>
            </w:tcBorders>
            <w:noWrap w:val="0"/>
            <w:vAlign w:val="center"/>
          </w:tcPr>
          <w:p>
            <w:pPr>
              <w:pStyle w:val="34"/>
              <w:bidi w:val="0"/>
              <w:jc w:val="center"/>
              <w:rPr>
                <w:rFonts w:hint="eastAsia"/>
                <w:color w:val="auto"/>
                <w:highlight w:val="none"/>
                <w:lang w:val="en-US" w:eastAsia="zh-CN"/>
              </w:rPr>
            </w:pPr>
            <w:r>
              <w:rPr>
                <w:rFonts w:hint="eastAsia"/>
                <w:color w:val="auto"/>
                <w:highlight w:val="none"/>
                <w:lang w:val="en-US" w:eastAsia="zh-CN"/>
              </w:rPr>
              <w:t>无组织废气</w:t>
            </w:r>
          </w:p>
        </w:tc>
        <w:tc>
          <w:tcPr>
            <w:tcW w:w="213" w:type="pct"/>
            <w:vMerge w:val="restar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动植物油脂生产线</w:t>
            </w:r>
          </w:p>
        </w:tc>
        <w:tc>
          <w:tcPr>
            <w:tcW w:w="265" w:type="pct"/>
            <w:vMerge w:val="restar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熔炼废气</w:t>
            </w:r>
          </w:p>
        </w:tc>
        <w:tc>
          <w:tcPr>
            <w:tcW w:w="354" w:type="pc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油烟</w:t>
            </w:r>
          </w:p>
        </w:tc>
        <w:tc>
          <w:tcPr>
            <w:tcW w:w="413" w:type="pct"/>
            <w:vMerge w:val="restar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强化通风</w:t>
            </w:r>
          </w:p>
        </w:tc>
        <w:tc>
          <w:tcPr>
            <w:tcW w:w="353" w:type="pct"/>
            <w:vMerge w:val="restar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油烟</w:t>
            </w:r>
          </w:p>
        </w:tc>
        <w:tc>
          <w:tcPr>
            <w:tcW w:w="407" w:type="pct"/>
            <w:vMerge w:val="restar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2×10</w:t>
            </w:r>
            <w:r>
              <w:rPr>
                <w:rFonts w:hint="default" w:ascii="Times New Roman" w:hAnsi="Times New Roman" w:cs="Times New Roman"/>
                <w:color w:val="auto"/>
                <w:highlight w:val="none"/>
                <w:vertAlign w:val="superscript"/>
                <w:lang w:val="en-US" w:eastAsia="zh-CN"/>
              </w:rPr>
              <w:t>-3</w:t>
            </w:r>
          </w:p>
        </w:tc>
        <w:tc>
          <w:tcPr>
            <w:tcW w:w="419" w:type="pct"/>
            <w:vMerge w:val="restar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3.47×10</w:t>
            </w:r>
            <w:r>
              <w:rPr>
                <w:rFonts w:hint="default" w:ascii="Times New Roman" w:hAnsi="Times New Roman" w:cs="Times New Roman"/>
                <w:color w:val="auto"/>
                <w:highlight w:val="none"/>
                <w:vertAlign w:val="superscript"/>
                <w:lang w:val="en-US" w:eastAsia="zh-CN"/>
              </w:rPr>
              <w:t>-4</w:t>
            </w:r>
          </w:p>
        </w:tc>
        <w:tc>
          <w:tcPr>
            <w:tcW w:w="459" w:type="pct"/>
            <w:vMerge w:val="restart"/>
            <w:tcBorders>
              <w:tl2br w:val="nil"/>
              <w:tr2bl w:val="nil"/>
            </w:tcBorders>
            <w:noWrap w:val="0"/>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393"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8"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790" w:type="pct"/>
            <w:vMerge w:val="restart"/>
            <w:tcBorders>
              <w:tl2br w:val="nil"/>
              <w:tr2bl w:val="nil"/>
            </w:tcBorders>
            <w:noWrap w:val="0"/>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gridSpan w:val="2"/>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13"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65"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354" w:type="pc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非甲烷总烃</w:t>
            </w:r>
          </w:p>
        </w:tc>
        <w:tc>
          <w:tcPr>
            <w:tcW w:w="413"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353"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407" w:type="pct"/>
            <w:vMerge w:val="continue"/>
            <w:tcBorders>
              <w:tl2br w:val="nil"/>
              <w:tr2bl w:val="nil"/>
            </w:tcBorders>
            <w:noWrap w:val="0"/>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c>
          <w:tcPr>
            <w:tcW w:w="419" w:type="pct"/>
            <w:vMerge w:val="continue"/>
            <w:tcBorders>
              <w:tl2br w:val="nil"/>
              <w:tr2bl w:val="nil"/>
            </w:tcBorders>
            <w:noWrap w:val="0"/>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c>
          <w:tcPr>
            <w:tcW w:w="459" w:type="pct"/>
            <w:vMerge w:val="continue"/>
            <w:tcBorders>
              <w:tl2br w:val="nil"/>
              <w:tr2bl w:val="nil"/>
            </w:tcBorders>
            <w:noWrap w:val="0"/>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c>
          <w:tcPr>
            <w:tcW w:w="393"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458"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790" w:type="pct"/>
            <w:vMerge w:val="continue"/>
            <w:tcBorders>
              <w:tl2br w:val="nil"/>
              <w:tr2bl w:val="nil"/>
            </w:tcBorders>
            <w:noWrap w:val="0"/>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gridSpan w:val="2"/>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13"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65" w:type="pct"/>
            <w:vMerge w:val="restar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精炼恶臭</w:t>
            </w:r>
          </w:p>
        </w:tc>
        <w:tc>
          <w:tcPr>
            <w:tcW w:w="354" w:type="pc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NH</w:t>
            </w:r>
            <w:r>
              <w:rPr>
                <w:rFonts w:hint="default" w:ascii="Times New Roman" w:hAnsi="Times New Roman" w:cs="Times New Roman"/>
                <w:color w:val="auto"/>
                <w:highlight w:val="none"/>
                <w:vertAlign w:val="subscript"/>
                <w:lang w:val="en-US" w:eastAsia="zh-CN"/>
              </w:rPr>
              <w:t>3</w:t>
            </w:r>
          </w:p>
        </w:tc>
        <w:tc>
          <w:tcPr>
            <w:tcW w:w="413"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353" w:type="pct"/>
            <w:vMerge w:val="restar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非甲烷总烃</w:t>
            </w:r>
          </w:p>
        </w:tc>
        <w:tc>
          <w:tcPr>
            <w:tcW w:w="407" w:type="pct"/>
            <w:vMerge w:val="restar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0.8</w:t>
            </w:r>
          </w:p>
        </w:tc>
        <w:tc>
          <w:tcPr>
            <w:tcW w:w="419" w:type="pct"/>
            <w:vMerge w:val="restar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0.14</w:t>
            </w:r>
          </w:p>
        </w:tc>
        <w:tc>
          <w:tcPr>
            <w:tcW w:w="459" w:type="pct"/>
            <w:vMerge w:val="restart"/>
            <w:tcBorders>
              <w:tl2br w:val="nil"/>
              <w:tr2bl w:val="nil"/>
            </w:tcBorders>
            <w:noWrap w:val="0"/>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393"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8" w:type="pct"/>
            <w:vMerge w:val="restar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4.0</w:t>
            </w:r>
          </w:p>
        </w:tc>
        <w:tc>
          <w:tcPr>
            <w:tcW w:w="790" w:type="pct"/>
            <w:vMerge w:val="restart"/>
            <w:tcBorders>
              <w:tl2br w:val="nil"/>
              <w:tr2bl w:val="nil"/>
            </w:tcBorders>
            <w:noWrap w:val="0"/>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vertAlign w:val="baseline"/>
                <w:lang w:val="en-US" w:eastAsia="zh-CN"/>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gridSpan w:val="2"/>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13"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265" w:type="pct"/>
            <w:vMerge w:val="continue"/>
            <w:tcBorders>
              <w:tl2br w:val="nil"/>
              <w:tr2bl w:val="nil"/>
            </w:tcBorders>
            <w:noWrap w:val="0"/>
            <w:vAlign w:val="center"/>
          </w:tcPr>
          <w:p>
            <w:pPr>
              <w:pStyle w:val="34"/>
              <w:bidi w:val="0"/>
              <w:jc w:val="center"/>
              <w:rPr>
                <w:rFonts w:hint="eastAsia"/>
                <w:color w:val="auto"/>
                <w:highlight w:val="none"/>
                <w:lang w:val="en-US" w:eastAsia="zh-CN"/>
              </w:rPr>
            </w:pPr>
          </w:p>
        </w:tc>
        <w:tc>
          <w:tcPr>
            <w:tcW w:w="354" w:type="pct"/>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H</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S</w:t>
            </w:r>
          </w:p>
        </w:tc>
        <w:tc>
          <w:tcPr>
            <w:tcW w:w="413"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353"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407" w:type="pct"/>
            <w:vMerge w:val="continue"/>
            <w:tcBorders>
              <w:tl2br w:val="nil"/>
              <w:tr2bl w:val="nil"/>
            </w:tcBorders>
            <w:noWrap w:val="0"/>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c>
          <w:tcPr>
            <w:tcW w:w="419" w:type="pct"/>
            <w:vMerge w:val="continue"/>
            <w:tcBorders>
              <w:tl2br w:val="nil"/>
              <w:tr2bl w:val="nil"/>
            </w:tcBorders>
            <w:noWrap w:val="0"/>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c>
          <w:tcPr>
            <w:tcW w:w="459" w:type="pct"/>
            <w:vMerge w:val="continue"/>
            <w:tcBorders>
              <w:tl2br w:val="nil"/>
              <w:tr2bl w:val="nil"/>
            </w:tcBorders>
            <w:noWrap w:val="0"/>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c>
          <w:tcPr>
            <w:tcW w:w="393"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458" w:type="pct"/>
            <w:vMerge w:val="continue"/>
            <w:tcBorders>
              <w:tl2br w:val="nil"/>
              <w:tr2bl w:val="nil"/>
            </w:tcBorders>
            <w:noWrap w:val="0"/>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790" w:type="pct"/>
            <w:vMerge w:val="continue"/>
            <w:tcBorders>
              <w:tl2br w:val="nil"/>
              <w:tr2bl w:val="nil"/>
            </w:tcBorders>
            <w:noWrap w:val="0"/>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gridSpan w:val="2"/>
            <w:vMerge w:val="continue"/>
            <w:tcBorders>
              <w:tl2br w:val="nil"/>
              <w:tr2bl w:val="nil"/>
            </w:tcBorders>
            <w:vAlign w:val="center"/>
          </w:tcPr>
          <w:p>
            <w:pPr>
              <w:pStyle w:val="34"/>
              <w:bidi w:val="0"/>
              <w:jc w:val="center"/>
              <w:rPr>
                <w:rFonts w:hint="eastAsia"/>
                <w:color w:val="auto"/>
                <w:highlight w:val="none"/>
                <w:lang w:val="en-US" w:eastAsia="zh-CN"/>
              </w:rPr>
            </w:pPr>
          </w:p>
        </w:tc>
        <w:tc>
          <w:tcPr>
            <w:tcW w:w="213" w:type="pct"/>
            <w:vMerge w:val="restar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生物燃料生产线</w:t>
            </w:r>
          </w:p>
        </w:tc>
        <w:tc>
          <w:tcPr>
            <w:tcW w:w="265" w:type="pct"/>
            <w:vMerge w:val="restar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恶臭</w:t>
            </w:r>
          </w:p>
        </w:tc>
        <w:tc>
          <w:tcPr>
            <w:tcW w:w="354"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NH</w:t>
            </w:r>
            <w:r>
              <w:rPr>
                <w:rFonts w:hint="default" w:ascii="Times New Roman" w:hAnsi="Times New Roman" w:cs="Times New Roman"/>
                <w:color w:val="auto"/>
                <w:highlight w:val="none"/>
                <w:vertAlign w:val="subscript"/>
                <w:lang w:val="en-US" w:eastAsia="zh-CN"/>
              </w:rPr>
              <w:t>3</w:t>
            </w:r>
          </w:p>
        </w:tc>
        <w:tc>
          <w:tcPr>
            <w:tcW w:w="413" w:type="pct"/>
            <w:vMerge w:val="continue"/>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353" w:type="pct"/>
            <w:vMerge w:val="continue"/>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407" w:type="pct"/>
            <w:vMerge w:val="continue"/>
            <w:tcBorders>
              <w:tl2br w:val="nil"/>
              <w:tr2bl w:val="nil"/>
            </w:tcBorders>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c>
          <w:tcPr>
            <w:tcW w:w="419" w:type="pct"/>
            <w:vMerge w:val="continue"/>
            <w:tcBorders>
              <w:tl2br w:val="nil"/>
              <w:tr2bl w:val="nil"/>
            </w:tcBorders>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c>
          <w:tcPr>
            <w:tcW w:w="459" w:type="pct"/>
            <w:vMerge w:val="continue"/>
            <w:tcBorders>
              <w:tl2br w:val="nil"/>
              <w:tr2bl w:val="nil"/>
            </w:tcBorders>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c>
          <w:tcPr>
            <w:tcW w:w="393" w:type="pct"/>
            <w:vMerge w:val="continue"/>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458" w:type="pct"/>
            <w:vMerge w:val="continue"/>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790" w:type="pct"/>
            <w:vMerge w:val="continue"/>
            <w:tcBorders>
              <w:tl2br w:val="nil"/>
              <w:tr2bl w:val="nil"/>
            </w:tcBorders>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gridSpan w:val="2"/>
            <w:vMerge w:val="continue"/>
            <w:tcBorders>
              <w:tl2br w:val="nil"/>
              <w:tr2bl w:val="nil"/>
            </w:tcBorders>
            <w:vAlign w:val="center"/>
          </w:tcPr>
          <w:p>
            <w:pPr>
              <w:pStyle w:val="34"/>
              <w:bidi w:val="0"/>
              <w:jc w:val="center"/>
              <w:rPr>
                <w:rFonts w:hint="eastAsia"/>
                <w:color w:val="auto"/>
                <w:highlight w:val="none"/>
                <w:lang w:val="en-US" w:eastAsia="zh-CN"/>
              </w:rPr>
            </w:pPr>
          </w:p>
        </w:tc>
        <w:tc>
          <w:tcPr>
            <w:tcW w:w="213" w:type="pct"/>
            <w:vMerge w:val="continue"/>
            <w:tcBorders>
              <w:tl2br w:val="nil"/>
              <w:tr2bl w:val="nil"/>
            </w:tcBorders>
            <w:vAlign w:val="center"/>
          </w:tcPr>
          <w:p>
            <w:pPr>
              <w:pStyle w:val="34"/>
              <w:bidi w:val="0"/>
              <w:jc w:val="center"/>
              <w:rPr>
                <w:rFonts w:hint="eastAsia"/>
                <w:color w:val="auto"/>
                <w:highlight w:val="none"/>
                <w:lang w:val="en-US" w:eastAsia="zh-CN"/>
              </w:rPr>
            </w:pPr>
          </w:p>
        </w:tc>
        <w:tc>
          <w:tcPr>
            <w:tcW w:w="265" w:type="pct"/>
            <w:vMerge w:val="continue"/>
            <w:tcBorders>
              <w:tl2br w:val="nil"/>
              <w:tr2bl w:val="nil"/>
            </w:tcBorders>
            <w:vAlign w:val="center"/>
          </w:tcPr>
          <w:p>
            <w:pPr>
              <w:pStyle w:val="34"/>
              <w:bidi w:val="0"/>
              <w:jc w:val="center"/>
              <w:rPr>
                <w:rFonts w:hint="eastAsia"/>
                <w:color w:val="auto"/>
                <w:highlight w:val="none"/>
                <w:lang w:val="en-US" w:eastAsia="zh-CN"/>
              </w:rPr>
            </w:pPr>
          </w:p>
        </w:tc>
        <w:tc>
          <w:tcPr>
            <w:tcW w:w="354"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H</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S</w:t>
            </w:r>
          </w:p>
        </w:tc>
        <w:tc>
          <w:tcPr>
            <w:tcW w:w="413" w:type="pct"/>
            <w:vMerge w:val="continue"/>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353"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NH</w:t>
            </w:r>
            <w:r>
              <w:rPr>
                <w:rFonts w:hint="default" w:ascii="Times New Roman" w:hAnsi="Times New Roman" w:cs="Times New Roman"/>
                <w:color w:val="auto"/>
                <w:highlight w:val="none"/>
                <w:vertAlign w:val="subscript"/>
                <w:lang w:val="en-US" w:eastAsia="zh-CN"/>
              </w:rPr>
              <w:t>3</w:t>
            </w:r>
          </w:p>
        </w:tc>
        <w:tc>
          <w:tcPr>
            <w:tcW w:w="407"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highlight w:val="none"/>
                <w:lang w:val="en-US" w:eastAsia="zh-CN"/>
              </w:rPr>
              <w:t>0.168</w:t>
            </w:r>
          </w:p>
        </w:tc>
        <w:tc>
          <w:tcPr>
            <w:tcW w:w="419"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highlight w:val="none"/>
                <w:lang w:val="en-US" w:eastAsia="zh-CN"/>
              </w:rPr>
              <w:t>0.029</w:t>
            </w:r>
          </w:p>
        </w:tc>
        <w:tc>
          <w:tcPr>
            <w:tcW w:w="459" w:type="pct"/>
            <w:tcBorders>
              <w:tl2br w:val="nil"/>
              <w:tr2bl w:val="nil"/>
            </w:tcBorders>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393"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8"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1.5</w:t>
            </w:r>
          </w:p>
        </w:tc>
        <w:tc>
          <w:tcPr>
            <w:tcW w:w="790" w:type="pct"/>
            <w:vMerge w:val="restart"/>
            <w:tcBorders>
              <w:tl2br w:val="nil"/>
              <w:tr2bl w:val="nil"/>
            </w:tcBorders>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vertAlign w:val="baseline"/>
                <w:lang w:val="en-US" w:eastAsia="zh-CN"/>
              </w:rPr>
              <w:t>《恶臭污染物排放标准》（GB14554-93）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gridSpan w:val="2"/>
            <w:vMerge w:val="continue"/>
            <w:tcBorders>
              <w:tl2br w:val="nil"/>
              <w:tr2bl w:val="nil"/>
            </w:tcBorders>
            <w:vAlign w:val="center"/>
          </w:tcPr>
          <w:p>
            <w:pPr>
              <w:pStyle w:val="34"/>
              <w:bidi w:val="0"/>
              <w:jc w:val="center"/>
              <w:rPr>
                <w:rFonts w:hint="eastAsia"/>
                <w:color w:val="auto"/>
                <w:highlight w:val="none"/>
                <w:lang w:val="en-US" w:eastAsia="zh-CN"/>
              </w:rPr>
            </w:pPr>
          </w:p>
        </w:tc>
        <w:tc>
          <w:tcPr>
            <w:tcW w:w="213" w:type="pct"/>
            <w:vMerge w:val="continue"/>
            <w:tcBorders>
              <w:tl2br w:val="nil"/>
              <w:tr2bl w:val="nil"/>
            </w:tcBorders>
            <w:vAlign w:val="center"/>
          </w:tcPr>
          <w:p>
            <w:pPr>
              <w:pStyle w:val="34"/>
              <w:bidi w:val="0"/>
              <w:jc w:val="center"/>
              <w:rPr>
                <w:rFonts w:hint="eastAsia"/>
                <w:color w:val="auto"/>
                <w:highlight w:val="none"/>
                <w:lang w:val="en-US" w:eastAsia="zh-CN"/>
              </w:rPr>
            </w:pPr>
          </w:p>
        </w:tc>
        <w:tc>
          <w:tcPr>
            <w:tcW w:w="265"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加热废气</w:t>
            </w:r>
          </w:p>
        </w:tc>
        <w:tc>
          <w:tcPr>
            <w:tcW w:w="354"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非甲烷总烃</w:t>
            </w:r>
          </w:p>
        </w:tc>
        <w:tc>
          <w:tcPr>
            <w:tcW w:w="413" w:type="pct"/>
            <w:vMerge w:val="continue"/>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353"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H</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S</w:t>
            </w:r>
          </w:p>
        </w:tc>
        <w:tc>
          <w:tcPr>
            <w:tcW w:w="407"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highlight w:val="none"/>
                <w:lang w:val="en-US" w:eastAsia="zh-CN"/>
              </w:rPr>
              <w:t>0.01413</w:t>
            </w:r>
          </w:p>
        </w:tc>
        <w:tc>
          <w:tcPr>
            <w:tcW w:w="419"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highlight w:val="none"/>
                <w:lang w:val="en-US" w:eastAsia="zh-CN"/>
              </w:rPr>
              <w:t>2.45×10</w:t>
            </w:r>
            <w:r>
              <w:rPr>
                <w:rFonts w:hint="eastAsia" w:cs="Times New Roman"/>
                <w:color w:val="auto"/>
                <w:highlight w:val="none"/>
                <w:vertAlign w:val="superscript"/>
                <w:lang w:val="en-US" w:eastAsia="zh-CN"/>
              </w:rPr>
              <w:t>-3</w:t>
            </w:r>
          </w:p>
        </w:tc>
        <w:tc>
          <w:tcPr>
            <w:tcW w:w="459" w:type="pct"/>
            <w:tcBorders>
              <w:tl2br w:val="nil"/>
              <w:tr2bl w:val="nil"/>
            </w:tcBorders>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393"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8"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0.06</w:t>
            </w:r>
          </w:p>
        </w:tc>
        <w:tc>
          <w:tcPr>
            <w:tcW w:w="790" w:type="pct"/>
            <w:vMerge w:val="continue"/>
            <w:tcBorders>
              <w:tl2br w:val="nil"/>
              <w:tr2bl w:val="nil"/>
            </w:tcBorders>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gridSpan w:val="2"/>
            <w:vMerge w:val="continue"/>
            <w:tcBorders>
              <w:tl2br w:val="nil"/>
              <w:tr2bl w:val="nil"/>
            </w:tcBorders>
            <w:vAlign w:val="center"/>
          </w:tcPr>
          <w:p>
            <w:pPr>
              <w:pStyle w:val="34"/>
              <w:bidi w:val="0"/>
              <w:jc w:val="center"/>
              <w:rPr>
                <w:rFonts w:hint="eastAsia"/>
                <w:color w:val="auto"/>
                <w:highlight w:val="none"/>
                <w:lang w:val="en-US" w:eastAsia="zh-CN"/>
              </w:rPr>
            </w:pPr>
          </w:p>
        </w:tc>
        <w:tc>
          <w:tcPr>
            <w:tcW w:w="213" w:type="pct"/>
            <w:vMerge w:val="continue"/>
            <w:tcBorders>
              <w:tl2br w:val="nil"/>
              <w:tr2bl w:val="nil"/>
            </w:tcBorders>
            <w:vAlign w:val="center"/>
          </w:tcPr>
          <w:p>
            <w:pPr>
              <w:pStyle w:val="34"/>
              <w:bidi w:val="0"/>
              <w:jc w:val="center"/>
              <w:rPr>
                <w:rFonts w:hint="eastAsia"/>
                <w:color w:val="auto"/>
                <w:highlight w:val="none"/>
                <w:lang w:val="en-US" w:eastAsia="zh-CN"/>
              </w:rPr>
            </w:pPr>
          </w:p>
        </w:tc>
        <w:tc>
          <w:tcPr>
            <w:tcW w:w="265"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投料、破碎废气</w:t>
            </w:r>
          </w:p>
        </w:tc>
        <w:tc>
          <w:tcPr>
            <w:tcW w:w="354"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颗粒物</w:t>
            </w:r>
          </w:p>
        </w:tc>
        <w:tc>
          <w:tcPr>
            <w:tcW w:w="413" w:type="pct"/>
            <w:vMerge w:val="continue"/>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353"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颗粒物</w:t>
            </w:r>
          </w:p>
        </w:tc>
        <w:tc>
          <w:tcPr>
            <w:tcW w:w="407"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0.2</w:t>
            </w:r>
          </w:p>
        </w:tc>
        <w:tc>
          <w:tcPr>
            <w:tcW w:w="419"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0.03</w:t>
            </w:r>
          </w:p>
        </w:tc>
        <w:tc>
          <w:tcPr>
            <w:tcW w:w="459" w:type="pct"/>
            <w:tcBorders>
              <w:tl2br w:val="nil"/>
              <w:tr2bl w:val="nil"/>
            </w:tcBorders>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393"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8"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1.0</w:t>
            </w:r>
          </w:p>
        </w:tc>
        <w:tc>
          <w:tcPr>
            <w:tcW w:w="790" w:type="pct"/>
            <w:vMerge w:val="restar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《大气污染物综合排放标准（GB16297-1996）</w:t>
            </w:r>
          </w:p>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gridSpan w:val="2"/>
            <w:vMerge w:val="continue"/>
            <w:tcBorders>
              <w:tl2br w:val="nil"/>
              <w:tr2bl w:val="nil"/>
            </w:tcBorders>
            <w:vAlign w:val="center"/>
          </w:tcPr>
          <w:p>
            <w:pPr>
              <w:pStyle w:val="34"/>
              <w:bidi w:val="0"/>
              <w:jc w:val="center"/>
              <w:rPr>
                <w:rFonts w:hint="eastAsia"/>
                <w:color w:val="auto"/>
                <w:highlight w:val="none"/>
                <w:lang w:val="en-US" w:eastAsia="zh-CN"/>
              </w:rPr>
            </w:pPr>
          </w:p>
        </w:tc>
        <w:tc>
          <w:tcPr>
            <w:tcW w:w="213" w:type="pct"/>
            <w:vMerge w:val="continue"/>
            <w:tcBorders>
              <w:tl2br w:val="nil"/>
              <w:tr2bl w:val="nil"/>
            </w:tcBorders>
            <w:vAlign w:val="center"/>
          </w:tcPr>
          <w:p>
            <w:pPr>
              <w:pStyle w:val="34"/>
              <w:bidi w:val="0"/>
              <w:jc w:val="center"/>
              <w:rPr>
                <w:rFonts w:hint="eastAsia"/>
                <w:color w:val="auto"/>
                <w:highlight w:val="none"/>
                <w:lang w:val="en-US" w:eastAsia="zh-CN"/>
              </w:rPr>
            </w:pPr>
          </w:p>
        </w:tc>
        <w:tc>
          <w:tcPr>
            <w:tcW w:w="265"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挥发废气</w:t>
            </w:r>
          </w:p>
        </w:tc>
        <w:tc>
          <w:tcPr>
            <w:tcW w:w="354"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甲醇</w:t>
            </w:r>
          </w:p>
        </w:tc>
        <w:tc>
          <w:tcPr>
            <w:tcW w:w="413" w:type="pct"/>
            <w:vMerge w:val="continue"/>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353"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甲醇</w:t>
            </w:r>
          </w:p>
        </w:tc>
        <w:tc>
          <w:tcPr>
            <w:tcW w:w="407"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5×10</w:t>
            </w:r>
            <w:r>
              <w:rPr>
                <w:rFonts w:hint="default" w:ascii="Times New Roman" w:hAnsi="Times New Roman" w:cs="Times New Roman"/>
                <w:color w:val="auto"/>
                <w:highlight w:val="none"/>
                <w:vertAlign w:val="superscript"/>
                <w:lang w:val="en-US" w:eastAsia="zh-CN"/>
              </w:rPr>
              <w:t>-3</w:t>
            </w:r>
          </w:p>
        </w:tc>
        <w:tc>
          <w:tcPr>
            <w:tcW w:w="419"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8.68×10</w:t>
            </w:r>
            <w:r>
              <w:rPr>
                <w:rFonts w:hint="default" w:ascii="Times New Roman" w:hAnsi="Times New Roman" w:cs="Times New Roman"/>
                <w:color w:val="auto"/>
                <w:highlight w:val="none"/>
                <w:vertAlign w:val="superscript"/>
                <w:lang w:val="en-US" w:eastAsia="zh-CN"/>
              </w:rPr>
              <w:t>-4</w:t>
            </w:r>
          </w:p>
        </w:tc>
        <w:tc>
          <w:tcPr>
            <w:tcW w:w="459" w:type="pct"/>
            <w:tcBorders>
              <w:tl2br w:val="nil"/>
              <w:tr2bl w:val="nil"/>
            </w:tcBorders>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393"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8"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12</w:t>
            </w:r>
          </w:p>
        </w:tc>
        <w:tc>
          <w:tcPr>
            <w:tcW w:w="790" w:type="pct"/>
            <w:vMerge w:val="continue"/>
            <w:tcBorders>
              <w:tl2br w:val="nil"/>
              <w:tr2bl w:val="nil"/>
            </w:tcBorders>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gridSpan w:val="2"/>
            <w:vMerge w:val="continue"/>
            <w:tcBorders>
              <w:tl2br w:val="nil"/>
              <w:tr2bl w:val="nil"/>
            </w:tcBorders>
            <w:vAlign w:val="center"/>
          </w:tcPr>
          <w:p>
            <w:pPr>
              <w:pStyle w:val="34"/>
              <w:bidi w:val="0"/>
              <w:jc w:val="center"/>
              <w:rPr>
                <w:rFonts w:hint="eastAsia"/>
                <w:color w:val="auto"/>
                <w:highlight w:val="none"/>
                <w:lang w:val="en-US" w:eastAsia="zh-CN"/>
              </w:rPr>
            </w:pPr>
          </w:p>
        </w:tc>
        <w:tc>
          <w:tcPr>
            <w:tcW w:w="213" w:type="pct"/>
            <w:vMerge w:val="restar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水溶肥生产线</w:t>
            </w:r>
          </w:p>
        </w:tc>
        <w:tc>
          <w:tcPr>
            <w:tcW w:w="265"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投料废气</w:t>
            </w:r>
          </w:p>
        </w:tc>
        <w:tc>
          <w:tcPr>
            <w:tcW w:w="354"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颗粒物</w:t>
            </w:r>
          </w:p>
        </w:tc>
        <w:tc>
          <w:tcPr>
            <w:tcW w:w="413" w:type="pct"/>
            <w:vMerge w:val="restar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强化通风</w:t>
            </w:r>
          </w:p>
        </w:tc>
        <w:tc>
          <w:tcPr>
            <w:tcW w:w="353" w:type="pct"/>
            <w:vMerge w:val="restar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颗粒物</w:t>
            </w:r>
          </w:p>
        </w:tc>
        <w:tc>
          <w:tcPr>
            <w:tcW w:w="407" w:type="pct"/>
            <w:vMerge w:val="restar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0.7403</w:t>
            </w:r>
          </w:p>
        </w:tc>
        <w:tc>
          <w:tcPr>
            <w:tcW w:w="419" w:type="pct"/>
            <w:vMerge w:val="restar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0.13</w:t>
            </w:r>
          </w:p>
        </w:tc>
        <w:tc>
          <w:tcPr>
            <w:tcW w:w="459" w:type="pct"/>
            <w:vMerge w:val="restart"/>
            <w:tcBorders>
              <w:tl2br w:val="nil"/>
              <w:tr2bl w:val="nil"/>
            </w:tcBorders>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393" w:type="pct"/>
            <w:vMerge w:val="restar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8" w:type="pct"/>
            <w:vMerge w:val="restar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1.0</w:t>
            </w:r>
          </w:p>
        </w:tc>
        <w:tc>
          <w:tcPr>
            <w:tcW w:w="790" w:type="pct"/>
            <w:vMerge w:val="continue"/>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gridSpan w:val="2"/>
            <w:vMerge w:val="continue"/>
            <w:tcBorders>
              <w:tl2br w:val="nil"/>
              <w:tr2bl w:val="nil"/>
            </w:tcBorders>
            <w:vAlign w:val="center"/>
          </w:tcPr>
          <w:p>
            <w:pPr>
              <w:pStyle w:val="34"/>
              <w:bidi w:val="0"/>
              <w:jc w:val="center"/>
              <w:rPr>
                <w:rFonts w:hint="eastAsia"/>
                <w:color w:val="auto"/>
                <w:highlight w:val="none"/>
                <w:lang w:val="en-US" w:eastAsia="zh-CN"/>
              </w:rPr>
            </w:pPr>
          </w:p>
        </w:tc>
        <w:tc>
          <w:tcPr>
            <w:tcW w:w="213" w:type="pct"/>
            <w:vMerge w:val="continue"/>
            <w:tcBorders>
              <w:tl2br w:val="nil"/>
              <w:tr2bl w:val="nil"/>
            </w:tcBorders>
            <w:vAlign w:val="center"/>
          </w:tcPr>
          <w:p>
            <w:pPr>
              <w:pStyle w:val="34"/>
              <w:bidi w:val="0"/>
              <w:jc w:val="center"/>
              <w:rPr>
                <w:rFonts w:hint="eastAsia"/>
                <w:color w:val="auto"/>
                <w:highlight w:val="none"/>
                <w:lang w:val="en-US" w:eastAsia="zh-CN"/>
              </w:rPr>
            </w:pPr>
          </w:p>
        </w:tc>
        <w:tc>
          <w:tcPr>
            <w:tcW w:w="265"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呼吸口废气</w:t>
            </w:r>
          </w:p>
        </w:tc>
        <w:tc>
          <w:tcPr>
            <w:tcW w:w="354"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NH</w:t>
            </w:r>
            <w:r>
              <w:rPr>
                <w:rFonts w:hint="default" w:ascii="Times New Roman" w:hAnsi="Times New Roman" w:cs="Times New Roman"/>
                <w:color w:val="auto"/>
                <w:highlight w:val="none"/>
                <w:vertAlign w:val="subscript"/>
                <w:lang w:val="en-US" w:eastAsia="zh-CN"/>
              </w:rPr>
              <w:t>3</w:t>
            </w:r>
          </w:p>
        </w:tc>
        <w:tc>
          <w:tcPr>
            <w:tcW w:w="413" w:type="pct"/>
            <w:vMerge w:val="continue"/>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353" w:type="pct"/>
            <w:vMerge w:val="continue"/>
            <w:tcBorders>
              <w:tl2br w:val="nil"/>
              <w:tr2bl w:val="nil"/>
            </w:tcBorders>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p>
        </w:tc>
        <w:tc>
          <w:tcPr>
            <w:tcW w:w="407" w:type="pct"/>
            <w:vMerge w:val="continue"/>
            <w:tcBorders>
              <w:tl2br w:val="nil"/>
              <w:tr2bl w:val="nil"/>
            </w:tcBorders>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c>
          <w:tcPr>
            <w:tcW w:w="419" w:type="pct"/>
            <w:vMerge w:val="continue"/>
            <w:tcBorders>
              <w:tl2br w:val="nil"/>
              <w:tr2bl w:val="nil"/>
            </w:tcBorders>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c>
          <w:tcPr>
            <w:tcW w:w="459" w:type="pct"/>
            <w:vMerge w:val="continue"/>
            <w:tcBorders>
              <w:tl2br w:val="nil"/>
              <w:tr2bl w:val="nil"/>
            </w:tcBorders>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c>
          <w:tcPr>
            <w:tcW w:w="393" w:type="pct"/>
            <w:vMerge w:val="continue"/>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458" w:type="pct"/>
            <w:vMerge w:val="continue"/>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790" w:type="pct"/>
            <w:vMerge w:val="continue"/>
            <w:tcBorders>
              <w:tl2br w:val="nil"/>
              <w:tr2bl w:val="nil"/>
            </w:tcBorders>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gridSpan w:val="2"/>
            <w:vMerge w:val="continue"/>
            <w:tcBorders>
              <w:tl2br w:val="nil"/>
              <w:tr2bl w:val="nil"/>
            </w:tcBorders>
            <w:vAlign w:val="center"/>
          </w:tcPr>
          <w:p>
            <w:pPr>
              <w:pStyle w:val="34"/>
              <w:bidi w:val="0"/>
              <w:jc w:val="center"/>
              <w:rPr>
                <w:rFonts w:hint="eastAsia"/>
                <w:color w:val="auto"/>
                <w:highlight w:val="none"/>
                <w:lang w:val="en-US" w:eastAsia="zh-CN"/>
              </w:rPr>
            </w:pPr>
          </w:p>
        </w:tc>
        <w:tc>
          <w:tcPr>
            <w:tcW w:w="213" w:type="pct"/>
            <w:vMerge w:val="restar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生物有机肥生产线</w:t>
            </w:r>
          </w:p>
        </w:tc>
        <w:tc>
          <w:tcPr>
            <w:tcW w:w="265" w:type="pct"/>
            <w:vMerge w:val="restar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发酵废气</w:t>
            </w:r>
          </w:p>
        </w:tc>
        <w:tc>
          <w:tcPr>
            <w:tcW w:w="354"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NH</w:t>
            </w:r>
            <w:r>
              <w:rPr>
                <w:rFonts w:hint="default" w:ascii="Times New Roman" w:hAnsi="Times New Roman" w:cs="Times New Roman"/>
                <w:color w:val="auto"/>
                <w:highlight w:val="none"/>
                <w:vertAlign w:val="subscript"/>
                <w:lang w:val="en-US" w:eastAsia="zh-CN"/>
              </w:rPr>
              <w:t>3</w:t>
            </w:r>
          </w:p>
        </w:tc>
        <w:tc>
          <w:tcPr>
            <w:tcW w:w="413" w:type="pct"/>
            <w:vMerge w:val="continue"/>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353" w:type="pct"/>
            <w:vMerge w:val="restar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NH</w:t>
            </w:r>
            <w:r>
              <w:rPr>
                <w:rFonts w:hint="default" w:ascii="Times New Roman" w:hAnsi="Times New Roman" w:cs="Times New Roman"/>
                <w:color w:val="auto"/>
                <w:highlight w:val="none"/>
                <w:vertAlign w:val="subscript"/>
                <w:lang w:val="en-US" w:eastAsia="zh-CN"/>
              </w:rPr>
              <w:t>3</w:t>
            </w:r>
          </w:p>
        </w:tc>
        <w:tc>
          <w:tcPr>
            <w:tcW w:w="407" w:type="pct"/>
            <w:vMerge w:val="restar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highlight w:val="none"/>
                <w:lang w:val="en-US" w:eastAsia="zh-CN"/>
              </w:rPr>
              <w:t>3.69×10</w:t>
            </w:r>
            <w:r>
              <w:rPr>
                <w:rFonts w:hint="eastAsia" w:cs="Times New Roman"/>
                <w:color w:val="auto"/>
                <w:highlight w:val="none"/>
                <w:vertAlign w:val="superscript"/>
                <w:lang w:val="en-US" w:eastAsia="zh-CN"/>
              </w:rPr>
              <w:t>-3</w:t>
            </w:r>
          </w:p>
        </w:tc>
        <w:tc>
          <w:tcPr>
            <w:tcW w:w="419" w:type="pct"/>
            <w:vMerge w:val="restar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highlight w:val="none"/>
                <w:lang w:val="en-US" w:eastAsia="zh-CN"/>
              </w:rPr>
              <w:t>6.41×10</w:t>
            </w:r>
            <w:r>
              <w:rPr>
                <w:rFonts w:hint="eastAsia" w:cs="Times New Roman"/>
                <w:color w:val="auto"/>
                <w:highlight w:val="none"/>
                <w:vertAlign w:val="superscript"/>
                <w:lang w:val="en-US" w:eastAsia="zh-CN"/>
              </w:rPr>
              <w:t>-4</w:t>
            </w:r>
          </w:p>
        </w:tc>
        <w:tc>
          <w:tcPr>
            <w:tcW w:w="459" w:type="pct"/>
            <w:vMerge w:val="restart"/>
            <w:tcBorders>
              <w:tl2br w:val="nil"/>
              <w:tr2bl w:val="nil"/>
            </w:tcBorders>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393" w:type="pct"/>
            <w:vMerge w:val="restar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8" w:type="pct"/>
            <w:vMerge w:val="restar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1.5</w:t>
            </w:r>
          </w:p>
        </w:tc>
        <w:tc>
          <w:tcPr>
            <w:tcW w:w="790" w:type="pct"/>
            <w:vMerge w:val="restart"/>
            <w:tcBorders>
              <w:tl2br w:val="nil"/>
              <w:tr2bl w:val="nil"/>
            </w:tcBorders>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vertAlign w:val="baseline"/>
                <w:lang w:val="en-US" w:eastAsia="zh-CN"/>
              </w:rPr>
              <w:t>《恶臭污染物排放标准》（GB14554-93）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gridSpan w:val="2"/>
            <w:vMerge w:val="continue"/>
            <w:tcBorders>
              <w:tl2br w:val="nil"/>
              <w:tr2bl w:val="nil"/>
            </w:tcBorders>
            <w:vAlign w:val="center"/>
          </w:tcPr>
          <w:p>
            <w:pPr>
              <w:pStyle w:val="34"/>
              <w:bidi w:val="0"/>
              <w:jc w:val="center"/>
              <w:rPr>
                <w:rFonts w:hint="eastAsia"/>
                <w:color w:val="auto"/>
                <w:highlight w:val="none"/>
                <w:lang w:val="en-US" w:eastAsia="zh-CN"/>
              </w:rPr>
            </w:pPr>
          </w:p>
        </w:tc>
        <w:tc>
          <w:tcPr>
            <w:tcW w:w="213" w:type="pct"/>
            <w:vMerge w:val="continue"/>
            <w:tcBorders>
              <w:tl2br w:val="nil"/>
              <w:tr2bl w:val="nil"/>
            </w:tcBorders>
            <w:vAlign w:val="center"/>
          </w:tcPr>
          <w:p>
            <w:pPr>
              <w:pStyle w:val="34"/>
              <w:bidi w:val="0"/>
              <w:jc w:val="center"/>
              <w:rPr>
                <w:rFonts w:hint="eastAsia"/>
                <w:color w:val="auto"/>
                <w:highlight w:val="none"/>
                <w:lang w:val="en-US" w:eastAsia="zh-CN"/>
              </w:rPr>
            </w:pPr>
          </w:p>
        </w:tc>
        <w:tc>
          <w:tcPr>
            <w:tcW w:w="265" w:type="pct"/>
            <w:vMerge w:val="continue"/>
            <w:tcBorders>
              <w:tl2br w:val="nil"/>
              <w:tr2bl w:val="nil"/>
            </w:tcBorders>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p>
        </w:tc>
        <w:tc>
          <w:tcPr>
            <w:tcW w:w="354"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H</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S</w:t>
            </w:r>
          </w:p>
        </w:tc>
        <w:tc>
          <w:tcPr>
            <w:tcW w:w="413" w:type="pct"/>
            <w:vMerge w:val="continue"/>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353" w:type="pct"/>
            <w:vMerge w:val="continue"/>
            <w:tcBorders>
              <w:tl2br w:val="nil"/>
              <w:tr2bl w:val="nil"/>
            </w:tcBorders>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p>
        </w:tc>
        <w:tc>
          <w:tcPr>
            <w:tcW w:w="407" w:type="pct"/>
            <w:vMerge w:val="continue"/>
            <w:tcBorders>
              <w:tl2br w:val="nil"/>
              <w:tr2bl w:val="nil"/>
            </w:tcBorders>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c>
          <w:tcPr>
            <w:tcW w:w="419" w:type="pct"/>
            <w:vMerge w:val="continue"/>
            <w:tcBorders>
              <w:tl2br w:val="nil"/>
              <w:tr2bl w:val="nil"/>
            </w:tcBorders>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c>
          <w:tcPr>
            <w:tcW w:w="459" w:type="pct"/>
            <w:vMerge w:val="continue"/>
            <w:tcBorders>
              <w:tl2br w:val="nil"/>
              <w:tr2bl w:val="nil"/>
            </w:tcBorders>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c>
          <w:tcPr>
            <w:tcW w:w="393" w:type="pct"/>
            <w:vMerge w:val="continue"/>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458" w:type="pct"/>
            <w:vMerge w:val="continue"/>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790" w:type="pct"/>
            <w:vMerge w:val="continue"/>
            <w:tcBorders>
              <w:tl2br w:val="nil"/>
              <w:tr2bl w:val="nil"/>
            </w:tcBorders>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gridSpan w:val="2"/>
            <w:vMerge w:val="continue"/>
            <w:tcBorders>
              <w:tl2br w:val="nil"/>
              <w:tr2bl w:val="nil"/>
            </w:tcBorders>
            <w:vAlign w:val="center"/>
          </w:tcPr>
          <w:p>
            <w:pPr>
              <w:pStyle w:val="34"/>
              <w:bidi w:val="0"/>
              <w:jc w:val="center"/>
              <w:rPr>
                <w:rFonts w:hint="eastAsia"/>
                <w:color w:val="auto"/>
                <w:highlight w:val="none"/>
                <w:lang w:val="en-US" w:eastAsia="zh-CN"/>
              </w:rPr>
            </w:pPr>
          </w:p>
        </w:tc>
        <w:tc>
          <w:tcPr>
            <w:tcW w:w="213" w:type="pct"/>
            <w:vMerge w:val="continue"/>
            <w:tcBorders>
              <w:tl2br w:val="nil"/>
              <w:tr2bl w:val="nil"/>
            </w:tcBorders>
            <w:vAlign w:val="center"/>
          </w:tcPr>
          <w:p>
            <w:pPr>
              <w:pStyle w:val="34"/>
              <w:bidi w:val="0"/>
              <w:jc w:val="center"/>
              <w:rPr>
                <w:rFonts w:hint="eastAsia"/>
                <w:color w:val="auto"/>
                <w:highlight w:val="none"/>
                <w:lang w:val="en-US" w:eastAsia="zh-CN"/>
              </w:rPr>
            </w:pPr>
          </w:p>
        </w:tc>
        <w:tc>
          <w:tcPr>
            <w:tcW w:w="265"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加工废气</w:t>
            </w:r>
          </w:p>
        </w:tc>
        <w:tc>
          <w:tcPr>
            <w:tcW w:w="354"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颗粒物</w:t>
            </w:r>
          </w:p>
        </w:tc>
        <w:tc>
          <w:tcPr>
            <w:tcW w:w="413" w:type="pct"/>
            <w:vMerge w:val="continue"/>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353"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H</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S</w:t>
            </w:r>
          </w:p>
        </w:tc>
        <w:tc>
          <w:tcPr>
            <w:tcW w:w="407"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4.8×10</w:t>
            </w:r>
            <w:r>
              <w:rPr>
                <w:rFonts w:hint="default" w:ascii="Times New Roman" w:hAnsi="Times New Roman" w:cs="Times New Roman"/>
                <w:color w:val="auto"/>
                <w:highlight w:val="none"/>
                <w:vertAlign w:val="superscript"/>
                <w:lang w:val="en-US" w:eastAsia="zh-CN"/>
              </w:rPr>
              <w:t>-5</w:t>
            </w:r>
          </w:p>
        </w:tc>
        <w:tc>
          <w:tcPr>
            <w:tcW w:w="419"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8.33×10</w:t>
            </w:r>
            <w:r>
              <w:rPr>
                <w:rFonts w:hint="default" w:ascii="Times New Roman" w:hAnsi="Times New Roman" w:cs="Times New Roman"/>
                <w:color w:val="auto"/>
                <w:highlight w:val="none"/>
                <w:vertAlign w:val="superscript"/>
                <w:lang w:val="en-US" w:eastAsia="zh-CN"/>
              </w:rPr>
              <w:t>-6</w:t>
            </w:r>
          </w:p>
        </w:tc>
        <w:tc>
          <w:tcPr>
            <w:tcW w:w="459" w:type="pct"/>
            <w:tcBorders>
              <w:tl2br w:val="nil"/>
              <w:tr2bl w:val="nil"/>
            </w:tcBorders>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393"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8"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0.06</w:t>
            </w:r>
          </w:p>
        </w:tc>
        <w:tc>
          <w:tcPr>
            <w:tcW w:w="790" w:type="pct"/>
            <w:vMerge w:val="continue"/>
            <w:tcBorders>
              <w:tl2br w:val="nil"/>
              <w:tr2bl w:val="nil"/>
            </w:tcBorders>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gridSpan w:val="2"/>
            <w:vMerge w:val="continue"/>
            <w:tcBorders>
              <w:tl2br w:val="nil"/>
              <w:tr2bl w:val="nil"/>
            </w:tcBorders>
            <w:vAlign w:val="center"/>
          </w:tcPr>
          <w:p>
            <w:pPr>
              <w:pStyle w:val="34"/>
              <w:bidi w:val="0"/>
              <w:jc w:val="center"/>
              <w:rPr>
                <w:rFonts w:hint="eastAsia"/>
                <w:color w:val="auto"/>
                <w:highlight w:val="none"/>
                <w:lang w:val="en-US" w:eastAsia="zh-CN"/>
              </w:rPr>
            </w:pPr>
          </w:p>
        </w:tc>
        <w:tc>
          <w:tcPr>
            <w:tcW w:w="213"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油类储存</w:t>
            </w:r>
          </w:p>
        </w:tc>
        <w:tc>
          <w:tcPr>
            <w:tcW w:w="265"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储存废气</w:t>
            </w:r>
          </w:p>
        </w:tc>
        <w:tc>
          <w:tcPr>
            <w:tcW w:w="354"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非甲烷总烃</w:t>
            </w:r>
          </w:p>
        </w:tc>
        <w:tc>
          <w:tcPr>
            <w:tcW w:w="413" w:type="pct"/>
            <w:vMerge w:val="continue"/>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353"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非甲烷总烃</w:t>
            </w:r>
          </w:p>
        </w:tc>
        <w:tc>
          <w:tcPr>
            <w:tcW w:w="407"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0.232</w:t>
            </w:r>
          </w:p>
        </w:tc>
        <w:tc>
          <w:tcPr>
            <w:tcW w:w="419"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0.04</w:t>
            </w:r>
          </w:p>
        </w:tc>
        <w:tc>
          <w:tcPr>
            <w:tcW w:w="459" w:type="pct"/>
            <w:tcBorders>
              <w:tl2br w:val="nil"/>
              <w:tr2bl w:val="nil"/>
            </w:tcBorders>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393"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8"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4.0</w:t>
            </w:r>
          </w:p>
        </w:tc>
        <w:tc>
          <w:tcPr>
            <w:tcW w:w="790"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vertAlign w:val="baseline"/>
                <w:lang w:val="en-US" w:eastAsia="zh-CN"/>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gridSpan w:val="2"/>
            <w:vMerge w:val="restart"/>
            <w:tcBorders>
              <w:tl2br w:val="nil"/>
              <w:tr2bl w:val="nil"/>
            </w:tcBorders>
            <w:vAlign w:val="center"/>
          </w:tcPr>
          <w:p>
            <w:pPr>
              <w:pStyle w:val="34"/>
              <w:bidi w:val="0"/>
              <w:jc w:val="center"/>
              <w:rPr>
                <w:rFonts w:hint="eastAsia"/>
                <w:color w:val="auto"/>
                <w:highlight w:val="none"/>
                <w:lang w:val="en-US" w:eastAsia="zh-CN"/>
              </w:rPr>
            </w:pPr>
            <w:r>
              <w:rPr>
                <w:rFonts w:hint="eastAsia"/>
                <w:color w:val="auto"/>
                <w:highlight w:val="none"/>
                <w:lang w:val="en-US" w:eastAsia="zh-CN"/>
              </w:rPr>
              <w:t>废水</w:t>
            </w:r>
          </w:p>
        </w:tc>
        <w:tc>
          <w:tcPr>
            <w:tcW w:w="479" w:type="pct"/>
            <w:gridSpan w:val="2"/>
            <w:vMerge w:val="restart"/>
            <w:tcBorders>
              <w:tl2br w:val="nil"/>
              <w:tr2bl w:val="nil"/>
            </w:tcBorders>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olor w:val="auto"/>
                <w:highlight w:val="none"/>
                <w:lang w:val="en-US" w:eastAsia="zh-CN"/>
              </w:rPr>
              <w:t>生活污水</w:t>
            </w:r>
          </w:p>
        </w:tc>
        <w:tc>
          <w:tcPr>
            <w:tcW w:w="3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CODcr</w:t>
            </w:r>
          </w:p>
        </w:tc>
        <w:tc>
          <w:tcPr>
            <w:tcW w:w="413" w:type="pct"/>
            <w:vMerge w:val="restar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直接通入园区下水管网最终进入园区污水处理厂</w:t>
            </w:r>
          </w:p>
        </w:tc>
        <w:tc>
          <w:tcPr>
            <w:tcW w:w="3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CODcr</w:t>
            </w:r>
          </w:p>
        </w:tc>
        <w:tc>
          <w:tcPr>
            <w:tcW w:w="407" w:type="pct"/>
            <w:tcBorders>
              <w:tl2br w:val="nil"/>
              <w:tr2bl w:val="nil"/>
            </w:tcBorders>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0.35</w:t>
            </w:r>
          </w:p>
        </w:tc>
        <w:tc>
          <w:tcPr>
            <w:tcW w:w="419" w:type="pct"/>
            <w:tcBorders>
              <w:tl2br w:val="nil"/>
              <w:tr2bl w:val="nil"/>
            </w:tcBorders>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9" w:type="pct"/>
            <w:tcBorders>
              <w:tl2br w:val="nil"/>
              <w:tr2bl w:val="nil"/>
            </w:tcBorders>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393"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8"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500</w:t>
            </w:r>
          </w:p>
        </w:tc>
        <w:tc>
          <w:tcPr>
            <w:tcW w:w="790" w:type="pct"/>
            <w:vMerge w:val="restart"/>
            <w:tcBorders>
              <w:tl2br w:val="nil"/>
              <w:tr2bl w:val="nil"/>
            </w:tcBorders>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《污水综合排放标准》（GB8978-1996）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gridSpan w:val="2"/>
            <w:vMerge w:val="continue"/>
            <w:tcBorders>
              <w:tl2br w:val="nil"/>
              <w:tr2bl w:val="nil"/>
            </w:tcBorders>
            <w:vAlign w:val="center"/>
          </w:tcPr>
          <w:p>
            <w:pPr>
              <w:pStyle w:val="34"/>
              <w:bidi w:val="0"/>
              <w:jc w:val="center"/>
              <w:rPr>
                <w:rFonts w:hint="eastAsia"/>
                <w:color w:val="auto"/>
                <w:highlight w:val="none"/>
                <w:lang w:val="en-US" w:eastAsia="zh-CN"/>
              </w:rPr>
            </w:pPr>
          </w:p>
        </w:tc>
        <w:tc>
          <w:tcPr>
            <w:tcW w:w="479" w:type="pct"/>
            <w:gridSpan w:val="2"/>
            <w:vMerge w:val="continue"/>
            <w:tcBorders>
              <w:tl2br w:val="nil"/>
              <w:tr2bl w:val="nil"/>
            </w:tcBorders>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p>
        </w:tc>
        <w:tc>
          <w:tcPr>
            <w:tcW w:w="3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tc>
        <w:tc>
          <w:tcPr>
            <w:tcW w:w="413" w:type="pct"/>
            <w:vMerge w:val="continue"/>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3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tc>
        <w:tc>
          <w:tcPr>
            <w:tcW w:w="407" w:type="pct"/>
            <w:tcBorders>
              <w:tl2br w:val="nil"/>
              <w:tr2bl w:val="nil"/>
            </w:tcBorders>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0.25</w:t>
            </w:r>
          </w:p>
        </w:tc>
        <w:tc>
          <w:tcPr>
            <w:tcW w:w="419" w:type="pct"/>
            <w:tcBorders>
              <w:tl2br w:val="nil"/>
              <w:tr2bl w:val="nil"/>
            </w:tcBorders>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9"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393"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8"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300</w:t>
            </w:r>
          </w:p>
        </w:tc>
        <w:tc>
          <w:tcPr>
            <w:tcW w:w="790" w:type="pct"/>
            <w:vMerge w:val="continue"/>
            <w:tcBorders>
              <w:tl2br w:val="nil"/>
              <w:tr2bl w:val="nil"/>
            </w:tcBorders>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gridSpan w:val="2"/>
            <w:vMerge w:val="continue"/>
            <w:tcBorders>
              <w:tl2br w:val="nil"/>
              <w:tr2bl w:val="nil"/>
            </w:tcBorders>
            <w:vAlign w:val="center"/>
          </w:tcPr>
          <w:p>
            <w:pPr>
              <w:pStyle w:val="34"/>
              <w:bidi w:val="0"/>
              <w:jc w:val="center"/>
              <w:rPr>
                <w:rFonts w:hint="eastAsia"/>
                <w:color w:val="auto"/>
                <w:highlight w:val="none"/>
                <w:lang w:val="en-US" w:eastAsia="zh-CN"/>
              </w:rPr>
            </w:pPr>
          </w:p>
        </w:tc>
        <w:tc>
          <w:tcPr>
            <w:tcW w:w="479" w:type="pct"/>
            <w:gridSpan w:val="2"/>
            <w:vMerge w:val="continue"/>
            <w:tcBorders>
              <w:tl2br w:val="nil"/>
              <w:tr2bl w:val="nil"/>
            </w:tcBorders>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p>
        </w:tc>
        <w:tc>
          <w:tcPr>
            <w:tcW w:w="3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SS</w:t>
            </w:r>
          </w:p>
        </w:tc>
        <w:tc>
          <w:tcPr>
            <w:tcW w:w="413" w:type="pct"/>
            <w:vMerge w:val="continue"/>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3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SS</w:t>
            </w:r>
          </w:p>
        </w:tc>
        <w:tc>
          <w:tcPr>
            <w:tcW w:w="407" w:type="pct"/>
            <w:tcBorders>
              <w:tl2br w:val="nil"/>
              <w:tr2bl w:val="nil"/>
            </w:tcBorders>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0.20</w:t>
            </w:r>
          </w:p>
        </w:tc>
        <w:tc>
          <w:tcPr>
            <w:tcW w:w="419" w:type="pct"/>
            <w:tcBorders>
              <w:tl2br w:val="nil"/>
              <w:tr2bl w:val="nil"/>
            </w:tcBorders>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9"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393"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8"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400</w:t>
            </w:r>
          </w:p>
        </w:tc>
        <w:tc>
          <w:tcPr>
            <w:tcW w:w="790" w:type="pct"/>
            <w:vMerge w:val="continue"/>
            <w:tcBorders>
              <w:tl2br w:val="nil"/>
              <w:tr2bl w:val="nil"/>
            </w:tcBorders>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gridSpan w:val="2"/>
            <w:vMerge w:val="continue"/>
            <w:tcBorders>
              <w:tl2br w:val="nil"/>
              <w:tr2bl w:val="nil"/>
            </w:tcBorders>
            <w:vAlign w:val="center"/>
          </w:tcPr>
          <w:p>
            <w:pPr>
              <w:pStyle w:val="34"/>
              <w:bidi w:val="0"/>
              <w:jc w:val="center"/>
              <w:rPr>
                <w:rFonts w:hint="eastAsia"/>
                <w:color w:val="auto"/>
                <w:highlight w:val="none"/>
                <w:lang w:val="en-US" w:eastAsia="zh-CN"/>
              </w:rPr>
            </w:pPr>
          </w:p>
        </w:tc>
        <w:tc>
          <w:tcPr>
            <w:tcW w:w="479" w:type="pct"/>
            <w:gridSpan w:val="2"/>
            <w:vMerge w:val="continue"/>
            <w:tcBorders>
              <w:tl2br w:val="nil"/>
              <w:tr2bl w:val="nil"/>
            </w:tcBorders>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p>
        </w:tc>
        <w:tc>
          <w:tcPr>
            <w:tcW w:w="3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-N</w:t>
            </w:r>
          </w:p>
        </w:tc>
        <w:tc>
          <w:tcPr>
            <w:tcW w:w="413" w:type="pct"/>
            <w:vMerge w:val="continue"/>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3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-N</w:t>
            </w:r>
          </w:p>
        </w:tc>
        <w:tc>
          <w:tcPr>
            <w:tcW w:w="407" w:type="pct"/>
            <w:tcBorders>
              <w:tl2br w:val="nil"/>
              <w:tr2bl w:val="nil"/>
            </w:tcBorders>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0.04</w:t>
            </w:r>
          </w:p>
        </w:tc>
        <w:tc>
          <w:tcPr>
            <w:tcW w:w="419" w:type="pct"/>
            <w:tcBorders>
              <w:tl2br w:val="nil"/>
              <w:tr2bl w:val="nil"/>
            </w:tcBorders>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9"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393"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8"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790" w:type="pct"/>
            <w:vMerge w:val="continue"/>
            <w:tcBorders>
              <w:tl2br w:val="nil"/>
              <w:tr2bl w:val="nil"/>
            </w:tcBorders>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gridSpan w:val="2"/>
            <w:vMerge w:val="restart"/>
            <w:tcBorders>
              <w:tl2br w:val="nil"/>
              <w:tr2bl w:val="nil"/>
            </w:tcBorders>
            <w:vAlign w:val="center"/>
          </w:tcPr>
          <w:p>
            <w:pPr>
              <w:pStyle w:val="34"/>
              <w:bidi w:val="0"/>
              <w:jc w:val="center"/>
              <w:rPr>
                <w:rFonts w:hint="eastAsia"/>
                <w:color w:val="auto"/>
                <w:highlight w:val="none"/>
                <w:lang w:val="en-US" w:eastAsia="zh-CN"/>
              </w:rPr>
            </w:pPr>
            <w:r>
              <w:rPr>
                <w:rFonts w:hint="eastAsia"/>
                <w:color w:val="auto"/>
                <w:highlight w:val="none"/>
                <w:lang w:val="en-US" w:eastAsia="zh-CN"/>
              </w:rPr>
              <w:t>固废</w:t>
            </w:r>
          </w:p>
        </w:tc>
        <w:tc>
          <w:tcPr>
            <w:tcW w:w="479" w:type="pct"/>
            <w:gridSpan w:val="2"/>
            <w:vMerge w:val="restart"/>
            <w:tcBorders>
              <w:tl2br w:val="nil"/>
              <w:tr2bl w:val="nil"/>
            </w:tcBorders>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ascii="Times New Roman" w:hAnsi="Times New Roman" w:eastAsia="宋体" w:cs="Times New Roman"/>
                <w:color w:val="auto"/>
                <w:kern w:val="2"/>
                <w:sz w:val="21"/>
                <w:szCs w:val="21"/>
                <w:highlight w:val="none"/>
                <w:lang w:val="en-US" w:eastAsia="zh-CN" w:bidi="ar-SA"/>
              </w:rPr>
              <w:t>危险废物</w:t>
            </w:r>
          </w:p>
        </w:tc>
        <w:tc>
          <w:tcPr>
            <w:tcW w:w="3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废活性炭</w:t>
            </w:r>
          </w:p>
        </w:tc>
        <w:tc>
          <w:tcPr>
            <w:tcW w:w="413" w:type="pct"/>
            <w:vMerge w:val="restar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vertAlign w:val="baseline"/>
                <w:lang w:val="en-US" w:eastAsia="zh-CN"/>
              </w:rPr>
              <w:t>分类暂存于危废暂存间内，定期交由有资质的单位处理</w:t>
            </w:r>
          </w:p>
        </w:tc>
        <w:tc>
          <w:tcPr>
            <w:tcW w:w="353"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ascii="Times New Roman" w:hAnsi="Times New Roman" w:eastAsia="宋体" w:cs="Times New Roman"/>
                <w:color w:val="auto"/>
                <w:sz w:val="21"/>
                <w:szCs w:val="21"/>
                <w:vertAlign w:val="baseline"/>
                <w:lang w:val="en-US" w:eastAsia="zh-CN"/>
              </w:rPr>
              <w:t>废活性炭</w:t>
            </w:r>
          </w:p>
        </w:tc>
        <w:tc>
          <w:tcPr>
            <w:tcW w:w="407" w:type="pct"/>
            <w:tcBorders>
              <w:tl2br w:val="nil"/>
              <w:tr2bl w:val="nil"/>
            </w:tcBorders>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6</w:t>
            </w:r>
          </w:p>
        </w:tc>
        <w:tc>
          <w:tcPr>
            <w:tcW w:w="419"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9"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393"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8"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790" w:type="pct"/>
            <w:vMerge w:val="restart"/>
            <w:tcBorders>
              <w:tl2br w:val="nil"/>
              <w:tr2bl w:val="nil"/>
            </w:tcBorders>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gridSpan w:val="2"/>
            <w:vMerge w:val="continue"/>
            <w:tcBorders>
              <w:tl2br w:val="nil"/>
              <w:tr2bl w:val="nil"/>
            </w:tcBorders>
            <w:vAlign w:val="center"/>
          </w:tcPr>
          <w:p>
            <w:pPr>
              <w:pStyle w:val="34"/>
              <w:bidi w:val="0"/>
              <w:jc w:val="center"/>
              <w:rPr>
                <w:rFonts w:hint="eastAsia"/>
                <w:color w:val="auto"/>
                <w:highlight w:val="none"/>
                <w:lang w:val="en-US" w:eastAsia="zh-CN"/>
              </w:rPr>
            </w:pPr>
          </w:p>
        </w:tc>
        <w:tc>
          <w:tcPr>
            <w:tcW w:w="479" w:type="pct"/>
            <w:gridSpan w:val="2"/>
            <w:vMerge w:val="continue"/>
            <w:tcBorders>
              <w:tl2br w:val="nil"/>
              <w:tr2bl w:val="nil"/>
            </w:tcBorders>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p>
        </w:tc>
        <w:tc>
          <w:tcPr>
            <w:tcW w:w="3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废机油</w:t>
            </w:r>
          </w:p>
        </w:tc>
        <w:tc>
          <w:tcPr>
            <w:tcW w:w="413" w:type="pct"/>
            <w:vMerge w:val="continue"/>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3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废机油</w:t>
            </w:r>
          </w:p>
        </w:tc>
        <w:tc>
          <w:tcPr>
            <w:tcW w:w="407" w:type="pct"/>
            <w:tcBorders>
              <w:tl2br w:val="nil"/>
              <w:tr2bl w:val="nil"/>
            </w:tcBorders>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w:t>
            </w:r>
          </w:p>
        </w:tc>
        <w:tc>
          <w:tcPr>
            <w:tcW w:w="419"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9"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393"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8"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790" w:type="pct"/>
            <w:vMerge w:val="continue"/>
            <w:tcBorders>
              <w:tl2br w:val="nil"/>
              <w:tr2bl w:val="nil"/>
            </w:tcBorders>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gridSpan w:val="2"/>
            <w:vMerge w:val="continue"/>
            <w:tcBorders>
              <w:tl2br w:val="nil"/>
              <w:tr2bl w:val="nil"/>
            </w:tcBorders>
            <w:vAlign w:val="center"/>
          </w:tcPr>
          <w:p>
            <w:pPr>
              <w:pStyle w:val="34"/>
              <w:bidi w:val="0"/>
              <w:jc w:val="center"/>
              <w:rPr>
                <w:rFonts w:hint="eastAsia"/>
                <w:color w:val="auto"/>
                <w:highlight w:val="none"/>
                <w:lang w:val="en-US" w:eastAsia="zh-CN"/>
              </w:rPr>
            </w:pPr>
          </w:p>
        </w:tc>
        <w:tc>
          <w:tcPr>
            <w:tcW w:w="479" w:type="pct"/>
            <w:gridSpan w:val="2"/>
            <w:vMerge w:val="continue"/>
            <w:tcBorders>
              <w:tl2br w:val="nil"/>
              <w:tr2bl w:val="nil"/>
            </w:tcBorders>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p>
        </w:tc>
        <w:tc>
          <w:tcPr>
            <w:tcW w:w="3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含油清洗储罐废水</w:t>
            </w:r>
          </w:p>
        </w:tc>
        <w:tc>
          <w:tcPr>
            <w:tcW w:w="413"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vertAlign w:val="baseline"/>
                <w:lang w:val="en-US" w:eastAsia="zh-CN"/>
              </w:rPr>
              <w:t>清洗完成后委托具有相应处理资质的单位进行处置，不在厂区储存</w:t>
            </w:r>
          </w:p>
        </w:tc>
        <w:tc>
          <w:tcPr>
            <w:tcW w:w="3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含油清洗储罐废水</w:t>
            </w:r>
          </w:p>
        </w:tc>
        <w:tc>
          <w:tcPr>
            <w:tcW w:w="407" w:type="pct"/>
            <w:tcBorders>
              <w:tl2br w:val="nil"/>
              <w:tr2bl w:val="nil"/>
            </w:tcBorders>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0.3</w:t>
            </w:r>
          </w:p>
        </w:tc>
        <w:tc>
          <w:tcPr>
            <w:tcW w:w="419"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9"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393"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8"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790" w:type="pct"/>
            <w:vMerge w:val="continue"/>
            <w:tcBorders>
              <w:tl2br w:val="nil"/>
              <w:tr2bl w:val="nil"/>
            </w:tcBorders>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gridSpan w:val="2"/>
            <w:vMerge w:val="continue"/>
            <w:tcBorders>
              <w:tl2br w:val="nil"/>
              <w:tr2bl w:val="nil"/>
            </w:tcBorders>
            <w:vAlign w:val="center"/>
          </w:tcPr>
          <w:p>
            <w:pPr>
              <w:pStyle w:val="34"/>
              <w:bidi w:val="0"/>
              <w:jc w:val="center"/>
              <w:rPr>
                <w:rFonts w:hint="eastAsia"/>
                <w:color w:val="auto"/>
                <w:highlight w:val="none"/>
                <w:lang w:val="en-US" w:eastAsia="zh-CN"/>
              </w:rPr>
            </w:pPr>
          </w:p>
        </w:tc>
        <w:tc>
          <w:tcPr>
            <w:tcW w:w="479" w:type="pct"/>
            <w:gridSpan w:val="2"/>
            <w:vMerge w:val="restart"/>
            <w:tcBorders>
              <w:tl2br w:val="nil"/>
              <w:tr2bl w:val="nil"/>
            </w:tcBorders>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ascii="Times New Roman" w:hAnsi="Times New Roman" w:eastAsia="宋体" w:cs="Times New Roman"/>
                <w:color w:val="auto"/>
                <w:kern w:val="2"/>
                <w:sz w:val="21"/>
                <w:szCs w:val="21"/>
                <w:highlight w:val="none"/>
                <w:lang w:val="en-US" w:eastAsia="zh-CN" w:bidi="ar-SA"/>
              </w:rPr>
              <w:t>一般工业固废</w:t>
            </w:r>
          </w:p>
        </w:tc>
        <w:tc>
          <w:tcPr>
            <w:tcW w:w="3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水溶肥</w:t>
            </w:r>
            <w:r>
              <w:rPr>
                <w:rFonts w:hint="eastAsia" w:ascii="Times New Roman" w:hAnsi="Times New Roman" w:eastAsia="宋体" w:cs="Times New Roman"/>
                <w:color w:val="auto"/>
                <w:sz w:val="21"/>
                <w:szCs w:val="21"/>
                <w:vertAlign w:val="baseline"/>
                <w:lang w:val="en-US" w:eastAsia="zh-CN"/>
              </w:rPr>
              <w:t>生产产生的下脚料</w:t>
            </w:r>
          </w:p>
        </w:tc>
        <w:tc>
          <w:tcPr>
            <w:tcW w:w="413" w:type="pct"/>
            <w:vMerge w:val="restar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vertAlign w:val="baseline"/>
                <w:lang w:val="en-US" w:eastAsia="zh-CN"/>
              </w:rPr>
              <w:t>回用于生物有机肥生产线</w:t>
            </w:r>
            <w:r>
              <w:rPr>
                <w:rFonts w:hint="eastAsia" w:cs="Times New Roman"/>
                <w:color w:val="auto"/>
                <w:sz w:val="21"/>
                <w:szCs w:val="21"/>
                <w:vertAlign w:val="baseline"/>
                <w:lang w:val="en-US" w:eastAsia="zh-CN"/>
              </w:rPr>
              <w:t>，不外排</w:t>
            </w:r>
          </w:p>
        </w:tc>
        <w:tc>
          <w:tcPr>
            <w:tcW w:w="353"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vertAlign w:val="baseline"/>
                <w:lang w:val="en-US" w:eastAsia="zh-CN"/>
              </w:rPr>
              <w:t>水溶肥</w:t>
            </w:r>
            <w:r>
              <w:rPr>
                <w:rFonts w:hint="eastAsia" w:ascii="Times New Roman" w:hAnsi="Times New Roman" w:eastAsia="宋体" w:cs="Times New Roman"/>
                <w:color w:val="auto"/>
                <w:sz w:val="21"/>
                <w:szCs w:val="21"/>
                <w:vertAlign w:val="baseline"/>
                <w:lang w:val="en-US" w:eastAsia="zh-CN"/>
              </w:rPr>
              <w:t>生产产生的下脚料</w:t>
            </w:r>
          </w:p>
        </w:tc>
        <w:tc>
          <w:tcPr>
            <w:tcW w:w="407"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highlight w:val="none"/>
                <w:lang w:val="en-US" w:eastAsia="zh-CN"/>
              </w:rPr>
              <w:t>0</w:t>
            </w:r>
          </w:p>
        </w:tc>
        <w:tc>
          <w:tcPr>
            <w:tcW w:w="419"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9"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393"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8"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790" w:type="pct"/>
            <w:vMerge w:val="restart"/>
            <w:tcBorders>
              <w:tl2br w:val="nil"/>
              <w:tr2bl w:val="nil"/>
            </w:tcBorders>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gridSpan w:val="2"/>
            <w:vMerge w:val="continue"/>
            <w:tcBorders>
              <w:tl2br w:val="nil"/>
              <w:tr2bl w:val="nil"/>
            </w:tcBorders>
            <w:vAlign w:val="center"/>
          </w:tcPr>
          <w:p>
            <w:pPr>
              <w:pStyle w:val="34"/>
              <w:bidi w:val="0"/>
              <w:jc w:val="center"/>
              <w:rPr>
                <w:rFonts w:hint="eastAsia"/>
                <w:color w:val="auto"/>
                <w:highlight w:val="none"/>
                <w:lang w:val="en-US" w:eastAsia="zh-CN"/>
              </w:rPr>
            </w:pPr>
          </w:p>
        </w:tc>
        <w:tc>
          <w:tcPr>
            <w:tcW w:w="479" w:type="pct"/>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p>
        </w:tc>
        <w:tc>
          <w:tcPr>
            <w:tcW w:w="3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动植物油水解</w:t>
            </w:r>
            <w:r>
              <w:rPr>
                <w:rFonts w:hint="eastAsia" w:ascii="Times New Roman" w:hAnsi="Times New Roman" w:eastAsia="宋体" w:cs="Times New Roman"/>
                <w:color w:val="auto"/>
                <w:sz w:val="21"/>
                <w:szCs w:val="21"/>
                <w:vertAlign w:val="baseline"/>
                <w:lang w:val="en-US" w:eastAsia="zh-CN"/>
              </w:rPr>
              <w:t>产生的下脚料</w:t>
            </w:r>
          </w:p>
        </w:tc>
        <w:tc>
          <w:tcPr>
            <w:tcW w:w="413" w:type="pct"/>
            <w:vMerge w:val="continue"/>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3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动植物油水解</w:t>
            </w:r>
            <w:r>
              <w:rPr>
                <w:rFonts w:hint="eastAsia" w:ascii="Times New Roman" w:hAnsi="Times New Roman" w:eastAsia="宋体" w:cs="Times New Roman"/>
                <w:color w:val="auto"/>
                <w:sz w:val="21"/>
                <w:szCs w:val="21"/>
                <w:vertAlign w:val="baseline"/>
                <w:lang w:val="en-US" w:eastAsia="zh-CN"/>
              </w:rPr>
              <w:t>产生的下脚料</w:t>
            </w:r>
          </w:p>
        </w:tc>
        <w:tc>
          <w:tcPr>
            <w:tcW w:w="407"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highlight w:val="none"/>
                <w:lang w:val="en-US" w:eastAsia="zh-CN"/>
              </w:rPr>
              <w:t>0</w:t>
            </w:r>
          </w:p>
        </w:tc>
        <w:tc>
          <w:tcPr>
            <w:tcW w:w="419"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9"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393"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8"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790" w:type="pct"/>
            <w:vMerge w:val="continue"/>
            <w:tcBorders>
              <w:tl2br w:val="nil"/>
              <w:tr2bl w:val="nil"/>
            </w:tcBorders>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gridSpan w:val="2"/>
            <w:vMerge w:val="continue"/>
            <w:tcBorders>
              <w:tl2br w:val="nil"/>
              <w:tr2bl w:val="nil"/>
            </w:tcBorders>
            <w:vAlign w:val="center"/>
          </w:tcPr>
          <w:p>
            <w:pPr>
              <w:pStyle w:val="34"/>
              <w:bidi w:val="0"/>
              <w:jc w:val="center"/>
              <w:rPr>
                <w:rFonts w:hint="eastAsia"/>
                <w:color w:val="auto"/>
                <w:highlight w:val="none"/>
                <w:lang w:val="en-US" w:eastAsia="zh-CN"/>
              </w:rPr>
            </w:pPr>
          </w:p>
        </w:tc>
        <w:tc>
          <w:tcPr>
            <w:tcW w:w="479" w:type="pct"/>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p>
        </w:tc>
        <w:tc>
          <w:tcPr>
            <w:tcW w:w="3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皂脚</w:t>
            </w:r>
            <w:r>
              <w:rPr>
                <w:rFonts w:hint="eastAsia" w:ascii="Times New Roman" w:hAnsi="Times New Roman" w:eastAsia="宋体" w:cs="Times New Roman"/>
                <w:color w:val="auto"/>
                <w:sz w:val="21"/>
                <w:szCs w:val="21"/>
                <w:vertAlign w:val="baseline"/>
                <w:lang w:val="en-US" w:eastAsia="zh-CN"/>
              </w:rPr>
              <w:t>酸化产生的下脚料</w:t>
            </w:r>
          </w:p>
        </w:tc>
        <w:tc>
          <w:tcPr>
            <w:tcW w:w="413" w:type="pct"/>
            <w:vMerge w:val="continue"/>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3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皂脚</w:t>
            </w:r>
            <w:r>
              <w:rPr>
                <w:rFonts w:hint="eastAsia" w:ascii="Times New Roman" w:hAnsi="Times New Roman" w:eastAsia="宋体" w:cs="Times New Roman"/>
                <w:color w:val="auto"/>
                <w:sz w:val="21"/>
                <w:szCs w:val="21"/>
                <w:vertAlign w:val="baseline"/>
                <w:lang w:val="en-US" w:eastAsia="zh-CN"/>
              </w:rPr>
              <w:t>酸化产生的下脚料</w:t>
            </w:r>
          </w:p>
        </w:tc>
        <w:tc>
          <w:tcPr>
            <w:tcW w:w="407"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highlight w:val="none"/>
                <w:lang w:val="en-US" w:eastAsia="zh-CN"/>
              </w:rPr>
              <w:t>0</w:t>
            </w:r>
          </w:p>
        </w:tc>
        <w:tc>
          <w:tcPr>
            <w:tcW w:w="419"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9"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393"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8"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790" w:type="pct"/>
            <w:vMerge w:val="continue"/>
            <w:tcBorders>
              <w:tl2br w:val="nil"/>
              <w:tr2bl w:val="nil"/>
            </w:tcBorders>
            <w:vAlign w:val="center"/>
          </w:tcPr>
          <w:p>
            <w:pPr>
              <w:pStyle w:val="34"/>
              <w:bidi w:val="0"/>
              <w:ind w:left="0" w:leftChars="0" w:right="0" w:rightChars="0" w:firstLine="0" w:firstLineChars="0"/>
              <w:jc w:val="center"/>
              <w:rPr>
                <w:rFonts w:hint="eastAsia"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gridSpan w:val="2"/>
            <w:vMerge w:val="continue"/>
            <w:tcBorders>
              <w:tl2br w:val="nil"/>
              <w:tr2bl w:val="nil"/>
            </w:tcBorders>
            <w:vAlign w:val="center"/>
          </w:tcPr>
          <w:p>
            <w:pPr>
              <w:pStyle w:val="34"/>
              <w:bidi w:val="0"/>
              <w:jc w:val="center"/>
              <w:rPr>
                <w:rFonts w:hint="eastAsia"/>
                <w:color w:val="auto"/>
                <w:highlight w:val="none"/>
                <w:lang w:val="en-US" w:eastAsia="zh-CN"/>
              </w:rPr>
            </w:pPr>
          </w:p>
        </w:tc>
        <w:tc>
          <w:tcPr>
            <w:tcW w:w="833" w:type="pct"/>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kern w:val="2"/>
                <w:sz w:val="21"/>
                <w:szCs w:val="21"/>
                <w:highlight w:val="none"/>
                <w:lang w:val="en-US" w:eastAsia="zh-CN" w:bidi="ar-SA"/>
              </w:rPr>
              <w:t>生活垃圾</w:t>
            </w:r>
          </w:p>
        </w:tc>
        <w:tc>
          <w:tcPr>
            <w:tcW w:w="413"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vertAlign w:val="baseline"/>
                <w:lang w:val="en-US" w:eastAsia="zh-CN"/>
              </w:rPr>
              <w:t>园区环卫部门统一清运</w:t>
            </w:r>
          </w:p>
        </w:tc>
        <w:tc>
          <w:tcPr>
            <w:tcW w:w="353"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ascii="Times New Roman" w:hAnsi="Times New Roman" w:eastAsia="宋体" w:cs="Times New Roman"/>
                <w:color w:val="auto"/>
                <w:kern w:val="2"/>
                <w:sz w:val="21"/>
                <w:szCs w:val="21"/>
                <w:highlight w:val="none"/>
                <w:lang w:val="en-US" w:eastAsia="zh-CN" w:bidi="ar-SA"/>
              </w:rPr>
              <w:t>生活垃圾</w:t>
            </w:r>
          </w:p>
        </w:tc>
        <w:tc>
          <w:tcPr>
            <w:tcW w:w="407" w:type="pct"/>
            <w:tcBorders>
              <w:tl2br w:val="nil"/>
              <w:tr2bl w:val="nil"/>
            </w:tcBorders>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9</w:t>
            </w:r>
          </w:p>
        </w:tc>
        <w:tc>
          <w:tcPr>
            <w:tcW w:w="419"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9"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393"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58" w:type="pct"/>
            <w:tcBorders>
              <w:tl2br w:val="nil"/>
              <w:tr2bl w:val="nil"/>
            </w:tcBorders>
            <w:vAlign w:val="center"/>
          </w:tcPr>
          <w:p>
            <w:pPr>
              <w:pStyle w:val="34"/>
              <w:bidi w:val="0"/>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790" w:type="pct"/>
            <w:tcBorders>
              <w:tl2br w:val="nil"/>
              <w:tr2bl w:val="nil"/>
            </w:tcBorders>
            <w:vAlign w:val="center"/>
          </w:tcPr>
          <w:p>
            <w:pPr>
              <w:pStyle w:val="34"/>
              <w:bidi w:val="0"/>
              <w:ind w:left="0" w:leftChars="0" w:right="0" w:rightChars="0" w:firstLine="0" w:firstLineChars="0"/>
              <w:jc w:val="center"/>
              <w:rPr>
                <w:rFonts w:hint="default"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r>
    </w:tbl>
    <w:p>
      <w:pPr>
        <w:pStyle w:val="26"/>
        <w:ind w:left="0" w:leftChars="0" w:firstLine="0" w:firstLineChars="0"/>
        <w:rPr>
          <w:rFonts w:hint="eastAsia" w:eastAsiaTheme="minorEastAsia"/>
          <w:color w:val="auto"/>
          <w:lang w:val="en-US" w:eastAsia="zh-CN"/>
        </w:rPr>
      </w:pPr>
      <w:r>
        <w:rPr>
          <w:rFonts w:hint="eastAsia"/>
          <w:color w:val="auto"/>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8.4.2 信息公开</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企业环境信息依法披露管理办法》相关规定，企业事业单位应当建立健全本单位环境信息公开制度，制定机构负责本单位环境信息公开日常工作，并按照准则编制年度环境信息依法披露报告和临时环境信息依法披露报告，并上传至企业环境信息依法披露系统。应当于每年 3 月 15 日前披露上一年度 1 月 1日至 12 月 31 日的环境信息，企业年度环境信息依法披露报告应当包括以下内容：</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（1）企业基本信息，包括企业生产和生态环境保护等方面的基础信息；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（2）企业环境管理信息，包括生态环境行政许可、环境保护税、环境污染责任保险、环保信用评价等方面的信息；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（3）污染物产生、治理与排放信息，包括污染防治设施，污染物排放，有毒有害物质排放，工业固体废物和危险废物产生、贮存、流向、利用、处置，自行监测等方面的信息；</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（4）碳排放信息，包括排放量、排放设施等方面的信息；</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（5）生态环境应急信息，包括突发环境事件应急预案、重污染天气应急响应等方面的信息；</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（6）生态环境违法信息；</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（7）本年度临时环境信息依法披露情况；</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（8）法律法规规定的其他环境信息。</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如若公司的环境信息发生变更或有新生成时，应在环境信息生成或者变更之日起三十日内予以公开。环境保护主管部门应当宣传和引导公众监督企业事业单位环境信息公开工作。</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8.4.3 污染物排放口设置及规范化管理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本项目应按《环境保护图形标志-排放口（源）》（GB15562.1-1995）规定的图形，在各气、水、声排污口（源）挂牌标识，做到各排污口（源）的环保标志明显，便于企业管理和公众监督。</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列入总量控制污染物的排污口为管理的重点，排污口应便于采样与计量监测，便于日常现场监督检查。排污口位置必须合理确定，按（环监〔1996〕470 号）文件要求进行规范化管理。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污染物排放口的环保图形标志牌应设置在靠近采样点的醒目位置处，标志牌设置高度为其上缘距地面约 2m。</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重点排污单位的污染物排放口或固体废物贮存处置场地以设置立式标志牌为主，一般排污单位的污染物排放口或固体废物贮存处置场地可以根据情况设置立式或平面固定式标志牌。一般污染物排放口或固体废物贮存堆放场地设置提示性环境保护图形标志牌。环境保护图形标志具体设置图形见表 8.4.3-1。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8.2.4-1   环境保护图形标志设置图形表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7"/>
        <w:gridCol w:w="2730"/>
        <w:gridCol w:w="2950"/>
        <w:gridCol w:w="1003"/>
        <w:gridCol w:w="13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序号</w:t>
            </w:r>
          </w:p>
        </w:tc>
        <w:tc>
          <w:tcPr>
            <w:tcW w:w="16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提示图形符号背景颜色：绿色，图形颜色：白色</w:t>
            </w:r>
          </w:p>
        </w:tc>
        <w:tc>
          <w:tcPr>
            <w:tcW w:w="17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警告图形符号背景颜色：黄色，图形颜色：黑色</w:t>
            </w:r>
          </w:p>
        </w:tc>
        <w:tc>
          <w:tcPr>
            <w:tcW w:w="5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名称</w:t>
            </w:r>
          </w:p>
        </w:tc>
        <w:tc>
          <w:tcPr>
            <w:tcW w:w="7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16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color w:val="auto"/>
              </w:rPr>
              <w:drawing>
                <wp:inline distT="0" distB="0" distL="114300" distR="114300">
                  <wp:extent cx="800100" cy="790575"/>
                  <wp:effectExtent l="0" t="0" r="0" b="952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02"/>
                          <a:stretch>
                            <a:fillRect/>
                          </a:stretch>
                        </pic:blipFill>
                        <pic:spPr>
                          <a:xfrm>
                            <a:off x="0" y="0"/>
                            <a:ext cx="800100" cy="790575"/>
                          </a:xfrm>
                          <a:prstGeom prst="rect">
                            <a:avLst/>
                          </a:prstGeom>
                          <a:noFill/>
                          <a:ln>
                            <a:noFill/>
                          </a:ln>
                        </pic:spPr>
                      </pic:pic>
                    </a:graphicData>
                  </a:graphic>
                </wp:inline>
              </w:drawing>
            </w:r>
          </w:p>
        </w:tc>
        <w:tc>
          <w:tcPr>
            <w:tcW w:w="17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color w:val="auto"/>
              </w:rPr>
              <w:drawing>
                <wp:inline distT="0" distB="0" distL="114300" distR="114300">
                  <wp:extent cx="971550" cy="847725"/>
                  <wp:effectExtent l="0" t="0" r="0" b="952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03"/>
                          <a:stretch>
                            <a:fillRect/>
                          </a:stretch>
                        </pic:blipFill>
                        <pic:spPr>
                          <a:xfrm>
                            <a:off x="0" y="0"/>
                            <a:ext cx="971550" cy="847725"/>
                          </a:xfrm>
                          <a:prstGeom prst="rect">
                            <a:avLst/>
                          </a:prstGeom>
                          <a:noFill/>
                          <a:ln>
                            <a:noFill/>
                          </a:ln>
                        </pic:spPr>
                      </pic:pic>
                    </a:graphicData>
                  </a:graphic>
                </wp:inline>
              </w:drawing>
            </w:r>
          </w:p>
        </w:tc>
        <w:tc>
          <w:tcPr>
            <w:tcW w:w="5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废气排放口</w:t>
            </w:r>
          </w:p>
        </w:tc>
        <w:tc>
          <w:tcPr>
            <w:tcW w:w="7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表示废气向大气排放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16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color w:val="auto"/>
              </w:rPr>
              <w:drawing>
                <wp:inline distT="0" distB="0" distL="114300" distR="114300">
                  <wp:extent cx="809625" cy="800100"/>
                  <wp:effectExtent l="0" t="0" r="952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04"/>
                          <a:stretch>
                            <a:fillRect/>
                          </a:stretch>
                        </pic:blipFill>
                        <pic:spPr>
                          <a:xfrm>
                            <a:off x="0" y="0"/>
                            <a:ext cx="809625" cy="800100"/>
                          </a:xfrm>
                          <a:prstGeom prst="rect">
                            <a:avLst/>
                          </a:prstGeom>
                          <a:noFill/>
                          <a:ln>
                            <a:noFill/>
                          </a:ln>
                        </pic:spPr>
                      </pic:pic>
                    </a:graphicData>
                  </a:graphic>
                </wp:inline>
              </w:drawing>
            </w:r>
          </w:p>
        </w:tc>
        <w:tc>
          <w:tcPr>
            <w:tcW w:w="17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color w:val="auto"/>
              </w:rPr>
              <w:drawing>
                <wp:inline distT="0" distB="0" distL="114300" distR="114300">
                  <wp:extent cx="914400" cy="8001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05"/>
                          <a:stretch>
                            <a:fillRect/>
                          </a:stretch>
                        </pic:blipFill>
                        <pic:spPr>
                          <a:xfrm>
                            <a:off x="0" y="0"/>
                            <a:ext cx="914400" cy="800100"/>
                          </a:xfrm>
                          <a:prstGeom prst="rect">
                            <a:avLst/>
                          </a:prstGeom>
                          <a:noFill/>
                          <a:ln>
                            <a:noFill/>
                          </a:ln>
                        </pic:spPr>
                      </pic:pic>
                    </a:graphicData>
                  </a:graphic>
                </wp:inline>
              </w:drawing>
            </w:r>
          </w:p>
        </w:tc>
        <w:tc>
          <w:tcPr>
            <w:tcW w:w="5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废水排放口</w:t>
            </w:r>
          </w:p>
        </w:tc>
        <w:tc>
          <w:tcPr>
            <w:tcW w:w="7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表示废水向水体排放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16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color w:val="auto"/>
              </w:rPr>
              <w:drawing>
                <wp:inline distT="0" distB="0" distL="114300" distR="114300">
                  <wp:extent cx="800100" cy="8001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06"/>
                          <a:stretch>
                            <a:fillRect/>
                          </a:stretch>
                        </pic:blipFill>
                        <pic:spPr>
                          <a:xfrm>
                            <a:off x="0" y="0"/>
                            <a:ext cx="800100" cy="800100"/>
                          </a:xfrm>
                          <a:prstGeom prst="rect">
                            <a:avLst/>
                          </a:prstGeom>
                          <a:noFill/>
                          <a:ln>
                            <a:noFill/>
                          </a:ln>
                        </pic:spPr>
                      </pic:pic>
                    </a:graphicData>
                  </a:graphic>
                </wp:inline>
              </w:drawing>
            </w:r>
          </w:p>
        </w:tc>
        <w:tc>
          <w:tcPr>
            <w:tcW w:w="17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color w:val="auto"/>
              </w:rPr>
              <w:drawing>
                <wp:inline distT="0" distB="0" distL="114300" distR="114300">
                  <wp:extent cx="1038225" cy="933450"/>
                  <wp:effectExtent l="0" t="0" r="952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07"/>
                          <a:stretch>
                            <a:fillRect/>
                          </a:stretch>
                        </pic:blipFill>
                        <pic:spPr>
                          <a:xfrm>
                            <a:off x="0" y="0"/>
                            <a:ext cx="1038225" cy="933450"/>
                          </a:xfrm>
                          <a:prstGeom prst="rect">
                            <a:avLst/>
                          </a:prstGeom>
                          <a:noFill/>
                          <a:ln>
                            <a:noFill/>
                          </a:ln>
                        </pic:spPr>
                      </pic:pic>
                    </a:graphicData>
                  </a:graphic>
                </wp:inline>
              </w:drawing>
            </w:r>
          </w:p>
        </w:tc>
        <w:tc>
          <w:tcPr>
            <w:tcW w:w="5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一般固体废物储存</w:t>
            </w:r>
          </w:p>
        </w:tc>
        <w:tc>
          <w:tcPr>
            <w:tcW w:w="7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表示固废储存处置场所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16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17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color w:val="auto"/>
              </w:rPr>
              <w:drawing>
                <wp:inline distT="0" distB="0" distL="114300" distR="114300">
                  <wp:extent cx="933450" cy="828675"/>
                  <wp:effectExtent l="0" t="0" r="0" b="952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8"/>
                          <a:stretch>
                            <a:fillRect/>
                          </a:stretch>
                        </pic:blipFill>
                        <pic:spPr>
                          <a:xfrm>
                            <a:off x="0" y="0"/>
                            <a:ext cx="933450" cy="828675"/>
                          </a:xfrm>
                          <a:prstGeom prst="rect">
                            <a:avLst/>
                          </a:prstGeom>
                          <a:noFill/>
                          <a:ln>
                            <a:noFill/>
                          </a:ln>
                        </pic:spPr>
                      </pic:pic>
                    </a:graphicData>
                  </a:graphic>
                </wp:inline>
              </w:drawing>
            </w:r>
          </w:p>
        </w:tc>
        <w:tc>
          <w:tcPr>
            <w:tcW w:w="5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危险废物储存</w:t>
            </w:r>
          </w:p>
        </w:tc>
        <w:tc>
          <w:tcPr>
            <w:tcW w:w="7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表示固体废物储存处置场所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w:t>
            </w:r>
          </w:p>
        </w:tc>
        <w:tc>
          <w:tcPr>
            <w:tcW w:w="160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color w:val="auto"/>
              </w:rPr>
              <w:drawing>
                <wp:inline distT="0" distB="0" distL="114300" distR="114300">
                  <wp:extent cx="800100" cy="790575"/>
                  <wp:effectExtent l="0" t="0" r="0"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09"/>
                          <a:stretch>
                            <a:fillRect/>
                          </a:stretch>
                        </pic:blipFill>
                        <pic:spPr>
                          <a:xfrm>
                            <a:off x="0" y="0"/>
                            <a:ext cx="800100" cy="790575"/>
                          </a:xfrm>
                          <a:prstGeom prst="rect">
                            <a:avLst/>
                          </a:prstGeom>
                          <a:noFill/>
                          <a:ln>
                            <a:noFill/>
                          </a:ln>
                        </pic:spPr>
                      </pic:pic>
                    </a:graphicData>
                  </a:graphic>
                </wp:inline>
              </w:drawing>
            </w:r>
          </w:p>
        </w:tc>
        <w:tc>
          <w:tcPr>
            <w:tcW w:w="173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color w:val="auto"/>
              </w:rPr>
              <w:drawing>
                <wp:inline distT="0" distB="0" distL="114300" distR="114300">
                  <wp:extent cx="981075" cy="885825"/>
                  <wp:effectExtent l="0" t="0" r="9525" b="952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10"/>
                          <a:stretch>
                            <a:fillRect/>
                          </a:stretch>
                        </pic:blipFill>
                        <pic:spPr>
                          <a:xfrm>
                            <a:off x="0" y="0"/>
                            <a:ext cx="981075" cy="885825"/>
                          </a:xfrm>
                          <a:prstGeom prst="rect">
                            <a:avLst/>
                          </a:prstGeom>
                          <a:noFill/>
                          <a:ln>
                            <a:noFill/>
                          </a:ln>
                        </pic:spPr>
                      </pic:pic>
                    </a:graphicData>
                  </a:graphic>
                </wp:inline>
              </w:drawing>
            </w:r>
          </w:p>
        </w:tc>
        <w:tc>
          <w:tcPr>
            <w:tcW w:w="58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噪声源</w:t>
            </w:r>
          </w:p>
        </w:tc>
        <w:tc>
          <w:tcPr>
            <w:tcW w:w="78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表示噪声向外环境排放</w:t>
            </w:r>
          </w:p>
        </w:tc>
      </w:tr>
    </w:tbl>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color w:val="auto"/>
          <w:sz w:val="30"/>
          <w:szCs w:val="30"/>
          <w:lang w:val="en-US" w:eastAsia="zh-CN"/>
        </w:rPr>
      </w:pPr>
      <w:bookmarkStart w:id="121" w:name="_Toc3754"/>
      <w:r>
        <w:rPr>
          <w:rFonts w:hint="default" w:ascii="Times New Roman" w:hAnsi="Times New Roman" w:eastAsia="宋体" w:cs="Times New Roman"/>
          <w:b/>
          <w:bCs/>
          <w:color w:val="auto"/>
          <w:sz w:val="30"/>
          <w:szCs w:val="30"/>
          <w:lang w:val="en-US" w:eastAsia="zh-CN"/>
        </w:rPr>
        <w:t>8.5 竣工验收管理</w:t>
      </w:r>
      <w:bookmarkEnd w:id="121"/>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bookmarkStart w:id="122" w:name="_Toc28495"/>
      <w:bookmarkStart w:id="123" w:name="_Toc5050"/>
      <w:bookmarkStart w:id="124" w:name="_Toc297"/>
      <w:r>
        <w:rPr>
          <w:rFonts w:hint="eastAsia" w:ascii="Times New Roman" w:hAnsi="Times New Roman" w:eastAsia="宋体" w:cs="Times New Roman"/>
          <w:color w:val="auto"/>
          <w:sz w:val="24"/>
          <w:szCs w:val="24"/>
          <w:lang w:val="en-US" w:eastAsia="zh-CN"/>
        </w:rPr>
        <w:t>根据《建设项目竣工环境保护验收暂行办法》建设项目竣工后，建设单位应当如实查验、监测、记载建设项目环境保护设施的建设和调试情况，编制验收监测（调查）报告。建设单位不具备编制验收监测（调查）报告能力的，可以委托有能力的技术机构编制，建设单位对受委托的技术机构编制的验收监测（调查）报告结论负责。</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环境保护设施未与主体工程同时建成的，或者应当取得排污许可证但未取得的，建设单位不得对该建设项目环境保护设施进行调试。调试期间，建设单位应当对环境保护设施运行情况和建设项目对环境的影响进行监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建设项目配套建设的环境保护设施竣工后，公开竣工日期；对建设项目配套建设的环境保护设施进行调试前，公开调试的起止日期；验收报告编制完成后 5个工作日内，公开验收报告，公示的期限不得少于 20 个工作日。</w:t>
      </w:r>
    </w:p>
    <w:bookmarkEnd w:id="122"/>
    <w:bookmarkEnd w:id="123"/>
    <w:bookmarkEnd w:id="124"/>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eastAsia" w:ascii="Times New Roman" w:hAnsi="Times New Roman" w:eastAsia="宋体" w:cs="Times New Roman"/>
          <w:color w:val="auto"/>
          <w:sz w:val="24"/>
          <w:szCs w:val="24"/>
          <w:lang w:val="en-US" w:eastAsia="zh-CN"/>
        </w:rPr>
        <w:t xml:space="preserve">本项目环境保护设施“三同时”验收一览表见表8.5.1-1。 </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表 8.5.1-1   本项目环境保护竣工验收“三同时”一览表</w:t>
      </w:r>
    </w:p>
    <w:tbl>
      <w:tblPr>
        <w:tblStyle w:val="2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835"/>
        <w:gridCol w:w="652"/>
        <w:gridCol w:w="1641"/>
        <w:gridCol w:w="2219"/>
        <w:gridCol w:w="3095"/>
        <w:gridCol w:w="1142"/>
        <w:gridCol w:w="1352"/>
        <w:gridCol w:w="2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类型</w:t>
            </w:r>
          </w:p>
        </w:tc>
        <w:tc>
          <w:tcPr>
            <w:tcW w:w="295"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排放口</w:t>
            </w:r>
          </w:p>
        </w:tc>
        <w:tc>
          <w:tcPr>
            <w:tcW w:w="809" w:type="pct"/>
            <w:gridSpan w:val="2"/>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污染源</w:t>
            </w:r>
          </w:p>
        </w:tc>
        <w:tc>
          <w:tcPr>
            <w:tcW w:w="783"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主要污染物</w:t>
            </w:r>
          </w:p>
        </w:tc>
        <w:tc>
          <w:tcPr>
            <w:tcW w:w="1092"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污染防治措施</w:t>
            </w:r>
          </w:p>
        </w:tc>
        <w:tc>
          <w:tcPr>
            <w:tcW w:w="880" w:type="pct"/>
            <w:gridSpan w:val="2"/>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验收执行标准限值</w:t>
            </w:r>
          </w:p>
        </w:tc>
        <w:tc>
          <w:tcPr>
            <w:tcW w:w="988"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验收执行标准名称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b/>
                <w:bCs/>
                <w:color w:val="auto"/>
                <w:sz w:val="21"/>
                <w:szCs w:val="21"/>
                <w:highlight w:val="none"/>
                <w:lang w:val="en-US" w:eastAsia="zh-CN"/>
              </w:rPr>
            </w:pPr>
          </w:p>
        </w:tc>
        <w:tc>
          <w:tcPr>
            <w:tcW w:w="295"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b/>
                <w:bCs/>
                <w:color w:val="auto"/>
                <w:sz w:val="21"/>
                <w:szCs w:val="21"/>
                <w:highlight w:val="none"/>
                <w:lang w:val="en-US" w:eastAsia="zh-CN"/>
              </w:rPr>
            </w:pPr>
          </w:p>
        </w:tc>
        <w:tc>
          <w:tcPr>
            <w:tcW w:w="809" w:type="pct"/>
            <w:gridSpan w:val="2"/>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b/>
                <w:bCs/>
                <w:color w:val="auto"/>
                <w:sz w:val="21"/>
                <w:szCs w:val="21"/>
                <w:highlight w:val="none"/>
                <w:lang w:val="en-US" w:eastAsia="zh-CN"/>
              </w:rPr>
            </w:pPr>
          </w:p>
        </w:tc>
        <w:tc>
          <w:tcPr>
            <w:tcW w:w="783"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b/>
                <w:bCs/>
                <w:color w:val="auto"/>
                <w:sz w:val="21"/>
                <w:szCs w:val="21"/>
                <w:highlight w:val="none"/>
                <w:lang w:val="en-US" w:eastAsia="zh-CN"/>
              </w:rPr>
            </w:pPr>
          </w:p>
        </w:tc>
        <w:tc>
          <w:tcPr>
            <w:tcW w:w="109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b/>
                <w:bCs/>
                <w:color w:val="auto"/>
                <w:sz w:val="21"/>
                <w:szCs w:val="21"/>
                <w:highlight w:val="none"/>
                <w:lang w:val="en-US" w:eastAsia="zh-CN"/>
              </w:rPr>
            </w:pPr>
          </w:p>
        </w:tc>
        <w:tc>
          <w:tcPr>
            <w:tcW w:w="40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排放速率（kg/h）</w:t>
            </w:r>
          </w:p>
        </w:tc>
        <w:tc>
          <w:tcPr>
            <w:tcW w:w="47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排放浓度（mg/m</w:t>
            </w:r>
            <w:r>
              <w:rPr>
                <w:rFonts w:hint="default" w:ascii="Times New Roman" w:hAnsi="Times New Roman" w:eastAsia="宋体" w:cs="Times New Roman"/>
                <w:b/>
                <w:bCs/>
                <w:color w:val="auto"/>
                <w:sz w:val="21"/>
                <w:szCs w:val="21"/>
                <w:highlight w:val="none"/>
                <w:vertAlign w:val="superscript"/>
                <w:lang w:val="en-US" w:eastAsia="zh-CN"/>
              </w:rPr>
              <w:t>3</w:t>
            </w:r>
            <w:r>
              <w:rPr>
                <w:rFonts w:hint="default" w:ascii="Times New Roman" w:hAnsi="Times New Roman" w:eastAsia="宋体" w:cs="Times New Roman"/>
                <w:b/>
                <w:bCs/>
                <w:color w:val="auto"/>
                <w:sz w:val="21"/>
                <w:szCs w:val="21"/>
                <w:highlight w:val="none"/>
                <w:lang w:val="en-US" w:eastAsia="zh-CN"/>
              </w:rPr>
              <w:t>）</w:t>
            </w:r>
          </w:p>
        </w:tc>
        <w:tc>
          <w:tcPr>
            <w:tcW w:w="988"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b/>
                <w:bCs/>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有组织废气</w:t>
            </w:r>
          </w:p>
        </w:tc>
        <w:tc>
          <w:tcPr>
            <w:tcW w:w="295"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DA001</w:t>
            </w:r>
          </w:p>
        </w:tc>
        <w:tc>
          <w:tcPr>
            <w:tcW w:w="230"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动植物油脂回收生产线</w:t>
            </w:r>
          </w:p>
        </w:tc>
        <w:tc>
          <w:tcPr>
            <w:tcW w:w="579"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熔炼废气</w:t>
            </w:r>
          </w:p>
        </w:tc>
        <w:tc>
          <w:tcPr>
            <w:tcW w:w="78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油烟</w:t>
            </w:r>
          </w:p>
        </w:tc>
        <w:tc>
          <w:tcPr>
            <w:tcW w:w="1092"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管道收集（收集效率95%）+净电除油（处理效率85</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highlight w:val="none"/>
                <w:lang w:val="en-US" w:eastAsia="zh-CN"/>
              </w:rPr>
              <w:t>+二级碱液喷淋塔+除湿+活性炭吸附箱（处理效率95.6</w:t>
            </w:r>
            <w:r>
              <w:rPr>
                <w:rFonts w:hint="default" w:ascii="Times New Roman" w:hAnsi="Times New Roman" w:eastAsia="宋体" w:cs="Times New Roman"/>
                <w:color w:val="auto"/>
                <w:sz w:val="21"/>
                <w:szCs w:val="21"/>
                <w:lang w:val="en-US" w:eastAsia="zh-CN"/>
              </w:rPr>
              <w:t>%）+1根15m高排气筒（DA001）排放</w:t>
            </w:r>
          </w:p>
        </w:tc>
        <w:tc>
          <w:tcPr>
            <w:tcW w:w="40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47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w:t>
            </w:r>
          </w:p>
        </w:tc>
        <w:tc>
          <w:tcPr>
            <w:tcW w:w="988"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vertAlign w:val="baseline"/>
                <w:lang w:val="en-US" w:eastAsia="zh-CN"/>
              </w:rPr>
              <w:t>《饮食业油烟排放标准（试行）》（GB18483-2001）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95"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30"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579"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78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非甲烷总烃</w:t>
            </w:r>
          </w:p>
        </w:tc>
        <w:tc>
          <w:tcPr>
            <w:tcW w:w="109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p>
        </w:tc>
        <w:tc>
          <w:tcPr>
            <w:tcW w:w="40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10</w:t>
            </w:r>
          </w:p>
        </w:tc>
        <w:tc>
          <w:tcPr>
            <w:tcW w:w="47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120</w:t>
            </w:r>
          </w:p>
        </w:tc>
        <w:tc>
          <w:tcPr>
            <w:tcW w:w="988"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5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95"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30"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579"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动植物油精炼恶臭</w:t>
            </w:r>
          </w:p>
        </w:tc>
        <w:tc>
          <w:tcPr>
            <w:tcW w:w="78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NH</w:t>
            </w:r>
            <w:r>
              <w:rPr>
                <w:rFonts w:hint="eastAsia" w:ascii="Times New Roman" w:hAnsi="Times New Roman" w:eastAsia="宋体" w:cs="Times New Roman"/>
                <w:color w:val="auto"/>
                <w:kern w:val="0"/>
                <w:sz w:val="21"/>
                <w:szCs w:val="21"/>
                <w:highlight w:val="none"/>
                <w:vertAlign w:val="subscript"/>
                <w:lang w:val="en-US" w:eastAsia="zh-CN" w:bidi="ar-SA"/>
              </w:rPr>
              <w:t>3</w:t>
            </w:r>
          </w:p>
        </w:tc>
        <w:tc>
          <w:tcPr>
            <w:tcW w:w="109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0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4.9</w:t>
            </w:r>
          </w:p>
        </w:tc>
        <w:tc>
          <w:tcPr>
            <w:tcW w:w="47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988"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《恶臭污染物排放标准》（GB14554-93）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5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95"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30"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579"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78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t>
            </w:r>
            <w:r>
              <w:rPr>
                <w:rFonts w:hint="eastAsia" w:ascii="Times New Roman" w:hAnsi="Times New Roman" w:eastAsia="宋体" w:cs="Times New Roman"/>
                <w:color w:val="auto"/>
                <w:kern w:val="0"/>
                <w:sz w:val="21"/>
                <w:szCs w:val="21"/>
                <w:highlight w:val="none"/>
                <w:vertAlign w:val="subscript"/>
                <w:lang w:val="en-US" w:eastAsia="zh-CN" w:bidi="ar-SA"/>
              </w:rPr>
              <w:t>2</w:t>
            </w:r>
            <w:r>
              <w:rPr>
                <w:rFonts w:hint="eastAsia" w:ascii="Times New Roman" w:hAnsi="Times New Roman" w:eastAsia="宋体" w:cs="Times New Roman"/>
                <w:color w:val="auto"/>
                <w:kern w:val="0"/>
                <w:sz w:val="21"/>
                <w:szCs w:val="21"/>
                <w:highlight w:val="none"/>
                <w:lang w:val="en-US" w:eastAsia="zh-CN" w:bidi="ar-SA"/>
              </w:rPr>
              <w:t>S</w:t>
            </w:r>
          </w:p>
        </w:tc>
        <w:tc>
          <w:tcPr>
            <w:tcW w:w="109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p>
        </w:tc>
        <w:tc>
          <w:tcPr>
            <w:tcW w:w="40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0.33</w:t>
            </w:r>
          </w:p>
        </w:tc>
        <w:tc>
          <w:tcPr>
            <w:tcW w:w="47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988"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p>
        </w:tc>
        <w:tc>
          <w:tcPr>
            <w:tcW w:w="295"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p>
        </w:tc>
        <w:tc>
          <w:tcPr>
            <w:tcW w:w="230"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储罐</w:t>
            </w:r>
          </w:p>
        </w:tc>
        <w:tc>
          <w:tcPr>
            <w:tcW w:w="579"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储罐呼吸废气</w:t>
            </w:r>
          </w:p>
        </w:tc>
        <w:tc>
          <w:tcPr>
            <w:tcW w:w="78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eastAsia"/>
                <w:color w:val="auto"/>
                <w:highlight w:val="none"/>
                <w:lang w:val="en-US" w:eastAsia="zh-CN"/>
              </w:rPr>
              <w:t>非甲烷总烃</w:t>
            </w:r>
          </w:p>
        </w:tc>
        <w:tc>
          <w:tcPr>
            <w:tcW w:w="109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p>
        </w:tc>
        <w:tc>
          <w:tcPr>
            <w:tcW w:w="40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10</w:t>
            </w:r>
          </w:p>
        </w:tc>
        <w:tc>
          <w:tcPr>
            <w:tcW w:w="47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120</w:t>
            </w:r>
          </w:p>
        </w:tc>
        <w:tc>
          <w:tcPr>
            <w:tcW w:w="988"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5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95"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30"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生物燃料</w:t>
            </w:r>
          </w:p>
        </w:tc>
        <w:tc>
          <w:tcPr>
            <w:tcW w:w="579"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恶臭</w:t>
            </w:r>
          </w:p>
        </w:tc>
        <w:tc>
          <w:tcPr>
            <w:tcW w:w="78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NH</w:t>
            </w:r>
            <w:r>
              <w:rPr>
                <w:rFonts w:hint="eastAsia" w:ascii="Times New Roman" w:hAnsi="Times New Roman" w:eastAsia="宋体" w:cs="Times New Roman"/>
                <w:color w:val="auto"/>
                <w:kern w:val="0"/>
                <w:sz w:val="21"/>
                <w:szCs w:val="21"/>
                <w:highlight w:val="none"/>
                <w:vertAlign w:val="subscript"/>
                <w:lang w:val="en-US" w:eastAsia="zh-CN" w:bidi="ar-SA"/>
              </w:rPr>
              <w:t>3</w:t>
            </w:r>
          </w:p>
        </w:tc>
        <w:tc>
          <w:tcPr>
            <w:tcW w:w="109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0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4.9</w:t>
            </w:r>
          </w:p>
        </w:tc>
        <w:tc>
          <w:tcPr>
            <w:tcW w:w="47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988"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《恶臭污染物排放标准》（GB14554-93）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5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95"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30"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579"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78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t>
            </w:r>
            <w:r>
              <w:rPr>
                <w:rFonts w:hint="eastAsia" w:ascii="Times New Roman" w:hAnsi="Times New Roman" w:eastAsia="宋体" w:cs="Times New Roman"/>
                <w:color w:val="auto"/>
                <w:kern w:val="0"/>
                <w:sz w:val="21"/>
                <w:szCs w:val="21"/>
                <w:highlight w:val="none"/>
                <w:vertAlign w:val="subscript"/>
                <w:lang w:val="en-US" w:eastAsia="zh-CN" w:bidi="ar-SA"/>
              </w:rPr>
              <w:t>2</w:t>
            </w:r>
            <w:r>
              <w:rPr>
                <w:rFonts w:hint="eastAsia" w:ascii="Times New Roman" w:hAnsi="Times New Roman" w:eastAsia="宋体" w:cs="Times New Roman"/>
                <w:color w:val="auto"/>
                <w:kern w:val="0"/>
                <w:sz w:val="21"/>
                <w:szCs w:val="21"/>
                <w:highlight w:val="none"/>
                <w:lang w:val="en-US" w:eastAsia="zh-CN" w:bidi="ar-SA"/>
              </w:rPr>
              <w:t>S</w:t>
            </w:r>
          </w:p>
        </w:tc>
        <w:tc>
          <w:tcPr>
            <w:tcW w:w="109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p>
        </w:tc>
        <w:tc>
          <w:tcPr>
            <w:tcW w:w="40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0.33</w:t>
            </w:r>
          </w:p>
        </w:tc>
        <w:tc>
          <w:tcPr>
            <w:tcW w:w="47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988"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95"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30"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579"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加热废气</w:t>
            </w:r>
          </w:p>
        </w:tc>
        <w:tc>
          <w:tcPr>
            <w:tcW w:w="78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r>
              <w:rPr>
                <w:rFonts w:hint="eastAsia"/>
                <w:color w:val="auto"/>
                <w:highlight w:val="none"/>
                <w:lang w:val="en-US" w:eastAsia="zh-CN"/>
              </w:rPr>
              <w:t>非甲烷总烃</w:t>
            </w:r>
          </w:p>
        </w:tc>
        <w:tc>
          <w:tcPr>
            <w:tcW w:w="109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0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10</w:t>
            </w:r>
          </w:p>
        </w:tc>
        <w:tc>
          <w:tcPr>
            <w:tcW w:w="47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120</w:t>
            </w:r>
          </w:p>
        </w:tc>
        <w:tc>
          <w:tcPr>
            <w:tcW w:w="988"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95"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30"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579"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投料、破碎废气</w:t>
            </w:r>
          </w:p>
        </w:tc>
        <w:tc>
          <w:tcPr>
            <w:tcW w:w="78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r>
              <w:rPr>
                <w:rFonts w:hint="eastAsia"/>
                <w:color w:val="auto"/>
                <w:highlight w:val="none"/>
                <w:lang w:val="en-US" w:eastAsia="zh-CN"/>
              </w:rPr>
              <w:t>颗粒物</w:t>
            </w:r>
          </w:p>
        </w:tc>
        <w:tc>
          <w:tcPr>
            <w:tcW w:w="1092"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集气罩收集（收集效率90%）+布袋除尘器</w:t>
            </w:r>
            <w:r>
              <w:rPr>
                <w:rFonts w:hint="default" w:ascii="Times New Roman" w:hAnsi="Times New Roman" w:eastAsia="宋体" w:cs="Times New Roman"/>
                <w:color w:val="auto"/>
                <w:sz w:val="21"/>
                <w:szCs w:val="21"/>
                <w:highlight w:val="none"/>
                <w:lang w:val="en-US" w:eastAsia="zh-CN"/>
              </w:rPr>
              <w:t>（处理效率99%）</w:t>
            </w:r>
            <w:r>
              <w:rPr>
                <w:rFonts w:hint="default"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sz w:val="21"/>
                <w:szCs w:val="21"/>
                <w:lang w:val="en-US" w:eastAsia="zh-CN"/>
              </w:rPr>
              <w:t>1根排气筒（DA001）排放</w:t>
            </w:r>
          </w:p>
        </w:tc>
        <w:tc>
          <w:tcPr>
            <w:tcW w:w="40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3.5</w:t>
            </w:r>
          </w:p>
        </w:tc>
        <w:tc>
          <w:tcPr>
            <w:tcW w:w="47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120</w:t>
            </w:r>
          </w:p>
        </w:tc>
        <w:tc>
          <w:tcPr>
            <w:tcW w:w="988"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95"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DA002</w:t>
            </w:r>
          </w:p>
        </w:tc>
        <w:tc>
          <w:tcPr>
            <w:tcW w:w="230"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水溶肥生产线</w:t>
            </w:r>
          </w:p>
        </w:tc>
        <w:tc>
          <w:tcPr>
            <w:tcW w:w="579"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投料废气</w:t>
            </w:r>
          </w:p>
        </w:tc>
        <w:tc>
          <w:tcPr>
            <w:tcW w:w="78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r>
              <w:rPr>
                <w:rFonts w:hint="eastAsia"/>
                <w:color w:val="auto"/>
                <w:highlight w:val="none"/>
                <w:lang w:val="en-US" w:eastAsia="zh-CN"/>
              </w:rPr>
              <w:t>颗粒物</w:t>
            </w:r>
          </w:p>
        </w:tc>
        <w:tc>
          <w:tcPr>
            <w:tcW w:w="1092"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集气罩收集（收集效率90%）+布袋除尘器（处理效率99%）+活性炭吸附（处理效率24%）+1 根 15m 高排气筒（DA002）排放</w:t>
            </w:r>
          </w:p>
        </w:tc>
        <w:tc>
          <w:tcPr>
            <w:tcW w:w="40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3.5</w:t>
            </w:r>
          </w:p>
        </w:tc>
        <w:tc>
          <w:tcPr>
            <w:tcW w:w="47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120</w:t>
            </w:r>
          </w:p>
        </w:tc>
        <w:tc>
          <w:tcPr>
            <w:tcW w:w="988"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95"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30"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579"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呼吸口废气</w:t>
            </w:r>
          </w:p>
        </w:tc>
        <w:tc>
          <w:tcPr>
            <w:tcW w:w="78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r>
              <w:rPr>
                <w:rFonts w:hint="eastAsia"/>
                <w:color w:val="auto"/>
                <w:highlight w:val="none"/>
                <w:lang w:val="en-US" w:eastAsia="zh-CN"/>
              </w:rPr>
              <w:t>NH</w:t>
            </w:r>
            <w:r>
              <w:rPr>
                <w:rFonts w:hint="eastAsia"/>
                <w:color w:val="auto"/>
                <w:highlight w:val="none"/>
                <w:vertAlign w:val="subscript"/>
                <w:lang w:val="en-US" w:eastAsia="zh-CN"/>
              </w:rPr>
              <w:t>3</w:t>
            </w:r>
          </w:p>
        </w:tc>
        <w:tc>
          <w:tcPr>
            <w:tcW w:w="109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p>
        </w:tc>
        <w:tc>
          <w:tcPr>
            <w:tcW w:w="403"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4.9</w:t>
            </w:r>
          </w:p>
        </w:tc>
        <w:tc>
          <w:tcPr>
            <w:tcW w:w="476"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988"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《恶臭污染物排放标准》（GB14554-93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5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95"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30"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生物有机肥生产线</w:t>
            </w:r>
          </w:p>
        </w:tc>
        <w:tc>
          <w:tcPr>
            <w:tcW w:w="579"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发酵废气</w:t>
            </w:r>
          </w:p>
        </w:tc>
        <w:tc>
          <w:tcPr>
            <w:tcW w:w="78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NH</w:t>
            </w:r>
            <w:r>
              <w:rPr>
                <w:rFonts w:hint="eastAsia" w:ascii="Times New Roman" w:hAnsi="Times New Roman" w:eastAsia="宋体" w:cs="Times New Roman"/>
                <w:color w:val="auto"/>
                <w:kern w:val="0"/>
                <w:sz w:val="21"/>
                <w:szCs w:val="21"/>
                <w:highlight w:val="none"/>
                <w:vertAlign w:val="subscript"/>
                <w:lang w:val="en-US" w:eastAsia="zh-CN" w:bidi="ar-SA"/>
              </w:rPr>
              <w:t>3</w:t>
            </w:r>
          </w:p>
        </w:tc>
        <w:tc>
          <w:tcPr>
            <w:tcW w:w="109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03"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p>
        </w:tc>
        <w:tc>
          <w:tcPr>
            <w:tcW w:w="476"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p>
        </w:tc>
        <w:tc>
          <w:tcPr>
            <w:tcW w:w="988"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5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95"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30"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579"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78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t>
            </w:r>
            <w:r>
              <w:rPr>
                <w:rFonts w:hint="eastAsia" w:ascii="Times New Roman" w:hAnsi="Times New Roman" w:eastAsia="宋体" w:cs="Times New Roman"/>
                <w:color w:val="auto"/>
                <w:kern w:val="0"/>
                <w:sz w:val="21"/>
                <w:szCs w:val="21"/>
                <w:highlight w:val="none"/>
                <w:vertAlign w:val="subscript"/>
                <w:lang w:val="en-US" w:eastAsia="zh-CN" w:bidi="ar-SA"/>
              </w:rPr>
              <w:t>2</w:t>
            </w:r>
            <w:r>
              <w:rPr>
                <w:rFonts w:hint="eastAsia" w:ascii="Times New Roman" w:hAnsi="Times New Roman" w:eastAsia="宋体" w:cs="Times New Roman"/>
                <w:color w:val="auto"/>
                <w:kern w:val="0"/>
                <w:sz w:val="21"/>
                <w:szCs w:val="21"/>
                <w:highlight w:val="none"/>
                <w:lang w:val="en-US" w:eastAsia="zh-CN" w:bidi="ar-SA"/>
              </w:rPr>
              <w:t>S</w:t>
            </w:r>
          </w:p>
        </w:tc>
        <w:tc>
          <w:tcPr>
            <w:tcW w:w="109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0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0.33</w:t>
            </w:r>
          </w:p>
        </w:tc>
        <w:tc>
          <w:tcPr>
            <w:tcW w:w="47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988"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95"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30"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579"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加工废气</w:t>
            </w:r>
          </w:p>
        </w:tc>
        <w:tc>
          <w:tcPr>
            <w:tcW w:w="78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SA"/>
              </w:rPr>
              <w:t>颗粒物</w:t>
            </w:r>
          </w:p>
        </w:tc>
        <w:tc>
          <w:tcPr>
            <w:tcW w:w="109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0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3.5</w:t>
            </w:r>
          </w:p>
        </w:tc>
        <w:tc>
          <w:tcPr>
            <w:tcW w:w="47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120</w:t>
            </w:r>
          </w:p>
        </w:tc>
        <w:tc>
          <w:tcPr>
            <w:tcW w:w="988"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46" w:type="pct"/>
            <w:gridSpan w:val="2"/>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无组织废气</w:t>
            </w:r>
          </w:p>
        </w:tc>
        <w:tc>
          <w:tcPr>
            <w:tcW w:w="230"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动植物油脂生产线</w:t>
            </w:r>
          </w:p>
        </w:tc>
        <w:tc>
          <w:tcPr>
            <w:tcW w:w="579"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熔炼废气</w:t>
            </w:r>
          </w:p>
        </w:tc>
        <w:tc>
          <w:tcPr>
            <w:tcW w:w="78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油烟</w:t>
            </w:r>
          </w:p>
        </w:tc>
        <w:tc>
          <w:tcPr>
            <w:tcW w:w="1092"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强化通风</w:t>
            </w:r>
          </w:p>
        </w:tc>
        <w:tc>
          <w:tcPr>
            <w:tcW w:w="40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47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988"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46" w:type="pct"/>
            <w:gridSpan w:val="2"/>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30"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579"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78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非甲烷总烃</w:t>
            </w:r>
          </w:p>
        </w:tc>
        <w:tc>
          <w:tcPr>
            <w:tcW w:w="109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0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47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4.0</w:t>
            </w:r>
          </w:p>
        </w:tc>
        <w:tc>
          <w:tcPr>
            <w:tcW w:w="988"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vertAlign w:val="baseline"/>
                <w:lang w:val="en-US" w:eastAsia="zh-CN"/>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46" w:type="pct"/>
            <w:gridSpan w:val="2"/>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30"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579"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精炼恶臭</w:t>
            </w:r>
          </w:p>
        </w:tc>
        <w:tc>
          <w:tcPr>
            <w:tcW w:w="78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NH</w:t>
            </w:r>
            <w:r>
              <w:rPr>
                <w:rFonts w:hint="default" w:ascii="Times New Roman" w:hAnsi="Times New Roman" w:cs="Times New Roman"/>
                <w:color w:val="auto"/>
                <w:highlight w:val="none"/>
                <w:vertAlign w:val="subscript"/>
                <w:lang w:val="en-US" w:eastAsia="zh-CN"/>
              </w:rPr>
              <w:t>3</w:t>
            </w:r>
          </w:p>
        </w:tc>
        <w:tc>
          <w:tcPr>
            <w:tcW w:w="109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0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7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1.5</w:t>
            </w:r>
          </w:p>
        </w:tc>
        <w:tc>
          <w:tcPr>
            <w:tcW w:w="988"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vertAlign w:val="baseline"/>
                <w:lang w:val="en-US" w:eastAsia="zh-CN"/>
              </w:rPr>
              <w:t>《恶臭污染物排放标准》（GB14554-93）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46" w:type="pct"/>
            <w:gridSpan w:val="2"/>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30"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579"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783"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H</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S</w:t>
            </w:r>
          </w:p>
        </w:tc>
        <w:tc>
          <w:tcPr>
            <w:tcW w:w="1092"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03"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76" w:type="pct"/>
            <w:tcBorders>
              <w:tl2br w:val="nil"/>
              <w:tr2bl w:val="nil"/>
            </w:tcBorders>
            <w:noWrap w:val="0"/>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0.06</w:t>
            </w:r>
          </w:p>
        </w:tc>
        <w:tc>
          <w:tcPr>
            <w:tcW w:w="988"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46" w:type="pct"/>
            <w:gridSpan w:val="2"/>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30" w:type="pct"/>
            <w:vMerge w:val="restar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生物燃料生产线</w:t>
            </w:r>
          </w:p>
        </w:tc>
        <w:tc>
          <w:tcPr>
            <w:tcW w:w="579" w:type="pct"/>
            <w:vMerge w:val="restar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恶臭</w:t>
            </w:r>
          </w:p>
        </w:tc>
        <w:tc>
          <w:tcPr>
            <w:tcW w:w="783"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NH</w:t>
            </w:r>
            <w:r>
              <w:rPr>
                <w:rFonts w:hint="default" w:ascii="Times New Roman" w:hAnsi="Times New Roman" w:cs="Times New Roman"/>
                <w:color w:val="auto"/>
                <w:highlight w:val="none"/>
                <w:vertAlign w:val="subscript"/>
                <w:lang w:val="en-US" w:eastAsia="zh-CN"/>
              </w:rPr>
              <w:t>3</w:t>
            </w:r>
          </w:p>
        </w:tc>
        <w:tc>
          <w:tcPr>
            <w:tcW w:w="1092"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0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76"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1.5</w:t>
            </w:r>
          </w:p>
        </w:tc>
        <w:tc>
          <w:tcPr>
            <w:tcW w:w="988"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gridSpan w:val="2"/>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30"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579"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783"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H</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S</w:t>
            </w:r>
          </w:p>
        </w:tc>
        <w:tc>
          <w:tcPr>
            <w:tcW w:w="1092"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0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476"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0.06</w:t>
            </w:r>
          </w:p>
        </w:tc>
        <w:tc>
          <w:tcPr>
            <w:tcW w:w="988"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gridSpan w:val="2"/>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30"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579"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加热废气</w:t>
            </w:r>
          </w:p>
        </w:tc>
        <w:tc>
          <w:tcPr>
            <w:tcW w:w="78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highlight w:val="none"/>
                <w:lang w:val="en-US" w:eastAsia="zh-CN"/>
              </w:rPr>
              <w:t>非甲烷总烃</w:t>
            </w:r>
          </w:p>
        </w:tc>
        <w:tc>
          <w:tcPr>
            <w:tcW w:w="1092"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0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476"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4.0</w:t>
            </w:r>
          </w:p>
        </w:tc>
        <w:tc>
          <w:tcPr>
            <w:tcW w:w="988" w:type="pct"/>
            <w:vMerge w:val="restar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vertAlign w:val="baseline"/>
                <w:lang w:val="en-US" w:eastAsia="zh-CN"/>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gridSpan w:val="2"/>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30"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579"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投料、破碎废气</w:t>
            </w:r>
          </w:p>
        </w:tc>
        <w:tc>
          <w:tcPr>
            <w:tcW w:w="78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highlight w:val="none"/>
                <w:lang w:val="en-US" w:eastAsia="zh-CN"/>
              </w:rPr>
              <w:t>颗粒物</w:t>
            </w:r>
          </w:p>
        </w:tc>
        <w:tc>
          <w:tcPr>
            <w:tcW w:w="1092"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0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476"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1.0</w:t>
            </w:r>
          </w:p>
        </w:tc>
        <w:tc>
          <w:tcPr>
            <w:tcW w:w="988"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46" w:type="pct"/>
            <w:gridSpan w:val="2"/>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30"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579"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挥发废气</w:t>
            </w:r>
          </w:p>
        </w:tc>
        <w:tc>
          <w:tcPr>
            <w:tcW w:w="78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highlight w:val="none"/>
                <w:lang w:val="en-US" w:eastAsia="zh-CN"/>
              </w:rPr>
              <w:t>甲醇</w:t>
            </w:r>
          </w:p>
        </w:tc>
        <w:tc>
          <w:tcPr>
            <w:tcW w:w="1092"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0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476"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12</w:t>
            </w:r>
          </w:p>
        </w:tc>
        <w:tc>
          <w:tcPr>
            <w:tcW w:w="988"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gridSpan w:val="2"/>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30" w:type="pct"/>
            <w:vMerge w:val="restar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水溶肥生产线</w:t>
            </w:r>
          </w:p>
        </w:tc>
        <w:tc>
          <w:tcPr>
            <w:tcW w:w="579"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投料废气</w:t>
            </w:r>
          </w:p>
        </w:tc>
        <w:tc>
          <w:tcPr>
            <w:tcW w:w="783"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颗粒物</w:t>
            </w:r>
          </w:p>
        </w:tc>
        <w:tc>
          <w:tcPr>
            <w:tcW w:w="1092" w:type="pct"/>
            <w:vMerge w:val="restar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强化通风</w:t>
            </w:r>
          </w:p>
        </w:tc>
        <w:tc>
          <w:tcPr>
            <w:tcW w:w="40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476"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1.0</w:t>
            </w:r>
          </w:p>
        </w:tc>
        <w:tc>
          <w:tcPr>
            <w:tcW w:w="988"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gridSpan w:val="2"/>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30"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579"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呼吸口废气</w:t>
            </w:r>
          </w:p>
        </w:tc>
        <w:tc>
          <w:tcPr>
            <w:tcW w:w="783"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NH</w:t>
            </w:r>
            <w:r>
              <w:rPr>
                <w:rFonts w:hint="default" w:ascii="Times New Roman" w:hAnsi="Times New Roman" w:cs="Times New Roman"/>
                <w:color w:val="auto"/>
                <w:highlight w:val="none"/>
                <w:vertAlign w:val="subscript"/>
                <w:lang w:val="en-US" w:eastAsia="zh-CN"/>
              </w:rPr>
              <w:t>3</w:t>
            </w:r>
          </w:p>
        </w:tc>
        <w:tc>
          <w:tcPr>
            <w:tcW w:w="1092"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0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76"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1.5</w:t>
            </w:r>
          </w:p>
        </w:tc>
        <w:tc>
          <w:tcPr>
            <w:tcW w:w="988" w:type="pct"/>
            <w:vMerge w:val="restar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vertAlign w:val="baseline"/>
                <w:lang w:val="en-US" w:eastAsia="zh-CN"/>
              </w:rPr>
              <w:t>《恶臭污染物排放标准》（GB14554-93）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46" w:type="pct"/>
            <w:gridSpan w:val="2"/>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30" w:type="pct"/>
            <w:vMerge w:val="restar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生物有机肥生产线</w:t>
            </w:r>
          </w:p>
        </w:tc>
        <w:tc>
          <w:tcPr>
            <w:tcW w:w="579" w:type="pct"/>
            <w:vMerge w:val="restar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发酵废气</w:t>
            </w:r>
          </w:p>
        </w:tc>
        <w:tc>
          <w:tcPr>
            <w:tcW w:w="783"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NH</w:t>
            </w:r>
            <w:r>
              <w:rPr>
                <w:rFonts w:hint="default" w:ascii="Times New Roman" w:hAnsi="Times New Roman" w:cs="Times New Roman"/>
                <w:color w:val="auto"/>
                <w:highlight w:val="none"/>
                <w:vertAlign w:val="subscript"/>
                <w:lang w:val="en-US" w:eastAsia="zh-CN"/>
              </w:rPr>
              <w:t>3</w:t>
            </w:r>
          </w:p>
        </w:tc>
        <w:tc>
          <w:tcPr>
            <w:tcW w:w="1092"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0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476"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1.5</w:t>
            </w:r>
          </w:p>
        </w:tc>
        <w:tc>
          <w:tcPr>
            <w:tcW w:w="988"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46" w:type="pct"/>
            <w:gridSpan w:val="2"/>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30"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579"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p>
        </w:tc>
        <w:tc>
          <w:tcPr>
            <w:tcW w:w="783" w:type="pct"/>
            <w:tcBorders>
              <w:tl2br w:val="nil"/>
              <w:tr2bl w:val="nil"/>
            </w:tcBorders>
            <w:vAlign w:val="center"/>
          </w:tcPr>
          <w:p>
            <w:pPr>
              <w:pStyle w:val="34"/>
              <w:bidi w:val="0"/>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H</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S</w:t>
            </w:r>
          </w:p>
        </w:tc>
        <w:tc>
          <w:tcPr>
            <w:tcW w:w="1092"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0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476"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0.06</w:t>
            </w:r>
          </w:p>
        </w:tc>
        <w:tc>
          <w:tcPr>
            <w:tcW w:w="988"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gridSpan w:val="2"/>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30"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579"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加工废气</w:t>
            </w:r>
          </w:p>
        </w:tc>
        <w:tc>
          <w:tcPr>
            <w:tcW w:w="78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highlight w:val="none"/>
                <w:lang w:val="en-US" w:eastAsia="zh-CN"/>
              </w:rPr>
              <w:t>颗粒物</w:t>
            </w:r>
          </w:p>
        </w:tc>
        <w:tc>
          <w:tcPr>
            <w:tcW w:w="1092"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0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476"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1.0</w:t>
            </w:r>
          </w:p>
        </w:tc>
        <w:tc>
          <w:tcPr>
            <w:tcW w:w="988" w:type="pct"/>
            <w:vMerge w:val="restar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vertAlign w:val="baseline"/>
                <w:lang w:val="en-US" w:eastAsia="zh-CN"/>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gridSpan w:val="2"/>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230"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油类储存</w:t>
            </w:r>
          </w:p>
        </w:tc>
        <w:tc>
          <w:tcPr>
            <w:tcW w:w="579"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储存废气</w:t>
            </w:r>
          </w:p>
        </w:tc>
        <w:tc>
          <w:tcPr>
            <w:tcW w:w="78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highlight w:val="none"/>
                <w:lang w:val="en-US" w:eastAsia="zh-CN"/>
              </w:rPr>
              <w:t>非甲烷总烃</w:t>
            </w:r>
          </w:p>
        </w:tc>
        <w:tc>
          <w:tcPr>
            <w:tcW w:w="1092"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0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476"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4.0</w:t>
            </w:r>
          </w:p>
        </w:tc>
        <w:tc>
          <w:tcPr>
            <w:tcW w:w="988"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gridSpan w:val="2"/>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809" w:type="pct"/>
            <w:gridSpan w:val="2"/>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厂房外</w:t>
            </w:r>
          </w:p>
        </w:tc>
        <w:tc>
          <w:tcPr>
            <w:tcW w:w="78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非甲烷总烃</w:t>
            </w:r>
          </w:p>
        </w:tc>
        <w:tc>
          <w:tcPr>
            <w:tcW w:w="1092"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40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476"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60（监控点处1h平均浓度值）</w:t>
            </w:r>
          </w:p>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20（监控点处任意一次浓度值）</w:t>
            </w:r>
          </w:p>
        </w:tc>
        <w:tc>
          <w:tcPr>
            <w:tcW w:w="988"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highlight w:val="none"/>
              </w:rPr>
              <w:t>《挥发性有机物无组织排放控制标准》（GB37822-2019）表A.1 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gridSpan w:val="2"/>
            <w:vMerge w:val="restart"/>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废水</w:t>
            </w:r>
          </w:p>
        </w:tc>
        <w:tc>
          <w:tcPr>
            <w:tcW w:w="809" w:type="pct"/>
            <w:gridSpan w:val="2"/>
            <w:vMerge w:val="restar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生活污水</w:t>
            </w:r>
          </w:p>
        </w:tc>
        <w:tc>
          <w:tcPr>
            <w:tcW w:w="78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CODcr</w:t>
            </w:r>
          </w:p>
        </w:tc>
        <w:tc>
          <w:tcPr>
            <w:tcW w:w="1092" w:type="pct"/>
            <w:vMerge w:val="restar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直接通入园区下水管网最终进入园区污水处理厂</w:t>
            </w:r>
          </w:p>
        </w:tc>
        <w:tc>
          <w:tcPr>
            <w:tcW w:w="40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476"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500</w:t>
            </w:r>
          </w:p>
        </w:tc>
        <w:tc>
          <w:tcPr>
            <w:tcW w:w="988" w:type="pct"/>
            <w:vMerge w:val="restar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《污水综合排放标准》（GB8978-1996）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gridSpan w:val="2"/>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809" w:type="pct"/>
            <w:gridSpan w:val="2"/>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p>
        </w:tc>
        <w:tc>
          <w:tcPr>
            <w:tcW w:w="78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tc>
        <w:tc>
          <w:tcPr>
            <w:tcW w:w="1092"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0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476"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300</w:t>
            </w:r>
          </w:p>
        </w:tc>
        <w:tc>
          <w:tcPr>
            <w:tcW w:w="988"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gridSpan w:val="2"/>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809" w:type="pct"/>
            <w:gridSpan w:val="2"/>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p>
        </w:tc>
        <w:tc>
          <w:tcPr>
            <w:tcW w:w="78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SS</w:t>
            </w:r>
          </w:p>
        </w:tc>
        <w:tc>
          <w:tcPr>
            <w:tcW w:w="1092"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0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476"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400</w:t>
            </w:r>
          </w:p>
        </w:tc>
        <w:tc>
          <w:tcPr>
            <w:tcW w:w="988"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gridSpan w:val="2"/>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809" w:type="pct"/>
            <w:gridSpan w:val="2"/>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p>
        </w:tc>
        <w:tc>
          <w:tcPr>
            <w:tcW w:w="78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-N</w:t>
            </w:r>
          </w:p>
        </w:tc>
        <w:tc>
          <w:tcPr>
            <w:tcW w:w="1092"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0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476"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988"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gridSpan w:val="2"/>
            <w:vMerge w:val="restart"/>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固废</w:t>
            </w:r>
          </w:p>
        </w:tc>
        <w:tc>
          <w:tcPr>
            <w:tcW w:w="809" w:type="pct"/>
            <w:gridSpan w:val="2"/>
            <w:vMerge w:val="restar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危险废物</w:t>
            </w:r>
          </w:p>
        </w:tc>
        <w:tc>
          <w:tcPr>
            <w:tcW w:w="78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废活性炭</w:t>
            </w:r>
          </w:p>
        </w:tc>
        <w:tc>
          <w:tcPr>
            <w:tcW w:w="1092" w:type="pct"/>
            <w:vMerge w:val="restar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vertAlign w:val="baseline"/>
                <w:lang w:val="en-US" w:eastAsia="zh-CN"/>
              </w:rPr>
              <w:t>废活性炭、废机油分类暂存于危废暂存间内，定期交由有资质的单位处理</w:t>
            </w:r>
          </w:p>
        </w:tc>
        <w:tc>
          <w:tcPr>
            <w:tcW w:w="40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476"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988" w:type="pct"/>
            <w:vMerge w:val="restar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rPr>
              <w:t>按照环评要求进行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gridSpan w:val="2"/>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809" w:type="pct"/>
            <w:gridSpan w:val="2"/>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p>
        </w:tc>
        <w:tc>
          <w:tcPr>
            <w:tcW w:w="78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废机油</w:t>
            </w:r>
          </w:p>
        </w:tc>
        <w:tc>
          <w:tcPr>
            <w:tcW w:w="1092"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0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476"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988"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gridSpan w:val="2"/>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809" w:type="pct"/>
            <w:gridSpan w:val="2"/>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p>
        </w:tc>
        <w:tc>
          <w:tcPr>
            <w:tcW w:w="78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含油清洗储罐废水</w:t>
            </w:r>
          </w:p>
        </w:tc>
        <w:tc>
          <w:tcPr>
            <w:tcW w:w="1092"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vertAlign w:val="baseline"/>
                <w:lang w:val="en-US" w:eastAsia="zh-CN"/>
              </w:rPr>
              <w:t>含油清洗储罐废水：清洗完成后委托具有相应处理资质的单位进行处置，不在厂区储存</w:t>
            </w:r>
          </w:p>
        </w:tc>
        <w:tc>
          <w:tcPr>
            <w:tcW w:w="40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476"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988"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gridSpan w:val="2"/>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809" w:type="pct"/>
            <w:gridSpan w:val="2"/>
            <w:vMerge w:val="restar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一般工业固废</w:t>
            </w:r>
          </w:p>
        </w:tc>
        <w:tc>
          <w:tcPr>
            <w:tcW w:w="78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水溶肥</w:t>
            </w:r>
            <w:r>
              <w:rPr>
                <w:rFonts w:hint="eastAsia" w:ascii="Times New Roman" w:hAnsi="Times New Roman" w:eastAsia="宋体" w:cs="Times New Roman"/>
                <w:color w:val="auto"/>
                <w:sz w:val="21"/>
                <w:szCs w:val="21"/>
                <w:vertAlign w:val="baseline"/>
                <w:lang w:val="en-US" w:eastAsia="zh-CN"/>
              </w:rPr>
              <w:t>生产产生的下脚料</w:t>
            </w:r>
          </w:p>
        </w:tc>
        <w:tc>
          <w:tcPr>
            <w:tcW w:w="1092" w:type="pct"/>
            <w:vMerge w:val="restar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vertAlign w:val="baseline"/>
                <w:lang w:val="en-US" w:eastAsia="zh-CN"/>
              </w:rPr>
              <w:t>水溶肥生产产生的下脚料、动植物油水解产生的下脚料及皂脚酸化产生的下脚料回用于生物有机肥生产线，不外排</w:t>
            </w:r>
          </w:p>
        </w:tc>
        <w:tc>
          <w:tcPr>
            <w:tcW w:w="40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476"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988" w:type="pct"/>
            <w:vMerge w:val="restar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rPr>
              <w:t>按照环评要求进行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gridSpan w:val="2"/>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809" w:type="pct"/>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p>
        </w:tc>
        <w:tc>
          <w:tcPr>
            <w:tcW w:w="78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动植物油水解</w:t>
            </w:r>
            <w:r>
              <w:rPr>
                <w:rFonts w:hint="eastAsia" w:ascii="Times New Roman" w:hAnsi="Times New Roman" w:eastAsia="宋体" w:cs="Times New Roman"/>
                <w:color w:val="auto"/>
                <w:sz w:val="21"/>
                <w:szCs w:val="21"/>
                <w:vertAlign w:val="baseline"/>
                <w:lang w:val="en-US" w:eastAsia="zh-CN"/>
              </w:rPr>
              <w:t>产生的下脚料</w:t>
            </w:r>
          </w:p>
        </w:tc>
        <w:tc>
          <w:tcPr>
            <w:tcW w:w="1092"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0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476"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988"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gridSpan w:val="2"/>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809" w:type="pct"/>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p>
        </w:tc>
        <w:tc>
          <w:tcPr>
            <w:tcW w:w="78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皂脚</w:t>
            </w:r>
            <w:r>
              <w:rPr>
                <w:rFonts w:hint="eastAsia" w:ascii="Times New Roman" w:hAnsi="Times New Roman" w:eastAsia="宋体" w:cs="Times New Roman"/>
                <w:color w:val="auto"/>
                <w:sz w:val="21"/>
                <w:szCs w:val="21"/>
                <w:vertAlign w:val="baseline"/>
                <w:lang w:val="en-US" w:eastAsia="zh-CN"/>
              </w:rPr>
              <w:t>酸化产生的下脚料</w:t>
            </w:r>
          </w:p>
        </w:tc>
        <w:tc>
          <w:tcPr>
            <w:tcW w:w="1092"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c>
          <w:tcPr>
            <w:tcW w:w="40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476"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988" w:type="pct"/>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 w:type="pct"/>
            <w:gridSpan w:val="2"/>
            <w:vMerge w:val="continue"/>
            <w:tcBorders>
              <w:tl2br w:val="nil"/>
              <w:tr2bl w:val="nil"/>
            </w:tcBorders>
            <w:vAlign w:val="center"/>
          </w:tcPr>
          <w:p>
            <w:pPr>
              <w:pStyle w:val="34"/>
              <w:keepNext w:val="0"/>
              <w:keepLines w:val="0"/>
              <w:pageBreakBefore w:val="0"/>
              <w:widowControl w:val="0"/>
              <w:kinsoku/>
              <w:wordWrap/>
              <w:overflowPunct/>
              <w:topLinePunct w:val="0"/>
              <w:autoSpaceDE/>
              <w:autoSpaceDN/>
              <w:bidi w:val="0"/>
              <w:jc w:val="center"/>
              <w:outlineLvl w:val="9"/>
              <w:rPr>
                <w:rFonts w:hint="default" w:ascii="Times New Roman" w:hAnsi="Times New Roman" w:eastAsia="宋体" w:cs="Times New Roman"/>
                <w:color w:val="auto"/>
                <w:sz w:val="21"/>
                <w:szCs w:val="21"/>
                <w:highlight w:val="none"/>
                <w:lang w:val="en-US" w:eastAsia="zh-CN"/>
              </w:rPr>
            </w:pPr>
          </w:p>
        </w:tc>
        <w:tc>
          <w:tcPr>
            <w:tcW w:w="1592" w:type="pct"/>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生活垃圾</w:t>
            </w:r>
          </w:p>
        </w:tc>
        <w:tc>
          <w:tcPr>
            <w:tcW w:w="1092"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vertAlign w:val="baseline"/>
                <w:lang w:val="en-US" w:eastAsia="zh-CN"/>
              </w:rPr>
              <w:t>生活垃圾经收集后由园区环卫部门统一清运</w:t>
            </w:r>
          </w:p>
        </w:tc>
        <w:tc>
          <w:tcPr>
            <w:tcW w:w="403"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476"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988" w:type="pct"/>
            <w:tcBorders>
              <w:tl2br w:val="nil"/>
              <w:tr2bl w:val="nil"/>
            </w:tcBorders>
            <w:vAlign w:val="center"/>
          </w:tcPr>
          <w:p>
            <w:pPr>
              <w:pStyle w:val="34"/>
              <w:keepNext w:val="0"/>
              <w:keepLines w:val="0"/>
              <w:pageBreakBefore w:val="0"/>
              <w:widowControl w:val="0"/>
              <w:kinsoku/>
              <w:wordWrap/>
              <w:overflowPunct/>
              <w:topLinePunct w:val="0"/>
              <w:autoSpaceDE/>
              <w:autoSpaceDN/>
              <w:bidi w:val="0"/>
              <w:ind w:left="0" w:leftChars="0" w:right="0" w:rightChars="0" w:firstLine="0" w:firstLineChars="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rPr>
              <w:t>按照环评要求进行</w:t>
            </w:r>
          </w:p>
        </w:tc>
      </w:tr>
    </w:tbl>
    <w:p>
      <w:pPr>
        <w:pStyle w:val="26"/>
        <w:ind w:left="0" w:leftChars="0" w:firstLine="0" w:firstLineChars="0"/>
        <w:rPr>
          <w:rFonts w:hint="default"/>
          <w:color w:val="auto"/>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pStyle w:val="26"/>
        <w:keepNext w:val="0"/>
        <w:keepLines w:val="0"/>
        <w:pageBreakBefore w:val="0"/>
        <w:widowControl w:val="0"/>
        <w:kinsoku/>
        <w:wordWrap/>
        <w:overflowPunct/>
        <w:topLinePunct w:val="0"/>
        <w:autoSpaceDE/>
        <w:autoSpaceDN/>
        <w:bidi w:val="0"/>
        <w:adjustRightInd w:val="0"/>
        <w:snapToGrid w:val="0"/>
        <w:spacing w:line="560" w:lineRule="exact"/>
        <w:ind w:left="0" w:leftChars="0" w:firstLine="0" w:firstLineChars="0"/>
        <w:textAlignment w:val="auto"/>
        <w:outlineLvl w:val="1"/>
        <w:rPr>
          <w:rFonts w:hint="default" w:ascii="Times New Roman" w:hAnsi="Times New Roman" w:eastAsia="宋体" w:cs="Times New Roman"/>
          <w:b/>
          <w:bCs/>
          <w:color w:val="auto"/>
          <w:sz w:val="30"/>
          <w:szCs w:val="30"/>
          <w:lang w:val="en-US" w:eastAsia="zh-CN"/>
        </w:rPr>
      </w:pPr>
      <w:bookmarkStart w:id="125" w:name="_Toc26668"/>
      <w:r>
        <w:rPr>
          <w:rFonts w:hint="default" w:ascii="Times New Roman" w:hAnsi="Times New Roman" w:eastAsia="宋体" w:cs="Times New Roman"/>
          <w:b/>
          <w:bCs/>
          <w:color w:val="auto"/>
          <w:sz w:val="30"/>
          <w:szCs w:val="30"/>
          <w:lang w:val="en-US" w:eastAsia="zh-CN"/>
        </w:rPr>
        <w:t>8.6 排污许可衔接</w:t>
      </w:r>
      <w:bookmarkEnd w:id="125"/>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2016 年 11 月，国务院办公厅发布了《控制污染物排放许可制实施方案》，方案指出：“环境影响评价制度是建设项目的环境准入门槛，排污许可制是企事业单位生产运营期排污的法律依据，必须做好充分衔接，实现从污染预防到污染治理和排放控制的全过程监管。新建项目必须在发生实际排污行为之前申领排污许可证，环境影响评价文件及批复中与污染物排放相关的主要内容应当纳入排污许可证，其排污许可证执行情况应作为环境影响后评价的重要依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排污许可制是企事业单位生产运营期排污的法律依据，是确保环境影响评价提出的污染防治设施和措施落实落地的重要保障。建设单位在报批本项目环境影响报告书时，应当登陆建设项目环评审批信息申报系统，在线填报相关信息并对信息的真实性、准确性和完整性负责。</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因此，本项目在报批环评报告书后，应按照相关要求尽快申领排污许可证，作为本项目合法运行的前提，排污许可证申请及核发按《排污许可证申请与核发技术规范专用化学产品制造工业》（HJ1103-2020）填报执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eastAsia" w:ascii="Times New Roman" w:hAnsi="Times New Roman" w:eastAsia="宋体" w:cs="Times New Roman"/>
          <w:color w:val="auto"/>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0"/>
        <w:rPr>
          <w:rFonts w:hint="default" w:ascii="Times New Roman" w:hAnsi="Times New Roman" w:eastAsia="宋体" w:cs="Times New Roman"/>
          <w:color w:val="auto"/>
          <w:sz w:val="24"/>
          <w:szCs w:val="24"/>
          <w:lang w:val="en-US" w:eastAsia="zh-CN"/>
        </w:rPr>
      </w:pPr>
      <w:bookmarkStart w:id="126" w:name="_Toc18902"/>
      <w:r>
        <w:rPr>
          <w:rFonts w:hint="eastAsia" w:ascii="Times New Roman" w:hAnsi="Times New Roman" w:eastAsia="宋体" w:cs="Times New Roman"/>
          <w:b/>
          <w:bCs/>
          <w:color w:val="auto"/>
          <w:sz w:val="32"/>
          <w:szCs w:val="32"/>
          <w:lang w:val="en-US" w:eastAsia="zh-CN"/>
        </w:rPr>
        <w:t>9 环境影响评价结论</w:t>
      </w:r>
      <w:bookmarkEnd w:id="126"/>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color w:val="auto"/>
          <w:sz w:val="24"/>
          <w:szCs w:val="24"/>
          <w:lang w:val="en-US" w:eastAsia="zh-CN"/>
        </w:rPr>
      </w:pPr>
      <w:bookmarkStart w:id="127" w:name="_Toc1342"/>
      <w:r>
        <w:rPr>
          <w:rFonts w:hint="eastAsia" w:ascii="Times New Roman" w:hAnsi="Times New Roman" w:eastAsia="宋体" w:cs="Times New Roman"/>
          <w:b/>
          <w:bCs/>
          <w:color w:val="auto"/>
          <w:sz w:val="30"/>
          <w:szCs w:val="30"/>
          <w:lang w:val="en-US" w:eastAsia="zh-CN"/>
        </w:rPr>
        <w:t>9.1 项目概况</w:t>
      </w:r>
      <w:bookmarkEnd w:id="127"/>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（1）项目名称：新疆嘉宏生物科技有限公司废弃动植物油脂等资源循环再利用项目；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（2）建设单位：新疆嘉宏生物科技有限公司；</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（3）建设性质：新建；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（4）建设规模：拟建生物有机肥生产线 1 套、</w:t>
      </w:r>
      <w:r>
        <w:rPr>
          <w:rFonts w:hint="default" w:ascii="Times New Roman" w:hAnsi="Times New Roman" w:eastAsia="宋体" w:cs="Times New Roman"/>
          <w:color w:val="auto"/>
          <w:sz w:val="24"/>
          <w:szCs w:val="24"/>
          <w:lang w:val="en-US" w:eastAsia="zh-CN"/>
        </w:rPr>
        <w:t>水溶肥生产</w:t>
      </w:r>
      <w:r>
        <w:rPr>
          <w:rFonts w:hint="eastAsia" w:ascii="Times New Roman" w:hAnsi="Times New Roman" w:eastAsia="宋体" w:cs="Times New Roman"/>
          <w:color w:val="auto"/>
          <w:sz w:val="24"/>
          <w:szCs w:val="24"/>
          <w:lang w:val="en-US" w:eastAsia="zh-CN"/>
        </w:rPr>
        <w:t xml:space="preserve">线 </w:t>
      </w:r>
      <w:r>
        <w:rPr>
          <w:rFonts w:hint="default"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套</w:t>
      </w:r>
      <w:r>
        <w:rPr>
          <w:rFonts w:hint="eastAsia" w:ascii="Times New Roman" w:hAnsi="Times New Roman" w:eastAsia="宋体" w:cs="Times New Roman"/>
          <w:color w:val="auto"/>
          <w:sz w:val="24"/>
          <w:szCs w:val="24"/>
          <w:lang w:val="en-US" w:eastAsia="zh-CN"/>
        </w:rPr>
        <w:t>、生物燃料</w:t>
      </w:r>
      <w:r>
        <w:rPr>
          <w:rFonts w:hint="default" w:ascii="Times New Roman" w:hAnsi="Times New Roman" w:eastAsia="宋体" w:cs="Times New Roman"/>
          <w:color w:val="auto"/>
          <w:sz w:val="24"/>
          <w:szCs w:val="24"/>
          <w:lang w:val="en-US" w:eastAsia="zh-CN"/>
        </w:rPr>
        <w:t>生产线</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套及饲料油、磷脂油加工生产线</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套</w:t>
      </w:r>
      <w:r>
        <w:rPr>
          <w:rFonts w:hint="eastAsia" w:ascii="Times New Roman" w:hAnsi="Times New Roman" w:eastAsia="宋体" w:cs="Times New Roman"/>
          <w:color w:val="auto"/>
          <w:sz w:val="24"/>
          <w:szCs w:val="24"/>
          <w:lang w:val="en-US" w:eastAsia="zh-CN"/>
        </w:rPr>
        <w:t>，新建封闭式钢结构厂房 2座，其中：有机肥、水溶肥加工车间总面积为3000m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。油脂加工车间总面积为2000m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，及配套附属设施建设；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建设地点：项目厂址位于新疆维吾尔自治区昌吉州呼图壁工业园西区内，厂址东侧为呼图壁县安泰水泥有限责任公司，南侧紧邻爱特路，西侧紧邻园区道路，北侧为新疆助农丰节水管材有限责任公司，厂址中心地理坐标为：E86°35'13.264"，N44°16'43.095；</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color w:val="auto"/>
          <w:sz w:val="24"/>
          <w:szCs w:val="24"/>
          <w:lang w:val="en-US" w:eastAsia="zh-CN"/>
        </w:rPr>
      </w:pPr>
      <w:bookmarkStart w:id="128" w:name="_Toc28931"/>
      <w:r>
        <w:rPr>
          <w:rFonts w:hint="eastAsia" w:ascii="Times New Roman" w:hAnsi="Times New Roman" w:eastAsia="宋体" w:cs="Times New Roman"/>
          <w:b/>
          <w:bCs/>
          <w:color w:val="auto"/>
          <w:sz w:val="30"/>
          <w:szCs w:val="30"/>
          <w:lang w:val="en-US" w:eastAsia="zh-CN"/>
        </w:rPr>
        <w:t>9.2 环境质量现状</w:t>
      </w:r>
      <w:bookmarkEnd w:id="128"/>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（1）生态现状</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项目评价范围内无国家法定的保护区域和需保护的珍稀动植物，生态敏感程度为一般区域，其对生态环境的负面影响较小。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（2）地下水环境质量现状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项目所在地地下水水质能够满足《地下水质量标准》（GB/T14848-2017）Ⅲ 类标准要求。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（3）环境空气质量现状</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项目所在区域环境空气质量中，本工程所在区域不达标的污染物 PM</w:t>
      </w:r>
      <w:r>
        <w:rPr>
          <w:rFonts w:hint="eastAsia" w:ascii="Times New Roman" w:hAnsi="Times New Roman" w:eastAsia="宋体" w:cs="Times New Roman"/>
          <w:color w:val="auto"/>
          <w:sz w:val="24"/>
          <w:szCs w:val="24"/>
          <w:vertAlign w:val="subscript"/>
          <w:lang w:val="en-US" w:eastAsia="zh-CN"/>
        </w:rPr>
        <w:t>2.5</w:t>
      </w:r>
      <w:r>
        <w:rPr>
          <w:rFonts w:hint="eastAsia" w:ascii="Times New Roman" w:hAnsi="Times New Roman" w:eastAsia="宋体" w:cs="Times New Roman"/>
          <w:color w:val="auto"/>
          <w:sz w:val="24"/>
          <w:szCs w:val="24"/>
          <w:lang w:val="en-US" w:eastAsia="zh-CN"/>
        </w:rPr>
        <w:t>、PM</w:t>
      </w:r>
      <w:r>
        <w:rPr>
          <w:rFonts w:hint="eastAsia" w:ascii="Times New Roman" w:hAnsi="Times New Roman" w:eastAsia="宋体" w:cs="Times New Roman"/>
          <w:color w:val="auto"/>
          <w:sz w:val="24"/>
          <w:szCs w:val="24"/>
          <w:vertAlign w:val="subscript"/>
          <w:lang w:val="en-US" w:eastAsia="zh-CN"/>
        </w:rPr>
        <w:t>10</w:t>
      </w:r>
      <w:r>
        <w:rPr>
          <w:rFonts w:hint="eastAsia" w:ascii="Times New Roman" w:hAnsi="Times New Roman" w:eastAsia="宋体" w:cs="Times New Roman"/>
          <w:color w:val="auto"/>
          <w:sz w:val="24"/>
          <w:szCs w:val="24"/>
          <w:lang w:val="en-US" w:eastAsia="zh-CN"/>
        </w:rPr>
        <w:t xml:space="preserve"> 项目所在区域属于不达标区域。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根据大气补充监测分析结果可知，各监测点位硫酸雾、氨、硫化氢、甲醇满足《环境影响评价技术导则——大气环境》（HJ2.2-2018）中附录 D 其他污染物空气质量浓度参考限值要求；非甲烷总烃满足《大气污染物综合排放标准详解》国家环境保护局科技标准司中推荐的浓度；TSP满足《环境空气质量标准》（GB3095-2012）中的二级标准限值要求。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（4）声环境质量现状</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根据噪声环境现状监测，项目厂区周界各监测点位昼夜间声环境现状均满足《声环境质量标准》（GB3096-2008）3 类标准，表明该区域内声环境质量现状符合功能区声环境质量要求。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（5）土壤环境质量现状</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项目土壤各监测因子浓度均满足《土壤环境质量建设用地土壤污染风险管控标准（试行）》（GB36600-2018）第二类用地筛选值标准，该区域土壤环境质量较好。</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b/>
          <w:bCs/>
          <w:color w:val="auto"/>
          <w:sz w:val="30"/>
          <w:szCs w:val="30"/>
          <w:lang w:val="en-US" w:eastAsia="zh-CN"/>
        </w:rPr>
      </w:pPr>
      <w:bookmarkStart w:id="129" w:name="_Toc22058"/>
      <w:r>
        <w:rPr>
          <w:rFonts w:hint="eastAsia" w:ascii="Times New Roman" w:hAnsi="Times New Roman" w:eastAsia="宋体" w:cs="Times New Roman"/>
          <w:b/>
          <w:bCs/>
          <w:color w:val="auto"/>
          <w:sz w:val="30"/>
          <w:szCs w:val="30"/>
          <w:lang w:val="en-US" w:eastAsia="zh-CN"/>
        </w:rPr>
        <w:t>9.3 施工期环境影响评价结论</w:t>
      </w:r>
      <w:bookmarkEnd w:id="129"/>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9.3.1 环境空气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项目厂区施工场地均距居民区较远，施工中采取洒水降尘等措施后，施工扬尘对居民影响较小。</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9.3.2 水环境</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施工过程中的废水主要来自暴雨的地表径流、建筑工地废水和生活污水。施工废水回用于施工场地洒水抑尘，不外排，施工期生活污水经临时沉淀池收集后排入园区污水管网，施工期间严格执行施工期的环保措施，不会对周边环境产生不利影响。</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9.3.3 声环境</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本项目施工作业噪声主要来自施工机械。通过选择低噪声设备，加强施工机械与车辆的维修与保养等措施后，且项目厂区施工场地均距居民区较远，工程施工期间产生的施工噪声对其影响较小。</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9.3.4 固体废物</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施工过程中的固体废物建筑垃圾和施工人员产生的生活垃圾等，项目整个施工期，建筑垃圾统一收集，按相关部门的要求送指定的建筑垃圾填埋场处理，对环境影响不大。生活垃圾送当地环卫部门处理，在采取上述措施后，固体废物不会对环境造成影响。</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b/>
          <w:bCs/>
          <w:color w:val="auto"/>
          <w:sz w:val="30"/>
          <w:szCs w:val="30"/>
          <w:lang w:val="en-US" w:eastAsia="zh-CN"/>
        </w:rPr>
      </w:pPr>
      <w:bookmarkStart w:id="130" w:name="_Toc26112"/>
      <w:r>
        <w:rPr>
          <w:rFonts w:hint="eastAsia" w:ascii="Times New Roman" w:hAnsi="Times New Roman" w:eastAsia="宋体" w:cs="Times New Roman"/>
          <w:b/>
          <w:bCs/>
          <w:color w:val="auto"/>
          <w:sz w:val="30"/>
          <w:szCs w:val="30"/>
          <w:lang w:val="en-US" w:eastAsia="zh-CN"/>
        </w:rPr>
        <w:t>9.4 环境影响及保护措施分析结论</w:t>
      </w:r>
      <w:bookmarkEnd w:id="130"/>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9.4.1 废气</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动植物油脂回收生产线产生的油脂烟气、非甲烷总烃及恶臭气体、罐区储罐呼吸产生的非甲烷总烃、生物燃料生产线产生的恶臭及非甲烷总烃共用一套环保设备，经管道收集后采用“净电除油（处理效率85%）+二级碱液喷淋塔+除湿+活性炭吸附箱（处理效率95.6%）”处理后，经1根15m高排气筒（DA001）排放，本项目生物燃料生产线产生的颗粒物经集气罩收集后采用布袋除尘器（处理效率99%）处理后通入DA001排气筒排放。经措施处理后，油脂烟气排放浓度满足</w:t>
      </w:r>
      <w:r>
        <w:rPr>
          <w:rFonts w:hint="default" w:ascii="Times New Roman" w:hAnsi="Times New Roman" w:eastAsia="宋体" w:cs="Times New Roman"/>
          <w:color w:val="auto"/>
          <w:sz w:val="24"/>
          <w:szCs w:val="24"/>
          <w:vertAlign w:val="baseline"/>
          <w:lang w:val="en-US" w:eastAsia="zh-CN"/>
        </w:rPr>
        <w:t>《饮食业油烟排放标准（试行）》（GB18483-2001）表</w:t>
      </w:r>
      <w:r>
        <w:rPr>
          <w:rFonts w:hint="eastAsia" w:ascii="Times New Roman" w:hAnsi="Times New Roman" w:eastAsia="宋体" w:cs="Times New Roman"/>
          <w:color w:val="auto"/>
          <w:sz w:val="24"/>
          <w:szCs w:val="24"/>
          <w:vertAlign w:val="baseline"/>
          <w:lang w:val="en-US" w:eastAsia="zh-CN"/>
        </w:rPr>
        <w:t xml:space="preserve"> </w:t>
      </w:r>
      <w:r>
        <w:rPr>
          <w:rFonts w:hint="default" w:ascii="Times New Roman" w:hAnsi="Times New Roman" w:eastAsia="宋体" w:cs="Times New Roman"/>
          <w:color w:val="auto"/>
          <w:sz w:val="24"/>
          <w:szCs w:val="24"/>
          <w:vertAlign w:val="baseline"/>
          <w:lang w:val="en-US" w:eastAsia="zh-CN"/>
        </w:rPr>
        <w:t>2</w:t>
      </w:r>
      <w:r>
        <w:rPr>
          <w:rFonts w:hint="eastAsia" w:ascii="Times New Roman" w:hAnsi="Times New Roman" w:eastAsia="宋体" w:cs="Times New Roman"/>
          <w:color w:val="auto"/>
          <w:sz w:val="24"/>
          <w:szCs w:val="24"/>
          <w:vertAlign w:val="baseline"/>
          <w:lang w:val="en-US" w:eastAsia="zh-CN"/>
        </w:rPr>
        <w:t xml:space="preserve"> </w:t>
      </w:r>
      <w:r>
        <w:rPr>
          <w:rFonts w:hint="default" w:ascii="Times New Roman" w:hAnsi="Times New Roman" w:eastAsia="宋体" w:cs="Times New Roman"/>
          <w:color w:val="auto"/>
          <w:sz w:val="24"/>
          <w:szCs w:val="24"/>
          <w:vertAlign w:val="baseline"/>
          <w:lang w:val="en-US" w:eastAsia="zh-CN"/>
        </w:rPr>
        <w:t>限值</w:t>
      </w:r>
      <w:r>
        <w:rPr>
          <w:rFonts w:hint="eastAsia" w:ascii="Times New Roman" w:hAnsi="Times New Roman" w:eastAsia="宋体" w:cs="Times New Roman"/>
          <w:color w:val="auto"/>
          <w:sz w:val="24"/>
          <w:szCs w:val="24"/>
          <w:vertAlign w:val="baseline"/>
          <w:lang w:val="en-US" w:eastAsia="zh-CN"/>
        </w:rPr>
        <w:t>，颗粒物及非甲烷总烃排放浓度满足《大气污染物综合排放标准（GB16297-1996）表 2 中二级限值，</w:t>
      </w:r>
      <w:r>
        <w:rPr>
          <w:rFonts w:hint="default" w:ascii="Times New Roman" w:hAnsi="Times New Roman" w:eastAsia="宋体" w:cs="Times New Roman"/>
          <w:color w:val="auto"/>
          <w:sz w:val="24"/>
          <w:szCs w:val="24"/>
          <w:vertAlign w:val="baseline"/>
          <w:lang w:val="en-US" w:eastAsia="zh-CN"/>
        </w:rPr>
        <w:t>NH</w:t>
      </w:r>
      <w:r>
        <w:rPr>
          <w:rFonts w:hint="default"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vertAlign w:val="baseline"/>
          <w:lang w:val="en-US" w:eastAsia="zh-CN"/>
        </w:rPr>
        <w:t>、</w:t>
      </w:r>
      <w:r>
        <w:rPr>
          <w:rFonts w:hint="eastAsia" w:ascii="Times New Roman" w:hAnsi="Times New Roman" w:eastAsia="宋体" w:cs="Times New Roman"/>
          <w:color w:val="auto"/>
          <w:sz w:val="24"/>
          <w:szCs w:val="24"/>
          <w:lang w:val="en-US" w:eastAsia="zh-CN"/>
        </w:rPr>
        <w:t>H</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S 排放速率满足</w:t>
      </w:r>
      <w:r>
        <w:rPr>
          <w:rFonts w:hint="default" w:ascii="Times New Roman" w:hAnsi="Times New Roman" w:eastAsia="宋体" w:cs="Times New Roman"/>
          <w:color w:val="auto"/>
          <w:sz w:val="24"/>
          <w:szCs w:val="24"/>
          <w:vertAlign w:val="baseline"/>
          <w:lang w:val="en-US" w:eastAsia="zh-CN"/>
        </w:rPr>
        <w:t>《恶臭污染物排放标准》（GB14554-93）表</w:t>
      </w:r>
      <w:r>
        <w:rPr>
          <w:rFonts w:hint="eastAsia" w:ascii="Times New Roman" w:hAnsi="Times New Roman" w:eastAsia="宋体" w:cs="Times New Roman"/>
          <w:color w:val="auto"/>
          <w:sz w:val="24"/>
          <w:szCs w:val="24"/>
          <w:vertAlign w:val="baseline"/>
          <w:lang w:val="en-US" w:eastAsia="zh-CN"/>
        </w:rPr>
        <w:t xml:space="preserve"> </w:t>
      </w:r>
      <w:r>
        <w:rPr>
          <w:rFonts w:hint="default" w:ascii="Times New Roman" w:hAnsi="Times New Roman" w:eastAsia="宋体" w:cs="Times New Roman"/>
          <w:color w:val="auto"/>
          <w:sz w:val="24"/>
          <w:szCs w:val="24"/>
          <w:vertAlign w:val="baseline"/>
          <w:lang w:val="en-US" w:eastAsia="zh-CN"/>
        </w:rPr>
        <w:t>2</w:t>
      </w:r>
      <w:r>
        <w:rPr>
          <w:rFonts w:hint="eastAsia" w:ascii="Times New Roman" w:hAnsi="Times New Roman" w:eastAsia="宋体" w:cs="Times New Roman"/>
          <w:color w:val="auto"/>
          <w:sz w:val="24"/>
          <w:szCs w:val="24"/>
          <w:vertAlign w:val="baseline"/>
          <w:lang w:val="en-US" w:eastAsia="zh-CN"/>
        </w:rPr>
        <w:t xml:space="preserve"> </w:t>
      </w:r>
      <w:r>
        <w:rPr>
          <w:rFonts w:hint="default" w:ascii="Times New Roman" w:hAnsi="Times New Roman" w:eastAsia="宋体" w:cs="Times New Roman"/>
          <w:color w:val="auto"/>
          <w:sz w:val="24"/>
          <w:szCs w:val="24"/>
          <w:vertAlign w:val="baseline"/>
          <w:lang w:val="en-US" w:eastAsia="zh-CN"/>
        </w:rPr>
        <w:t>中排放限值</w:t>
      </w:r>
      <w:r>
        <w:rPr>
          <w:rFonts w:hint="eastAsia" w:ascii="Times New Roman" w:hAnsi="Times New Roman" w:eastAsia="宋体" w:cs="Times New Roman"/>
          <w:color w:val="auto"/>
          <w:sz w:val="24"/>
          <w:szCs w:val="24"/>
          <w:vertAlign w:val="baseline"/>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vertAlign w:val="baseline"/>
          <w:lang w:val="en-US" w:eastAsia="zh-CN"/>
        </w:rPr>
        <w:t>本项目水溶肥生产线产生的颗粒物、NH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vertAlign w:val="baseline"/>
          <w:lang w:val="en-US" w:eastAsia="zh-CN"/>
        </w:rPr>
        <w:t>、生物有机肥产生的恶臭及颗粒物经集气罩收集后采用“布袋除尘器（处理效率99%）+活性炭吸附（处理效率24%）”处理后，经1 根 15m 高排气筒（DA002）排放。经措施处理后颗粒物及非甲烷总烃排放浓度满足《大气污染物综合排放标准（GB16297-1996）表 2 中二级限值，</w:t>
      </w:r>
      <w:r>
        <w:rPr>
          <w:rFonts w:hint="default" w:ascii="Times New Roman" w:hAnsi="Times New Roman" w:eastAsia="宋体" w:cs="Times New Roman"/>
          <w:color w:val="auto"/>
          <w:sz w:val="24"/>
          <w:szCs w:val="24"/>
          <w:vertAlign w:val="baseline"/>
          <w:lang w:val="en-US" w:eastAsia="zh-CN"/>
        </w:rPr>
        <w:t>NH</w:t>
      </w:r>
      <w:r>
        <w:rPr>
          <w:rFonts w:hint="default"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vertAlign w:val="baseline"/>
          <w:lang w:val="en-US" w:eastAsia="zh-CN"/>
        </w:rPr>
        <w:t>、</w:t>
      </w:r>
      <w:r>
        <w:rPr>
          <w:rFonts w:hint="eastAsia" w:ascii="Times New Roman" w:hAnsi="Times New Roman" w:eastAsia="宋体" w:cs="Times New Roman"/>
          <w:color w:val="auto"/>
          <w:sz w:val="24"/>
          <w:szCs w:val="24"/>
          <w:lang w:val="en-US" w:eastAsia="zh-CN"/>
        </w:rPr>
        <w:t>H</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S 排放速率满足</w:t>
      </w:r>
      <w:r>
        <w:rPr>
          <w:rFonts w:hint="default" w:ascii="Times New Roman" w:hAnsi="Times New Roman" w:eastAsia="宋体" w:cs="Times New Roman"/>
          <w:color w:val="auto"/>
          <w:sz w:val="24"/>
          <w:szCs w:val="24"/>
          <w:vertAlign w:val="baseline"/>
          <w:lang w:val="en-US" w:eastAsia="zh-CN"/>
        </w:rPr>
        <w:t>《恶臭污染物排放标准》（GB14554-93）表</w:t>
      </w:r>
      <w:r>
        <w:rPr>
          <w:rFonts w:hint="eastAsia" w:ascii="Times New Roman" w:hAnsi="Times New Roman" w:eastAsia="宋体" w:cs="Times New Roman"/>
          <w:color w:val="auto"/>
          <w:sz w:val="24"/>
          <w:szCs w:val="24"/>
          <w:vertAlign w:val="baseline"/>
          <w:lang w:val="en-US" w:eastAsia="zh-CN"/>
        </w:rPr>
        <w:t xml:space="preserve"> </w:t>
      </w:r>
      <w:r>
        <w:rPr>
          <w:rFonts w:hint="default" w:ascii="Times New Roman" w:hAnsi="Times New Roman" w:eastAsia="宋体" w:cs="Times New Roman"/>
          <w:color w:val="auto"/>
          <w:sz w:val="24"/>
          <w:szCs w:val="24"/>
          <w:vertAlign w:val="baseline"/>
          <w:lang w:val="en-US" w:eastAsia="zh-CN"/>
        </w:rPr>
        <w:t>2</w:t>
      </w:r>
      <w:r>
        <w:rPr>
          <w:rFonts w:hint="eastAsia" w:ascii="Times New Roman" w:hAnsi="Times New Roman" w:eastAsia="宋体" w:cs="Times New Roman"/>
          <w:color w:val="auto"/>
          <w:sz w:val="24"/>
          <w:szCs w:val="24"/>
          <w:vertAlign w:val="baseline"/>
          <w:lang w:val="en-US" w:eastAsia="zh-CN"/>
        </w:rPr>
        <w:t xml:space="preserve"> </w:t>
      </w:r>
      <w:r>
        <w:rPr>
          <w:rFonts w:hint="default" w:ascii="Times New Roman" w:hAnsi="Times New Roman" w:eastAsia="宋体" w:cs="Times New Roman"/>
          <w:color w:val="auto"/>
          <w:sz w:val="24"/>
          <w:szCs w:val="24"/>
          <w:vertAlign w:val="baseline"/>
          <w:lang w:val="en-US" w:eastAsia="zh-CN"/>
        </w:rPr>
        <w:t>中排放限值</w:t>
      </w:r>
      <w:r>
        <w:rPr>
          <w:rFonts w:hint="eastAsia" w:ascii="Times New Roman" w:hAnsi="Times New Roman" w:eastAsia="宋体" w:cs="Times New Roman"/>
          <w:color w:val="auto"/>
          <w:sz w:val="24"/>
          <w:szCs w:val="24"/>
          <w:vertAlign w:val="baseline"/>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9.4.2 废水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本项目产生的废水主要为熔炼废水、皂脚酸化废水及生活污水，生产废水回用于水溶肥生产线，不外排；生活污水直接排入园区污水管网，最终进入园区污水处理厂处理。</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9.4.3 噪声</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本项目高噪声设备主要包括生产车间内输送泵、送风机等各类机械动力设备，噪声值均大于 75dB（A）。项目所有生产设备均设置于厂房内，并设置基础减震、泵类采用柔性连接、风机加装消声器等隔声降噪措施，采取以上措施后，项目噪声源对厂区各厂界评价点的昼间噪声预测值及夜间噪声预测值均能够满足《工业企业厂界环境噪声排放标准》（GB12348-2008）3 类标准要求。</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9.4.4 固体废物</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产生的固体废物主要为一般固体废物、危险废物及生活垃圾。本项目产生的一般固体废物主要有：水溶肥生产线产生的下脚料、动植物油水解产生的下脚料、皂脚酸化产生的下脚料及生活垃圾等，项目产生的一般固体废物首先考虑综合利用，水溶肥生产线产生的下脚料、动植物油水解产生的下脚料、皂脚酸化产生的下脚料回用于生物有机肥生产线。产生的生活垃圾经场内垃圾桶收集后由园区环卫部门统一清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产生的危险废物主要有：废活性炭、废机油、储罐清洗含油废水等，废活性炭、废机油收集后分类暂存厂区危险暂存间，定期委托有资质的单位处置；待储罐清洗完成后，拉运至资质单位处置，不在厂区储存。</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9.4.5 地下水、土壤</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（1）对工艺、管道、设备、污水储存及处理构筑物采取相应措施，防止和降低污染物跑、冒、滴、漏，将污染物泄漏的环境风险事故降到最低程度。</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（2）管线敷设尽量采用“可视化”原则，即管道尽可能地上敷设，做到污染物“早发现、早处理”，减少由于埋地管道泄漏而造成的地下水污染。</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（3）按照非污染防治区、一般污染防治区和重点污染防治区，合理划分项目的污染防治分区，一般污染防治区防渗层的防渗性能不低于 1.5m 厚渗透系数为 1.0×10</w:t>
      </w:r>
      <w:r>
        <w:rPr>
          <w:rFonts w:hint="eastAsia" w:ascii="Times New Roman" w:hAnsi="Times New Roman" w:eastAsia="宋体" w:cs="Times New Roman"/>
          <w:color w:val="auto"/>
          <w:sz w:val="24"/>
          <w:szCs w:val="24"/>
          <w:vertAlign w:val="superscript"/>
          <w:lang w:val="en-US" w:eastAsia="zh-CN"/>
        </w:rPr>
        <w:t xml:space="preserve"> -7</w:t>
      </w:r>
      <w:r>
        <w:rPr>
          <w:rFonts w:hint="eastAsia" w:ascii="Times New Roman" w:hAnsi="Times New Roman" w:eastAsia="宋体" w:cs="Times New Roman"/>
          <w:color w:val="auto"/>
          <w:sz w:val="24"/>
          <w:szCs w:val="24"/>
          <w:lang w:val="en-US" w:eastAsia="zh-CN"/>
        </w:rPr>
        <w:t>cm/s 的黏土层的防渗性能；重点污染防治区防渗层的防渗性能不低于 6.0m 厚渗透系数为 1.0×10</w:t>
      </w:r>
      <w:r>
        <w:rPr>
          <w:rFonts w:hint="eastAsia" w:ascii="Times New Roman" w:hAnsi="Times New Roman" w:eastAsia="宋体" w:cs="Times New Roman"/>
          <w:color w:val="auto"/>
          <w:sz w:val="24"/>
          <w:szCs w:val="24"/>
          <w:vertAlign w:val="superscript"/>
          <w:lang w:val="en-US" w:eastAsia="zh-CN"/>
        </w:rPr>
        <w:t xml:space="preserve"> -7</w:t>
      </w:r>
      <w:r>
        <w:rPr>
          <w:rFonts w:hint="eastAsia" w:ascii="Times New Roman" w:hAnsi="Times New Roman" w:eastAsia="宋体" w:cs="Times New Roman"/>
          <w:color w:val="auto"/>
          <w:sz w:val="24"/>
          <w:szCs w:val="24"/>
          <w:lang w:val="en-US" w:eastAsia="zh-CN"/>
        </w:rPr>
        <w:t>cm/s 的黏土层的防渗性能，防渗设施的设计使用年限不低于相应设备、地下管道或建、构筑物的设计使用年限。</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b/>
          <w:bCs/>
          <w:color w:val="auto"/>
          <w:sz w:val="30"/>
          <w:szCs w:val="30"/>
          <w:lang w:val="en-US" w:eastAsia="zh-CN"/>
        </w:rPr>
      </w:pPr>
      <w:bookmarkStart w:id="131" w:name="_Toc3720"/>
      <w:r>
        <w:rPr>
          <w:rFonts w:hint="eastAsia" w:ascii="Times New Roman" w:hAnsi="Times New Roman" w:eastAsia="宋体" w:cs="Times New Roman"/>
          <w:b/>
          <w:bCs/>
          <w:color w:val="auto"/>
          <w:sz w:val="30"/>
          <w:szCs w:val="30"/>
          <w:lang w:val="en-US" w:eastAsia="zh-CN"/>
        </w:rPr>
        <w:t>9.5 环境管理与经济损益结论</w:t>
      </w:r>
      <w:bookmarkEnd w:id="131"/>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9.5.1 环境管理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环境管理是企业管理的一项重要内容，加强环境监管力度，是实现环境、生产、经济协调发展和走可持续发展道路的重要措施。</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环境监理工作由建设单位选择有资质的环境监理机构承担。环境监理机构依法对施工单位、承包商、供应商执行国家环保法律、法规、制度、标准、规范的情况进行监督检查。施工期环境监理内容主要包括环保达标监理和环保工程监理。环保达标监理是使主体工程的施工符合环境保护的要求，施工场地周围环境满足环境质量标准的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运营期环境监测工作由有资质的环境监测部门实施监测，负责对企业总排口、各装置废水、废气和企业噪声等进行必要的监测，完成常规环境监测任务，在突发性污染事故中负责对大气、水体环境进行及时监测。</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9.5.2 环境经济损益分析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本项目环保投资 291 万元，环保投资占总投资 14.55%。项目的建设对促进地方经济发展和环境保护起到积极的推动作用，具有巨大社会经济效益。</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1"/>
        <w:rPr>
          <w:rFonts w:hint="default" w:ascii="Times New Roman" w:hAnsi="Times New Roman" w:eastAsia="宋体" w:cs="Times New Roman"/>
          <w:b/>
          <w:bCs/>
          <w:color w:val="auto"/>
          <w:sz w:val="30"/>
          <w:szCs w:val="30"/>
          <w:lang w:val="en-US" w:eastAsia="zh-CN"/>
        </w:rPr>
      </w:pPr>
      <w:bookmarkStart w:id="132" w:name="_Toc2819"/>
      <w:r>
        <w:rPr>
          <w:rFonts w:hint="eastAsia" w:ascii="Times New Roman" w:hAnsi="Times New Roman" w:eastAsia="宋体" w:cs="Times New Roman"/>
          <w:b/>
          <w:bCs/>
          <w:color w:val="auto"/>
          <w:sz w:val="30"/>
          <w:szCs w:val="30"/>
          <w:lang w:val="en-US" w:eastAsia="zh-CN"/>
        </w:rPr>
        <w:t>9.6 结论与建议</w:t>
      </w:r>
      <w:bookmarkEnd w:id="132"/>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9.6.1 结论</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本项目建设符合国家产业政策及相关专项发展规划，符合当地区域发展规划、环保规划等。环境质量现状满足环境功能区要求。</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采用先进的工艺技术和设备，所采取的环保措施可行，废水和废气满足达标排放要求，工业固体废物的处理处置符合“资源化、减量化、无害化”原则，总量控制因子满足总量控制要求。经定量预测和分析，本项目排放污染物对大气、声环境、水环境及生态环境等的影响较小，本项目建成不会改变所在区域环境功能区的质量。项目采取环境风险防范及减缓措施后，项目环境风险可防可控，评价区域内公众支持工程的建设；项目的选址合理可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因此，在本项目认真落实各项环保措施及生态减缓措施、环境风险防范措施及应急管理措施以及本报告书建议、落实项目排水设施的设计、事故水防控体系的设计与执行完整前提下，从环境保护的角度，本项目的建设是可行的。</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9.6.2 建议</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（1）建设单位应进一步完善工业区内水体风险防控方案，确保本项目在风险状况下，事故物料或污水不入地表水。</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（2）地方政府主管部门应加强固体废物运输过程的管理，确保装卸、运输全部密闭操作，避免粉尘污染。</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（3）建设单位应确保装置正常生产，各项污染治理设施正常运行、各项污染物排放稳定达标，并认真执行本报告提出的环境管理要求与监测计划。</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（4）设计、施工和监理单位在设计、施工中要严格按照防火安全设计规范进行设计和施工，保证施工质量，严格管理，提高操作人员素质水平，以减少事故发生的概率。</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（5）工程建成后，应加强日常环保及安全设施的管理，使项目的环保及风险措施能够稳定有效地发挥控制污染和防范风险的作用。</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（6）建设单位应按规定配备个体防护用品，建立健全事故应急预案并与周边企业联动、定期演练，杜绝人员伤亡事故的发生。</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7）按照“企业自救、属地为主、分级响应、区域联动”的原则，企业应进一步完善突发环境事故应急预案，确保实现与地方政府或相关管理部门突发环境事故应急预案的有效衔接与联动，降低风险事故的影响。</w:t>
      </w:r>
    </w:p>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Unicode MS">
    <w:altName w:val="宋体"/>
    <w:panose1 w:val="020B0604020202020204"/>
    <w:charset w:val="86"/>
    <w:family w:val="swiss"/>
    <w:pitch w:val="default"/>
    <w:sig w:usb0="00000000" w:usb1="00000000" w:usb2="0000003F" w:usb3="00000000" w:csb0="003F01FF" w:csb1="0000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Wingdings 2">
    <w:panose1 w:val="05020102010507070707"/>
    <w:charset w:val="02"/>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bidi w:val="0"/>
      <w:adjustRightInd/>
      <w:snapToGrid w:val="0"/>
      <w:jc w:val="left"/>
      <w:textAlignment w:val="auto"/>
      <w:rPr>
        <w:rFonts w:hint="default" w:eastAsiaTheme="minorEastAsia"/>
        <w:b/>
        <w:bCs/>
        <w:sz w:val="21"/>
        <w:szCs w:val="21"/>
        <w:lang w:val="en-US" w:eastAsia="zh-CN"/>
      </w:rPr>
    </w:pPr>
    <w:r>
      <w:rPr>
        <w:rFonts w:hint="eastAsia"/>
        <w:b/>
        <w:bCs/>
        <w:sz w:val="21"/>
        <w:szCs w:val="21"/>
        <w:lang w:val="en-US" w:eastAsia="zh-CN"/>
      </w:rPr>
      <w:t>昌吉市新瑞鑫诚环保咨询服务有限公司</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bidi w:val="0"/>
      <w:adjustRightInd/>
      <w:snapToGrid w:val="0"/>
      <w:jc w:val="left"/>
      <w:textAlignment w:val="auto"/>
      <w:rPr>
        <w:rFonts w:hint="default" w:eastAsiaTheme="minorEastAsia"/>
        <w:b/>
        <w:bCs/>
        <w:sz w:val="21"/>
        <w:szCs w:val="21"/>
        <w:lang w:val="en-US" w:eastAsia="zh-CN"/>
      </w:rPr>
    </w:pPr>
    <w:r>
      <w:rPr>
        <w:sz w:val="21"/>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Lh2QyAgAAY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9YuHZDICAABhBAAADgAAAAAAAAABACAAAAAfAQAAZHJzL2Uyb0RvYy54bWxQSwUG&#10;AAAAAAYABgBZAQAAwwUAAAAA&#10;">
              <v:fill on="f" focussize="0,0"/>
              <v:stroke on="f" weight="0.5pt"/>
              <v:imagedata o:title=""/>
              <o:lock v:ext="edit" aspectratio="f"/>
              <v:textbox inset="0mm,0mm,0mm,0mm" style="mso-fit-shape-to-text:t;">
                <w:txbxContent>
                  <w:p>
                    <w:pPr>
                      <w:pStyle w:val="12"/>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b/>
        <w:bCs/>
        <w:sz w:val="21"/>
        <w:szCs w:val="21"/>
        <w:lang w:val="en-US" w:eastAsia="zh-CN"/>
      </w:rPr>
      <w:t>昌吉市新瑞鑫诚环保咨询服务有限公司</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keepNext w:val="0"/>
      <w:keepLines w:val="0"/>
      <w:pageBreakBefore w:val="0"/>
      <w:widowControl w:val="0"/>
      <w:pBdr>
        <w:bottom w:val="none" w:color="auto" w:sz="0" w:space="1"/>
      </w:pBdr>
      <w:kinsoku/>
      <w:wordWrap/>
      <w:overflowPunct/>
      <w:topLinePunct w:val="0"/>
      <w:bidi w:val="0"/>
      <w:adjustRightInd/>
      <w:snapToGrid w:val="0"/>
      <w:jc w:val="center"/>
      <w:textAlignment w:val="auto"/>
      <w:rPr>
        <w:b/>
        <w:bCs/>
        <w:sz w:val="21"/>
        <w:szCs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keepNext w:val="0"/>
      <w:keepLines w:val="0"/>
      <w:pageBreakBefore w:val="0"/>
      <w:widowControl w:val="0"/>
      <w:pBdr>
        <w:bottom w:val="thickThinSmallGap" w:color="993300" w:sz="12" w:space="1"/>
      </w:pBdr>
      <w:kinsoku/>
      <w:wordWrap/>
      <w:overflowPunct/>
      <w:topLinePunct w:val="0"/>
      <w:bidi w:val="0"/>
      <w:adjustRightInd/>
      <w:snapToGrid w:val="0"/>
      <w:jc w:val="center"/>
      <w:textAlignment w:val="auto"/>
      <w:rPr>
        <w:b/>
        <w:bCs/>
        <w:sz w:val="21"/>
        <w:szCs w:val="21"/>
      </w:rPr>
    </w:pPr>
    <w:r>
      <w:rPr>
        <w:rFonts w:hint="default"/>
        <w:b/>
        <w:bCs/>
        <w:sz w:val="21"/>
        <w:szCs w:val="21"/>
        <w:lang w:val="en-US" w:eastAsia="zh-CN"/>
      </w:rPr>
      <w:t>新疆嘉宏生物科技有限公司废弃动植物油脂等资源循环再利用项目</w:t>
    </w:r>
    <w:r>
      <w:rPr>
        <w:rFonts w:hint="eastAsia"/>
        <w:b/>
        <w:bCs/>
        <w:sz w:val="21"/>
        <w:szCs w:val="21"/>
        <w:lang w:val="en-US" w:eastAsia="zh-CN"/>
      </w:rPr>
      <w:t>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0FDF724"/>
    <w:multiLevelType w:val="singleLevel"/>
    <w:tmpl w:val="C0FDF724"/>
    <w:lvl w:ilvl="0" w:tentative="0">
      <w:start w:val="2"/>
      <w:numFmt w:val="decimal"/>
      <w:suff w:val="nothing"/>
      <w:lvlText w:val="%1-"/>
      <w:lvlJc w:val="left"/>
      <w:pPr>
        <w:ind w:left="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ZmMjg3MDQ2MzExNDk0OWY5M2UwNzBmOWViMDBkMGMifQ=="/>
  </w:docVars>
  <w:rsids>
    <w:rsidRoot w:val="7FA053CD"/>
    <w:rsid w:val="0009075B"/>
    <w:rsid w:val="0123584C"/>
    <w:rsid w:val="019B6B2F"/>
    <w:rsid w:val="02CD1320"/>
    <w:rsid w:val="042B1000"/>
    <w:rsid w:val="043F3031"/>
    <w:rsid w:val="044E2BE0"/>
    <w:rsid w:val="04AC2A92"/>
    <w:rsid w:val="05C05BA0"/>
    <w:rsid w:val="060D18C8"/>
    <w:rsid w:val="0616772D"/>
    <w:rsid w:val="063A2153"/>
    <w:rsid w:val="06505E9D"/>
    <w:rsid w:val="06A165D8"/>
    <w:rsid w:val="075C1AB8"/>
    <w:rsid w:val="089963F4"/>
    <w:rsid w:val="08C81D18"/>
    <w:rsid w:val="08D46910"/>
    <w:rsid w:val="0913264A"/>
    <w:rsid w:val="09431739"/>
    <w:rsid w:val="098C2F92"/>
    <w:rsid w:val="0AC37E01"/>
    <w:rsid w:val="0B282308"/>
    <w:rsid w:val="0C33319E"/>
    <w:rsid w:val="0C590BE8"/>
    <w:rsid w:val="0E285407"/>
    <w:rsid w:val="0EA23DC6"/>
    <w:rsid w:val="0FC252FE"/>
    <w:rsid w:val="106317C1"/>
    <w:rsid w:val="11B0651B"/>
    <w:rsid w:val="127F665A"/>
    <w:rsid w:val="128A7165"/>
    <w:rsid w:val="128D5A73"/>
    <w:rsid w:val="132D1357"/>
    <w:rsid w:val="1380268A"/>
    <w:rsid w:val="13B86BA4"/>
    <w:rsid w:val="13D22765"/>
    <w:rsid w:val="159008D3"/>
    <w:rsid w:val="16133C89"/>
    <w:rsid w:val="16677B31"/>
    <w:rsid w:val="169326D4"/>
    <w:rsid w:val="16BA4105"/>
    <w:rsid w:val="16D96D3B"/>
    <w:rsid w:val="17802C1E"/>
    <w:rsid w:val="17FB49D5"/>
    <w:rsid w:val="180C4354"/>
    <w:rsid w:val="19010B8C"/>
    <w:rsid w:val="19FF5E7C"/>
    <w:rsid w:val="1A7B1DFD"/>
    <w:rsid w:val="1B776A68"/>
    <w:rsid w:val="1BD3623E"/>
    <w:rsid w:val="1C081330"/>
    <w:rsid w:val="1CCC6940"/>
    <w:rsid w:val="1D4C7657"/>
    <w:rsid w:val="1D72392A"/>
    <w:rsid w:val="1D7F14A6"/>
    <w:rsid w:val="1D882BC7"/>
    <w:rsid w:val="1DEB335F"/>
    <w:rsid w:val="1E877F18"/>
    <w:rsid w:val="1E9021D3"/>
    <w:rsid w:val="1F1D1971"/>
    <w:rsid w:val="20674D20"/>
    <w:rsid w:val="21E11C0A"/>
    <w:rsid w:val="21F93D33"/>
    <w:rsid w:val="225D0E5D"/>
    <w:rsid w:val="22A16179"/>
    <w:rsid w:val="22B42882"/>
    <w:rsid w:val="231B417D"/>
    <w:rsid w:val="24A8491F"/>
    <w:rsid w:val="25EE5B79"/>
    <w:rsid w:val="263C2775"/>
    <w:rsid w:val="264E7B1E"/>
    <w:rsid w:val="26BB1DD1"/>
    <w:rsid w:val="282D47F6"/>
    <w:rsid w:val="28677214"/>
    <w:rsid w:val="28757E8C"/>
    <w:rsid w:val="2973261D"/>
    <w:rsid w:val="29D01312"/>
    <w:rsid w:val="2ABD408D"/>
    <w:rsid w:val="2ADB2B70"/>
    <w:rsid w:val="2AE11467"/>
    <w:rsid w:val="2B100573"/>
    <w:rsid w:val="2B781AF8"/>
    <w:rsid w:val="2C6038B2"/>
    <w:rsid w:val="2C7A5F5B"/>
    <w:rsid w:val="2C8E50EC"/>
    <w:rsid w:val="2CD6384B"/>
    <w:rsid w:val="2D0B0DBF"/>
    <w:rsid w:val="2D2A2147"/>
    <w:rsid w:val="2D2D0E4B"/>
    <w:rsid w:val="2D7B45D9"/>
    <w:rsid w:val="2DAF3344"/>
    <w:rsid w:val="2F067332"/>
    <w:rsid w:val="302312DB"/>
    <w:rsid w:val="3037415C"/>
    <w:rsid w:val="303F6377"/>
    <w:rsid w:val="30D12803"/>
    <w:rsid w:val="31551114"/>
    <w:rsid w:val="31794E91"/>
    <w:rsid w:val="317F6DAB"/>
    <w:rsid w:val="340547BA"/>
    <w:rsid w:val="348E0A74"/>
    <w:rsid w:val="34CC59AB"/>
    <w:rsid w:val="356B40F1"/>
    <w:rsid w:val="35D00DF7"/>
    <w:rsid w:val="369F38C6"/>
    <w:rsid w:val="36F6488E"/>
    <w:rsid w:val="37351AC5"/>
    <w:rsid w:val="374101FF"/>
    <w:rsid w:val="385E26EA"/>
    <w:rsid w:val="388A747C"/>
    <w:rsid w:val="3AC802EF"/>
    <w:rsid w:val="3B084B8F"/>
    <w:rsid w:val="3B530501"/>
    <w:rsid w:val="3BAF489A"/>
    <w:rsid w:val="3BC772B6"/>
    <w:rsid w:val="3C526DE1"/>
    <w:rsid w:val="3CB7686D"/>
    <w:rsid w:val="3CCD3145"/>
    <w:rsid w:val="3D040192"/>
    <w:rsid w:val="3E337AC5"/>
    <w:rsid w:val="3E4B3711"/>
    <w:rsid w:val="3E5C0A57"/>
    <w:rsid w:val="3E767745"/>
    <w:rsid w:val="3EEF22EE"/>
    <w:rsid w:val="3F184078"/>
    <w:rsid w:val="3F6450B0"/>
    <w:rsid w:val="3F6C6F6A"/>
    <w:rsid w:val="3FA52C70"/>
    <w:rsid w:val="40630DD7"/>
    <w:rsid w:val="40AC192B"/>
    <w:rsid w:val="413B03E0"/>
    <w:rsid w:val="4162149D"/>
    <w:rsid w:val="41847666"/>
    <w:rsid w:val="41CD7C80"/>
    <w:rsid w:val="41E47890"/>
    <w:rsid w:val="42901043"/>
    <w:rsid w:val="43003913"/>
    <w:rsid w:val="43A15B81"/>
    <w:rsid w:val="43BD6E5F"/>
    <w:rsid w:val="43D6700B"/>
    <w:rsid w:val="440A247E"/>
    <w:rsid w:val="45537C28"/>
    <w:rsid w:val="4560002A"/>
    <w:rsid w:val="459516AB"/>
    <w:rsid w:val="46F62C1F"/>
    <w:rsid w:val="47053447"/>
    <w:rsid w:val="475813C6"/>
    <w:rsid w:val="47C345AE"/>
    <w:rsid w:val="47D068B7"/>
    <w:rsid w:val="48F55828"/>
    <w:rsid w:val="4916491B"/>
    <w:rsid w:val="4A283338"/>
    <w:rsid w:val="4B647BC0"/>
    <w:rsid w:val="4BE75898"/>
    <w:rsid w:val="4BFC45F2"/>
    <w:rsid w:val="4C9A3E35"/>
    <w:rsid w:val="4CEE0B24"/>
    <w:rsid w:val="4D1241D3"/>
    <w:rsid w:val="4D5B2DE2"/>
    <w:rsid w:val="4D7C38E7"/>
    <w:rsid w:val="4E225B65"/>
    <w:rsid w:val="4E602D62"/>
    <w:rsid w:val="4EAF0467"/>
    <w:rsid w:val="4ED92673"/>
    <w:rsid w:val="4F994F2A"/>
    <w:rsid w:val="50166B51"/>
    <w:rsid w:val="50431E30"/>
    <w:rsid w:val="509C5AAB"/>
    <w:rsid w:val="51713037"/>
    <w:rsid w:val="519A64A4"/>
    <w:rsid w:val="51F83758"/>
    <w:rsid w:val="5208485C"/>
    <w:rsid w:val="52345A63"/>
    <w:rsid w:val="52FB3500"/>
    <w:rsid w:val="53542C10"/>
    <w:rsid w:val="540E5274"/>
    <w:rsid w:val="54F82B52"/>
    <w:rsid w:val="55357F85"/>
    <w:rsid w:val="558805F5"/>
    <w:rsid w:val="55915DD0"/>
    <w:rsid w:val="55AA4D69"/>
    <w:rsid w:val="55E67299"/>
    <w:rsid w:val="55F65332"/>
    <w:rsid w:val="5642798B"/>
    <w:rsid w:val="565C5A15"/>
    <w:rsid w:val="571100FC"/>
    <w:rsid w:val="57326672"/>
    <w:rsid w:val="57AE0494"/>
    <w:rsid w:val="580B1E7F"/>
    <w:rsid w:val="5A492DA3"/>
    <w:rsid w:val="5A4E660B"/>
    <w:rsid w:val="5A5C0D28"/>
    <w:rsid w:val="5AED02CA"/>
    <w:rsid w:val="5B1672C9"/>
    <w:rsid w:val="5B964D51"/>
    <w:rsid w:val="5B9C5C71"/>
    <w:rsid w:val="5C1C36E6"/>
    <w:rsid w:val="5C706BA3"/>
    <w:rsid w:val="5C7B745F"/>
    <w:rsid w:val="5C8C51C9"/>
    <w:rsid w:val="5CE2218C"/>
    <w:rsid w:val="5CEE7C31"/>
    <w:rsid w:val="5F21609C"/>
    <w:rsid w:val="5F3005FC"/>
    <w:rsid w:val="5F6E6E08"/>
    <w:rsid w:val="5F9743C0"/>
    <w:rsid w:val="601F7341"/>
    <w:rsid w:val="608710B4"/>
    <w:rsid w:val="60FA2C40"/>
    <w:rsid w:val="61970898"/>
    <w:rsid w:val="61FA2E7C"/>
    <w:rsid w:val="61FF7B79"/>
    <w:rsid w:val="62BE7BC7"/>
    <w:rsid w:val="62D23796"/>
    <w:rsid w:val="62EA5256"/>
    <w:rsid w:val="63DF6526"/>
    <w:rsid w:val="651D7306"/>
    <w:rsid w:val="6522491C"/>
    <w:rsid w:val="66FC0AB7"/>
    <w:rsid w:val="670F7FD4"/>
    <w:rsid w:val="67263206"/>
    <w:rsid w:val="67581243"/>
    <w:rsid w:val="67855FD3"/>
    <w:rsid w:val="682240F9"/>
    <w:rsid w:val="683F57E5"/>
    <w:rsid w:val="686A4147"/>
    <w:rsid w:val="6917195D"/>
    <w:rsid w:val="69713A6A"/>
    <w:rsid w:val="6B8D7211"/>
    <w:rsid w:val="6B9A1A84"/>
    <w:rsid w:val="6C6E526A"/>
    <w:rsid w:val="6D013BE2"/>
    <w:rsid w:val="6E3A0F28"/>
    <w:rsid w:val="6EDC2B65"/>
    <w:rsid w:val="6EF94940"/>
    <w:rsid w:val="6F487347"/>
    <w:rsid w:val="6FA20F57"/>
    <w:rsid w:val="6FCC1FFC"/>
    <w:rsid w:val="704975A6"/>
    <w:rsid w:val="70576A5F"/>
    <w:rsid w:val="71ED49E9"/>
    <w:rsid w:val="726B5B54"/>
    <w:rsid w:val="72AA7CFF"/>
    <w:rsid w:val="72CD51E1"/>
    <w:rsid w:val="730D79E8"/>
    <w:rsid w:val="745B5B72"/>
    <w:rsid w:val="7487654A"/>
    <w:rsid w:val="750D4461"/>
    <w:rsid w:val="760A5684"/>
    <w:rsid w:val="76342443"/>
    <w:rsid w:val="769431A0"/>
    <w:rsid w:val="76DD128F"/>
    <w:rsid w:val="77543C13"/>
    <w:rsid w:val="776963DA"/>
    <w:rsid w:val="780834EF"/>
    <w:rsid w:val="78A70BA0"/>
    <w:rsid w:val="79A32568"/>
    <w:rsid w:val="79A731EA"/>
    <w:rsid w:val="79D829A3"/>
    <w:rsid w:val="7A7E738E"/>
    <w:rsid w:val="7AC35E02"/>
    <w:rsid w:val="7AC60AC1"/>
    <w:rsid w:val="7B043430"/>
    <w:rsid w:val="7BF5324F"/>
    <w:rsid w:val="7C246D74"/>
    <w:rsid w:val="7C9F13C3"/>
    <w:rsid w:val="7E450898"/>
    <w:rsid w:val="7ECA3C03"/>
    <w:rsid w:val="7EE15B9D"/>
    <w:rsid w:val="7F4355F0"/>
    <w:rsid w:val="7F674918"/>
    <w:rsid w:val="7FA053CD"/>
    <w:rsid w:val="7FBB22C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0" w:semiHidden="0" w:name="heading 3"/>
    <w:lsdException w:qFormat="1" w:unhideWhenUsed="0" w:uiPriority="0" w:semiHidden="0" w:name="heading 4"/>
    <w:lsdException w:qFormat="1" w:unhideWhenUsed="0" w:uiPriority="1"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iPriority="0" w:semiHidden="0" w:name="List"/>
    <w:lsdException w:unhideWhenUsed="0" w:uiPriority="0" w:semiHidden="0" w:name="List Bullet"/>
    <w:lsdException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autoRedefine/>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paragraph" w:styleId="4">
    <w:name w:val="heading 3"/>
    <w:basedOn w:val="1"/>
    <w:next w:val="1"/>
    <w:autoRedefine/>
    <w:qFormat/>
    <w:uiPriority w:val="0"/>
    <w:pPr>
      <w:keepNext w:val="0"/>
      <w:keepLines w:val="0"/>
      <w:spacing w:line="360" w:lineRule="auto"/>
      <w:ind w:firstLine="0" w:firstLineChars="0"/>
      <w:outlineLvl w:val="2"/>
    </w:pPr>
    <w:rPr>
      <w:b/>
      <w:bCs/>
      <w:sz w:val="28"/>
      <w:szCs w:val="28"/>
    </w:rPr>
  </w:style>
  <w:style w:type="paragraph" w:styleId="5">
    <w:name w:val="heading 4"/>
    <w:basedOn w:val="1"/>
    <w:next w:val="1"/>
    <w:autoRedefine/>
    <w:qFormat/>
    <w:uiPriority w:val="0"/>
    <w:pPr>
      <w:keepNext w:val="0"/>
      <w:keepLines w:val="0"/>
      <w:spacing w:line="360" w:lineRule="auto"/>
      <w:ind w:firstLine="0" w:firstLineChars="0"/>
      <w:outlineLvl w:val="3"/>
    </w:pPr>
    <w:rPr>
      <w:rFonts w:cs="Times New Roman"/>
      <w:b/>
      <w:bCs/>
    </w:rPr>
  </w:style>
  <w:style w:type="paragraph" w:styleId="6">
    <w:name w:val="heading 5"/>
    <w:basedOn w:val="1"/>
    <w:next w:val="1"/>
    <w:autoRedefine/>
    <w:qFormat/>
    <w:uiPriority w:val="1"/>
    <w:pPr>
      <w:ind w:left="0" w:firstLine="0" w:firstLineChars="0"/>
      <w:jc w:val="left"/>
      <w:outlineLvl w:val="4"/>
    </w:pPr>
    <w:rPr>
      <w:rFonts w:eastAsia="宋体"/>
      <w:b/>
      <w:bCs/>
      <w:sz w:val="24"/>
      <w:szCs w:val="24"/>
      <w:lang w:val="zh-CN" w:bidi="zh-CN"/>
    </w:rPr>
  </w:style>
  <w:style w:type="character" w:default="1" w:styleId="23">
    <w:name w:val="Default Paragraph Font"/>
    <w:autoRedefine/>
    <w:semiHidden/>
    <w:qFormat/>
    <w:uiPriority w:val="0"/>
  </w:style>
  <w:style w:type="table" w:default="1" w:styleId="21">
    <w:name w:val="Normal Table"/>
    <w:autoRedefine/>
    <w:semiHidden/>
    <w:qFormat/>
    <w:uiPriority w:val="0"/>
    <w:tblPr>
      <w:tblCellMar>
        <w:top w:w="0" w:type="dxa"/>
        <w:left w:w="108" w:type="dxa"/>
        <w:bottom w:w="0" w:type="dxa"/>
        <w:right w:w="108" w:type="dxa"/>
      </w:tblCellMar>
    </w:tblPr>
  </w:style>
  <w:style w:type="paragraph" w:styleId="7">
    <w:name w:val="Normal Indent"/>
    <w:basedOn w:val="1"/>
    <w:next w:val="1"/>
    <w:autoRedefine/>
    <w:qFormat/>
    <w:uiPriority w:val="0"/>
    <w:pPr>
      <w:widowControl/>
      <w:spacing w:after="200" w:line="240" w:lineRule="auto"/>
      <w:ind w:firstLine="420"/>
      <w:jc w:val="left"/>
    </w:pPr>
    <w:rPr>
      <w:rFonts w:ascii="Times New Roman" w:hAnsi="Times New Roman" w:eastAsia="宋体" w:cs="Times New Roman"/>
      <w:kern w:val="0"/>
      <w:szCs w:val="20"/>
      <w:lang w:eastAsia="en-US" w:bidi="en-US"/>
    </w:rPr>
  </w:style>
  <w:style w:type="paragraph" w:styleId="8">
    <w:name w:val="annotation text"/>
    <w:basedOn w:val="1"/>
    <w:autoRedefine/>
    <w:qFormat/>
    <w:uiPriority w:val="0"/>
    <w:pPr>
      <w:jc w:val="left"/>
    </w:pPr>
  </w:style>
  <w:style w:type="paragraph" w:styleId="9">
    <w:name w:val="Body Text"/>
    <w:basedOn w:val="1"/>
    <w:next w:val="1"/>
    <w:autoRedefine/>
    <w:qFormat/>
    <w:uiPriority w:val="0"/>
    <w:pPr>
      <w:ind w:left="240"/>
    </w:pPr>
    <w:rPr>
      <w:rFonts w:ascii="宋体" w:hAnsi="宋体" w:eastAsia="宋体" w:cs="宋体"/>
      <w:sz w:val="24"/>
      <w:szCs w:val="24"/>
      <w:lang w:val="zh-CN" w:eastAsia="zh-CN" w:bidi="zh-CN"/>
    </w:rPr>
  </w:style>
  <w:style w:type="paragraph" w:styleId="10">
    <w:name w:val="Body Text Indent"/>
    <w:basedOn w:val="1"/>
    <w:next w:val="1"/>
    <w:autoRedefine/>
    <w:qFormat/>
    <w:uiPriority w:val="0"/>
    <w:pPr>
      <w:spacing w:after="120"/>
      <w:ind w:left="420" w:leftChars="200"/>
    </w:pPr>
  </w:style>
  <w:style w:type="paragraph" w:styleId="11">
    <w:name w:val="List 2"/>
    <w:basedOn w:val="1"/>
    <w:autoRedefine/>
    <w:qFormat/>
    <w:uiPriority w:val="0"/>
    <w:pPr>
      <w:spacing w:line="240" w:lineRule="auto"/>
      <w:ind w:left="0" w:leftChars="0" w:firstLine="0" w:firstLineChars="0"/>
      <w:jc w:val="center"/>
    </w:pPr>
    <w:rPr>
      <w:rFonts w:ascii="宋体" w:hAnsi="宋体" w:eastAsia="宋体" w:cs="Times New Roman"/>
      <w:b/>
      <w:sz w:val="21"/>
    </w:rPr>
  </w:style>
  <w:style w:type="paragraph" w:styleId="12">
    <w:name w:val="footer"/>
    <w:basedOn w:val="1"/>
    <w:autoRedefine/>
    <w:qFormat/>
    <w:uiPriority w:val="0"/>
    <w:pPr>
      <w:tabs>
        <w:tab w:val="center" w:pos="4153"/>
        <w:tab w:val="right" w:pos="8306"/>
      </w:tabs>
      <w:snapToGrid w:val="0"/>
      <w:jc w:val="left"/>
    </w:pPr>
    <w:rPr>
      <w:sz w:val="18"/>
    </w:rPr>
  </w:style>
  <w:style w:type="paragraph" w:styleId="13">
    <w:name w:val="header"/>
    <w:basedOn w:val="1"/>
    <w:next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4">
    <w:name w:val="toc 1"/>
    <w:basedOn w:val="1"/>
    <w:next w:val="1"/>
    <w:autoRedefine/>
    <w:qFormat/>
    <w:uiPriority w:val="0"/>
  </w:style>
  <w:style w:type="paragraph" w:styleId="15">
    <w:name w:val="List"/>
    <w:basedOn w:val="1"/>
    <w:next w:val="1"/>
    <w:autoRedefine/>
    <w:unhideWhenUsed/>
    <w:qFormat/>
    <w:uiPriority w:val="0"/>
    <w:pPr>
      <w:adjustRightInd w:val="0"/>
      <w:spacing w:line="360" w:lineRule="auto"/>
      <w:ind w:left="-2" w:leftChars="-1" w:right="-108" w:rightChars="-45" w:firstLine="420" w:firstLineChars="200"/>
      <w:jc w:val="left"/>
    </w:pPr>
    <w:rPr>
      <w:rFonts w:ascii="黑体" w:eastAsia="黑体" w:cs="Times New Roman"/>
      <w:kern w:val="0"/>
      <w:sz w:val="20"/>
      <w:szCs w:val="20"/>
    </w:rPr>
  </w:style>
  <w:style w:type="paragraph" w:styleId="16">
    <w:name w:val="toc 2"/>
    <w:basedOn w:val="1"/>
    <w:next w:val="1"/>
    <w:autoRedefine/>
    <w:qFormat/>
    <w:uiPriority w:val="0"/>
    <w:pPr>
      <w:ind w:left="420" w:leftChars="200"/>
    </w:pPr>
  </w:style>
  <w:style w:type="paragraph" w:styleId="17">
    <w:name w:val="Normal (Web)"/>
    <w:basedOn w:val="1"/>
    <w:next w:val="18"/>
    <w:autoRedefine/>
    <w:qFormat/>
    <w:uiPriority w:val="0"/>
    <w:pPr>
      <w:spacing w:before="100" w:beforeAutospacing="1" w:after="100" w:afterAutospacing="1"/>
      <w:ind w:left="0" w:right="0"/>
      <w:jc w:val="left"/>
    </w:pPr>
    <w:rPr>
      <w:kern w:val="0"/>
      <w:sz w:val="24"/>
      <w:lang w:val="en-US" w:eastAsia="zh-CN" w:bidi="ar"/>
    </w:rPr>
  </w:style>
  <w:style w:type="paragraph" w:customStyle="1" w:styleId="18">
    <w:name w:val="表格文字"/>
    <w:basedOn w:val="1"/>
    <w:next w:val="1"/>
    <w:autoRedefine/>
    <w:qFormat/>
    <w:uiPriority w:val="0"/>
    <w:pPr>
      <w:jc w:val="center"/>
    </w:pPr>
    <w:rPr>
      <w:kern w:val="44"/>
      <w:sz w:val="21"/>
      <w:szCs w:val="20"/>
    </w:rPr>
  </w:style>
  <w:style w:type="paragraph" w:styleId="19">
    <w:name w:val="Body Text First Indent"/>
    <w:basedOn w:val="9"/>
    <w:autoRedefine/>
    <w:qFormat/>
    <w:uiPriority w:val="0"/>
    <w:pPr>
      <w:widowControl w:val="0"/>
      <w:spacing w:after="120"/>
      <w:ind w:firstLine="420" w:firstLineChars="100"/>
      <w:jc w:val="both"/>
    </w:pPr>
    <w:rPr>
      <w:kern w:val="2"/>
      <w:szCs w:val="24"/>
      <w:lang w:eastAsia="zh-CN" w:bidi="ar-SA"/>
    </w:rPr>
  </w:style>
  <w:style w:type="paragraph" w:styleId="20">
    <w:name w:val="Body Text First Indent 2"/>
    <w:basedOn w:val="10"/>
    <w:next w:val="19"/>
    <w:autoRedefine/>
    <w:qFormat/>
    <w:uiPriority w:val="0"/>
    <w:pPr>
      <w:ind w:firstLine="420" w:firstLineChars="200"/>
    </w:pPr>
  </w:style>
  <w:style w:type="table" w:styleId="22">
    <w:name w:val="Table Grid"/>
    <w:basedOn w:val="2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autoRedefine/>
    <w:qFormat/>
    <w:uiPriority w:val="0"/>
    <w:rPr>
      <w:b/>
    </w:rPr>
  </w:style>
  <w:style w:type="character" w:styleId="25">
    <w:name w:val="Hyperlink"/>
    <w:basedOn w:val="23"/>
    <w:autoRedefine/>
    <w:qFormat/>
    <w:uiPriority w:val="0"/>
    <w:rPr>
      <w:color w:val="0000FF"/>
      <w:u w:val="single"/>
    </w:rPr>
  </w:style>
  <w:style w:type="paragraph" w:customStyle="1" w:styleId="26">
    <w:name w:val="样式 首行缩进:  2 字符1"/>
    <w:basedOn w:val="1"/>
    <w:autoRedefine/>
    <w:qFormat/>
    <w:uiPriority w:val="0"/>
    <w:pPr>
      <w:adjustRightInd w:val="0"/>
      <w:snapToGrid w:val="0"/>
      <w:spacing w:line="360" w:lineRule="auto"/>
      <w:ind w:firstLine="480" w:firstLineChars="200"/>
    </w:pPr>
    <w:rPr>
      <w:rFonts w:cs="宋体"/>
      <w:sz w:val="24"/>
      <w:lang w:val="en-US" w:eastAsia="zh-CN"/>
    </w:rPr>
  </w:style>
  <w:style w:type="paragraph" w:customStyle="1" w:styleId="27">
    <w:name w:val="xl27"/>
    <w:autoRedefine/>
    <w:qFormat/>
    <w:uiPriority w:val="0"/>
    <w:pPr>
      <w:widowControl/>
      <w:spacing w:before="100" w:beforeAutospacing="1" w:after="100" w:afterAutospacing="1"/>
      <w:jc w:val="center"/>
      <w:textAlignment w:val="center"/>
    </w:pPr>
    <w:rPr>
      <w:rFonts w:ascii="Arial Unicode MS" w:hAnsi="Arial Unicode MS" w:eastAsia="Arial Unicode MS" w:cs="Arial Unicode MS"/>
      <w:kern w:val="0"/>
      <w:sz w:val="24"/>
      <w:szCs w:val="24"/>
      <w:lang w:val="en-US" w:eastAsia="zh-CN" w:bidi="ar-SA"/>
    </w:rPr>
  </w:style>
  <w:style w:type="paragraph" w:customStyle="1" w:styleId="28">
    <w:name w:val="Body Text 21"/>
    <w:basedOn w:val="1"/>
    <w:autoRedefine/>
    <w:qFormat/>
    <w:uiPriority w:val="0"/>
    <w:pPr>
      <w:spacing w:after="120" w:line="480" w:lineRule="auto"/>
    </w:pPr>
  </w:style>
  <w:style w:type="paragraph" w:customStyle="1" w:styleId="29">
    <w:name w:val="Default"/>
    <w:basedOn w:val="30"/>
    <w:next w:val="1"/>
    <w:autoRedefine/>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30">
    <w:name w:val="纯文本1"/>
    <w:basedOn w:val="1"/>
    <w:autoRedefine/>
    <w:qFormat/>
    <w:uiPriority w:val="0"/>
    <w:pPr>
      <w:adjustRightInd w:val="0"/>
      <w:textAlignment w:val="baseline"/>
    </w:pPr>
    <w:rPr>
      <w:rFonts w:ascii="宋体" w:hAnsi="Courier New" w:eastAsia="宋体" w:cs="Times New Roman"/>
      <w:sz w:val="28"/>
      <w:szCs w:val="20"/>
    </w:rPr>
  </w:style>
  <w:style w:type="paragraph" w:customStyle="1" w:styleId="31">
    <w:name w:val="样式 正文文本缩进 + 行距: 1.5 倍行距"/>
    <w:basedOn w:val="32"/>
    <w:autoRedefine/>
    <w:qFormat/>
    <w:uiPriority w:val="0"/>
    <w:pPr>
      <w:spacing w:after="120" w:line="360" w:lineRule="auto"/>
      <w:ind w:left="90" w:leftChars="32" w:firstLine="560" w:firstLineChars="200"/>
    </w:pPr>
    <w:rPr>
      <w:rFonts w:cs="宋体"/>
      <w:sz w:val="24"/>
    </w:rPr>
  </w:style>
  <w:style w:type="paragraph" w:customStyle="1" w:styleId="32">
    <w:name w:val="Body Text Indent"/>
    <w:basedOn w:val="1"/>
    <w:next w:val="31"/>
    <w:autoRedefine/>
    <w:qFormat/>
    <w:uiPriority w:val="0"/>
    <w:pPr>
      <w:spacing w:line="360" w:lineRule="auto"/>
      <w:ind w:firstLine="600" w:firstLineChars="250"/>
    </w:pPr>
    <w:rPr>
      <w:color w:val="FF0000"/>
      <w:sz w:val="24"/>
    </w:rPr>
  </w:style>
  <w:style w:type="paragraph" w:customStyle="1" w:styleId="33">
    <w:name w:val="表头"/>
    <w:basedOn w:val="34"/>
    <w:next w:val="1"/>
    <w:autoRedefine/>
    <w:qFormat/>
    <w:uiPriority w:val="0"/>
    <w:pPr>
      <w:snapToGrid w:val="0"/>
      <w:spacing w:line="240" w:lineRule="auto"/>
      <w:ind w:firstLine="0" w:firstLineChars="0"/>
      <w:jc w:val="center"/>
    </w:pPr>
    <w:rPr>
      <w:rFonts w:ascii="Times New Roman" w:hAnsi="Times New Roman" w:eastAsia="宋体"/>
      <w:b/>
      <w:bCs/>
      <w:sz w:val="21"/>
      <w:szCs w:val="21"/>
    </w:rPr>
  </w:style>
  <w:style w:type="paragraph" w:customStyle="1" w:styleId="34">
    <w:name w:val="表格"/>
    <w:basedOn w:val="15"/>
    <w:next w:val="1"/>
    <w:autoRedefine/>
    <w:qFormat/>
    <w:uiPriority w:val="0"/>
    <w:pPr>
      <w:keepNext w:val="0"/>
      <w:adjustRightInd w:val="0"/>
      <w:snapToGrid w:val="0"/>
      <w:spacing w:line="240" w:lineRule="auto"/>
      <w:ind w:left="0" w:leftChars="0" w:right="0" w:rightChars="0" w:firstLine="0" w:firstLineChars="0"/>
      <w:jc w:val="center"/>
      <w:textAlignment w:val="baseline"/>
    </w:pPr>
    <w:rPr>
      <w:rFonts w:ascii="Times New Roman" w:hAnsi="Times New Roman" w:eastAsia="宋体" w:cs="Times New Roman"/>
      <w:sz w:val="21"/>
      <w:szCs w:val="21"/>
    </w:rPr>
  </w:style>
  <w:style w:type="paragraph" w:customStyle="1" w:styleId="35">
    <w:name w:val="正文11"/>
    <w:basedOn w:val="1"/>
    <w:autoRedefine/>
    <w:qFormat/>
    <w:uiPriority w:val="0"/>
    <w:pPr>
      <w:spacing w:line="480" w:lineRule="exact"/>
      <w:ind w:firstLine="200" w:firstLineChars="200"/>
    </w:pPr>
    <w:rPr>
      <w:rFonts w:ascii="宋体" w:hAnsi="宋体" w:eastAsia="宋体" w:cs="宋体"/>
      <w:sz w:val="24"/>
    </w:rPr>
  </w:style>
  <w:style w:type="table" w:customStyle="1" w:styleId="36">
    <w:name w:val="网格型2"/>
    <w:basedOn w:val="21"/>
    <w:autoRedefine/>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7">
    <w:name w:val="何正文"/>
    <w:basedOn w:val="1"/>
    <w:autoRedefine/>
    <w:qFormat/>
    <w:uiPriority w:val="0"/>
    <w:pPr>
      <w:adjustRightInd w:val="0"/>
      <w:snapToGrid w:val="0"/>
      <w:spacing w:line="360" w:lineRule="auto"/>
      <w:ind w:firstLine="200" w:firstLineChars="200"/>
    </w:pPr>
    <w:rPr>
      <w:rFonts w:ascii="宋体" w:hAnsi="宋体" w:cs="宋体"/>
      <w:kern w:val="0"/>
      <w:sz w:val="24"/>
      <w:szCs w:val="21"/>
    </w:rPr>
  </w:style>
  <w:style w:type="paragraph" w:customStyle="1" w:styleId="38">
    <w:name w:val="Table Paragraph"/>
    <w:basedOn w:val="1"/>
    <w:autoRedefine/>
    <w:qFormat/>
    <w:uiPriority w:val="1"/>
  </w:style>
  <w:style w:type="paragraph" w:customStyle="1" w:styleId="39">
    <w:name w:val="正文A"/>
    <w:basedOn w:val="40"/>
    <w:autoRedefine/>
    <w:qFormat/>
    <w:uiPriority w:val="0"/>
    <w:pPr>
      <w:spacing w:line="500" w:lineRule="exact"/>
      <w:ind w:firstLine="480" w:firstLineChars="200"/>
    </w:pPr>
    <w:rPr>
      <w:rFonts w:ascii="Times New Roman" w:hAnsi="Times New Roman"/>
    </w:rPr>
  </w:style>
  <w:style w:type="paragraph" w:customStyle="1" w:styleId="40">
    <w:name w:val="正文!!!!!!!!!!!"/>
    <w:basedOn w:val="41"/>
    <w:autoRedefine/>
    <w:qFormat/>
    <w:uiPriority w:val="0"/>
    <w:pPr>
      <w:ind w:firstLine="480"/>
    </w:pPr>
    <w:rPr>
      <w:rFonts w:ascii="Times New Roman" w:hAnsi="Times New Roman" w:eastAsia="宋体" w:cs="Times New Roman"/>
    </w:rPr>
  </w:style>
  <w:style w:type="paragraph" w:customStyle="1" w:styleId="41">
    <w:name w:val="正文 楷体"/>
    <w:basedOn w:val="1"/>
    <w:autoRedefine/>
    <w:qFormat/>
    <w:uiPriority w:val="0"/>
    <w:pPr>
      <w:spacing w:line="500" w:lineRule="exact"/>
      <w:ind w:firstLine="200" w:firstLineChars="200"/>
    </w:pPr>
    <w:rPr>
      <w:rFonts w:ascii="楷体_GB2312" w:hAnsi="楷体_GB2312" w:eastAsia="楷体_GB2312" w:cs="宋体"/>
      <w:sz w:val="24"/>
      <w:szCs w:val="24"/>
    </w:rPr>
  </w:style>
  <w:style w:type="paragraph" w:customStyle="1" w:styleId="42">
    <w:name w:val="Other|1"/>
    <w:basedOn w:val="1"/>
    <w:autoRedefine/>
    <w:qFormat/>
    <w:uiPriority w:val="0"/>
    <w:pPr>
      <w:widowControl w:val="0"/>
      <w:shd w:val="clear" w:color="auto" w:fill="auto"/>
      <w:spacing w:line="475" w:lineRule="auto"/>
      <w:ind w:firstLine="400"/>
    </w:pPr>
    <w:rPr>
      <w:rFonts w:ascii="宋体" w:hAnsi="宋体" w:eastAsia="宋体" w:cs="宋体"/>
      <w:sz w:val="20"/>
      <w:szCs w:val="20"/>
      <w:u w:val="none"/>
      <w:shd w:val="clear" w:color="auto" w:fill="auto"/>
      <w:lang w:val="zh-TW" w:eastAsia="zh-TW" w:bidi="zh-TW"/>
    </w:rPr>
  </w:style>
  <w:style w:type="paragraph" w:customStyle="1" w:styleId="43">
    <w:name w:val="表头A"/>
    <w:basedOn w:val="33"/>
    <w:autoRedefine/>
    <w:qFormat/>
    <w:uiPriority w:val="0"/>
    <w:pPr>
      <w:spacing w:line="400" w:lineRule="exact"/>
      <w:ind w:firstLine="0"/>
    </w:pPr>
    <w:rPr>
      <w:rFonts w:ascii="Times New Roman" w:hAnsi="Times New Roman" w:eastAsia="宋体" w:cs="Times New Roman"/>
    </w:rPr>
  </w:style>
  <w:style w:type="paragraph" w:customStyle="1" w:styleId="44">
    <w:name w:val="正文！！！！！"/>
    <w:basedOn w:val="41"/>
    <w:autoRedefine/>
    <w:qFormat/>
    <w:uiPriority w:val="0"/>
    <w:pPr>
      <w:adjustRightInd w:val="0"/>
      <w:snapToGrid w:val="0"/>
      <w:spacing w:line="360" w:lineRule="auto"/>
    </w:pPr>
    <w:rPr>
      <w:rFonts w:ascii="宋体" w:hAnsi="宋体" w:eastAsia="宋体"/>
      <w:snapToGrid w:val="0"/>
      <w:kern w:val="0"/>
    </w:rPr>
  </w:style>
  <w:style w:type="paragraph" w:customStyle="1" w:styleId="45">
    <w:name w:val="正文格式"/>
    <w:basedOn w:val="19"/>
    <w:next w:val="9"/>
    <w:autoRedefine/>
    <w:qFormat/>
    <w:uiPriority w:val="0"/>
    <w:pPr>
      <w:spacing w:after="0" w:line="360" w:lineRule="auto"/>
      <w:ind w:firstLine="200" w:firstLineChars="200"/>
    </w:pPr>
    <w:rPr>
      <w:rFonts w:ascii="宋体"/>
      <w:sz w:val="24"/>
    </w:rPr>
  </w:style>
  <w:style w:type="paragraph" w:customStyle="1" w:styleId="46">
    <w:name w:val="A-z正文"/>
    <w:basedOn w:val="1"/>
    <w:autoRedefine/>
    <w:qFormat/>
    <w:uiPriority w:val="0"/>
    <w:pPr>
      <w:spacing w:after="160" w:line="360" w:lineRule="auto"/>
      <w:ind w:firstLine="200" w:firstLineChars="200"/>
    </w:pPr>
    <w:rPr>
      <w:rFonts w:ascii="宋体" w:hAnsi="宋体" w:cs="宋体"/>
      <w:sz w:val="24"/>
      <w:szCs w:val="22"/>
    </w:rPr>
  </w:style>
  <w:style w:type="paragraph" w:customStyle="1" w:styleId="47">
    <w:name w:val="WPSOffice手动目录 1"/>
    <w:autoRedefine/>
    <w:qFormat/>
    <w:uiPriority w:val="0"/>
    <w:pPr>
      <w:ind w:leftChars="0"/>
    </w:pPr>
    <w:rPr>
      <w:rFonts w:ascii="Times New Roman" w:hAnsi="Times New Roman" w:eastAsia="宋体" w:cs="Times New Roman"/>
      <w:sz w:val="20"/>
      <w:szCs w:val="20"/>
    </w:rPr>
  </w:style>
  <w:style w:type="paragraph" w:customStyle="1" w:styleId="48">
    <w:name w:val="WPSOffice手动目录 2"/>
    <w:autoRedefine/>
    <w:qFormat/>
    <w:uiPriority w:val="0"/>
    <w:pPr>
      <w:ind w:leftChars="200"/>
    </w:pPr>
    <w:rPr>
      <w:rFonts w:ascii="Times New Roman" w:hAnsi="Times New Roman" w:eastAsia="宋体" w:cs="Times New Roman"/>
      <w:sz w:val="20"/>
      <w:szCs w:val="20"/>
    </w:rPr>
  </w:style>
  <w:style w:type="paragraph" w:customStyle="1" w:styleId="49">
    <w:name w:val="表格内容"/>
    <w:basedOn w:val="1"/>
    <w:link w:val="50"/>
    <w:autoRedefine/>
    <w:qFormat/>
    <w:uiPriority w:val="0"/>
    <w:pPr>
      <w:spacing w:line="240" w:lineRule="auto"/>
      <w:ind w:firstLine="0" w:firstLineChars="0"/>
      <w:jc w:val="center"/>
    </w:pPr>
    <w:rPr>
      <w:sz w:val="21"/>
    </w:rPr>
  </w:style>
  <w:style w:type="character" w:customStyle="1" w:styleId="50">
    <w:name w:val="表格内容 Char"/>
    <w:link w:val="49"/>
    <w:autoRedefine/>
    <w:qFormat/>
    <w:uiPriority w:val="0"/>
    <w:rPr>
      <w:sz w:val="21"/>
    </w:rPr>
  </w:style>
  <w:style w:type="paragraph" w:customStyle="1" w:styleId="51">
    <w:name w:val="表格正文"/>
    <w:basedOn w:val="52"/>
    <w:autoRedefine/>
    <w:qFormat/>
    <w:uiPriority w:val="0"/>
    <w:pPr>
      <w:wordWrap w:val="0"/>
      <w:ind w:firstLine="0"/>
    </w:pPr>
    <w:rPr>
      <w:b w:val="0"/>
    </w:rPr>
  </w:style>
  <w:style w:type="paragraph" w:customStyle="1" w:styleId="52">
    <w:name w:val="表格标题"/>
    <w:basedOn w:val="33"/>
    <w:autoRedefine/>
    <w:qFormat/>
    <w:uiPriority w:val="0"/>
    <w:pPr>
      <w:ind w:firstLine="480"/>
    </w:pPr>
    <w:rPr>
      <w:rFonts w:hint="default"/>
    </w:rPr>
  </w:style>
  <w:style w:type="table" w:customStyle="1" w:styleId="53">
    <w:name w:val="Table Normal"/>
    <w:autoRedefine/>
    <w:unhideWhenUsed/>
    <w:qFormat/>
    <w:uiPriority w:val="0"/>
    <w:tblPr>
      <w:tblCellMar>
        <w:top w:w="0" w:type="dxa"/>
        <w:left w:w="0" w:type="dxa"/>
        <w:bottom w:w="0" w:type="dxa"/>
        <w:right w:w="0" w:type="dxa"/>
      </w:tblCellMar>
    </w:tblPr>
  </w:style>
  <w:style w:type="paragraph" w:customStyle="1" w:styleId="54">
    <w:name w:val="图号"/>
    <w:basedOn w:val="1"/>
    <w:autoRedefine/>
    <w:qFormat/>
    <w:uiPriority w:val="0"/>
    <w:pPr>
      <w:spacing w:line="240" w:lineRule="auto"/>
      <w:ind w:firstLine="0" w:firstLineChars="0"/>
      <w:jc w:val="center"/>
    </w:pPr>
    <w:rPr>
      <w:b/>
      <w:bCs/>
      <w:sz w:val="21"/>
    </w:rPr>
  </w:style>
  <w:style w:type="character" w:customStyle="1" w:styleId="55">
    <w:name w:val="font31"/>
    <w:basedOn w:val="23"/>
    <w:autoRedefine/>
    <w:qFormat/>
    <w:uiPriority w:val="0"/>
    <w:rPr>
      <w:rFonts w:hint="default" w:ascii="Times New Roman" w:hAnsi="Times New Roman" w:cs="Times New Roman"/>
      <w:color w:val="000000"/>
      <w:sz w:val="21"/>
      <w:szCs w:val="21"/>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74.png"/><Relationship Id="rId98" Type="http://schemas.openxmlformats.org/officeDocument/2006/relationships/image" Target="media/image73.wmf"/><Relationship Id="rId97" Type="http://schemas.openxmlformats.org/officeDocument/2006/relationships/oleObject" Target="embeddings/oleObject18.bin"/><Relationship Id="rId96" Type="http://schemas.openxmlformats.org/officeDocument/2006/relationships/image" Target="media/image72.wmf"/><Relationship Id="rId95" Type="http://schemas.openxmlformats.org/officeDocument/2006/relationships/oleObject" Target="embeddings/oleObject17.bin"/><Relationship Id="rId94" Type="http://schemas.openxmlformats.org/officeDocument/2006/relationships/image" Target="media/image71.wmf"/><Relationship Id="rId93" Type="http://schemas.openxmlformats.org/officeDocument/2006/relationships/oleObject" Target="embeddings/oleObject16.bin"/><Relationship Id="rId92" Type="http://schemas.openxmlformats.org/officeDocument/2006/relationships/image" Target="media/image70.wmf"/><Relationship Id="rId91" Type="http://schemas.openxmlformats.org/officeDocument/2006/relationships/oleObject" Target="embeddings/oleObject15.bin"/><Relationship Id="rId90" Type="http://schemas.openxmlformats.org/officeDocument/2006/relationships/image" Target="media/image69.wmf"/><Relationship Id="rId9" Type="http://schemas.openxmlformats.org/officeDocument/2006/relationships/oleObject" Target="embeddings/oleObject1.bin"/><Relationship Id="rId89" Type="http://schemas.openxmlformats.org/officeDocument/2006/relationships/oleObject" Target="embeddings/oleObject14.bin"/><Relationship Id="rId88" Type="http://schemas.openxmlformats.org/officeDocument/2006/relationships/image" Target="media/image68.png"/><Relationship Id="rId87" Type="http://schemas.openxmlformats.org/officeDocument/2006/relationships/image" Target="media/image67.png"/><Relationship Id="rId86" Type="http://schemas.openxmlformats.org/officeDocument/2006/relationships/image" Target="media/image66.png"/><Relationship Id="rId85" Type="http://schemas.openxmlformats.org/officeDocument/2006/relationships/image" Target="media/image65.png"/><Relationship Id="rId84" Type="http://schemas.openxmlformats.org/officeDocument/2006/relationships/image" Target="media/image64.png"/><Relationship Id="rId83" Type="http://schemas.openxmlformats.org/officeDocument/2006/relationships/image" Target="media/image63.png"/><Relationship Id="rId82" Type="http://schemas.openxmlformats.org/officeDocument/2006/relationships/image" Target="media/image62.png"/><Relationship Id="rId81" Type="http://schemas.openxmlformats.org/officeDocument/2006/relationships/image" Target="media/image61.png"/><Relationship Id="rId80" Type="http://schemas.openxmlformats.org/officeDocument/2006/relationships/image" Target="media/image60.png"/><Relationship Id="rId8" Type="http://schemas.openxmlformats.org/officeDocument/2006/relationships/image" Target="media/image1.png"/><Relationship Id="rId79" Type="http://schemas.openxmlformats.org/officeDocument/2006/relationships/image" Target="media/image59.png"/><Relationship Id="rId78" Type="http://schemas.openxmlformats.org/officeDocument/2006/relationships/image" Target="media/image58.wmf"/><Relationship Id="rId77" Type="http://schemas.openxmlformats.org/officeDocument/2006/relationships/oleObject" Target="embeddings/oleObject13.bin"/><Relationship Id="rId76" Type="http://schemas.openxmlformats.org/officeDocument/2006/relationships/image" Target="media/image57.png"/><Relationship Id="rId75" Type="http://schemas.openxmlformats.org/officeDocument/2006/relationships/image" Target="media/image56.png"/><Relationship Id="rId74" Type="http://schemas.openxmlformats.org/officeDocument/2006/relationships/image" Target="media/image55.png"/><Relationship Id="rId73" Type="http://schemas.openxmlformats.org/officeDocument/2006/relationships/image" Target="media/image54.png"/><Relationship Id="rId72" Type="http://schemas.openxmlformats.org/officeDocument/2006/relationships/image" Target="media/image53.png"/><Relationship Id="rId71" Type="http://schemas.openxmlformats.org/officeDocument/2006/relationships/image" Target="media/image52.png"/><Relationship Id="rId70" Type="http://schemas.openxmlformats.org/officeDocument/2006/relationships/image" Target="media/image51.png"/><Relationship Id="rId7" Type="http://schemas.openxmlformats.org/officeDocument/2006/relationships/theme" Target="theme/theme1.xml"/><Relationship Id="rId69" Type="http://schemas.openxmlformats.org/officeDocument/2006/relationships/image" Target="media/image50.png"/><Relationship Id="rId68" Type="http://schemas.openxmlformats.org/officeDocument/2006/relationships/image" Target="media/image49.png"/><Relationship Id="rId67" Type="http://schemas.openxmlformats.org/officeDocument/2006/relationships/image" Target="media/image48.png"/><Relationship Id="rId66" Type="http://schemas.openxmlformats.org/officeDocument/2006/relationships/image" Target="media/image47.png"/><Relationship Id="rId65" Type="http://schemas.openxmlformats.org/officeDocument/2006/relationships/image" Target="media/image46.png"/><Relationship Id="rId64" Type="http://schemas.openxmlformats.org/officeDocument/2006/relationships/image" Target="media/image45.png"/><Relationship Id="rId63" Type="http://schemas.openxmlformats.org/officeDocument/2006/relationships/image" Target="media/image44.png"/><Relationship Id="rId62" Type="http://schemas.openxmlformats.org/officeDocument/2006/relationships/image" Target="media/image43.png"/><Relationship Id="rId61" Type="http://schemas.openxmlformats.org/officeDocument/2006/relationships/image" Target="media/image42.png"/><Relationship Id="rId60" Type="http://schemas.openxmlformats.org/officeDocument/2006/relationships/image" Target="media/image41.png"/><Relationship Id="rId6" Type="http://schemas.openxmlformats.org/officeDocument/2006/relationships/footer" Target="footer2.xml"/><Relationship Id="rId59" Type="http://schemas.openxmlformats.org/officeDocument/2006/relationships/image" Target="media/image40.png"/><Relationship Id="rId58" Type="http://schemas.openxmlformats.org/officeDocument/2006/relationships/image" Target="media/image39.png"/><Relationship Id="rId57" Type="http://schemas.openxmlformats.org/officeDocument/2006/relationships/image" Target="media/image38.png"/><Relationship Id="rId56" Type="http://schemas.openxmlformats.org/officeDocument/2006/relationships/image" Target="media/image37.png"/><Relationship Id="rId55" Type="http://schemas.openxmlformats.org/officeDocument/2006/relationships/image" Target="media/image36.png"/><Relationship Id="rId54" Type="http://schemas.openxmlformats.org/officeDocument/2006/relationships/image" Target="media/image35.png"/><Relationship Id="rId53" Type="http://schemas.openxmlformats.org/officeDocument/2006/relationships/image" Target="media/image34.png"/><Relationship Id="rId52" Type="http://schemas.openxmlformats.org/officeDocument/2006/relationships/image" Target="media/image33.png"/><Relationship Id="rId51" Type="http://schemas.openxmlformats.org/officeDocument/2006/relationships/image" Target="media/image32.png"/><Relationship Id="rId50" Type="http://schemas.openxmlformats.org/officeDocument/2006/relationships/image" Target="media/image31.png"/><Relationship Id="rId5" Type="http://schemas.openxmlformats.org/officeDocument/2006/relationships/footer" Target="footer1.xml"/><Relationship Id="rId49" Type="http://schemas.openxmlformats.org/officeDocument/2006/relationships/image" Target="media/image30.png"/><Relationship Id="rId48" Type="http://schemas.openxmlformats.org/officeDocument/2006/relationships/image" Target="media/image29.png"/><Relationship Id="rId47" Type="http://schemas.openxmlformats.org/officeDocument/2006/relationships/image" Target="media/image28.png"/><Relationship Id="rId46" Type="http://schemas.openxmlformats.org/officeDocument/2006/relationships/image" Target="media/image27.png"/><Relationship Id="rId45" Type="http://schemas.openxmlformats.org/officeDocument/2006/relationships/image" Target="media/image26.png"/><Relationship Id="rId44" Type="http://schemas.openxmlformats.org/officeDocument/2006/relationships/image" Target="media/image25.png"/><Relationship Id="rId43" Type="http://schemas.openxmlformats.org/officeDocument/2006/relationships/image" Target="media/image24.png"/><Relationship Id="rId42" Type="http://schemas.openxmlformats.org/officeDocument/2006/relationships/image" Target="media/image23.png"/><Relationship Id="rId41" Type="http://schemas.openxmlformats.org/officeDocument/2006/relationships/image" Target="media/image22.wmf"/><Relationship Id="rId40" Type="http://schemas.openxmlformats.org/officeDocument/2006/relationships/oleObject" Target="embeddings/oleObject12.bin"/><Relationship Id="rId4" Type="http://schemas.openxmlformats.org/officeDocument/2006/relationships/header" Target="header2.xml"/><Relationship Id="rId39" Type="http://schemas.openxmlformats.org/officeDocument/2006/relationships/image" Target="media/image21.wmf"/><Relationship Id="rId38" Type="http://schemas.openxmlformats.org/officeDocument/2006/relationships/oleObject" Target="embeddings/oleObject11.bin"/><Relationship Id="rId37" Type="http://schemas.openxmlformats.org/officeDocument/2006/relationships/image" Target="media/image20.wmf"/><Relationship Id="rId36" Type="http://schemas.openxmlformats.org/officeDocument/2006/relationships/oleObject" Target="embeddings/oleObject10.bin"/><Relationship Id="rId35" Type="http://schemas.openxmlformats.org/officeDocument/2006/relationships/image" Target="media/image19.wmf"/><Relationship Id="rId34" Type="http://schemas.openxmlformats.org/officeDocument/2006/relationships/oleObject" Target="embeddings/oleObject9.bin"/><Relationship Id="rId33" Type="http://schemas.openxmlformats.org/officeDocument/2006/relationships/image" Target="media/image18.wmf"/><Relationship Id="rId32" Type="http://schemas.openxmlformats.org/officeDocument/2006/relationships/oleObject" Target="embeddings/oleObject8.bin"/><Relationship Id="rId31" Type="http://schemas.openxmlformats.org/officeDocument/2006/relationships/image" Target="media/image17.wmf"/><Relationship Id="rId30" Type="http://schemas.openxmlformats.org/officeDocument/2006/relationships/oleObject" Target="embeddings/oleObject7.bin"/><Relationship Id="rId3" Type="http://schemas.openxmlformats.org/officeDocument/2006/relationships/header" Target="header1.xml"/><Relationship Id="rId29" Type="http://schemas.openxmlformats.org/officeDocument/2006/relationships/image" Target="media/image16.wmf"/><Relationship Id="rId28" Type="http://schemas.openxmlformats.org/officeDocument/2006/relationships/oleObject" Target="embeddings/oleObject6.bin"/><Relationship Id="rId27" Type="http://schemas.openxmlformats.org/officeDocument/2006/relationships/image" Target="media/image15.wmf"/><Relationship Id="rId26" Type="http://schemas.openxmlformats.org/officeDocument/2006/relationships/oleObject" Target="embeddings/oleObject5.bin"/><Relationship Id="rId25" Type="http://schemas.openxmlformats.org/officeDocument/2006/relationships/image" Target="media/image14.wmf"/><Relationship Id="rId24" Type="http://schemas.openxmlformats.org/officeDocument/2006/relationships/oleObject" Target="embeddings/oleObject4.bin"/><Relationship Id="rId23" Type="http://schemas.openxmlformats.org/officeDocument/2006/relationships/image" Target="media/image13.wmf"/><Relationship Id="rId22" Type="http://schemas.openxmlformats.org/officeDocument/2006/relationships/oleObject" Target="embeddings/oleObject3.bin"/><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wmf"/><Relationship Id="rId16" Type="http://schemas.openxmlformats.org/officeDocument/2006/relationships/oleObject" Target="embeddings/oleObject2.bin"/><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3" Type="http://schemas.openxmlformats.org/officeDocument/2006/relationships/fontTable" Target="fontTable.xml"/><Relationship Id="rId112" Type="http://schemas.openxmlformats.org/officeDocument/2006/relationships/numbering" Target="numbering.xml"/><Relationship Id="rId111" Type="http://schemas.openxmlformats.org/officeDocument/2006/relationships/customXml" Target="../customXml/item1.xml"/><Relationship Id="rId110" Type="http://schemas.openxmlformats.org/officeDocument/2006/relationships/image" Target="media/image85.png"/><Relationship Id="rId11" Type="http://schemas.openxmlformats.org/officeDocument/2006/relationships/image" Target="media/image3.png"/><Relationship Id="rId109" Type="http://schemas.openxmlformats.org/officeDocument/2006/relationships/image" Target="media/image84.png"/><Relationship Id="rId108" Type="http://schemas.openxmlformats.org/officeDocument/2006/relationships/image" Target="media/image83.png"/><Relationship Id="rId107" Type="http://schemas.openxmlformats.org/officeDocument/2006/relationships/image" Target="media/image82.png"/><Relationship Id="rId106" Type="http://schemas.openxmlformats.org/officeDocument/2006/relationships/image" Target="media/image81.png"/><Relationship Id="rId105" Type="http://schemas.openxmlformats.org/officeDocument/2006/relationships/image" Target="media/image80.png"/><Relationship Id="rId104" Type="http://schemas.openxmlformats.org/officeDocument/2006/relationships/image" Target="media/image79.png"/><Relationship Id="rId103" Type="http://schemas.openxmlformats.org/officeDocument/2006/relationships/image" Target="media/image78.png"/><Relationship Id="rId102" Type="http://schemas.openxmlformats.org/officeDocument/2006/relationships/image" Target="media/image77.png"/><Relationship Id="rId101" Type="http://schemas.openxmlformats.org/officeDocument/2006/relationships/image" Target="media/image76.png"/><Relationship Id="rId100" Type="http://schemas.openxmlformats.org/officeDocument/2006/relationships/image" Target="media/image75.png"/><Relationship Id="rId10" Type="http://schemas.openxmlformats.org/officeDocument/2006/relationships/image" Target="media/image2.wmf"/><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344</Pages>
  <Words>174673</Words>
  <Characters>207607</Characters>
  <Lines>0</Lines>
  <Paragraphs>0</Paragraphs>
  <TotalTime>10</TotalTime>
  <ScaleCrop>false</ScaleCrop>
  <LinksUpToDate>false</LinksUpToDate>
  <CharactersWithSpaces>214590</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2023-08-28T02:28:00Z</dcterms:created>
  <dc:creator>Administrator</dc:creator>
  <cp:lastModifiedBy>小麦啾</cp:lastModifiedBy>
  <cp:lastPrinted>2024-04-28T04:40:00Z</cp:lastPrinted>
  <dcterms:modified xsi:type="dcterms:W3CDTF">2024-05-16T09:34:35Z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4AE96EB4E32940E59C603A15B24E0CF6_13</vt:lpwstr>
  </property>
</Properties>
</file>